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B911EA"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112395</wp:posOffset>
                </wp:positionV>
                <wp:extent cx="5857875" cy="2391410"/>
                <wp:effectExtent l="11430" t="7620" r="762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391410"/>
                        </a:xfrm>
                        <a:prstGeom prst="rect">
                          <a:avLst/>
                        </a:prstGeom>
                        <a:solidFill>
                          <a:srgbClr val="FFFFFF"/>
                        </a:solidFill>
                        <a:ln w="9525">
                          <a:solidFill>
                            <a:srgbClr val="000000"/>
                          </a:solidFill>
                          <a:miter lim="800000"/>
                          <a:headEnd/>
                          <a:tailEnd/>
                        </a:ln>
                      </wps:spPr>
                      <wps:txbx>
                        <w:txbxContent>
                          <w:p w:rsidR="00035DAB" w:rsidRPr="0038022D" w:rsidRDefault="00035DAB" w:rsidP="00035DAB">
                            <w:pPr>
                              <w:rPr>
                                <w:rFonts w:ascii="Calibri" w:hAnsi="Calibri"/>
                                <w:b/>
                                <w:u w:val="single"/>
                              </w:rPr>
                            </w:pPr>
                            <w:r w:rsidRPr="00B269F3">
                              <w:rPr>
                                <w:rFonts w:ascii="Calibri" w:hAnsi="Calibri"/>
                                <w:b/>
                                <w:u w:val="single"/>
                              </w:rPr>
                              <w:t xml:space="preserve">Highlights from this </w:t>
                            </w:r>
                            <w:r w:rsidR="000B0256" w:rsidRPr="00B269F3">
                              <w:rPr>
                                <w:rFonts w:ascii="Calibri" w:hAnsi="Calibri"/>
                                <w:b/>
                                <w:u w:val="single"/>
                              </w:rPr>
                              <w:t xml:space="preserve">week’s </w:t>
                            </w:r>
                            <w:r w:rsidRPr="00B269F3">
                              <w:rPr>
                                <w:rFonts w:ascii="Calibri" w:hAnsi="Calibri"/>
                                <w:b/>
                                <w:u w:val="single"/>
                              </w:rPr>
                              <w:t>report:</w:t>
                            </w:r>
                          </w:p>
                          <w:p w:rsidR="00837D10" w:rsidRPr="00356719" w:rsidRDefault="00837D10" w:rsidP="00837D10">
                            <w:pPr>
                              <w:pStyle w:val="ListParagraph"/>
                              <w:numPr>
                                <w:ilvl w:val="0"/>
                                <w:numId w:val="2"/>
                              </w:numPr>
                              <w:rPr>
                                <w:sz w:val="20"/>
                                <w:szCs w:val="20"/>
                              </w:rPr>
                            </w:pPr>
                            <w:r w:rsidRPr="00356719">
                              <w:rPr>
                                <w:sz w:val="20"/>
                                <w:szCs w:val="20"/>
                              </w:rPr>
                              <w:t xml:space="preserve">Influenza severity </w:t>
                            </w:r>
                            <w:r w:rsidR="00B86838">
                              <w:rPr>
                                <w:sz w:val="20"/>
                                <w:szCs w:val="20"/>
                              </w:rPr>
                              <w:t xml:space="preserve">and Influenza-like illness activity </w:t>
                            </w:r>
                            <w:r w:rsidRPr="00356719">
                              <w:rPr>
                                <w:sz w:val="20"/>
                                <w:szCs w:val="20"/>
                              </w:rPr>
                              <w:t xml:space="preserve">for Massachusetts </w:t>
                            </w:r>
                            <w:r w:rsidR="006E21D4">
                              <w:rPr>
                                <w:sz w:val="20"/>
                                <w:szCs w:val="20"/>
                              </w:rPr>
                              <w:t>are</w:t>
                            </w:r>
                            <w:r w:rsidRPr="00356719">
                              <w:rPr>
                                <w:sz w:val="20"/>
                                <w:szCs w:val="20"/>
                              </w:rPr>
                              <w:t xml:space="preserve"> </w:t>
                            </w:r>
                            <w:r w:rsidR="00122368">
                              <w:rPr>
                                <w:sz w:val="20"/>
                                <w:szCs w:val="20"/>
                              </w:rPr>
                              <w:t>low</w:t>
                            </w:r>
                            <w:r w:rsidRPr="00356719">
                              <w:rPr>
                                <w:sz w:val="20"/>
                                <w:szCs w:val="20"/>
                              </w:rPr>
                              <w:t xml:space="preserve"> this week.</w:t>
                            </w:r>
                          </w:p>
                          <w:p w:rsidR="00837D10" w:rsidRPr="0003231A" w:rsidRDefault="00F16F06" w:rsidP="00F16F06">
                            <w:pPr>
                              <w:pStyle w:val="ListParagraph"/>
                              <w:numPr>
                                <w:ilvl w:val="0"/>
                                <w:numId w:val="2"/>
                              </w:numPr>
                              <w:rPr>
                                <w:sz w:val="20"/>
                                <w:szCs w:val="20"/>
                              </w:rPr>
                            </w:pPr>
                            <w:r w:rsidRPr="0003231A">
                              <w:rPr>
                                <w:sz w:val="20"/>
                                <w:szCs w:val="20"/>
                              </w:rPr>
                              <w:t>The percent of i</w:t>
                            </w:r>
                            <w:r w:rsidR="00837D10" w:rsidRPr="0003231A">
                              <w:rPr>
                                <w:sz w:val="20"/>
                                <w:szCs w:val="20"/>
                              </w:rPr>
                              <w:t xml:space="preserve">nfluenza-associated hospitalizations in Massachusetts </w:t>
                            </w:r>
                            <w:r w:rsidRPr="0003231A">
                              <w:rPr>
                                <w:color w:val="000000"/>
                                <w:sz w:val="20"/>
                                <w:szCs w:val="20"/>
                              </w:rPr>
                              <w:t xml:space="preserve">is comparable to </w:t>
                            </w:r>
                            <w:r w:rsidR="006E21D4">
                              <w:rPr>
                                <w:color w:val="000000"/>
                                <w:sz w:val="20"/>
                                <w:szCs w:val="20"/>
                              </w:rPr>
                              <w:t xml:space="preserve">the </w:t>
                            </w:r>
                            <w:r w:rsidRPr="0003231A">
                              <w:rPr>
                                <w:color w:val="000000"/>
                                <w:sz w:val="20"/>
                                <w:szCs w:val="20"/>
                              </w:rPr>
                              <w:t xml:space="preserve">last </w:t>
                            </w:r>
                            <w:r w:rsidR="001E1738" w:rsidRPr="0003231A">
                              <w:rPr>
                                <w:color w:val="000000"/>
                                <w:sz w:val="20"/>
                                <w:szCs w:val="20"/>
                              </w:rPr>
                              <w:t>two flu seasons in the same week</w:t>
                            </w:r>
                            <w:r w:rsidR="0003231A">
                              <w:rPr>
                                <w:color w:val="000000"/>
                                <w:sz w:val="20"/>
                                <w:szCs w:val="20"/>
                              </w:rPr>
                              <w:t>.</w:t>
                            </w:r>
                          </w:p>
                          <w:p w:rsidR="00B86838" w:rsidRPr="00F20FB3" w:rsidRDefault="00B86838" w:rsidP="00B86838">
                            <w:pPr>
                              <w:pStyle w:val="ListParagraph"/>
                              <w:numPr>
                                <w:ilvl w:val="0"/>
                                <w:numId w:val="2"/>
                              </w:numPr>
                              <w:rPr>
                                <w:sz w:val="20"/>
                                <w:szCs w:val="20"/>
                              </w:rPr>
                            </w:pPr>
                            <w:r>
                              <w:rPr>
                                <w:sz w:val="20"/>
                                <w:szCs w:val="20"/>
                              </w:rPr>
                              <w:t>At this point in the 2</w:t>
                            </w:r>
                            <w:r w:rsidR="00F81934">
                              <w:rPr>
                                <w:sz w:val="20"/>
                                <w:szCs w:val="20"/>
                              </w:rPr>
                              <w:t>019-2020 flu season, both influenza A and influenza B have been reported</w:t>
                            </w:r>
                            <w:r w:rsidR="00727E19">
                              <w:rPr>
                                <w:sz w:val="20"/>
                                <w:szCs w:val="20"/>
                              </w:rPr>
                              <w:t>, although few samples have been tested thus far</w:t>
                            </w:r>
                            <w:r>
                              <w:rPr>
                                <w:sz w:val="20"/>
                                <w:szCs w:val="20"/>
                              </w:rPr>
                              <w:t>.</w:t>
                            </w:r>
                          </w:p>
                          <w:p w:rsidR="00837D10" w:rsidRPr="00583414" w:rsidRDefault="00837D10" w:rsidP="00837D10">
                            <w:pPr>
                              <w:pStyle w:val="ListParagraph"/>
                              <w:numPr>
                                <w:ilvl w:val="0"/>
                                <w:numId w:val="2"/>
                              </w:numPr>
                              <w:rPr>
                                <w:sz w:val="20"/>
                                <w:szCs w:val="20"/>
                              </w:rPr>
                            </w:pPr>
                            <w:r w:rsidRPr="00583414">
                              <w:rPr>
                                <w:sz w:val="20"/>
                                <w:szCs w:val="20"/>
                              </w:rPr>
                              <w:t xml:space="preserve">Nationally, flu activity is </w:t>
                            </w:r>
                            <w:r w:rsidR="009A2C89" w:rsidRPr="00583414">
                              <w:rPr>
                                <w:sz w:val="20"/>
                                <w:szCs w:val="20"/>
                              </w:rPr>
                              <w:t>low</w:t>
                            </w:r>
                            <w:r w:rsidR="004D24E0" w:rsidRPr="00583414">
                              <w:rPr>
                                <w:sz w:val="20"/>
                                <w:szCs w:val="20"/>
                              </w:rPr>
                              <w:t xml:space="preserve"> but increasing</w:t>
                            </w:r>
                            <w:r w:rsidRPr="00583414">
                              <w:rPr>
                                <w:sz w:val="20"/>
                                <w:szCs w:val="20"/>
                              </w:rPr>
                              <w:t>, consistent with typical levels of activity at this time of year.</w:t>
                            </w:r>
                            <w:r w:rsidR="004D24E0" w:rsidRPr="00583414">
                              <w:rPr>
                                <w:sz w:val="20"/>
                                <w:szCs w:val="20"/>
                              </w:rPr>
                              <w:t xml:space="preserve"> </w:t>
                            </w:r>
                            <w:r w:rsidR="00727E19" w:rsidRPr="00583414">
                              <w:rPr>
                                <w:sz w:val="20"/>
                                <w:szCs w:val="20"/>
                              </w:rPr>
                              <w:t>However, h</w:t>
                            </w:r>
                            <w:r w:rsidR="004D24E0" w:rsidRPr="00583414">
                              <w:rPr>
                                <w:sz w:val="20"/>
                                <w:szCs w:val="20"/>
                              </w:rPr>
                              <w:t>igh levels of activity are being reported in Louisiana and Puerto Rico.</w:t>
                            </w:r>
                          </w:p>
                          <w:p w:rsidR="00837D10" w:rsidRDefault="00837D10" w:rsidP="00837D10">
                            <w:pPr>
                              <w:pStyle w:val="ListParagraph"/>
                              <w:numPr>
                                <w:ilvl w:val="0"/>
                                <w:numId w:val="2"/>
                              </w:numPr>
                              <w:contextualSpacing w:val="0"/>
                              <w:rPr>
                                <w:sz w:val="20"/>
                                <w:szCs w:val="20"/>
                              </w:rPr>
                            </w:pPr>
                            <w:r w:rsidRPr="00356719">
                              <w:rPr>
                                <w:sz w:val="20"/>
                                <w:szCs w:val="20"/>
                              </w:rPr>
                              <w:t>Additional statewide and national data including geographic spread, ILI activity, and pneumonia and influenza mortality are available at CDC’s FluView Weekly Report</w:t>
                            </w:r>
                            <w:r w:rsidRPr="002D5868">
                              <w:rPr>
                                <w:sz w:val="20"/>
                                <w:szCs w:val="20"/>
                              </w:rPr>
                              <w:t xml:space="preserve"> at </w:t>
                            </w:r>
                            <w:hyperlink r:id="rId9" w:history="1">
                              <w:r w:rsidRPr="002D5868">
                                <w:rPr>
                                  <w:rStyle w:val="Hyperlink"/>
                                  <w:sz w:val="20"/>
                                  <w:szCs w:val="20"/>
                                </w:rPr>
                                <w:t>www.cdc.gov/flu/weekly</w:t>
                              </w:r>
                            </w:hyperlink>
                            <w:r>
                              <w:rPr>
                                <w:sz w:val="20"/>
                                <w:szCs w:val="20"/>
                              </w:rPr>
                              <w:t xml:space="preserve"> and </w:t>
                            </w:r>
                            <w:r w:rsidRPr="00356719">
                              <w:rPr>
                                <w:sz w:val="20"/>
                                <w:szCs w:val="20"/>
                              </w:rPr>
                              <w:t>FluView Interactive</w:t>
                            </w:r>
                            <w:r>
                              <w:rPr>
                                <w:sz w:val="20"/>
                                <w:szCs w:val="20"/>
                              </w:rPr>
                              <w:t xml:space="preserve"> </w:t>
                            </w:r>
                            <w:hyperlink r:id="rId10" w:history="1">
                              <w:r w:rsidRPr="00E6213B">
                                <w:rPr>
                                  <w:rStyle w:val="Hyperlink"/>
                                  <w:sz w:val="20"/>
                                  <w:szCs w:val="20"/>
                                </w:rPr>
                                <w:t>https://www.cdc.gov/flu/weekly/fluviewinteractive.htm</w:t>
                              </w:r>
                            </w:hyperlink>
                            <w:r>
                              <w:rPr>
                                <w:sz w:val="20"/>
                                <w:szCs w:val="20"/>
                              </w:rPr>
                              <w:t>.</w:t>
                            </w:r>
                          </w:p>
                          <w:p w:rsidR="007E5696" w:rsidRDefault="007E5696" w:rsidP="007E5696">
                            <w:pPr>
                              <w:pStyle w:val="ListParagraph"/>
                              <w:contextualSpacing w:val="0"/>
                              <w:rPr>
                                <w:sz w:val="20"/>
                                <w:szCs w:val="20"/>
                              </w:rPr>
                            </w:pPr>
                          </w:p>
                          <w:p w:rsidR="007E5696"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8.85pt;width:461.25pt;height:18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">
                <v:textbox>
                  <w:txbxContent>
                    <w:p w:rsidR="00035DAB" w:rsidRPr="0038022D" w:rsidRDefault="00035DAB" w:rsidP="00035DAB">
                      <w:pPr>
                        <w:rPr>
                          <w:rFonts w:ascii="Calibri" w:hAnsi="Calibri"/>
                          <w:b/>
                          <w:u w:val="single"/>
                        </w:rPr>
                      </w:pPr>
                      <w:r w:rsidRPr="00B269F3">
                        <w:rPr>
                          <w:rFonts w:ascii="Calibri" w:hAnsi="Calibri"/>
                          <w:b/>
                          <w:u w:val="single"/>
                        </w:rPr>
                        <w:t xml:space="preserve">Highlights from this </w:t>
                      </w:r>
                      <w:r w:rsidR="000B0256" w:rsidRPr="00B269F3">
                        <w:rPr>
                          <w:rFonts w:ascii="Calibri" w:hAnsi="Calibri"/>
                          <w:b/>
                          <w:u w:val="single"/>
                        </w:rPr>
                        <w:t xml:space="preserve">week’s </w:t>
                      </w:r>
                      <w:r w:rsidRPr="00B269F3">
                        <w:rPr>
                          <w:rFonts w:ascii="Calibri" w:hAnsi="Calibri"/>
                          <w:b/>
                          <w:u w:val="single"/>
                        </w:rPr>
                        <w:t>report:</w:t>
                      </w:r>
                    </w:p>
                    <w:p w:rsidR="00837D10" w:rsidRPr="00356719" w:rsidRDefault="00837D10" w:rsidP="00837D10">
                      <w:pPr>
                        <w:pStyle w:val="ListParagraph"/>
                        <w:numPr>
                          <w:ilvl w:val="0"/>
                          <w:numId w:val="2"/>
                        </w:numPr>
                        <w:rPr>
                          <w:sz w:val="20"/>
                          <w:szCs w:val="20"/>
                        </w:rPr>
                      </w:pPr>
                      <w:r w:rsidRPr="00356719">
                        <w:rPr>
                          <w:sz w:val="20"/>
                          <w:szCs w:val="20"/>
                        </w:rPr>
                        <w:t xml:space="preserve">Influenza severity </w:t>
                      </w:r>
                      <w:r w:rsidR="00B86838">
                        <w:rPr>
                          <w:sz w:val="20"/>
                          <w:szCs w:val="20"/>
                        </w:rPr>
                        <w:t xml:space="preserve">and Influenza-like illness activity </w:t>
                      </w:r>
                      <w:r w:rsidRPr="00356719">
                        <w:rPr>
                          <w:sz w:val="20"/>
                          <w:szCs w:val="20"/>
                        </w:rPr>
                        <w:t xml:space="preserve">for Massachusetts </w:t>
                      </w:r>
                      <w:r w:rsidR="006E21D4">
                        <w:rPr>
                          <w:sz w:val="20"/>
                          <w:szCs w:val="20"/>
                        </w:rPr>
                        <w:t>are</w:t>
                      </w:r>
                      <w:r w:rsidRPr="00356719">
                        <w:rPr>
                          <w:sz w:val="20"/>
                          <w:szCs w:val="20"/>
                        </w:rPr>
                        <w:t xml:space="preserve"> </w:t>
                      </w:r>
                      <w:r w:rsidR="00122368">
                        <w:rPr>
                          <w:sz w:val="20"/>
                          <w:szCs w:val="20"/>
                        </w:rPr>
                        <w:t>low</w:t>
                      </w:r>
                      <w:r w:rsidRPr="00356719">
                        <w:rPr>
                          <w:sz w:val="20"/>
                          <w:szCs w:val="20"/>
                        </w:rPr>
                        <w:t xml:space="preserve"> this week.</w:t>
                      </w:r>
                    </w:p>
                    <w:p w:rsidR="00837D10" w:rsidRPr="0003231A" w:rsidRDefault="00F16F06" w:rsidP="00F16F06">
                      <w:pPr>
                        <w:pStyle w:val="ListParagraph"/>
                        <w:numPr>
                          <w:ilvl w:val="0"/>
                          <w:numId w:val="2"/>
                        </w:numPr>
                        <w:rPr>
                          <w:sz w:val="20"/>
                          <w:szCs w:val="20"/>
                        </w:rPr>
                      </w:pPr>
                      <w:r w:rsidRPr="0003231A">
                        <w:rPr>
                          <w:sz w:val="20"/>
                          <w:szCs w:val="20"/>
                        </w:rPr>
                        <w:t>The percent of i</w:t>
                      </w:r>
                      <w:r w:rsidR="00837D10" w:rsidRPr="0003231A">
                        <w:rPr>
                          <w:sz w:val="20"/>
                          <w:szCs w:val="20"/>
                        </w:rPr>
                        <w:t xml:space="preserve">nfluenza-associated hospitalizations in Massachusetts </w:t>
                      </w:r>
                      <w:r w:rsidRPr="0003231A">
                        <w:rPr>
                          <w:color w:val="000000"/>
                          <w:sz w:val="20"/>
                          <w:szCs w:val="20"/>
                        </w:rPr>
                        <w:t xml:space="preserve">is comparable to </w:t>
                      </w:r>
                      <w:r w:rsidR="006E21D4">
                        <w:rPr>
                          <w:color w:val="000000"/>
                          <w:sz w:val="20"/>
                          <w:szCs w:val="20"/>
                        </w:rPr>
                        <w:t xml:space="preserve">the </w:t>
                      </w:r>
                      <w:r w:rsidRPr="0003231A">
                        <w:rPr>
                          <w:color w:val="000000"/>
                          <w:sz w:val="20"/>
                          <w:szCs w:val="20"/>
                        </w:rPr>
                        <w:t xml:space="preserve">last </w:t>
                      </w:r>
                      <w:r w:rsidR="001E1738" w:rsidRPr="0003231A">
                        <w:rPr>
                          <w:color w:val="000000"/>
                          <w:sz w:val="20"/>
                          <w:szCs w:val="20"/>
                        </w:rPr>
                        <w:t>two flu seasons in the same week</w:t>
                      </w:r>
                      <w:r w:rsidR="0003231A">
                        <w:rPr>
                          <w:color w:val="000000"/>
                          <w:sz w:val="20"/>
                          <w:szCs w:val="20"/>
                        </w:rPr>
                        <w:t>.</w:t>
                      </w:r>
                    </w:p>
                    <w:p w:rsidR="00B86838" w:rsidRPr="00F20FB3" w:rsidRDefault="00B86838" w:rsidP="00B86838">
                      <w:pPr>
                        <w:pStyle w:val="ListParagraph"/>
                        <w:numPr>
                          <w:ilvl w:val="0"/>
                          <w:numId w:val="2"/>
                        </w:numPr>
                        <w:rPr>
                          <w:sz w:val="20"/>
                          <w:szCs w:val="20"/>
                        </w:rPr>
                      </w:pPr>
                      <w:r>
                        <w:rPr>
                          <w:sz w:val="20"/>
                          <w:szCs w:val="20"/>
                        </w:rPr>
                        <w:t>At this point in the 2</w:t>
                      </w:r>
                      <w:r w:rsidR="00F81934">
                        <w:rPr>
                          <w:sz w:val="20"/>
                          <w:szCs w:val="20"/>
                        </w:rPr>
                        <w:t>019-2020 flu season, both influenza A and influenza B have been reported</w:t>
                      </w:r>
                      <w:r w:rsidR="00727E19">
                        <w:rPr>
                          <w:sz w:val="20"/>
                          <w:szCs w:val="20"/>
                        </w:rPr>
                        <w:t>, although few samples have been tested thus far</w:t>
                      </w:r>
                      <w:r>
                        <w:rPr>
                          <w:sz w:val="20"/>
                          <w:szCs w:val="20"/>
                        </w:rPr>
                        <w:t>.</w:t>
                      </w:r>
                    </w:p>
                    <w:p w:rsidR="00837D10" w:rsidRPr="00583414" w:rsidRDefault="00837D10" w:rsidP="00837D10">
                      <w:pPr>
                        <w:pStyle w:val="ListParagraph"/>
                        <w:numPr>
                          <w:ilvl w:val="0"/>
                          <w:numId w:val="2"/>
                        </w:numPr>
                        <w:rPr>
                          <w:sz w:val="20"/>
                          <w:szCs w:val="20"/>
                        </w:rPr>
                      </w:pPr>
                      <w:r w:rsidRPr="00583414">
                        <w:rPr>
                          <w:sz w:val="20"/>
                          <w:szCs w:val="20"/>
                        </w:rPr>
                        <w:t xml:space="preserve">Nationally, flu activity is </w:t>
                      </w:r>
                      <w:r w:rsidR="009A2C89" w:rsidRPr="00583414">
                        <w:rPr>
                          <w:sz w:val="20"/>
                          <w:szCs w:val="20"/>
                        </w:rPr>
                        <w:t>low</w:t>
                      </w:r>
                      <w:r w:rsidR="004D24E0" w:rsidRPr="00583414">
                        <w:rPr>
                          <w:sz w:val="20"/>
                          <w:szCs w:val="20"/>
                        </w:rPr>
                        <w:t xml:space="preserve"> but increasing</w:t>
                      </w:r>
                      <w:r w:rsidRPr="00583414">
                        <w:rPr>
                          <w:sz w:val="20"/>
                          <w:szCs w:val="20"/>
                        </w:rPr>
                        <w:t>, consistent with typical levels of activity at this time of year.</w:t>
                      </w:r>
                      <w:r w:rsidR="004D24E0" w:rsidRPr="00583414">
                        <w:rPr>
                          <w:sz w:val="20"/>
                          <w:szCs w:val="20"/>
                        </w:rPr>
                        <w:t xml:space="preserve"> </w:t>
                      </w:r>
                      <w:r w:rsidR="00727E19" w:rsidRPr="00583414">
                        <w:rPr>
                          <w:sz w:val="20"/>
                          <w:szCs w:val="20"/>
                        </w:rPr>
                        <w:t>However, h</w:t>
                      </w:r>
                      <w:r w:rsidR="004D24E0" w:rsidRPr="00583414">
                        <w:rPr>
                          <w:sz w:val="20"/>
                          <w:szCs w:val="20"/>
                        </w:rPr>
                        <w:t>igh levels of activity are being reported in Louisiana and Puerto Rico.</w:t>
                      </w:r>
                    </w:p>
                    <w:p w:rsidR="00837D10" w:rsidRDefault="00837D10" w:rsidP="00837D10">
                      <w:pPr>
                        <w:pStyle w:val="ListParagraph"/>
                        <w:numPr>
                          <w:ilvl w:val="0"/>
                          <w:numId w:val="2"/>
                        </w:numPr>
                        <w:contextualSpacing w:val="0"/>
                        <w:rPr>
                          <w:sz w:val="20"/>
                          <w:szCs w:val="20"/>
                        </w:rPr>
                      </w:pPr>
                      <w:r w:rsidRPr="00356719">
                        <w:rPr>
                          <w:sz w:val="20"/>
                          <w:szCs w:val="20"/>
                        </w:rPr>
                        <w:t>Additional statewide and national data including geographic spread, ILI activity, and pneumonia and influenza mortality are available at CDC’s FluView Weekly Report</w:t>
                      </w:r>
                      <w:r w:rsidRPr="002D5868">
                        <w:rPr>
                          <w:sz w:val="20"/>
                          <w:szCs w:val="20"/>
                        </w:rPr>
                        <w:t xml:space="preserve"> at </w:t>
                      </w:r>
                      <w:hyperlink r:id="rId11" w:history="1">
                        <w:r w:rsidRPr="002D5868">
                          <w:rPr>
                            <w:rStyle w:val="Hyperlink"/>
                            <w:sz w:val="20"/>
                            <w:szCs w:val="20"/>
                          </w:rPr>
                          <w:t>www.cdc.gov/flu/weekly</w:t>
                        </w:r>
                      </w:hyperlink>
                      <w:r>
                        <w:rPr>
                          <w:sz w:val="20"/>
                          <w:szCs w:val="20"/>
                        </w:rPr>
                        <w:t xml:space="preserve"> and </w:t>
                      </w:r>
                      <w:r w:rsidRPr="00356719">
                        <w:rPr>
                          <w:sz w:val="20"/>
                          <w:szCs w:val="20"/>
                        </w:rPr>
                        <w:t>FluView Interactive</w:t>
                      </w:r>
                      <w:r>
                        <w:rPr>
                          <w:sz w:val="20"/>
                          <w:szCs w:val="20"/>
                        </w:rPr>
                        <w:t xml:space="preserve"> </w:t>
                      </w:r>
                      <w:hyperlink r:id="rId12" w:history="1">
                        <w:r w:rsidRPr="00E6213B">
                          <w:rPr>
                            <w:rStyle w:val="Hyperlink"/>
                            <w:sz w:val="20"/>
                            <w:szCs w:val="20"/>
                          </w:rPr>
                          <w:t>https://www.cdc.gov/flu/weekly/fluviewinteractive.htm</w:t>
                        </w:r>
                      </w:hyperlink>
                      <w:r>
                        <w:rPr>
                          <w:sz w:val="20"/>
                          <w:szCs w:val="20"/>
                        </w:rPr>
                        <w:t>.</w:t>
                      </w:r>
                    </w:p>
                    <w:p w:rsidR="007E5696" w:rsidRDefault="007E5696" w:rsidP="007E5696">
                      <w:pPr>
                        <w:pStyle w:val="ListParagraph"/>
                        <w:contextualSpacing w:val="0"/>
                        <w:rPr>
                          <w:sz w:val="20"/>
                          <w:szCs w:val="20"/>
                        </w:rPr>
                      </w:pPr>
                    </w:p>
                    <w:p w:rsidR="007E5696"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v:textbox>
              </v:shape>
            </w:pict>
          </mc:Fallback>
        </mc:AlternateConten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as a way 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visits is</w:t>
      </w:r>
      <w:r w:rsidR="002D0507">
        <w:rPr>
          <w:rFonts w:ascii="Calibri" w:hAnsi="Calibri"/>
          <w:color w:val="000000"/>
          <w:sz w:val="20"/>
          <w:szCs w:val="20"/>
        </w:rPr>
        <w:t xml:space="preserve"> comparable</w:t>
      </w:r>
      <w:r w:rsidR="002D0507" w:rsidRPr="002D0507">
        <w:rPr>
          <w:rFonts w:ascii="Calibri" w:hAnsi="Calibri"/>
          <w:color w:val="000000"/>
          <w:sz w:val="20"/>
          <w:szCs w:val="20"/>
        </w:rPr>
        <w:t xml:space="preserve"> to </w:t>
      </w:r>
      <w:r w:rsidR="00D75E1F">
        <w:rPr>
          <w:rFonts w:ascii="Calibri" w:hAnsi="Calibri"/>
          <w:color w:val="000000"/>
          <w:sz w:val="20"/>
          <w:szCs w:val="20"/>
        </w:rPr>
        <w:t>the last two seasons</w:t>
      </w:r>
      <w:r w:rsidR="00837D10" w:rsidRPr="005B0761">
        <w:rPr>
          <w:rFonts w:ascii="Calibri" w:hAnsi="Calibri"/>
          <w:color w:val="000000"/>
          <w:sz w:val="20"/>
          <w:szCs w:val="20"/>
        </w:rPr>
        <w:t xml:space="preserve">. For more information, see CDC’s influenza surveillance website at </w:t>
      </w:r>
      <w:hyperlink r:id="rId13" w:tooltip="http://www.cdc.gov/flu/weekly/fluactivitysurv.htm" w:history="1">
        <w:r w:rsidR="00837D10" w:rsidRPr="005B0761">
          <w:rPr>
            <w:rStyle w:val="Hyperlink"/>
            <w:rFonts w:ascii="Calibri" w:hAnsi="Calibri" w:cs="Arial"/>
            <w:sz w:val="20"/>
            <w:szCs w:val="20"/>
          </w:rPr>
          <w:t>www.cdc.gov/flu/weekly/fluactivit</w:t>
        </w:r>
        <w:r w:rsidR="00837D10" w:rsidRPr="005B0761">
          <w:rPr>
            <w:rStyle w:val="Hyperlink"/>
            <w:rFonts w:ascii="Calibri" w:hAnsi="Calibri" w:cs="Arial"/>
            <w:sz w:val="20"/>
            <w:szCs w:val="20"/>
          </w:rPr>
          <w:t>y</w:t>
        </w:r>
        <w:r w:rsidR="00837D10" w:rsidRPr="005B0761">
          <w:rPr>
            <w:rStyle w:val="Hyperlink"/>
            <w:rFonts w:ascii="Calibri" w:hAnsi="Calibri" w:cs="Arial"/>
            <w:sz w:val="20"/>
            <w:szCs w:val="20"/>
          </w:rPr>
          <w:t>surv.htm</w:t>
        </w:r>
      </w:hyperlink>
      <w:r w:rsidR="00837D10" w:rsidRPr="005B0761">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B911EA" w:rsidP="00773D8D">
      <w:pPr>
        <w:rPr>
          <w:rFonts w:ascii="Calibri" w:hAnsi="Calibri"/>
          <w:b/>
          <w:bCs/>
          <w:color w:val="000000"/>
          <w:u w:val="single"/>
        </w:rPr>
      </w:pPr>
      <w:r>
        <w:rPr>
          <w:rFonts w:ascii="Calibri" w:hAnsi="Calibri"/>
          <w:noProof/>
          <w:color w:val="000000"/>
          <w:sz w:val="20"/>
          <w:szCs w:val="20"/>
        </w:rPr>
        <w:drawing>
          <wp:inline distT="0" distB="0" distL="0" distR="0">
            <wp:extent cx="6096000" cy="4572000"/>
            <wp:effectExtent l="0" t="0" r="0" b="0"/>
            <wp:docPr id="1" name="Picture 1" descr="Figure one is a line graph showing the percentage of visits due to influenza-like illness (ILI) reported by sentinel provider sites in Massachusetts by week. Weekly percentage ILI is plotted for the 2017-2018, 2018-2019, and 2019-2020 influenza seasons. As of November 2, 2019, 1.11% of reported visits are due to ILI, which is comparable to the last two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one is a line graph showing the percentage of visits due to influenza-like illness (ILI) reported by sentinel provider sites in Massachusetts by week. Weekly percentage ILI is plotted for the 2017-2018, 2018-2019, and 2019-2020 influenza seasons. As of November 2, 2019, 1.11% of reported visits are due to ILI, which is comparable to the last two seas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3128B8" w:rsidRPr="003128B8">
        <w:rPr>
          <w:rFonts w:ascii="Calibri" w:hAnsi="Calibri"/>
          <w:color w:val="000000"/>
          <w:sz w:val="20"/>
          <w:szCs w:val="20"/>
        </w:rPr>
        <w:t xml:space="preserve">comparable to </w:t>
      </w:r>
      <w:r w:rsidR="00FE4FE1">
        <w:rPr>
          <w:rFonts w:ascii="Calibri" w:hAnsi="Calibri"/>
          <w:color w:val="000000"/>
          <w:sz w:val="20"/>
          <w:szCs w:val="20"/>
        </w:rPr>
        <w:t xml:space="preserve">the </w:t>
      </w:r>
      <w:r w:rsidR="003128B8" w:rsidRPr="003128B8">
        <w:rPr>
          <w:rFonts w:ascii="Calibri" w:hAnsi="Calibri"/>
          <w:color w:val="000000"/>
          <w:sz w:val="20"/>
          <w:szCs w:val="20"/>
        </w:rPr>
        <w:t xml:space="preserve">last </w:t>
      </w:r>
      <w:r w:rsidR="00FE4FE1">
        <w:rPr>
          <w:rFonts w:ascii="Calibri" w:hAnsi="Calibri"/>
          <w:color w:val="000000"/>
          <w:sz w:val="20"/>
          <w:szCs w:val="20"/>
        </w:rPr>
        <w:t>two seasons</w:t>
      </w:r>
      <w:r w:rsidR="00923AE8">
        <w:rPr>
          <w:rFonts w:ascii="Calibri" w:hAnsi="Calibri"/>
          <w:color w:val="000000"/>
          <w:sz w:val="20"/>
          <w:szCs w:val="20"/>
        </w:rPr>
        <w:t>.</w:t>
      </w:r>
    </w:p>
    <w:p w:rsidR="009A1731" w:rsidRPr="005156CF" w:rsidRDefault="00B911EA" w:rsidP="00395A85">
      <w:pPr>
        <w:rPr>
          <w:rFonts w:ascii="Calibri" w:hAnsi="Calibri"/>
        </w:rPr>
      </w:pPr>
      <w:r>
        <w:rPr>
          <w:rFonts w:ascii="Calibri" w:hAnsi="Calibri"/>
          <w:noProof/>
        </w:rPr>
        <w:drawing>
          <wp:inline distT="0" distB="0" distL="0" distR="0">
            <wp:extent cx="6096000" cy="4572000"/>
            <wp:effectExtent l="0" t="0" r="0" b="0"/>
            <wp:docPr id="2"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November 2, 2019, the percentage of influenza-associated hospitalizations is 0.45%, which is comparable to the last two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November 2, 2019, the percentage of influenza-associated hospitalizations is 0.45%, which is comparable to the last two seas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Pr="005156CF" w:rsidRDefault="00886C52"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 which is comparable to the last </w:t>
      </w:r>
      <w:r w:rsidR="006B6A69">
        <w:rPr>
          <w:rFonts w:ascii="Calibri" w:hAnsi="Calibri"/>
          <w:bCs/>
          <w:iCs/>
          <w:sz w:val="20"/>
          <w:szCs w:val="20"/>
        </w:rPr>
        <w:t>five</w:t>
      </w:r>
      <w:r>
        <w:rPr>
          <w:rFonts w:ascii="Calibri" w:hAnsi="Calibri"/>
          <w:bCs/>
          <w:iCs/>
          <w:sz w:val="20"/>
          <w:szCs w:val="20"/>
        </w:rPr>
        <w:t xml:space="preserve"> seasons for the same week.</w:t>
      </w:r>
    </w:p>
    <w:p w:rsidR="00706E76" w:rsidRDefault="00706E76" w:rsidP="00706E76">
      <w:pPr>
        <w:adjustRightInd w:val="0"/>
        <w:contextualSpacing/>
        <w:jc w:val="center"/>
        <w:rPr>
          <w:rFonts w:ascii="Calibri" w:hAnsi="Calibri"/>
        </w:rPr>
      </w:pPr>
    </w:p>
    <w:p w:rsidR="00591456" w:rsidRPr="00356719" w:rsidRDefault="00591456" w:rsidP="00591456">
      <w:pPr>
        <w:adjustRightInd w:val="0"/>
        <w:contextualSpacing/>
        <w:jc w:val="center"/>
        <w:rPr>
          <w:rFonts w:ascii="Calibri" w:hAnsi="Calibri"/>
          <w:b/>
        </w:rPr>
      </w:pPr>
      <w:r w:rsidRPr="00356719">
        <w:rPr>
          <w:rFonts w:ascii="Calibri" w:hAnsi="Calibri"/>
          <w:b/>
        </w:rPr>
        <w:t xml:space="preserve">Figure 3: ILI Activity </w:t>
      </w:r>
      <w:r>
        <w:rPr>
          <w:rFonts w:ascii="Calibri" w:hAnsi="Calibri"/>
          <w:b/>
        </w:rPr>
        <w:t xml:space="preserve">in Massachusetts </w:t>
      </w:r>
      <w:r w:rsidRPr="00356719">
        <w:rPr>
          <w:rFonts w:ascii="Calibri" w:hAnsi="Calibri"/>
          <w:b/>
        </w:rPr>
        <w:t>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B911EA" w:rsidP="00395A85">
      <w:r>
        <w:rPr>
          <w:noProof/>
        </w:rPr>
        <w:drawing>
          <wp:inline distT="0" distB="0" distL="0" distR="0">
            <wp:extent cx="6305550" cy="2076450"/>
            <wp:effectExtent l="0" t="0" r="0" b="0"/>
            <wp:docPr id="3" name="Picture 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2, 2019, this week's ILI activity is minimal, which is comparable to the last five seasons for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2, 2019, this week's ILI activity is minimal, which is comparable to the last five seasons for the same wee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5550" cy="207645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2653B2">
        <w:trPr>
          <w:trHeight w:val="197"/>
        </w:trPr>
        <w:tc>
          <w:tcPr>
            <w:tcW w:w="1163" w:type="dxa"/>
            <w:tcBorders>
              <w:top w:val="single" w:sz="18" w:space="0" w:color="auto"/>
              <w:left w:val="single" w:sz="18" w:space="0" w:color="auto"/>
              <w:bottom w:val="single" w:sz="18" w:space="0" w:color="auto"/>
              <w:right w:val="single" w:sz="18" w:space="0" w:color="auto"/>
            </w:tcBorders>
            <w:shd w:val="clear" w:color="auto" w:fill="C6DBEF"/>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18" w:space="0" w:color="auto"/>
              <w:bottom w:val="single" w:sz="4" w:space="0" w:color="auto"/>
              <w:right w:val="single" w:sz="4" w:space="0" w:color="auto"/>
            </w:tcBorders>
            <w:shd w:val="clear" w:color="auto" w:fill="6BAED6"/>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left w:val="single" w:sz="4" w:space="0" w:color="auto"/>
              <w:bottom w:val="single" w:sz="8" w:space="0" w:color="auto"/>
              <w:right w:val="single" w:sz="4" w:space="0" w:color="auto"/>
            </w:tcBorders>
            <w:shd w:val="clear" w:color="auto" w:fill="2171B5"/>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122368" w:rsidRDefault="00122368" w:rsidP="00837D10">
      <w:pPr>
        <w:adjustRightInd w:val="0"/>
        <w:contextualSpacing/>
      </w:pPr>
    </w:p>
    <w:p w:rsidR="00837D10" w:rsidRPr="00356719" w:rsidRDefault="00837D10" w:rsidP="00837D10">
      <w:pPr>
        <w:adjustRightInd w:val="0"/>
        <w:contextualSpacing/>
        <w:rPr>
          <w:rFonts w:ascii="Calibri" w:hAnsi="Calibri"/>
          <w:b/>
          <w:u w:val="single"/>
        </w:rPr>
      </w:pPr>
      <w:r w:rsidRPr="009A1B96">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 xml:space="preserve">that all 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rsidR="00122368" w:rsidRPr="00691F74" w:rsidRDefault="00122368" w:rsidP="00886C52">
      <w:pPr>
        <w:rPr>
          <w:rFonts w:ascii="Calibri" w:hAnsi="Calibri"/>
          <w:color w:val="000000"/>
          <w:sz w:val="16"/>
          <w:szCs w:val="16"/>
        </w:rPr>
      </w:pPr>
    </w:p>
    <w:p w:rsidR="00886C52" w:rsidRPr="00122368" w:rsidRDefault="00B911EA" w:rsidP="00122368">
      <w:pPr>
        <w:rPr>
          <w:rFonts w:ascii="Calibri" w:hAnsi="Calibri"/>
          <w:sz w:val="20"/>
          <w:szCs w:val="20"/>
        </w:rPr>
      </w:pPr>
      <w:r>
        <w:rPr>
          <w:rFonts w:ascii="Calibri" w:hAnsi="Calibri"/>
          <w:noProof/>
          <w:sz w:val="20"/>
          <w:szCs w:val="20"/>
        </w:rPr>
        <w:drawing>
          <wp:inline distT="0" distB="0" distL="0" distR="0">
            <wp:extent cx="6619875" cy="4248150"/>
            <wp:effectExtent l="0" t="0" r="9525" b="0"/>
            <wp:docPr id="4" name="Picture 4" descr="Figure four is a map of Massachusetts showing regional influenza-like illness (ILI) activity reported by sentinel provider sites. Regions are shaded from light to dark blue indicating minimal(1-3), low(4-5), moderate(6-7), or high(8-10) ILI activity. As of November 2, 2019,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four is a map of Massachusetts showing regional influenza-like illness (ILI) activity reported by sentinel provider sites. Regions are shaded from light to dark blue indicating minimal(1-3), low(4-5), moderate(6-7), or high(8-10) ILI activity. As of November 2, 2019, all seven regions are reporting minimal ILI activity."/>
                    <pic:cNvPicPr>
                      <a:picLocks noChangeAspect="1" noChangeArrowheads="1"/>
                    </pic:cNvPicPr>
                  </pic:nvPicPr>
                  <pic:blipFill>
                    <a:blip r:embed="rId17">
                      <a:extLst>
                        <a:ext uri="{28A0092B-C50C-407E-A947-70E740481C1C}">
                          <a14:useLocalDpi xmlns:a14="http://schemas.microsoft.com/office/drawing/2010/main" val="0"/>
                        </a:ext>
                      </a:extLst>
                    </a:blip>
                    <a:srcRect t="3764" b="13058"/>
                    <a:stretch>
                      <a:fillRect/>
                    </a:stretch>
                  </pic:blipFill>
                  <pic:spPr bwMode="auto">
                    <a:xfrm>
                      <a:off x="0" y="0"/>
                      <a:ext cx="6619875" cy="4248150"/>
                    </a:xfrm>
                    <a:prstGeom prst="rect">
                      <a:avLst/>
                    </a:prstGeom>
                    <a:noFill/>
                    <a:ln>
                      <a:noFill/>
                    </a:ln>
                  </pic:spPr>
                </pic:pic>
              </a:graphicData>
            </a:graphic>
          </wp:inline>
        </w:drawing>
      </w:r>
    </w:p>
    <w:p w:rsidR="00B74464" w:rsidRPr="004F3C2D" w:rsidRDefault="00B74464" w:rsidP="00395A85">
      <w:pPr>
        <w:adjustRightInd w:val="0"/>
        <w:contextualSpacing/>
        <w:rPr>
          <w:rFonts w:ascii="Calibri" w:hAnsi="Calibri"/>
          <w:b/>
          <w:bCs/>
          <w:color w:val="000000"/>
          <w:u w:val="single"/>
        </w:rPr>
      </w:pPr>
      <w:r w:rsidRPr="00F05615">
        <w:rPr>
          <w:rFonts w:ascii="Calibri" w:hAnsi="Calibri"/>
          <w:b/>
          <w:bCs/>
          <w:color w:val="000000"/>
          <w:u w:val="single"/>
        </w:rPr>
        <w:lastRenderedPageBreak/>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Pr="00E8562A">
        <w:rPr>
          <w:rFonts w:ascii="Calibri" w:hAnsi="Calibri"/>
          <w:color w:val="000000"/>
          <w:sz w:val="20"/>
          <w:szCs w:val="20"/>
        </w:rPr>
        <w:t>in Massachusetts by week</w:t>
      </w:r>
      <w:r>
        <w:rPr>
          <w:rFonts w:ascii="Calibri" w:hAnsi="Calibri"/>
          <w:color w:val="000000"/>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4F138B" w:rsidRDefault="00B911EA" w:rsidP="004F138B">
      <w:pPr>
        <w:adjustRightInd w:val="0"/>
        <w:rPr>
          <w:rFonts w:ascii="Calibri" w:hAnsi="Calibri"/>
          <w:sz w:val="20"/>
          <w:szCs w:val="20"/>
        </w:rPr>
      </w:pPr>
      <w:r>
        <w:rPr>
          <w:rFonts w:ascii="Calibri" w:hAnsi="Calibri"/>
          <w:noProof/>
          <w:sz w:val="20"/>
          <w:szCs w:val="20"/>
        </w:rPr>
        <w:drawing>
          <wp:inline distT="0" distB="0" distL="0" distR="0">
            <wp:extent cx="6096000" cy="4572000"/>
            <wp:effectExtent l="0" t="0" r="0" b="0"/>
            <wp:docPr id="5" name="Picture 5" descr="Figure five is a bar chart displaying the number of laboratory-confirmed influenza cases reported in Massachusetts by week and influenza type for the 2019-2020 influenza season. As of November 2, 2019,  both influenza A and influenza B have been repo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five is a bar chart displaying the number of laboratory-confirmed influenza cases reported in Massachusetts by week and influenza type for the 2019-2020 influenza season. As of November 2, 2019,  both influenza A and influenza B have been reported.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E400EA" w:rsidRDefault="00E400EA" w:rsidP="00F84722">
      <w:pPr>
        <w:adjustRightInd w:val="0"/>
        <w:rPr>
          <w:rFonts w:ascii="Calibri" w:hAnsi="Calibri"/>
          <w:b/>
          <w:bCs/>
          <w:color w:val="000000"/>
          <w:u w:val="single"/>
        </w:rPr>
      </w:pPr>
    </w:p>
    <w:p w:rsidR="00591456" w:rsidRDefault="00591456"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4F138B">
        <w:rPr>
          <w:sz w:val="20"/>
          <w:szCs w:val="20"/>
        </w:rPr>
        <w:t>For the 2019-2020</w:t>
      </w:r>
      <w:r w:rsidR="007812F4">
        <w:rPr>
          <w:sz w:val="20"/>
          <w:szCs w:val="20"/>
        </w:rPr>
        <w:t xml:space="preserve"> season so far, </w:t>
      </w:r>
      <w:r w:rsidR="00A81030">
        <w:rPr>
          <w:sz w:val="20"/>
          <w:szCs w:val="20"/>
        </w:rPr>
        <w:t>three</w:t>
      </w:r>
      <w:r w:rsidR="00D07234">
        <w:rPr>
          <w:sz w:val="20"/>
          <w:szCs w:val="20"/>
        </w:rPr>
        <w:t xml:space="preserve"> case</w:t>
      </w:r>
      <w:r w:rsidR="00036E28">
        <w:rPr>
          <w:sz w:val="20"/>
          <w:szCs w:val="20"/>
        </w:rPr>
        <w:t>s</w:t>
      </w:r>
      <w:r w:rsidR="00D07234">
        <w:rPr>
          <w:sz w:val="20"/>
          <w:szCs w:val="20"/>
        </w:rPr>
        <w:t xml:space="preserve"> of A/H3N2 influenza, </w:t>
      </w:r>
      <w:r w:rsidR="00646DA7">
        <w:rPr>
          <w:sz w:val="20"/>
          <w:szCs w:val="20"/>
        </w:rPr>
        <w:t xml:space="preserve">one case of B/Yamagata </w:t>
      </w:r>
      <w:r w:rsidR="00BA4454">
        <w:rPr>
          <w:sz w:val="20"/>
          <w:szCs w:val="20"/>
        </w:rPr>
        <w:t>influenza</w:t>
      </w:r>
      <w:r w:rsidR="00D07234">
        <w:rPr>
          <w:sz w:val="20"/>
          <w:szCs w:val="20"/>
        </w:rPr>
        <w:t>,</w:t>
      </w:r>
      <w:r w:rsidR="00BA4454">
        <w:rPr>
          <w:sz w:val="20"/>
          <w:szCs w:val="20"/>
        </w:rPr>
        <w:t xml:space="preserve"> </w:t>
      </w:r>
      <w:r w:rsidR="00036E28">
        <w:rPr>
          <w:sz w:val="20"/>
          <w:szCs w:val="20"/>
        </w:rPr>
        <w:t xml:space="preserve">and </w:t>
      </w:r>
      <w:r w:rsidR="00A81030">
        <w:rPr>
          <w:sz w:val="20"/>
          <w:szCs w:val="20"/>
        </w:rPr>
        <w:t>three</w:t>
      </w:r>
      <w:r w:rsidR="00646DA7">
        <w:rPr>
          <w:sz w:val="20"/>
          <w:szCs w:val="20"/>
        </w:rPr>
        <w:t xml:space="preserve"> case</w:t>
      </w:r>
      <w:r w:rsidR="00036E28">
        <w:rPr>
          <w:sz w:val="20"/>
          <w:szCs w:val="20"/>
        </w:rPr>
        <w:t>s</w:t>
      </w:r>
      <w:r w:rsidR="00646DA7">
        <w:rPr>
          <w:sz w:val="20"/>
          <w:szCs w:val="20"/>
        </w:rPr>
        <w:t xml:space="preserve"> of B/Victoria have been confirmed in </w:t>
      </w:r>
      <w:r w:rsidR="00A81030">
        <w:rPr>
          <w:sz w:val="20"/>
          <w:szCs w:val="20"/>
        </w:rPr>
        <w:t>27</w:t>
      </w:r>
      <w:r w:rsidR="00C91D20">
        <w:rPr>
          <w:sz w:val="20"/>
          <w:szCs w:val="20"/>
        </w:rPr>
        <w:t xml:space="preserve"> </w:t>
      </w:r>
      <w:r w:rsidR="00D07234">
        <w:rPr>
          <w:sz w:val="20"/>
          <w:szCs w:val="20"/>
        </w:rPr>
        <w:t>samples</w:t>
      </w:r>
      <w:r w:rsidR="007660EB">
        <w:rPr>
          <w:sz w:val="20"/>
          <w:szCs w:val="20"/>
        </w:rPr>
        <w:t xml:space="preserve"> tested</w:t>
      </w:r>
      <w:r w:rsidR="00D07234">
        <w:rPr>
          <w:sz w:val="20"/>
          <w:szCs w:val="20"/>
        </w:rPr>
        <w:t>.</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720"/>
        <w:gridCol w:w="990"/>
        <w:gridCol w:w="810"/>
        <w:gridCol w:w="810"/>
        <w:gridCol w:w="630"/>
        <w:gridCol w:w="1170"/>
        <w:gridCol w:w="720"/>
        <w:gridCol w:w="810"/>
        <w:gridCol w:w="698"/>
      </w:tblGrid>
      <w:tr w:rsidR="00B74464" w:rsidRPr="009C5E07" w:rsidTr="00E27BEC">
        <w:trPr>
          <w:trHeight w:val="359"/>
          <w:jc w:val="center"/>
        </w:trPr>
        <w:tc>
          <w:tcPr>
            <w:tcW w:w="9460"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52A42">
        <w:trPr>
          <w:trHeight w:val="476"/>
          <w:jc w:val="center"/>
        </w:trPr>
        <w:tc>
          <w:tcPr>
            <w:tcW w:w="2102"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Unsat</w:t>
            </w:r>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698"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A81030" w:rsidRPr="009C5E07" w:rsidTr="00852A42">
        <w:trPr>
          <w:jc w:val="center"/>
        </w:trPr>
        <w:tc>
          <w:tcPr>
            <w:tcW w:w="2102" w:type="dxa"/>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41 (10/06 – 10/12/19)</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99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117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2(29%)</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7</w:t>
            </w:r>
          </w:p>
        </w:tc>
        <w:tc>
          <w:tcPr>
            <w:tcW w:w="698"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7</w:t>
            </w:r>
          </w:p>
        </w:tc>
      </w:tr>
      <w:tr w:rsidR="00A81030" w:rsidRPr="009C5E07" w:rsidTr="00852A42">
        <w:trPr>
          <w:jc w:val="center"/>
        </w:trPr>
        <w:tc>
          <w:tcPr>
            <w:tcW w:w="2102" w:type="dxa"/>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42 (10/13 – 10/19/19)</w:t>
            </w:r>
          </w:p>
        </w:tc>
        <w:tc>
          <w:tcPr>
            <w:tcW w:w="72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99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81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1170" w:type="dxa"/>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1(20%)</w:t>
            </w:r>
          </w:p>
        </w:tc>
        <w:tc>
          <w:tcPr>
            <w:tcW w:w="72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5</w:t>
            </w:r>
          </w:p>
        </w:tc>
        <w:tc>
          <w:tcPr>
            <w:tcW w:w="698" w:type="dxa"/>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5</w:t>
            </w:r>
          </w:p>
        </w:tc>
      </w:tr>
      <w:tr w:rsidR="00A81030" w:rsidRPr="009C5E07" w:rsidTr="00852A42">
        <w:trPr>
          <w:jc w:val="center"/>
        </w:trPr>
        <w:tc>
          <w:tcPr>
            <w:tcW w:w="2102" w:type="dxa"/>
            <w:tcBorders>
              <w:bottom w:val="single" w:sz="4" w:space="0" w:color="000000"/>
            </w:tcBorders>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43 (10/20 – 10/26/19)</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99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117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2(33%)</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6</w:t>
            </w:r>
          </w:p>
        </w:tc>
        <w:tc>
          <w:tcPr>
            <w:tcW w:w="698"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6</w:t>
            </w:r>
          </w:p>
        </w:tc>
      </w:tr>
      <w:tr w:rsidR="00A81030" w:rsidRPr="009C5E07" w:rsidTr="00852A42">
        <w:trPr>
          <w:jc w:val="center"/>
        </w:trPr>
        <w:tc>
          <w:tcPr>
            <w:tcW w:w="2102" w:type="dxa"/>
            <w:tcBorders>
              <w:bottom w:val="single" w:sz="4" w:space="0" w:color="000000"/>
            </w:tcBorders>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44 (10/27 – 11/02/19)</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99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117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2(33%)</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6</w:t>
            </w:r>
          </w:p>
        </w:tc>
        <w:tc>
          <w:tcPr>
            <w:tcW w:w="698"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6</w:t>
            </w:r>
          </w:p>
        </w:tc>
      </w:tr>
      <w:tr w:rsidR="00A81030" w:rsidRPr="009C5E07" w:rsidTr="00852A42">
        <w:trPr>
          <w:trHeight w:val="70"/>
          <w:jc w:val="center"/>
        </w:trPr>
        <w:tc>
          <w:tcPr>
            <w:tcW w:w="2102" w:type="dxa"/>
            <w:tcBorders>
              <w:bottom w:val="single" w:sz="4" w:space="0" w:color="000000"/>
            </w:tcBorders>
            <w:shd w:val="clear" w:color="auto" w:fill="D9D9D9"/>
            <w:vAlign w:val="bottom"/>
          </w:tcPr>
          <w:p w:rsidR="00A81030" w:rsidRPr="00A81030" w:rsidRDefault="00A81030">
            <w:pPr>
              <w:jc w:val="right"/>
              <w:rPr>
                <w:rFonts w:ascii="Calibri" w:hAnsi="Calibri" w:cs="Arial"/>
                <w:b/>
                <w:bCs/>
                <w:sz w:val="18"/>
                <w:szCs w:val="18"/>
              </w:rPr>
            </w:pPr>
            <w:r w:rsidRPr="00A81030">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99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w:t>
            </w:r>
          </w:p>
        </w:tc>
        <w:tc>
          <w:tcPr>
            <w:tcW w:w="81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1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w:t>
            </w:r>
          </w:p>
        </w:tc>
        <w:tc>
          <w:tcPr>
            <w:tcW w:w="63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w:t>
            </w:r>
          </w:p>
        </w:tc>
        <w:tc>
          <w:tcPr>
            <w:tcW w:w="117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7(29%)</w:t>
            </w:r>
          </w:p>
        </w:tc>
        <w:tc>
          <w:tcPr>
            <w:tcW w:w="72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10"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24</w:t>
            </w:r>
          </w:p>
        </w:tc>
        <w:tc>
          <w:tcPr>
            <w:tcW w:w="698" w:type="dxa"/>
            <w:tcBorders>
              <w:bottom w:val="single" w:sz="4" w:space="0" w:color="000000"/>
            </w:tcBorders>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24</w:t>
            </w:r>
          </w:p>
        </w:tc>
      </w:tr>
      <w:tr w:rsidR="00A81030" w:rsidTr="00852A42">
        <w:trPr>
          <w:jc w:val="center"/>
        </w:trPr>
        <w:tc>
          <w:tcPr>
            <w:tcW w:w="2102" w:type="dxa"/>
            <w:shd w:val="clear" w:color="auto" w:fill="D9D9D9"/>
            <w:vAlign w:val="bottom"/>
          </w:tcPr>
          <w:p w:rsidR="00A81030" w:rsidRPr="00A81030" w:rsidRDefault="00A81030">
            <w:pPr>
              <w:jc w:val="right"/>
              <w:rPr>
                <w:rFonts w:ascii="Calibri" w:hAnsi="Calibri" w:cs="Arial"/>
                <w:b/>
                <w:bCs/>
                <w:sz w:val="18"/>
                <w:szCs w:val="18"/>
              </w:rPr>
            </w:pPr>
            <w:r w:rsidRPr="00A81030">
              <w:rPr>
                <w:rFonts w:ascii="Calibri" w:hAnsi="Calibri" w:cs="Arial"/>
                <w:b/>
                <w:bCs/>
                <w:sz w:val="18"/>
                <w:szCs w:val="18"/>
              </w:rPr>
              <w:t>Cumulative Season total</w:t>
            </w:r>
          </w:p>
        </w:tc>
        <w:tc>
          <w:tcPr>
            <w:tcW w:w="72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99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w:t>
            </w:r>
          </w:p>
        </w:tc>
        <w:tc>
          <w:tcPr>
            <w:tcW w:w="81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1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w:t>
            </w:r>
          </w:p>
        </w:tc>
        <w:tc>
          <w:tcPr>
            <w:tcW w:w="63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w:t>
            </w:r>
          </w:p>
        </w:tc>
        <w:tc>
          <w:tcPr>
            <w:tcW w:w="117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7(29%)</w:t>
            </w:r>
          </w:p>
        </w:tc>
        <w:tc>
          <w:tcPr>
            <w:tcW w:w="72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10"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27</w:t>
            </w:r>
          </w:p>
        </w:tc>
        <w:tc>
          <w:tcPr>
            <w:tcW w:w="698" w:type="dxa"/>
            <w:shd w:val="clear" w:color="auto" w:fill="D9D9D9"/>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27</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646DA7">
        <w:rPr>
          <w:rFonts w:ascii="Calibri" w:hAnsi="Calibri" w:cs="Arial"/>
          <w:sz w:val="20"/>
          <w:szCs w:val="20"/>
        </w:rPr>
        <w:t xml:space="preserve">Table 2 shows that </w:t>
      </w:r>
      <w:r w:rsidR="00A81030">
        <w:rPr>
          <w:rFonts w:ascii="Calibri" w:hAnsi="Calibri" w:cs="Arial"/>
          <w:sz w:val="20"/>
          <w:szCs w:val="20"/>
        </w:rPr>
        <w:t xml:space="preserve">two respiratory syncytial virus (RSV) cases, </w:t>
      </w:r>
      <w:r w:rsidR="00847B1F">
        <w:rPr>
          <w:rFonts w:ascii="Calibri" w:hAnsi="Calibri" w:cs="Arial"/>
          <w:sz w:val="20"/>
          <w:szCs w:val="20"/>
        </w:rPr>
        <w:t>seven</w:t>
      </w:r>
      <w:r w:rsidR="00BA4454">
        <w:rPr>
          <w:rFonts w:ascii="Calibri" w:hAnsi="Calibri" w:cs="Arial"/>
          <w:sz w:val="20"/>
          <w:szCs w:val="20"/>
        </w:rPr>
        <w:t xml:space="preserve"> </w:t>
      </w:r>
      <w:r w:rsidR="00646DA7">
        <w:rPr>
          <w:rFonts w:ascii="Calibri" w:hAnsi="Calibri" w:cs="Arial"/>
          <w:sz w:val="20"/>
          <w:szCs w:val="20"/>
        </w:rPr>
        <w:t xml:space="preserve">rhinovirus (RHV)/enterovirus (ENT) </w:t>
      </w:r>
      <w:r w:rsidR="00BA4454">
        <w:rPr>
          <w:rFonts w:ascii="Calibri" w:hAnsi="Calibri" w:cs="Arial"/>
          <w:sz w:val="20"/>
          <w:szCs w:val="20"/>
        </w:rPr>
        <w:t>case</w:t>
      </w:r>
      <w:r w:rsidR="00D07234">
        <w:rPr>
          <w:rFonts w:ascii="Calibri" w:hAnsi="Calibri" w:cs="Arial"/>
          <w:sz w:val="20"/>
          <w:szCs w:val="20"/>
        </w:rPr>
        <w:t>s</w:t>
      </w:r>
      <w:r w:rsidR="00A81030">
        <w:rPr>
          <w:rFonts w:ascii="Calibri" w:hAnsi="Calibri" w:cs="Arial"/>
          <w:sz w:val="20"/>
          <w:szCs w:val="20"/>
        </w:rPr>
        <w:t>, and one adenovirus</w:t>
      </w:r>
      <w:r w:rsidR="00BA4454">
        <w:rPr>
          <w:rFonts w:ascii="Calibri" w:hAnsi="Calibri" w:cs="Arial"/>
          <w:sz w:val="20"/>
          <w:szCs w:val="20"/>
        </w:rPr>
        <w:t xml:space="preserve"> </w:t>
      </w:r>
      <w:r w:rsidR="00A81030">
        <w:rPr>
          <w:rFonts w:ascii="Calibri" w:hAnsi="Calibri" w:cs="Arial"/>
          <w:sz w:val="20"/>
          <w:szCs w:val="20"/>
        </w:rPr>
        <w:t xml:space="preserve">case </w:t>
      </w:r>
      <w:r w:rsidR="00697414">
        <w:rPr>
          <w:rFonts w:ascii="Calibri" w:hAnsi="Calibri" w:cs="Arial"/>
          <w:sz w:val="20"/>
          <w:szCs w:val="20"/>
        </w:rPr>
        <w:t>have</w:t>
      </w:r>
      <w:r w:rsidR="00646DA7">
        <w:rPr>
          <w:rFonts w:ascii="Calibri" w:hAnsi="Calibri" w:cs="Arial"/>
          <w:sz w:val="20"/>
          <w:szCs w:val="20"/>
        </w:rPr>
        <w:t xml:space="preserve"> </w:t>
      </w:r>
      <w:r w:rsidR="00BA4454">
        <w:rPr>
          <w:rFonts w:ascii="Calibri" w:hAnsi="Calibri" w:cs="Arial"/>
          <w:sz w:val="20"/>
          <w:szCs w:val="20"/>
        </w:rPr>
        <w:t xml:space="preserve">been confirmed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9843"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630"/>
        <w:gridCol w:w="630"/>
        <w:gridCol w:w="540"/>
        <w:gridCol w:w="720"/>
        <w:gridCol w:w="630"/>
        <w:gridCol w:w="546"/>
        <w:gridCol w:w="900"/>
        <w:gridCol w:w="894"/>
        <w:gridCol w:w="720"/>
        <w:gridCol w:w="810"/>
        <w:gridCol w:w="70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C91D20" w:rsidRPr="009C5E07" w:rsidTr="00852A42">
        <w:trPr>
          <w:trHeight w:val="476"/>
          <w:jc w:val="center"/>
        </w:trPr>
        <w:tc>
          <w:tcPr>
            <w:tcW w:w="2114"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RSV</w:t>
            </w:r>
          </w:p>
        </w:tc>
        <w:tc>
          <w:tcPr>
            <w:tcW w:w="63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RHV/ENT</w:t>
            </w:r>
          </w:p>
        </w:tc>
        <w:tc>
          <w:tcPr>
            <w:tcW w:w="54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lang w:val="pt-BR"/>
              </w:rPr>
              <w:t>PIV</w:t>
            </w:r>
          </w:p>
        </w:tc>
        <w:tc>
          <w:tcPr>
            <w:tcW w:w="72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HMPV</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HCV</w:t>
            </w:r>
          </w:p>
        </w:tc>
        <w:tc>
          <w:tcPr>
            <w:tcW w:w="546"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ADENO</w:t>
            </w:r>
          </w:p>
        </w:tc>
        <w:tc>
          <w:tcPr>
            <w:tcW w:w="90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Co-Infection</w:t>
            </w:r>
          </w:p>
        </w:tc>
        <w:tc>
          <w:tcPr>
            <w:tcW w:w="894"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No. Pos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Unsat</w:t>
            </w:r>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09"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A81030" w:rsidRPr="009C5E07" w:rsidTr="00852A42">
        <w:trPr>
          <w:trHeight w:val="242"/>
          <w:jc w:val="center"/>
        </w:trPr>
        <w:tc>
          <w:tcPr>
            <w:tcW w:w="2114" w:type="dxa"/>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41 (10/06 – 10/12/19)</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2</w:t>
            </w:r>
          </w:p>
        </w:tc>
        <w:tc>
          <w:tcPr>
            <w:tcW w:w="54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546" w:type="dxa"/>
            <w:tcBorders>
              <w:bottom w:val="single" w:sz="4" w:space="0" w:color="000000"/>
            </w:tcBorders>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900" w:type="dxa"/>
            <w:tcBorders>
              <w:bottom w:val="single" w:sz="4" w:space="0" w:color="000000"/>
            </w:tcBorders>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894"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2(67%)</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w:t>
            </w:r>
          </w:p>
        </w:tc>
        <w:tc>
          <w:tcPr>
            <w:tcW w:w="709"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w:t>
            </w:r>
          </w:p>
        </w:tc>
      </w:tr>
      <w:tr w:rsidR="00A81030" w:rsidRPr="00A85DF3" w:rsidTr="00852A42">
        <w:trPr>
          <w:jc w:val="center"/>
        </w:trPr>
        <w:tc>
          <w:tcPr>
            <w:tcW w:w="2114" w:type="dxa"/>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42 (10/13 – 10/19/19)</w:t>
            </w:r>
          </w:p>
        </w:tc>
        <w:tc>
          <w:tcPr>
            <w:tcW w:w="63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3</w:t>
            </w:r>
          </w:p>
        </w:tc>
        <w:tc>
          <w:tcPr>
            <w:tcW w:w="54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72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546" w:type="dxa"/>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900" w:type="dxa"/>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894" w:type="dxa"/>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3(38%)</w:t>
            </w:r>
          </w:p>
        </w:tc>
        <w:tc>
          <w:tcPr>
            <w:tcW w:w="720" w:type="dxa"/>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8</w:t>
            </w:r>
          </w:p>
        </w:tc>
        <w:tc>
          <w:tcPr>
            <w:tcW w:w="709" w:type="dxa"/>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8</w:t>
            </w:r>
          </w:p>
        </w:tc>
      </w:tr>
      <w:tr w:rsidR="00A81030" w:rsidRPr="009C5E07" w:rsidTr="00852A42">
        <w:trPr>
          <w:jc w:val="center"/>
        </w:trPr>
        <w:tc>
          <w:tcPr>
            <w:tcW w:w="2114" w:type="dxa"/>
            <w:tcBorders>
              <w:bottom w:val="single" w:sz="4" w:space="0" w:color="000000"/>
            </w:tcBorders>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43 (10/20 – 10/26/19)</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2</w:t>
            </w:r>
          </w:p>
        </w:tc>
        <w:tc>
          <w:tcPr>
            <w:tcW w:w="54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546" w:type="dxa"/>
            <w:tcBorders>
              <w:bottom w:val="single" w:sz="4" w:space="0" w:color="000000"/>
            </w:tcBorders>
          </w:tcPr>
          <w:p w:rsidR="00A81030" w:rsidRPr="00A81030" w:rsidRDefault="00A81030">
            <w:pPr>
              <w:jc w:val="center"/>
              <w:rPr>
                <w:rFonts w:ascii="Calibri" w:hAnsi="Calibri" w:cs="Arial"/>
                <w:bCs/>
                <w:sz w:val="18"/>
                <w:szCs w:val="18"/>
              </w:rPr>
            </w:pPr>
            <w:r w:rsidRPr="00A81030">
              <w:rPr>
                <w:rFonts w:ascii="Calibri" w:hAnsi="Calibri" w:cs="Arial"/>
                <w:bCs/>
                <w:sz w:val="18"/>
                <w:szCs w:val="18"/>
              </w:rPr>
              <w:t>1</w:t>
            </w:r>
          </w:p>
        </w:tc>
        <w:tc>
          <w:tcPr>
            <w:tcW w:w="900" w:type="dxa"/>
            <w:tcBorders>
              <w:bottom w:val="single" w:sz="4" w:space="0" w:color="000000"/>
            </w:tcBorders>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894"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4(80%)</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5</w:t>
            </w:r>
          </w:p>
        </w:tc>
        <w:tc>
          <w:tcPr>
            <w:tcW w:w="709"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5</w:t>
            </w:r>
          </w:p>
        </w:tc>
      </w:tr>
      <w:tr w:rsidR="00A81030" w:rsidRPr="009C5E07" w:rsidTr="00852A42">
        <w:trPr>
          <w:jc w:val="center"/>
        </w:trPr>
        <w:tc>
          <w:tcPr>
            <w:tcW w:w="2114" w:type="dxa"/>
            <w:tcBorders>
              <w:bottom w:val="single" w:sz="4" w:space="0" w:color="000000"/>
            </w:tcBorders>
            <w:shd w:val="clear" w:color="auto" w:fill="auto"/>
            <w:vAlign w:val="bottom"/>
          </w:tcPr>
          <w:p w:rsidR="00A81030" w:rsidRPr="00A81030" w:rsidRDefault="00A81030">
            <w:pPr>
              <w:rPr>
                <w:rFonts w:ascii="Calibri" w:hAnsi="Calibri" w:cs="Arial"/>
                <w:sz w:val="18"/>
                <w:szCs w:val="18"/>
              </w:rPr>
            </w:pPr>
            <w:r w:rsidRPr="00A81030">
              <w:rPr>
                <w:rFonts w:ascii="Calibri" w:hAnsi="Calibri" w:cs="Arial"/>
                <w:sz w:val="18"/>
                <w:szCs w:val="18"/>
              </w:rPr>
              <w:t>44 (10/27 – 11/02/19)</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1</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54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63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546" w:type="dxa"/>
            <w:tcBorders>
              <w:bottom w:val="single" w:sz="4" w:space="0" w:color="000000"/>
            </w:tcBorders>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900" w:type="dxa"/>
            <w:tcBorders>
              <w:bottom w:val="single" w:sz="4" w:space="0" w:color="000000"/>
            </w:tcBorders>
          </w:tcPr>
          <w:p w:rsidR="00A81030" w:rsidRPr="00A81030" w:rsidRDefault="00A81030">
            <w:pPr>
              <w:jc w:val="center"/>
              <w:rPr>
                <w:rFonts w:ascii="Calibri" w:hAnsi="Calibri" w:cs="Arial"/>
                <w:bCs/>
                <w:sz w:val="18"/>
                <w:szCs w:val="18"/>
              </w:rPr>
            </w:pPr>
            <w:r w:rsidRPr="00A81030">
              <w:rPr>
                <w:rFonts w:ascii="Calibri" w:hAnsi="Calibri" w:cs="Arial"/>
                <w:bCs/>
                <w:sz w:val="18"/>
                <w:szCs w:val="18"/>
              </w:rPr>
              <w:t>0</w:t>
            </w:r>
          </w:p>
        </w:tc>
        <w:tc>
          <w:tcPr>
            <w:tcW w:w="894"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1(25%)</w:t>
            </w:r>
          </w:p>
        </w:tc>
        <w:tc>
          <w:tcPr>
            <w:tcW w:w="720" w:type="dxa"/>
            <w:tcBorders>
              <w:bottom w:val="single" w:sz="4" w:space="0" w:color="000000"/>
            </w:tcBorders>
            <w:shd w:val="clear" w:color="auto" w:fill="auto"/>
            <w:vAlign w:val="bottom"/>
          </w:tcPr>
          <w:p w:rsidR="00A81030" w:rsidRPr="00A81030" w:rsidRDefault="00A81030">
            <w:pPr>
              <w:jc w:val="center"/>
              <w:rPr>
                <w:rFonts w:ascii="Calibri" w:hAnsi="Calibri" w:cs="Arial"/>
                <w:sz w:val="18"/>
                <w:szCs w:val="18"/>
              </w:rPr>
            </w:pPr>
            <w:r w:rsidRPr="00A81030">
              <w:rPr>
                <w:rFonts w:ascii="Calibri" w:hAnsi="Calibri" w:cs="Arial"/>
                <w:sz w:val="18"/>
                <w:szCs w:val="18"/>
              </w:rPr>
              <w:t>0</w:t>
            </w:r>
          </w:p>
        </w:tc>
        <w:tc>
          <w:tcPr>
            <w:tcW w:w="810"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4</w:t>
            </w:r>
          </w:p>
        </w:tc>
        <w:tc>
          <w:tcPr>
            <w:tcW w:w="709" w:type="dxa"/>
            <w:tcBorders>
              <w:bottom w:val="single" w:sz="4" w:space="0" w:color="000000"/>
            </w:tcBorders>
            <w:shd w:val="clear" w:color="auto" w:fill="auto"/>
            <w:vAlign w:val="bottom"/>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4</w:t>
            </w:r>
          </w:p>
        </w:tc>
      </w:tr>
      <w:tr w:rsidR="00A81030" w:rsidRPr="009C5E07" w:rsidTr="00852A42">
        <w:trPr>
          <w:trHeight w:val="242"/>
          <w:jc w:val="center"/>
        </w:trPr>
        <w:tc>
          <w:tcPr>
            <w:tcW w:w="2114" w:type="dxa"/>
            <w:tcBorders>
              <w:bottom w:val="single" w:sz="4" w:space="0" w:color="000000"/>
            </w:tcBorders>
            <w:shd w:val="clear" w:color="auto" w:fill="D9D9D9"/>
            <w:vAlign w:val="bottom"/>
          </w:tcPr>
          <w:p w:rsidR="00A81030" w:rsidRPr="00A81030" w:rsidRDefault="00A81030">
            <w:pPr>
              <w:jc w:val="right"/>
              <w:rPr>
                <w:rFonts w:ascii="Calibri" w:hAnsi="Calibri" w:cs="Arial"/>
                <w:b/>
                <w:bCs/>
                <w:sz w:val="18"/>
                <w:szCs w:val="18"/>
              </w:rPr>
            </w:pPr>
            <w:r w:rsidRPr="00A81030">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w:t>
            </w:r>
          </w:p>
        </w:tc>
        <w:tc>
          <w:tcPr>
            <w:tcW w:w="63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7</w:t>
            </w:r>
          </w:p>
        </w:tc>
        <w:tc>
          <w:tcPr>
            <w:tcW w:w="54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72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63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546"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w:t>
            </w:r>
          </w:p>
        </w:tc>
        <w:tc>
          <w:tcPr>
            <w:tcW w:w="90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94"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10(50%)</w:t>
            </w:r>
          </w:p>
        </w:tc>
        <w:tc>
          <w:tcPr>
            <w:tcW w:w="72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10"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20</w:t>
            </w:r>
          </w:p>
        </w:tc>
        <w:tc>
          <w:tcPr>
            <w:tcW w:w="709" w:type="dxa"/>
            <w:tcBorders>
              <w:bottom w:val="single" w:sz="4" w:space="0" w:color="000000"/>
            </w:tcBorders>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20</w:t>
            </w:r>
          </w:p>
        </w:tc>
      </w:tr>
      <w:tr w:rsidR="00A81030" w:rsidTr="00852A42">
        <w:trPr>
          <w:trHeight w:val="70"/>
          <w:jc w:val="center"/>
        </w:trPr>
        <w:tc>
          <w:tcPr>
            <w:tcW w:w="2114" w:type="dxa"/>
            <w:shd w:val="clear" w:color="auto" w:fill="D9D9D9"/>
            <w:vAlign w:val="bottom"/>
          </w:tcPr>
          <w:p w:rsidR="00A81030" w:rsidRPr="00A81030" w:rsidRDefault="00A81030">
            <w:pPr>
              <w:jc w:val="right"/>
              <w:rPr>
                <w:rFonts w:ascii="Calibri" w:hAnsi="Calibri" w:cs="Arial"/>
                <w:b/>
                <w:bCs/>
                <w:sz w:val="18"/>
                <w:szCs w:val="18"/>
              </w:rPr>
            </w:pPr>
            <w:r w:rsidRPr="00A81030">
              <w:rPr>
                <w:rFonts w:ascii="Calibri" w:hAnsi="Calibri" w:cs="Arial"/>
                <w:b/>
                <w:bCs/>
                <w:sz w:val="18"/>
                <w:szCs w:val="18"/>
              </w:rPr>
              <w:t>Cumulative Season total</w:t>
            </w:r>
          </w:p>
        </w:tc>
        <w:tc>
          <w:tcPr>
            <w:tcW w:w="63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w:t>
            </w:r>
          </w:p>
        </w:tc>
        <w:tc>
          <w:tcPr>
            <w:tcW w:w="63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7</w:t>
            </w:r>
          </w:p>
        </w:tc>
        <w:tc>
          <w:tcPr>
            <w:tcW w:w="54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72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63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546"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w:t>
            </w:r>
          </w:p>
        </w:tc>
        <w:tc>
          <w:tcPr>
            <w:tcW w:w="90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94"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10(45%)</w:t>
            </w:r>
          </w:p>
        </w:tc>
        <w:tc>
          <w:tcPr>
            <w:tcW w:w="72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0</w:t>
            </w:r>
          </w:p>
        </w:tc>
        <w:tc>
          <w:tcPr>
            <w:tcW w:w="810"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22</w:t>
            </w:r>
          </w:p>
        </w:tc>
        <w:tc>
          <w:tcPr>
            <w:tcW w:w="709" w:type="dxa"/>
            <w:shd w:val="clear" w:color="auto" w:fill="D9D9D9"/>
            <w:vAlign w:val="center"/>
          </w:tcPr>
          <w:p w:rsidR="00A81030" w:rsidRPr="00A81030" w:rsidRDefault="00A81030">
            <w:pPr>
              <w:jc w:val="center"/>
              <w:rPr>
                <w:rFonts w:ascii="Calibri" w:hAnsi="Calibri" w:cs="Arial"/>
                <w:b/>
                <w:bCs/>
                <w:sz w:val="18"/>
                <w:szCs w:val="18"/>
              </w:rPr>
            </w:pPr>
            <w:r w:rsidRPr="00A81030">
              <w:rPr>
                <w:rFonts w:ascii="Calibri" w:hAnsi="Calibri" w:cs="Arial"/>
                <w:b/>
                <w:bCs/>
                <w:sz w:val="18"/>
                <w:szCs w:val="18"/>
              </w:rPr>
              <w:t>22</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xml:space="preserve">  </w:t>
      </w:r>
      <w:r w:rsidR="00735FAA">
        <w:rPr>
          <w:rFonts w:ascii="Calibri" w:hAnsi="Calibri"/>
          <w:color w:val="000000"/>
          <w:sz w:val="20"/>
          <w:szCs w:val="20"/>
        </w:rPr>
        <w:t xml:space="preserve">No </w:t>
      </w:r>
      <w:r w:rsidR="00BA4454">
        <w:rPr>
          <w:rFonts w:ascii="Calibri" w:hAnsi="Calibri"/>
          <w:color w:val="000000"/>
          <w:sz w:val="20"/>
          <w:szCs w:val="20"/>
        </w:rPr>
        <w:t xml:space="preserve">influenza strains from Massachusetts </w:t>
      </w:r>
      <w:r w:rsidR="00ED5030">
        <w:rPr>
          <w:rFonts w:ascii="Calibri" w:hAnsi="Calibri"/>
          <w:color w:val="000000"/>
          <w:sz w:val="20"/>
          <w:szCs w:val="20"/>
        </w:rPr>
        <w:t xml:space="preserve">have been analyzed </w:t>
      </w:r>
      <w:r w:rsidR="00BA4454">
        <w:rPr>
          <w:rFonts w:ascii="Calibri" w:hAnsi="Calibri"/>
          <w:color w:val="000000"/>
          <w:sz w:val="20"/>
          <w:szCs w:val="20"/>
        </w:rPr>
        <w:t>as of yet this season.</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9"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headerReference w:type="even" r:id="rId20"/>
      <w:headerReference w:type="default" r:id="rId21"/>
      <w:footerReference w:type="even" r:id="rId22"/>
      <w:footerReference w:type="default" r:id="rId23"/>
      <w:headerReference w:type="first" r:id="rId24"/>
      <w:foot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EB" w:rsidRDefault="00DB3CEB">
      <w:r>
        <w:separator/>
      </w:r>
    </w:p>
  </w:endnote>
  <w:endnote w:type="continuationSeparator" w:id="0">
    <w:p w:rsidR="00DB3CEB" w:rsidRDefault="00DB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B911EA">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89" w:rsidRDefault="005D7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EB" w:rsidRDefault="00DB3CEB">
      <w:r>
        <w:separator/>
      </w:r>
    </w:p>
  </w:footnote>
  <w:footnote w:type="continuationSeparator" w:id="0">
    <w:p w:rsidR="00DB3CEB" w:rsidRDefault="00DB3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89" w:rsidRDefault="005D7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89" w:rsidRDefault="005D7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7E3EC9" w:rsidRDefault="00B911EA" w:rsidP="00F367A9">
    <w:pPr>
      <w:adjustRightInd w:val="0"/>
      <w:spacing w:before="10" w:after="10"/>
      <w:rPr>
        <w:rFonts w:ascii="Calibri" w:hAnsi="Calibri"/>
        <w:b/>
        <w:bCs/>
        <w:i/>
        <w:iCs/>
        <w:color w:val="000000"/>
        <w:sz w:val="26"/>
        <w:szCs w:val="26"/>
      </w:rPr>
    </w:pPr>
    <w:r>
      <w:rPr>
        <w:rFonts w:ascii="Calibri" w:hAnsi="Calibri"/>
        <w:b/>
        <w:bCs/>
        <w:i/>
        <w:iCs/>
        <w:noProof/>
        <w:color w:val="000000"/>
        <w:sz w:val="26"/>
        <w:szCs w:val="26"/>
      </w:rPr>
      <w:drawing>
        <wp:inline distT="0" distB="0" distL="0" distR="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922D57" w:rsidP="006B7BE3">
    <w:pPr>
      <w:pStyle w:val="Header"/>
      <w:jc w:val="center"/>
      <w:rPr>
        <w:rFonts w:ascii="Calibri" w:hAnsi="Calibri"/>
        <w:b/>
        <w:bCs/>
        <w:i/>
        <w:iCs/>
        <w:sz w:val="26"/>
        <w:szCs w:val="26"/>
      </w:rPr>
    </w:pPr>
    <w:r>
      <w:rPr>
        <w:rFonts w:ascii="Calibri" w:hAnsi="Calibri"/>
        <w:b/>
        <w:bCs/>
        <w:i/>
        <w:iCs/>
        <w:sz w:val="26"/>
        <w:szCs w:val="26"/>
      </w:rPr>
      <w:t>Novem</w:t>
    </w:r>
    <w:r w:rsidR="00751C07">
      <w:rPr>
        <w:rFonts w:ascii="Calibri" w:hAnsi="Calibri"/>
        <w:b/>
        <w:bCs/>
        <w:i/>
        <w:iCs/>
        <w:sz w:val="26"/>
        <w:szCs w:val="26"/>
      </w:rPr>
      <w:t>ber 8</w:t>
    </w:r>
    <w:r w:rsidR="002D0507" w:rsidRPr="002D0507">
      <w:rPr>
        <w:rFonts w:ascii="Calibri" w:hAnsi="Calibri"/>
        <w:b/>
        <w:bCs/>
        <w:i/>
        <w:iCs/>
        <w:sz w:val="26"/>
        <w:szCs w:val="26"/>
      </w:rPr>
      <w:t>, 2019</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5D7589">
      <w:rPr>
        <w:rFonts w:ascii="Calibri" w:hAnsi="Calibri"/>
        <w:b/>
        <w:bCs/>
        <w:i/>
        <w:iCs/>
        <w:sz w:val="20"/>
        <w:szCs w:val="20"/>
      </w:rPr>
      <w:t>10/27</w:t>
    </w:r>
    <w:r w:rsidR="002D0507" w:rsidRPr="002D0507">
      <w:rPr>
        <w:rFonts w:ascii="Calibri" w:hAnsi="Calibri"/>
        <w:b/>
        <w:bCs/>
        <w:i/>
        <w:iCs/>
        <w:sz w:val="20"/>
        <w:szCs w:val="20"/>
      </w:rPr>
      <w:t>/19</w:t>
    </w:r>
    <w:r w:rsidR="00751BE8" w:rsidRPr="002D0507">
      <w:rPr>
        <w:rFonts w:ascii="Calibri" w:hAnsi="Calibri"/>
        <w:b/>
        <w:bCs/>
        <w:i/>
        <w:iCs/>
        <w:sz w:val="20"/>
        <w:szCs w:val="20"/>
      </w:rPr>
      <w:t xml:space="preserve"> –</w:t>
    </w:r>
    <w:r w:rsidR="00751C07">
      <w:rPr>
        <w:rFonts w:ascii="Calibri" w:hAnsi="Calibri"/>
        <w:b/>
        <w:bCs/>
        <w:i/>
        <w:iCs/>
        <w:sz w:val="20"/>
        <w:szCs w:val="20"/>
      </w:rPr>
      <w:t xml:space="preserve"> 11</w:t>
    </w:r>
    <w:r w:rsidR="00751BE8" w:rsidRPr="002D0507">
      <w:rPr>
        <w:rFonts w:ascii="Calibri" w:hAnsi="Calibri"/>
        <w:b/>
        <w:bCs/>
        <w:i/>
        <w:iCs/>
        <w:sz w:val="20"/>
        <w:szCs w:val="20"/>
      </w:rPr>
      <w:t>/</w:t>
    </w:r>
    <w:r w:rsidR="00751C07">
      <w:rPr>
        <w:rFonts w:ascii="Calibri" w:hAnsi="Calibri"/>
        <w:b/>
        <w:bCs/>
        <w:i/>
        <w:iCs/>
        <w:sz w:val="20"/>
        <w:szCs w:val="20"/>
      </w:rPr>
      <w:t>02</w:t>
    </w:r>
    <w:r w:rsidR="002D0507" w:rsidRPr="002D0507">
      <w:rPr>
        <w:rFonts w:ascii="Calibri" w:hAnsi="Calibri"/>
        <w:b/>
        <w:bCs/>
        <w:i/>
        <w:iCs/>
        <w:sz w:val="20"/>
        <w:szCs w:val="20"/>
      </w:rPr>
      <w:t>/19</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AD661C">
      <w:trPr>
        <w:trHeight w:val="225"/>
        <w:jc w:val="center"/>
      </w:trPr>
      <w:tc>
        <w:tcPr>
          <w:tcW w:w="1571" w:type="dxa"/>
          <w:tcBorders>
            <w:top w:val="single" w:sz="18" w:space="0" w:color="auto"/>
            <w:left w:val="single" w:sz="18" w:space="0" w:color="auto"/>
            <w:bottom w:val="single" w:sz="18" w:space="0" w:color="auto"/>
            <w:right w:val="single" w:sz="1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18"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751C07">
      <w:rPr>
        <w:rFonts w:ascii="Calibri" w:hAnsi="Calibri"/>
        <w:sz w:val="18"/>
        <w:szCs w:val="18"/>
      </w:rPr>
      <w:t>November</w:t>
    </w:r>
    <w:r w:rsidR="00EB3810" w:rsidRPr="002D0507">
      <w:rPr>
        <w:rFonts w:ascii="Calibri" w:hAnsi="Calibri"/>
        <w:sz w:val="18"/>
        <w:szCs w:val="18"/>
      </w:rPr>
      <w:t xml:space="preserve"> </w:t>
    </w:r>
    <w:r w:rsidR="00751C07">
      <w:rPr>
        <w:rFonts w:ascii="Calibri" w:hAnsi="Calibri"/>
        <w:sz w:val="18"/>
        <w:szCs w:val="18"/>
      </w:rPr>
      <w:t>2</w:t>
    </w:r>
    <w:r w:rsidR="002D0507" w:rsidRPr="002D0507">
      <w:rPr>
        <w:rFonts w:ascii="Calibri" w:hAnsi="Calibri"/>
        <w:sz w:val="18"/>
        <w:szCs w:val="18"/>
      </w:rPr>
      <w:t>, 2019</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F2"/>
    <w:rsid w:val="00002251"/>
    <w:rsid w:val="00003811"/>
    <w:rsid w:val="000044A9"/>
    <w:rsid w:val="000056FE"/>
    <w:rsid w:val="00005978"/>
    <w:rsid w:val="0001507F"/>
    <w:rsid w:val="00015BFD"/>
    <w:rsid w:val="00017860"/>
    <w:rsid w:val="00020463"/>
    <w:rsid w:val="00020E14"/>
    <w:rsid w:val="00024CC3"/>
    <w:rsid w:val="000274F2"/>
    <w:rsid w:val="0003231A"/>
    <w:rsid w:val="00035C5E"/>
    <w:rsid w:val="00035DAB"/>
    <w:rsid w:val="000365E8"/>
    <w:rsid w:val="00036E28"/>
    <w:rsid w:val="00040908"/>
    <w:rsid w:val="00040A6F"/>
    <w:rsid w:val="0004109D"/>
    <w:rsid w:val="000524E5"/>
    <w:rsid w:val="00056063"/>
    <w:rsid w:val="00061FB0"/>
    <w:rsid w:val="0006680B"/>
    <w:rsid w:val="000669C3"/>
    <w:rsid w:val="00067C71"/>
    <w:rsid w:val="00074A79"/>
    <w:rsid w:val="000778A3"/>
    <w:rsid w:val="00081ADE"/>
    <w:rsid w:val="00083739"/>
    <w:rsid w:val="00086DD3"/>
    <w:rsid w:val="000873C0"/>
    <w:rsid w:val="00091087"/>
    <w:rsid w:val="00092C42"/>
    <w:rsid w:val="00096177"/>
    <w:rsid w:val="000973BA"/>
    <w:rsid w:val="000A1269"/>
    <w:rsid w:val="000A3789"/>
    <w:rsid w:val="000A6FB0"/>
    <w:rsid w:val="000B0256"/>
    <w:rsid w:val="000B495E"/>
    <w:rsid w:val="000C0499"/>
    <w:rsid w:val="000C1233"/>
    <w:rsid w:val="000C128C"/>
    <w:rsid w:val="000C4B64"/>
    <w:rsid w:val="000C5C38"/>
    <w:rsid w:val="000C6E9D"/>
    <w:rsid w:val="000D0C74"/>
    <w:rsid w:val="000D3D4B"/>
    <w:rsid w:val="000D4E74"/>
    <w:rsid w:val="000D6A84"/>
    <w:rsid w:val="000D703E"/>
    <w:rsid w:val="000E0303"/>
    <w:rsid w:val="000E13D7"/>
    <w:rsid w:val="000E6A50"/>
    <w:rsid w:val="000F05F2"/>
    <w:rsid w:val="000F137F"/>
    <w:rsid w:val="000F455C"/>
    <w:rsid w:val="000F7BF8"/>
    <w:rsid w:val="00103FE9"/>
    <w:rsid w:val="001101F1"/>
    <w:rsid w:val="00111615"/>
    <w:rsid w:val="001202A7"/>
    <w:rsid w:val="00122368"/>
    <w:rsid w:val="00126C6C"/>
    <w:rsid w:val="00127393"/>
    <w:rsid w:val="00127EF2"/>
    <w:rsid w:val="001307DC"/>
    <w:rsid w:val="0013158D"/>
    <w:rsid w:val="00134F6E"/>
    <w:rsid w:val="00140D29"/>
    <w:rsid w:val="00141564"/>
    <w:rsid w:val="00142FF9"/>
    <w:rsid w:val="0014510B"/>
    <w:rsid w:val="00147520"/>
    <w:rsid w:val="00151A79"/>
    <w:rsid w:val="00151E5C"/>
    <w:rsid w:val="00152DCD"/>
    <w:rsid w:val="00160312"/>
    <w:rsid w:val="00160F66"/>
    <w:rsid w:val="00174D91"/>
    <w:rsid w:val="00181CCE"/>
    <w:rsid w:val="00182146"/>
    <w:rsid w:val="00183E39"/>
    <w:rsid w:val="00184DE5"/>
    <w:rsid w:val="00186FE4"/>
    <w:rsid w:val="00197CA4"/>
    <w:rsid w:val="001A0355"/>
    <w:rsid w:val="001A1818"/>
    <w:rsid w:val="001A4F38"/>
    <w:rsid w:val="001B11F9"/>
    <w:rsid w:val="001B1D12"/>
    <w:rsid w:val="001C1D5C"/>
    <w:rsid w:val="001C2D39"/>
    <w:rsid w:val="001D0B8F"/>
    <w:rsid w:val="001D4FF4"/>
    <w:rsid w:val="001D53A3"/>
    <w:rsid w:val="001E1738"/>
    <w:rsid w:val="001E37C8"/>
    <w:rsid w:val="001E3AB7"/>
    <w:rsid w:val="001F0A23"/>
    <w:rsid w:val="001F0B4A"/>
    <w:rsid w:val="001F18A7"/>
    <w:rsid w:val="001F499A"/>
    <w:rsid w:val="001F58EE"/>
    <w:rsid w:val="00206BE1"/>
    <w:rsid w:val="00206D99"/>
    <w:rsid w:val="0020767D"/>
    <w:rsid w:val="0021080E"/>
    <w:rsid w:val="00210D10"/>
    <w:rsid w:val="00214E52"/>
    <w:rsid w:val="00215E63"/>
    <w:rsid w:val="0021615E"/>
    <w:rsid w:val="00216654"/>
    <w:rsid w:val="00222FAD"/>
    <w:rsid w:val="002263FF"/>
    <w:rsid w:val="002302A8"/>
    <w:rsid w:val="00235F4E"/>
    <w:rsid w:val="00240B0A"/>
    <w:rsid w:val="00240E73"/>
    <w:rsid w:val="00241270"/>
    <w:rsid w:val="00241282"/>
    <w:rsid w:val="0024304F"/>
    <w:rsid w:val="00252F50"/>
    <w:rsid w:val="0025679E"/>
    <w:rsid w:val="00260BC7"/>
    <w:rsid w:val="00261BF8"/>
    <w:rsid w:val="00264415"/>
    <w:rsid w:val="002653B2"/>
    <w:rsid w:val="00265B3E"/>
    <w:rsid w:val="00267B49"/>
    <w:rsid w:val="00271D35"/>
    <w:rsid w:val="00273706"/>
    <w:rsid w:val="00273ECB"/>
    <w:rsid w:val="002746FB"/>
    <w:rsid w:val="00275849"/>
    <w:rsid w:val="00282289"/>
    <w:rsid w:val="00284EC4"/>
    <w:rsid w:val="002872CC"/>
    <w:rsid w:val="0029563E"/>
    <w:rsid w:val="002962A0"/>
    <w:rsid w:val="0029638D"/>
    <w:rsid w:val="002A621A"/>
    <w:rsid w:val="002C00D9"/>
    <w:rsid w:val="002C06C9"/>
    <w:rsid w:val="002C25D8"/>
    <w:rsid w:val="002D0507"/>
    <w:rsid w:val="002D0E9D"/>
    <w:rsid w:val="002D3FCC"/>
    <w:rsid w:val="002D5868"/>
    <w:rsid w:val="002E224E"/>
    <w:rsid w:val="002E2975"/>
    <w:rsid w:val="002E4102"/>
    <w:rsid w:val="002F02A5"/>
    <w:rsid w:val="002F1173"/>
    <w:rsid w:val="002F4C0C"/>
    <w:rsid w:val="00302E9E"/>
    <w:rsid w:val="003128B8"/>
    <w:rsid w:val="00313D83"/>
    <w:rsid w:val="00314040"/>
    <w:rsid w:val="00321C98"/>
    <w:rsid w:val="003261CD"/>
    <w:rsid w:val="00327245"/>
    <w:rsid w:val="003273E0"/>
    <w:rsid w:val="00332703"/>
    <w:rsid w:val="0033355C"/>
    <w:rsid w:val="00334815"/>
    <w:rsid w:val="00342ADB"/>
    <w:rsid w:val="00345C78"/>
    <w:rsid w:val="003462E4"/>
    <w:rsid w:val="00351463"/>
    <w:rsid w:val="0035752F"/>
    <w:rsid w:val="003613BA"/>
    <w:rsid w:val="00363344"/>
    <w:rsid w:val="0036361A"/>
    <w:rsid w:val="00370185"/>
    <w:rsid w:val="003800BB"/>
    <w:rsid w:val="0038022D"/>
    <w:rsid w:val="003823AD"/>
    <w:rsid w:val="00384D67"/>
    <w:rsid w:val="003852CA"/>
    <w:rsid w:val="0038536C"/>
    <w:rsid w:val="00390054"/>
    <w:rsid w:val="00391A7E"/>
    <w:rsid w:val="00395A85"/>
    <w:rsid w:val="00396E7C"/>
    <w:rsid w:val="003A7309"/>
    <w:rsid w:val="003A750E"/>
    <w:rsid w:val="003A78C7"/>
    <w:rsid w:val="003B337A"/>
    <w:rsid w:val="003B39B1"/>
    <w:rsid w:val="003B6242"/>
    <w:rsid w:val="003C3FF5"/>
    <w:rsid w:val="003D11DE"/>
    <w:rsid w:val="003D49FB"/>
    <w:rsid w:val="003D73FB"/>
    <w:rsid w:val="003E118D"/>
    <w:rsid w:val="003F45A0"/>
    <w:rsid w:val="004024D0"/>
    <w:rsid w:val="00405C4D"/>
    <w:rsid w:val="0041019E"/>
    <w:rsid w:val="004104FB"/>
    <w:rsid w:val="00411513"/>
    <w:rsid w:val="00413E7C"/>
    <w:rsid w:val="00414649"/>
    <w:rsid w:val="00415427"/>
    <w:rsid w:val="004162E4"/>
    <w:rsid w:val="00417044"/>
    <w:rsid w:val="004202E9"/>
    <w:rsid w:val="004219C6"/>
    <w:rsid w:val="00424BD2"/>
    <w:rsid w:val="0043087E"/>
    <w:rsid w:val="00431DCC"/>
    <w:rsid w:val="00431E57"/>
    <w:rsid w:val="00432AC8"/>
    <w:rsid w:val="00433F23"/>
    <w:rsid w:val="00434158"/>
    <w:rsid w:val="00434F98"/>
    <w:rsid w:val="004354BD"/>
    <w:rsid w:val="0043682F"/>
    <w:rsid w:val="00437A6E"/>
    <w:rsid w:val="00442281"/>
    <w:rsid w:val="00442BAF"/>
    <w:rsid w:val="00444631"/>
    <w:rsid w:val="00445C93"/>
    <w:rsid w:val="00452FE3"/>
    <w:rsid w:val="00455D40"/>
    <w:rsid w:val="004561F4"/>
    <w:rsid w:val="00466AE6"/>
    <w:rsid w:val="00467BAA"/>
    <w:rsid w:val="00470DBF"/>
    <w:rsid w:val="00472C5F"/>
    <w:rsid w:val="00474342"/>
    <w:rsid w:val="004770ED"/>
    <w:rsid w:val="00477FA7"/>
    <w:rsid w:val="00480A0C"/>
    <w:rsid w:val="004902A2"/>
    <w:rsid w:val="00497D18"/>
    <w:rsid w:val="004A0341"/>
    <w:rsid w:val="004A0C3C"/>
    <w:rsid w:val="004A39CF"/>
    <w:rsid w:val="004A4920"/>
    <w:rsid w:val="004A601C"/>
    <w:rsid w:val="004A7C8D"/>
    <w:rsid w:val="004B1304"/>
    <w:rsid w:val="004B298F"/>
    <w:rsid w:val="004B5535"/>
    <w:rsid w:val="004C4472"/>
    <w:rsid w:val="004C45F0"/>
    <w:rsid w:val="004C47B9"/>
    <w:rsid w:val="004C7B8F"/>
    <w:rsid w:val="004D24E0"/>
    <w:rsid w:val="004D4910"/>
    <w:rsid w:val="004D624E"/>
    <w:rsid w:val="004D7599"/>
    <w:rsid w:val="004F0887"/>
    <w:rsid w:val="004F138B"/>
    <w:rsid w:val="004F1934"/>
    <w:rsid w:val="004F38FF"/>
    <w:rsid w:val="004F3C2D"/>
    <w:rsid w:val="004F6E44"/>
    <w:rsid w:val="00500F29"/>
    <w:rsid w:val="00504B3D"/>
    <w:rsid w:val="00507FFC"/>
    <w:rsid w:val="00511A85"/>
    <w:rsid w:val="005156CF"/>
    <w:rsid w:val="00517399"/>
    <w:rsid w:val="00517B8C"/>
    <w:rsid w:val="00522B4A"/>
    <w:rsid w:val="00525AF7"/>
    <w:rsid w:val="00526595"/>
    <w:rsid w:val="00526997"/>
    <w:rsid w:val="00530A8B"/>
    <w:rsid w:val="00531D34"/>
    <w:rsid w:val="00533F16"/>
    <w:rsid w:val="00540138"/>
    <w:rsid w:val="00542A60"/>
    <w:rsid w:val="00552D3B"/>
    <w:rsid w:val="00554DA5"/>
    <w:rsid w:val="00561C24"/>
    <w:rsid w:val="00562884"/>
    <w:rsid w:val="00563B76"/>
    <w:rsid w:val="00563CDA"/>
    <w:rsid w:val="00576994"/>
    <w:rsid w:val="00582A89"/>
    <w:rsid w:val="00582AD9"/>
    <w:rsid w:val="00583414"/>
    <w:rsid w:val="005877AC"/>
    <w:rsid w:val="00587E0D"/>
    <w:rsid w:val="005900E5"/>
    <w:rsid w:val="00591456"/>
    <w:rsid w:val="00592408"/>
    <w:rsid w:val="00595906"/>
    <w:rsid w:val="00595E61"/>
    <w:rsid w:val="005A00B4"/>
    <w:rsid w:val="005A0425"/>
    <w:rsid w:val="005B0761"/>
    <w:rsid w:val="005B40D8"/>
    <w:rsid w:val="005B795D"/>
    <w:rsid w:val="005C1F36"/>
    <w:rsid w:val="005C5DA2"/>
    <w:rsid w:val="005C7D62"/>
    <w:rsid w:val="005D5F36"/>
    <w:rsid w:val="005D6A01"/>
    <w:rsid w:val="005D7589"/>
    <w:rsid w:val="005F068F"/>
    <w:rsid w:val="005F3770"/>
    <w:rsid w:val="005F5517"/>
    <w:rsid w:val="006015C0"/>
    <w:rsid w:val="006103B1"/>
    <w:rsid w:val="00611AA3"/>
    <w:rsid w:val="00612878"/>
    <w:rsid w:val="006136F2"/>
    <w:rsid w:val="00617A51"/>
    <w:rsid w:val="00620802"/>
    <w:rsid w:val="00625C13"/>
    <w:rsid w:val="00626D10"/>
    <w:rsid w:val="00627AFE"/>
    <w:rsid w:val="00627BCA"/>
    <w:rsid w:val="0063401B"/>
    <w:rsid w:val="00636065"/>
    <w:rsid w:val="00637BC5"/>
    <w:rsid w:val="006414BC"/>
    <w:rsid w:val="006418FD"/>
    <w:rsid w:val="0064218C"/>
    <w:rsid w:val="00642797"/>
    <w:rsid w:val="00642D06"/>
    <w:rsid w:val="00644485"/>
    <w:rsid w:val="0064659A"/>
    <w:rsid w:val="00646DA7"/>
    <w:rsid w:val="006564B6"/>
    <w:rsid w:val="006627D6"/>
    <w:rsid w:val="00667469"/>
    <w:rsid w:val="00670AA6"/>
    <w:rsid w:val="0068298E"/>
    <w:rsid w:val="00685418"/>
    <w:rsid w:val="00691F74"/>
    <w:rsid w:val="006958FD"/>
    <w:rsid w:val="00697414"/>
    <w:rsid w:val="006A05DD"/>
    <w:rsid w:val="006A2EEB"/>
    <w:rsid w:val="006A59EB"/>
    <w:rsid w:val="006A68D3"/>
    <w:rsid w:val="006A76DA"/>
    <w:rsid w:val="006A7E69"/>
    <w:rsid w:val="006B6A69"/>
    <w:rsid w:val="006B7BE3"/>
    <w:rsid w:val="006C2C03"/>
    <w:rsid w:val="006C5064"/>
    <w:rsid w:val="006C7B18"/>
    <w:rsid w:val="006D1E6E"/>
    <w:rsid w:val="006D5188"/>
    <w:rsid w:val="006E21D4"/>
    <w:rsid w:val="006E48DC"/>
    <w:rsid w:val="006F254E"/>
    <w:rsid w:val="006F4CF3"/>
    <w:rsid w:val="006F7463"/>
    <w:rsid w:val="006F7F66"/>
    <w:rsid w:val="0070305E"/>
    <w:rsid w:val="00704A59"/>
    <w:rsid w:val="00706E3C"/>
    <w:rsid w:val="00706E76"/>
    <w:rsid w:val="00710520"/>
    <w:rsid w:val="00712A02"/>
    <w:rsid w:val="0071606B"/>
    <w:rsid w:val="00720945"/>
    <w:rsid w:val="00721401"/>
    <w:rsid w:val="007222F8"/>
    <w:rsid w:val="0072428A"/>
    <w:rsid w:val="00725633"/>
    <w:rsid w:val="00727E19"/>
    <w:rsid w:val="00735FAA"/>
    <w:rsid w:val="00742A79"/>
    <w:rsid w:val="00745447"/>
    <w:rsid w:val="00750194"/>
    <w:rsid w:val="00751719"/>
    <w:rsid w:val="00751835"/>
    <w:rsid w:val="00751BE8"/>
    <w:rsid w:val="00751C07"/>
    <w:rsid w:val="00752D83"/>
    <w:rsid w:val="007547A4"/>
    <w:rsid w:val="00756EF9"/>
    <w:rsid w:val="00757C6F"/>
    <w:rsid w:val="0076167F"/>
    <w:rsid w:val="007660EB"/>
    <w:rsid w:val="00770BC4"/>
    <w:rsid w:val="00773D8D"/>
    <w:rsid w:val="00773F35"/>
    <w:rsid w:val="00775052"/>
    <w:rsid w:val="007812F4"/>
    <w:rsid w:val="0078231E"/>
    <w:rsid w:val="007844FC"/>
    <w:rsid w:val="00785394"/>
    <w:rsid w:val="00786099"/>
    <w:rsid w:val="00786DB2"/>
    <w:rsid w:val="00792000"/>
    <w:rsid w:val="007A26DF"/>
    <w:rsid w:val="007A6CF7"/>
    <w:rsid w:val="007B4E8C"/>
    <w:rsid w:val="007B77C8"/>
    <w:rsid w:val="007C1665"/>
    <w:rsid w:val="007C283D"/>
    <w:rsid w:val="007C433A"/>
    <w:rsid w:val="007D0BDF"/>
    <w:rsid w:val="007D642C"/>
    <w:rsid w:val="007E3EC9"/>
    <w:rsid w:val="007E5696"/>
    <w:rsid w:val="007E5780"/>
    <w:rsid w:val="007F028E"/>
    <w:rsid w:val="007F0FBF"/>
    <w:rsid w:val="007F176B"/>
    <w:rsid w:val="007F54B0"/>
    <w:rsid w:val="007F608A"/>
    <w:rsid w:val="00800BBE"/>
    <w:rsid w:val="008041C2"/>
    <w:rsid w:val="00812391"/>
    <w:rsid w:val="00821852"/>
    <w:rsid w:val="00821D2F"/>
    <w:rsid w:val="008228BA"/>
    <w:rsid w:val="00832380"/>
    <w:rsid w:val="00837D10"/>
    <w:rsid w:val="00842522"/>
    <w:rsid w:val="008427C3"/>
    <w:rsid w:val="00842CDD"/>
    <w:rsid w:val="00847B1F"/>
    <w:rsid w:val="00850B73"/>
    <w:rsid w:val="00850F5E"/>
    <w:rsid w:val="00852A42"/>
    <w:rsid w:val="00860062"/>
    <w:rsid w:val="00865E4A"/>
    <w:rsid w:val="00870728"/>
    <w:rsid w:val="00871DCD"/>
    <w:rsid w:val="00871EA0"/>
    <w:rsid w:val="00874518"/>
    <w:rsid w:val="00880891"/>
    <w:rsid w:val="00882265"/>
    <w:rsid w:val="00885B66"/>
    <w:rsid w:val="00886C52"/>
    <w:rsid w:val="008900B4"/>
    <w:rsid w:val="00893FEF"/>
    <w:rsid w:val="008A03CB"/>
    <w:rsid w:val="008A4530"/>
    <w:rsid w:val="008B551D"/>
    <w:rsid w:val="008B5EB8"/>
    <w:rsid w:val="008C2451"/>
    <w:rsid w:val="008D1E64"/>
    <w:rsid w:val="008D2FA1"/>
    <w:rsid w:val="008D3A71"/>
    <w:rsid w:val="008D6101"/>
    <w:rsid w:val="008D6BCF"/>
    <w:rsid w:val="008E0A35"/>
    <w:rsid w:val="008E1594"/>
    <w:rsid w:val="008E60AE"/>
    <w:rsid w:val="008F0819"/>
    <w:rsid w:val="008F0DBC"/>
    <w:rsid w:val="008F5DE1"/>
    <w:rsid w:val="008F5F13"/>
    <w:rsid w:val="008F5F57"/>
    <w:rsid w:val="008F6092"/>
    <w:rsid w:val="008F693B"/>
    <w:rsid w:val="008F7566"/>
    <w:rsid w:val="008F75D7"/>
    <w:rsid w:val="008F7BBB"/>
    <w:rsid w:val="0090059B"/>
    <w:rsid w:val="009019C5"/>
    <w:rsid w:val="0090387A"/>
    <w:rsid w:val="00905906"/>
    <w:rsid w:val="009175B1"/>
    <w:rsid w:val="00917BA7"/>
    <w:rsid w:val="00922D57"/>
    <w:rsid w:val="00923AE8"/>
    <w:rsid w:val="00926DEF"/>
    <w:rsid w:val="00931721"/>
    <w:rsid w:val="00934EF6"/>
    <w:rsid w:val="00937835"/>
    <w:rsid w:val="00940821"/>
    <w:rsid w:val="00942261"/>
    <w:rsid w:val="00942543"/>
    <w:rsid w:val="00944DF9"/>
    <w:rsid w:val="00947960"/>
    <w:rsid w:val="00952808"/>
    <w:rsid w:val="00955FAC"/>
    <w:rsid w:val="00961975"/>
    <w:rsid w:val="00964D7B"/>
    <w:rsid w:val="009715A9"/>
    <w:rsid w:val="0097453F"/>
    <w:rsid w:val="009773CE"/>
    <w:rsid w:val="00981C4A"/>
    <w:rsid w:val="0099096A"/>
    <w:rsid w:val="00994FDD"/>
    <w:rsid w:val="009A0067"/>
    <w:rsid w:val="009A1731"/>
    <w:rsid w:val="009A1B96"/>
    <w:rsid w:val="009A21C4"/>
    <w:rsid w:val="009A2C89"/>
    <w:rsid w:val="009A3B9C"/>
    <w:rsid w:val="009A6180"/>
    <w:rsid w:val="009A7A3D"/>
    <w:rsid w:val="009B26AE"/>
    <w:rsid w:val="009B2C85"/>
    <w:rsid w:val="009B3FAF"/>
    <w:rsid w:val="009C0392"/>
    <w:rsid w:val="009C0461"/>
    <w:rsid w:val="009C1AEA"/>
    <w:rsid w:val="009C3DB1"/>
    <w:rsid w:val="009C5E07"/>
    <w:rsid w:val="009D7422"/>
    <w:rsid w:val="009E2028"/>
    <w:rsid w:val="009E4C7E"/>
    <w:rsid w:val="009E7B29"/>
    <w:rsid w:val="009E7FA8"/>
    <w:rsid w:val="009F2F4F"/>
    <w:rsid w:val="009F455E"/>
    <w:rsid w:val="009F604C"/>
    <w:rsid w:val="00A0784C"/>
    <w:rsid w:val="00A10ACB"/>
    <w:rsid w:val="00A13EBA"/>
    <w:rsid w:val="00A160B2"/>
    <w:rsid w:val="00A21B82"/>
    <w:rsid w:val="00A2273B"/>
    <w:rsid w:val="00A22A06"/>
    <w:rsid w:val="00A30758"/>
    <w:rsid w:val="00A316E5"/>
    <w:rsid w:val="00A32DB1"/>
    <w:rsid w:val="00A453B0"/>
    <w:rsid w:val="00A5460A"/>
    <w:rsid w:val="00A55AF8"/>
    <w:rsid w:val="00A579E1"/>
    <w:rsid w:val="00A6003A"/>
    <w:rsid w:val="00A60A0D"/>
    <w:rsid w:val="00A66375"/>
    <w:rsid w:val="00A67B4C"/>
    <w:rsid w:val="00A67FEA"/>
    <w:rsid w:val="00A701F1"/>
    <w:rsid w:val="00A72520"/>
    <w:rsid w:val="00A7474B"/>
    <w:rsid w:val="00A773B2"/>
    <w:rsid w:val="00A81030"/>
    <w:rsid w:val="00A839BC"/>
    <w:rsid w:val="00A85DF3"/>
    <w:rsid w:val="00A90A47"/>
    <w:rsid w:val="00A91BCF"/>
    <w:rsid w:val="00A9587C"/>
    <w:rsid w:val="00AA15C1"/>
    <w:rsid w:val="00AA58C5"/>
    <w:rsid w:val="00AA68FC"/>
    <w:rsid w:val="00AB1BFC"/>
    <w:rsid w:val="00AB297C"/>
    <w:rsid w:val="00AC47D4"/>
    <w:rsid w:val="00AC4921"/>
    <w:rsid w:val="00AC65C4"/>
    <w:rsid w:val="00AC6991"/>
    <w:rsid w:val="00AC6AAD"/>
    <w:rsid w:val="00AD5FBC"/>
    <w:rsid w:val="00AD661C"/>
    <w:rsid w:val="00AE6023"/>
    <w:rsid w:val="00AF2698"/>
    <w:rsid w:val="00AF39EC"/>
    <w:rsid w:val="00B027F3"/>
    <w:rsid w:val="00B07B03"/>
    <w:rsid w:val="00B148C4"/>
    <w:rsid w:val="00B204EC"/>
    <w:rsid w:val="00B20BE1"/>
    <w:rsid w:val="00B220F7"/>
    <w:rsid w:val="00B2285D"/>
    <w:rsid w:val="00B269F3"/>
    <w:rsid w:val="00B43EBA"/>
    <w:rsid w:val="00B448AB"/>
    <w:rsid w:val="00B46B58"/>
    <w:rsid w:val="00B537D0"/>
    <w:rsid w:val="00B544B6"/>
    <w:rsid w:val="00B56A7F"/>
    <w:rsid w:val="00B60355"/>
    <w:rsid w:val="00B627D8"/>
    <w:rsid w:val="00B638CC"/>
    <w:rsid w:val="00B646BB"/>
    <w:rsid w:val="00B64707"/>
    <w:rsid w:val="00B64E1D"/>
    <w:rsid w:val="00B706B9"/>
    <w:rsid w:val="00B74464"/>
    <w:rsid w:val="00B8167F"/>
    <w:rsid w:val="00B85E4A"/>
    <w:rsid w:val="00B86838"/>
    <w:rsid w:val="00B911EA"/>
    <w:rsid w:val="00B937B0"/>
    <w:rsid w:val="00B94DA1"/>
    <w:rsid w:val="00B9640C"/>
    <w:rsid w:val="00BA1488"/>
    <w:rsid w:val="00BA2897"/>
    <w:rsid w:val="00BA2F1A"/>
    <w:rsid w:val="00BA3913"/>
    <w:rsid w:val="00BA4454"/>
    <w:rsid w:val="00BA4806"/>
    <w:rsid w:val="00BB2304"/>
    <w:rsid w:val="00BB665D"/>
    <w:rsid w:val="00BB7CF9"/>
    <w:rsid w:val="00BB7D55"/>
    <w:rsid w:val="00BC0576"/>
    <w:rsid w:val="00BC3488"/>
    <w:rsid w:val="00BC34D2"/>
    <w:rsid w:val="00BC3B06"/>
    <w:rsid w:val="00BC43BF"/>
    <w:rsid w:val="00BC7D87"/>
    <w:rsid w:val="00BD3FED"/>
    <w:rsid w:val="00BD7364"/>
    <w:rsid w:val="00BD790B"/>
    <w:rsid w:val="00BD7A4E"/>
    <w:rsid w:val="00BE1ABA"/>
    <w:rsid w:val="00BE5C26"/>
    <w:rsid w:val="00BE6FA6"/>
    <w:rsid w:val="00BF2077"/>
    <w:rsid w:val="00BF7AA8"/>
    <w:rsid w:val="00C0124E"/>
    <w:rsid w:val="00C0491A"/>
    <w:rsid w:val="00C1371F"/>
    <w:rsid w:val="00C24C90"/>
    <w:rsid w:val="00C30306"/>
    <w:rsid w:val="00C305F6"/>
    <w:rsid w:val="00C414E7"/>
    <w:rsid w:val="00C41932"/>
    <w:rsid w:val="00C41F87"/>
    <w:rsid w:val="00C47966"/>
    <w:rsid w:val="00C50222"/>
    <w:rsid w:val="00C516A6"/>
    <w:rsid w:val="00C56926"/>
    <w:rsid w:val="00C61906"/>
    <w:rsid w:val="00C709C5"/>
    <w:rsid w:val="00C743AB"/>
    <w:rsid w:val="00C765DC"/>
    <w:rsid w:val="00C7696F"/>
    <w:rsid w:val="00C77BC7"/>
    <w:rsid w:val="00C80166"/>
    <w:rsid w:val="00C80C76"/>
    <w:rsid w:val="00C81CB1"/>
    <w:rsid w:val="00C81E18"/>
    <w:rsid w:val="00C8216E"/>
    <w:rsid w:val="00C82EBD"/>
    <w:rsid w:val="00C83FE9"/>
    <w:rsid w:val="00C91491"/>
    <w:rsid w:val="00C91A27"/>
    <w:rsid w:val="00C91D20"/>
    <w:rsid w:val="00C9432F"/>
    <w:rsid w:val="00CA002C"/>
    <w:rsid w:val="00CA0AD2"/>
    <w:rsid w:val="00CA13A5"/>
    <w:rsid w:val="00CA3504"/>
    <w:rsid w:val="00CA6843"/>
    <w:rsid w:val="00CB1456"/>
    <w:rsid w:val="00CB15CD"/>
    <w:rsid w:val="00CB266B"/>
    <w:rsid w:val="00CB2D67"/>
    <w:rsid w:val="00CC329B"/>
    <w:rsid w:val="00CC403D"/>
    <w:rsid w:val="00CC5152"/>
    <w:rsid w:val="00CC567F"/>
    <w:rsid w:val="00CC5E83"/>
    <w:rsid w:val="00CD0F5C"/>
    <w:rsid w:val="00CE40BA"/>
    <w:rsid w:val="00CE7163"/>
    <w:rsid w:val="00CF0F05"/>
    <w:rsid w:val="00CF4B50"/>
    <w:rsid w:val="00D01F40"/>
    <w:rsid w:val="00D02644"/>
    <w:rsid w:val="00D027EC"/>
    <w:rsid w:val="00D02F77"/>
    <w:rsid w:val="00D0581F"/>
    <w:rsid w:val="00D063F9"/>
    <w:rsid w:val="00D06CD3"/>
    <w:rsid w:val="00D07234"/>
    <w:rsid w:val="00D133C2"/>
    <w:rsid w:val="00D15A19"/>
    <w:rsid w:val="00D17EF5"/>
    <w:rsid w:val="00D2057B"/>
    <w:rsid w:val="00D239EF"/>
    <w:rsid w:val="00D243EF"/>
    <w:rsid w:val="00D31693"/>
    <w:rsid w:val="00D3203A"/>
    <w:rsid w:val="00D3401A"/>
    <w:rsid w:val="00D36E49"/>
    <w:rsid w:val="00D3782E"/>
    <w:rsid w:val="00D37BC3"/>
    <w:rsid w:val="00D45402"/>
    <w:rsid w:val="00D54C5E"/>
    <w:rsid w:val="00D554B9"/>
    <w:rsid w:val="00D56252"/>
    <w:rsid w:val="00D567F2"/>
    <w:rsid w:val="00D60906"/>
    <w:rsid w:val="00D63ECA"/>
    <w:rsid w:val="00D7122B"/>
    <w:rsid w:val="00D7243A"/>
    <w:rsid w:val="00D72A35"/>
    <w:rsid w:val="00D74A63"/>
    <w:rsid w:val="00D75E1F"/>
    <w:rsid w:val="00D76635"/>
    <w:rsid w:val="00D8722C"/>
    <w:rsid w:val="00D875A1"/>
    <w:rsid w:val="00D9039B"/>
    <w:rsid w:val="00D913E9"/>
    <w:rsid w:val="00D9206C"/>
    <w:rsid w:val="00D92C71"/>
    <w:rsid w:val="00D94914"/>
    <w:rsid w:val="00D958EB"/>
    <w:rsid w:val="00DA6191"/>
    <w:rsid w:val="00DA7869"/>
    <w:rsid w:val="00DB1B9F"/>
    <w:rsid w:val="00DB3CEB"/>
    <w:rsid w:val="00DB3DF3"/>
    <w:rsid w:val="00DD5518"/>
    <w:rsid w:val="00DD6E2C"/>
    <w:rsid w:val="00DE08E2"/>
    <w:rsid w:val="00DE17C6"/>
    <w:rsid w:val="00DE37A0"/>
    <w:rsid w:val="00DE6C7E"/>
    <w:rsid w:val="00DE7343"/>
    <w:rsid w:val="00DF0EAE"/>
    <w:rsid w:val="00DF4605"/>
    <w:rsid w:val="00E0464E"/>
    <w:rsid w:val="00E107D1"/>
    <w:rsid w:val="00E12F1D"/>
    <w:rsid w:val="00E21528"/>
    <w:rsid w:val="00E23502"/>
    <w:rsid w:val="00E27BEC"/>
    <w:rsid w:val="00E310AC"/>
    <w:rsid w:val="00E328E7"/>
    <w:rsid w:val="00E35CCB"/>
    <w:rsid w:val="00E37DA7"/>
    <w:rsid w:val="00E400EA"/>
    <w:rsid w:val="00E40F41"/>
    <w:rsid w:val="00E44726"/>
    <w:rsid w:val="00E45E29"/>
    <w:rsid w:val="00E46FEF"/>
    <w:rsid w:val="00E47085"/>
    <w:rsid w:val="00E51301"/>
    <w:rsid w:val="00E533CE"/>
    <w:rsid w:val="00E539D6"/>
    <w:rsid w:val="00E56A67"/>
    <w:rsid w:val="00E56F00"/>
    <w:rsid w:val="00E66879"/>
    <w:rsid w:val="00E70B5F"/>
    <w:rsid w:val="00E727E6"/>
    <w:rsid w:val="00E72A1B"/>
    <w:rsid w:val="00E74681"/>
    <w:rsid w:val="00E75019"/>
    <w:rsid w:val="00E7517C"/>
    <w:rsid w:val="00E75C5A"/>
    <w:rsid w:val="00E764ED"/>
    <w:rsid w:val="00E8562A"/>
    <w:rsid w:val="00E85EDE"/>
    <w:rsid w:val="00E92CAA"/>
    <w:rsid w:val="00E9647E"/>
    <w:rsid w:val="00E965EF"/>
    <w:rsid w:val="00E9667C"/>
    <w:rsid w:val="00E97367"/>
    <w:rsid w:val="00E97402"/>
    <w:rsid w:val="00EA03E8"/>
    <w:rsid w:val="00EA1910"/>
    <w:rsid w:val="00EA7B9F"/>
    <w:rsid w:val="00EB3810"/>
    <w:rsid w:val="00EB42A0"/>
    <w:rsid w:val="00EB56B6"/>
    <w:rsid w:val="00EC5170"/>
    <w:rsid w:val="00EC7EA7"/>
    <w:rsid w:val="00ED08BF"/>
    <w:rsid w:val="00ED13EC"/>
    <w:rsid w:val="00ED5030"/>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51B1"/>
    <w:rsid w:val="00F35739"/>
    <w:rsid w:val="00F367A9"/>
    <w:rsid w:val="00F472D7"/>
    <w:rsid w:val="00F52084"/>
    <w:rsid w:val="00F52515"/>
    <w:rsid w:val="00F52FBF"/>
    <w:rsid w:val="00F53F28"/>
    <w:rsid w:val="00F56D51"/>
    <w:rsid w:val="00F5722E"/>
    <w:rsid w:val="00F572BE"/>
    <w:rsid w:val="00F60899"/>
    <w:rsid w:val="00F652ED"/>
    <w:rsid w:val="00F655CB"/>
    <w:rsid w:val="00F72CD1"/>
    <w:rsid w:val="00F7322B"/>
    <w:rsid w:val="00F7356F"/>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52D3"/>
    <w:rsid w:val="00FA69AF"/>
    <w:rsid w:val="00FB062C"/>
    <w:rsid w:val="00FB27EB"/>
    <w:rsid w:val="00FB3E4B"/>
    <w:rsid w:val="00FB4368"/>
    <w:rsid w:val="00FB47B9"/>
    <w:rsid w:val="00FB5602"/>
    <w:rsid w:val="00FB573E"/>
    <w:rsid w:val="00FB6E71"/>
    <w:rsid w:val="00FC0C25"/>
    <w:rsid w:val="00FD1351"/>
    <w:rsid w:val="00FD6AEF"/>
    <w:rsid w:val="00FE3258"/>
    <w:rsid w:val="00FE4AE0"/>
    <w:rsid w:val="00FE4FE1"/>
    <w:rsid w:val="00FE5C0A"/>
    <w:rsid w:val="00FE5F14"/>
    <w:rsid w:val="00FF0575"/>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flu/weekly/fluactivitysurv.htm"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dc.gov/flu/weekly/fluviewinteractive.htm" TargetMode="Externa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flu/weekly/fluactivitysurv.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www.cdc.gov/flu/weekly/fluviewinteractive.htm" TargetMode="External"/><Relationship Id="rId19" Type="http://schemas.openxmlformats.org/officeDocument/2006/relationships/hyperlink" Target="http://www.cdc.gov/flu/weekly/" TargetMode="External"/><Relationship Id="rId4" Type="http://schemas.microsoft.com/office/2007/relationships/stylesWithEffects" Target="stylesWithEffects.xml"/><Relationship Id="rId9" Type="http://schemas.openxmlformats.org/officeDocument/2006/relationships/hyperlink" Target="http://www.cdc.gov/flu/weekly/fluactivitysurv.htm"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1B00-909F-4510-B9AB-D21EAB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6607</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creator>DPH</dc:creator>
  <cp:lastModifiedBy> </cp:lastModifiedBy>
  <cp:revision>2</cp:revision>
  <cp:lastPrinted>2019-09-16T18:41:00Z</cp:lastPrinted>
  <dcterms:created xsi:type="dcterms:W3CDTF">2019-11-08T16:32:00Z</dcterms:created>
  <dcterms:modified xsi:type="dcterms:W3CDTF">2019-11-08T16:32:00Z</dcterms:modified>
</cp:coreProperties>
</file>