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F6B89" w14:textId="77777777" w:rsidR="006136F2" w:rsidRPr="007E3EC9" w:rsidRDefault="006136F2" w:rsidP="006136F2">
      <w:pPr>
        <w:rPr>
          <w:rFonts w:ascii="Calibri" w:hAnsi="Calibri"/>
        </w:rPr>
      </w:pPr>
      <w:r w:rsidRPr="007E3EC9">
        <w:rPr>
          <w:rFonts w:ascii="Calibri" w:hAnsi="Calibri"/>
          <w:b/>
          <w:bCs/>
          <w:color w:val="000000"/>
          <w:u w:val="single"/>
        </w:rPr>
        <w:t>Sentinel Provider Surveillance: Influenza-like illness activity</w:t>
      </w:r>
      <w:r w:rsidRPr="007E3EC9">
        <w:rPr>
          <w:rFonts w:ascii="Calibri" w:hAnsi="Calibri"/>
        </w:rPr>
        <w:t xml:space="preserve"> </w:t>
      </w:r>
    </w:p>
    <w:p w14:paraId="4B3D3106" w14:textId="77777777" w:rsidR="00A773B2" w:rsidRPr="006958FD" w:rsidRDefault="00A773B2" w:rsidP="006136F2">
      <w:pPr>
        <w:rPr>
          <w:rFonts w:ascii="Calibri" w:hAnsi="Calibri"/>
          <w:sz w:val="20"/>
          <w:szCs w:val="20"/>
        </w:rPr>
      </w:pPr>
      <w:r w:rsidRPr="006958FD">
        <w:rPr>
          <w:rFonts w:ascii="Calibri" w:hAnsi="Calibri"/>
          <w:sz w:val="20"/>
          <w:szCs w:val="20"/>
        </w:rPr>
        <w:t xml:space="preserve">Week </w:t>
      </w:r>
      <w:r w:rsidR="006D1E6E" w:rsidRPr="000939B8">
        <w:rPr>
          <w:rFonts w:ascii="Calibri" w:hAnsi="Calibri"/>
          <w:sz w:val="20"/>
          <w:szCs w:val="20"/>
        </w:rPr>
        <w:t>4</w:t>
      </w:r>
      <w:r w:rsidR="00184DE5" w:rsidRPr="000939B8">
        <w:rPr>
          <w:rFonts w:ascii="Calibri" w:hAnsi="Calibri"/>
          <w:sz w:val="20"/>
          <w:szCs w:val="20"/>
        </w:rPr>
        <w:t>0</w:t>
      </w:r>
      <w:r w:rsidR="008427C3" w:rsidRPr="006958FD">
        <w:rPr>
          <w:rFonts w:ascii="Calibri" w:hAnsi="Calibri"/>
          <w:sz w:val="20"/>
          <w:szCs w:val="20"/>
        </w:rPr>
        <w:t xml:space="preserve"> </w:t>
      </w:r>
      <w:r w:rsidRPr="006958FD">
        <w:rPr>
          <w:rFonts w:ascii="Calibri" w:hAnsi="Calibri"/>
          <w:sz w:val="20"/>
          <w:szCs w:val="20"/>
        </w:rPr>
        <w:t>Activity</w:t>
      </w:r>
      <w:r w:rsidRPr="006958FD">
        <w:rPr>
          <w:rStyle w:val="FootnoteReference"/>
          <w:rFonts w:ascii="Calibri" w:hAnsi="Calibri"/>
          <w:sz w:val="20"/>
          <w:szCs w:val="20"/>
        </w:rPr>
        <w:footnoteReference w:id="1"/>
      </w:r>
      <w:r w:rsidRPr="006958FD">
        <w:rPr>
          <w:rFonts w:ascii="Calibri" w:hAnsi="Calibri"/>
          <w:sz w:val="20"/>
          <w:szCs w:val="20"/>
        </w:rPr>
        <w:t xml:space="preserve"> (representing geographic distribution): </w:t>
      </w:r>
      <w:r w:rsidR="00216654" w:rsidRPr="000939B8">
        <w:rPr>
          <w:rFonts w:ascii="Calibri" w:hAnsi="Calibri"/>
          <w:sz w:val="20"/>
          <w:szCs w:val="20"/>
        </w:rPr>
        <w:t>Local</w:t>
      </w:r>
    </w:p>
    <w:p w14:paraId="058E8D3F" w14:textId="77777777" w:rsidR="00944DF9" w:rsidRPr="00944DF9" w:rsidRDefault="00944DF9" w:rsidP="006136F2">
      <w:pPr>
        <w:rPr>
          <w:rFonts w:ascii="Calibri" w:hAnsi="Calibri"/>
          <w:sz w:val="20"/>
          <w:szCs w:val="20"/>
        </w:rPr>
      </w:pPr>
      <w:r w:rsidRPr="006958FD">
        <w:rPr>
          <w:rFonts w:ascii="Calibri" w:hAnsi="Calibri"/>
          <w:sz w:val="20"/>
          <w:szCs w:val="20"/>
        </w:rPr>
        <w:t xml:space="preserve">Week </w:t>
      </w:r>
      <w:r w:rsidR="006D1E6E" w:rsidRPr="000939B8">
        <w:rPr>
          <w:rFonts w:ascii="Calibri" w:hAnsi="Calibri"/>
          <w:sz w:val="20"/>
          <w:szCs w:val="20"/>
        </w:rPr>
        <w:t>4</w:t>
      </w:r>
      <w:r w:rsidR="00184DE5" w:rsidRPr="000939B8">
        <w:rPr>
          <w:rFonts w:ascii="Calibri" w:hAnsi="Calibri"/>
          <w:sz w:val="20"/>
          <w:szCs w:val="20"/>
        </w:rPr>
        <w:t>0</w:t>
      </w:r>
      <w:r w:rsidR="008427C3" w:rsidRPr="006958FD">
        <w:rPr>
          <w:rFonts w:ascii="Calibri" w:hAnsi="Calibri"/>
          <w:sz w:val="20"/>
          <w:szCs w:val="20"/>
        </w:rPr>
        <w:t xml:space="preserve"> </w:t>
      </w:r>
      <w:r w:rsidRPr="006958FD">
        <w:rPr>
          <w:rFonts w:ascii="Calibri" w:hAnsi="Calibri"/>
          <w:sz w:val="20"/>
          <w:szCs w:val="20"/>
        </w:rPr>
        <w:t>ILI Activity</w:t>
      </w:r>
      <w:r w:rsidR="00A773B2" w:rsidRPr="006958FD">
        <w:rPr>
          <w:rStyle w:val="FootnoteReference"/>
          <w:rFonts w:ascii="Calibri" w:hAnsi="Calibri"/>
          <w:sz w:val="20"/>
          <w:szCs w:val="20"/>
        </w:rPr>
        <w:footnoteReference w:id="2"/>
      </w:r>
      <w:r w:rsidR="00A773B2" w:rsidRPr="006958FD">
        <w:rPr>
          <w:rFonts w:ascii="Calibri" w:hAnsi="Calibri"/>
          <w:sz w:val="20"/>
          <w:szCs w:val="20"/>
        </w:rPr>
        <w:t xml:space="preserve"> (representing inten</w:t>
      </w:r>
      <w:r w:rsidR="00A773B2" w:rsidRPr="006D1E6E">
        <w:rPr>
          <w:rFonts w:ascii="Calibri" w:hAnsi="Calibri"/>
          <w:sz w:val="20"/>
          <w:szCs w:val="20"/>
        </w:rPr>
        <w:t>sity of ILI activity)</w:t>
      </w:r>
      <w:r w:rsidRPr="006D1E6E">
        <w:rPr>
          <w:rFonts w:ascii="Calibri" w:hAnsi="Calibri"/>
          <w:sz w:val="20"/>
          <w:szCs w:val="20"/>
        </w:rPr>
        <w:t xml:space="preserve">: </w:t>
      </w:r>
      <w:r w:rsidR="000939B8" w:rsidRPr="000939B8">
        <w:rPr>
          <w:rFonts w:ascii="Calibri" w:hAnsi="Calibri"/>
          <w:sz w:val="20"/>
          <w:szCs w:val="20"/>
        </w:rPr>
        <w:t>2</w:t>
      </w:r>
      <w:r w:rsidR="008427C3" w:rsidRPr="000939B8">
        <w:rPr>
          <w:rFonts w:ascii="Calibri" w:hAnsi="Calibri"/>
          <w:sz w:val="20"/>
          <w:szCs w:val="20"/>
        </w:rPr>
        <w:t xml:space="preserve"> (Minimal)</w:t>
      </w:r>
    </w:p>
    <w:p w14:paraId="48CD6A1A" w14:textId="77777777" w:rsidR="00E23502" w:rsidRDefault="009C1AEA" w:rsidP="00751719">
      <w:pPr>
        <w:rPr>
          <w:rFonts w:ascii="Calibri" w:hAnsi="Calibri"/>
          <w:sz w:val="20"/>
          <w:szCs w:val="20"/>
        </w:rPr>
      </w:pPr>
      <w:r w:rsidRPr="002F4C0C">
        <w:rPr>
          <w:rFonts w:ascii="Calibri" w:hAnsi="Calibri"/>
          <w:color w:val="000000"/>
          <w:sz w:val="20"/>
          <w:szCs w:val="20"/>
        </w:rPr>
        <w:t>Provider offices</w:t>
      </w:r>
      <w:r w:rsidRPr="007E3EC9">
        <w:rPr>
          <w:rFonts w:ascii="Calibri" w:hAnsi="Calibri"/>
          <w:color w:val="000000"/>
          <w:sz w:val="20"/>
          <w:szCs w:val="20"/>
        </w:rPr>
        <w:t xml:space="preserve"> across the US report the amount of influenza-like illness (ILI) they see in their patients each week during regular flu season.  </w:t>
      </w:r>
      <w:r w:rsidRPr="002F4C0C">
        <w:rPr>
          <w:rFonts w:ascii="Calibri" w:hAnsi="Calibri"/>
          <w:color w:val="000000"/>
          <w:sz w:val="20"/>
          <w:szCs w:val="20"/>
        </w:rPr>
        <w:t xml:space="preserve">These </w:t>
      </w:r>
      <w:r w:rsidR="002F4C0C">
        <w:rPr>
          <w:rFonts w:ascii="Calibri" w:hAnsi="Calibri"/>
          <w:color w:val="000000"/>
          <w:sz w:val="20"/>
          <w:szCs w:val="20"/>
        </w:rPr>
        <w:t xml:space="preserve">outpatient providers’ offices, which include </w:t>
      </w:r>
      <w:r w:rsidRPr="002F4C0C">
        <w:rPr>
          <w:rFonts w:ascii="Calibri" w:hAnsi="Calibri"/>
          <w:color w:val="000000"/>
          <w:sz w:val="20"/>
          <w:szCs w:val="20"/>
        </w:rPr>
        <w:t>doctors' off</w:t>
      </w:r>
      <w:r w:rsidR="000C0499" w:rsidRPr="002F4C0C">
        <w:rPr>
          <w:rFonts w:ascii="Calibri" w:hAnsi="Calibri"/>
          <w:color w:val="000000"/>
          <w:sz w:val="20"/>
          <w:szCs w:val="20"/>
        </w:rPr>
        <w:t>ices</w:t>
      </w:r>
      <w:r w:rsidR="002F4C0C">
        <w:rPr>
          <w:rFonts w:ascii="Calibri" w:hAnsi="Calibri"/>
          <w:color w:val="000000"/>
          <w:sz w:val="20"/>
          <w:szCs w:val="20"/>
        </w:rPr>
        <w:t>, school health services, and community health centers,</w:t>
      </w:r>
      <w:r w:rsidR="000C0499">
        <w:rPr>
          <w:rFonts w:ascii="Calibri" w:hAnsi="Calibri"/>
          <w:color w:val="000000"/>
          <w:sz w:val="20"/>
          <w:szCs w:val="20"/>
        </w:rPr>
        <w:t xml:space="preserve"> are called 'sentinel sites</w:t>
      </w:r>
      <w:r w:rsidRPr="007E3EC9">
        <w:rPr>
          <w:rFonts w:ascii="Calibri" w:hAnsi="Calibri"/>
          <w:color w:val="000000"/>
          <w:sz w:val="20"/>
          <w:szCs w:val="20"/>
        </w:rPr>
        <w:t>.</w:t>
      </w:r>
      <w:r w:rsidR="000C0499">
        <w:rPr>
          <w:rFonts w:ascii="Calibri" w:hAnsi="Calibri"/>
          <w:color w:val="000000"/>
          <w:sz w:val="20"/>
          <w:szCs w:val="20"/>
        </w:rPr>
        <w:t>’</w:t>
      </w:r>
      <w:r w:rsidRPr="007E3EC9">
        <w:rPr>
          <w:rFonts w:ascii="Calibri" w:hAnsi="Calibri"/>
          <w:color w:val="000000"/>
          <w:sz w:val="20"/>
          <w:szCs w:val="20"/>
        </w:rPr>
        <w:t xml:space="preserve">  Here we present Massachusetts sentinel site data.  Please note that the data represent </w:t>
      </w:r>
      <w:r w:rsidR="00B204EC">
        <w:rPr>
          <w:rFonts w:ascii="Calibri" w:hAnsi="Calibri"/>
          <w:color w:val="000000"/>
          <w:sz w:val="20"/>
          <w:szCs w:val="20"/>
        </w:rPr>
        <w:t xml:space="preserve">not </w:t>
      </w:r>
      <w:r w:rsidRPr="007E3EC9">
        <w:rPr>
          <w:rFonts w:ascii="Calibri" w:hAnsi="Calibri"/>
          <w:color w:val="000000"/>
          <w:sz w:val="20"/>
          <w:szCs w:val="20"/>
        </w:rPr>
        <w:t>only confirmed influenza cases, but also those just with ILI, which may be caused by other viruses. ILI is defined as fever above 100</w:t>
      </w:r>
      <w:r w:rsidR="000056FE">
        <w:rPr>
          <w:rFonts w:ascii="Calibri" w:hAnsi="Calibri"/>
          <w:color w:val="000000"/>
          <w:sz w:val="20"/>
          <w:szCs w:val="20"/>
        </w:rPr>
        <w:t>F</w:t>
      </w:r>
      <w:r w:rsidRPr="007E3EC9">
        <w:rPr>
          <w:rFonts w:ascii="Calibri" w:hAnsi="Calibri"/>
          <w:color w:val="000000"/>
          <w:sz w:val="20"/>
          <w:szCs w:val="20"/>
          <w:vertAlign w:val="superscript"/>
        </w:rPr>
        <w:t xml:space="preserve"> </w:t>
      </w:r>
      <w:r w:rsidRPr="007E3EC9">
        <w:rPr>
          <w:rFonts w:ascii="Calibri" w:hAnsi="Calibri"/>
          <w:color w:val="000000"/>
          <w:sz w:val="20"/>
          <w:szCs w:val="20"/>
        </w:rPr>
        <w:t xml:space="preserve">in addition to either cough or sore throat.  ILI is </w:t>
      </w:r>
      <w:r w:rsidRPr="002E2975">
        <w:rPr>
          <w:rFonts w:ascii="Calibri" w:hAnsi="Calibri"/>
          <w:color w:val="000000"/>
          <w:sz w:val="20"/>
          <w:szCs w:val="20"/>
        </w:rPr>
        <w:t xml:space="preserve">a marker of influenza and is used throughout the regular influenza season to monitor influenza since most people are not tested for </w:t>
      </w:r>
      <w:r w:rsidR="006136F2" w:rsidRPr="002E2975">
        <w:rPr>
          <w:rFonts w:ascii="Calibri" w:hAnsi="Calibri"/>
          <w:color w:val="000000"/>
          <w:sz w:val="20"/>
          <w:szCs w:val="20"/>
        </w:rPr>
        <w:t xml:space="preserve">influenza.  </w:t>
      </w:r>
      <w:r w:rsidR="000939B8" w:rsidRPr="005963B3">
        <w:rPr>
          <w:rFonts w:ascii="Calibri" w:hAnsi="Calibri"/>
          <w:color w:val="000000"/>
          <w:sz w:val="20"/>
          <w:szCs w:val="20"/>
        </w:rPr>
        <w:t xml:space="preserve">Figure 1 shows that ILI activity </w:t>
      </w:r>
      <w:r w:rsidR="000939B8">
        <w:rPr>
          <w:rFonts w:ascii="Calibri" w:hAnsi="Calibri"/>
          <w:color w:val="000000"/>
          <w:sz w:val="20"/>
          <w:szCs w:val="20"/>
        </w:rPr>
        <w:t>is</w:t>
      </w:r>
      <w:r w:rsidR="000939B8" w:rsidRPr="005963B3">
        <w:rPr>
          <w:rFonts w:ascii="Calibri" w:hAnsi="Calibri"/>
          <w:color w:val="000000"/>
          <w:sz w:val="20"/>
          <w:szCs w:val="20"/>
        </w:rPr>
        <w:t xml:space="preserve"> low and is consistent with activity levels normally seen at this time of year</w:t>
      </w:r>
      <w:r w:rsidR="000939B8">
        <w:rPr>
          <w:rFonts w:ascii="Calibri" w:hAnsi="Calibri"/>
          <w:color w:val="000000"/>
          <w:sz w:val="20"/>
          <w:szCs w:val="20"/>
        </w:rPr>
        <w:t xml:space="preserve">. </w:t>
      </w:r>
      <w:r w:rsidR="00A773B2" w:rsidRPr="002E2975">
        <w:rPr>
          <w:rFonts w:ascii="Calibri" w:hAnsi="Calibri"/>
          <w:color w:val="000000"/>
          <w:sz w:val="20"/>
          <w:szCs w:val="20"/>
        </w:rPr>
        <w:t xml:space="preserve">For more information, see CDC’s influenza surveillance website at </w:t>
      </w:r>
      <w:hyperlink r:id="rId8" w:tooltip="http://www.cdc.gov/flu/weekly/fluactivitysurv.htm" w:history="1">
        <w:r w:rsidR="00A90A47" w:rsidRPr="002E2975">
          <w:rPr>
            <w:rStyle w:val="Hyperlink"/>
            <w:rFonts w:ascii="Calibri" w:hAnsi="Calibri" w:cs="Arial"/>
            <w:sz w:val="20"/>
            <w:szCs w:val="20"/>
          </w:rPr>
          <w:t>www.cdc.gov/flu/weekly/fluactivit</w:t>
        </w:r>
        <w:r w:rsidR="00A90A47" w:rsidRPr="002E2975">
          <w:rPr>
            <w:rStyle w:val="Hyperlink"/>
            <w:rFonts w:ascii="Calibri" w:hAnsi="Calibri" w:cs="Arial"/>
            <w:sz w:val="20"/>
            <w:szCs w:val="20"/>
          </w:rPr>
          <w:t>y</w:t>
        </w:r>
        <w:r w:rsidR="00A90A47" w:rsidRPr="002E2975">
          <w:rPr>
            <w:rStyle w:val="Hyperlink"/>
            <w:rFonts w:ascii="Calibri" w:hAnsi="Calibri" w:cs="Arial"/>
            <w:sz w:val="20"/>
            <w:szCs w:val="20"/>
          </w:rPr>
          <w:t>surv.htm</w:t>
        </w:r>
      </w:hyperlink>
      <w:r w:rsidR="00A773B2" w:rsidRPr="002E2975">
        <w:rPr>
          <w:rFonts w:ascii="Calibri" w:hAnsi="Calibri"/>
          <w:sz w:val="20"/>
          <w:szCs w:val="20"/>
        </w:rPr>
        <w:t>.</w:t>
      </w:r>
    </w:p>
    <w:p w14:paraId="0B6C347A" w14:textId="77777777" w:rsidR="002E2975" w:rsidRDefault="002E2975" w:rsidP="00751719">
      <w:pPr>
        <w:rPr>
          <w:rFonts w:ascii="Calibri" w:hAnsi="Calibri"/>
          <w:sz w:val="20"/>
          <w:szCs w:val="20"/>
        </w:rPr>
      </w:pPr>
    </w:p>
    <w:p w14:paraId="5125D54E" w14:textId="77777777" w:rsidR="000939B8" w:rsidRDefault="000939B8" w:rsidP="000939B8">
      <w:pPr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pict w14:anchorId="456961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ercentage of ILI visits reported by sentinel provider sites; last updated October 6, 2018." style="width:497pt;height:372.5pt">
            <v:imagedata r:id="rId9" o:title="ili40"/>
          </v:shape>
        </w:pict>
      </w:r>
      <w:r w:rsidR="00E23502">
        <w:rPr>
          <w:rFonts w:ascii="Calibri" w:hAnsi="Calibri"/>
          <w:color w:val="000000"/>
          <w:sz w:val="20"/>
          <w:szCs w:val="20"/>
        </w:rPr>
        <w:br w:type="page"/>
      </w:r>
    </w:p>
    <w:p w14:paraId="3374F8E3" w14:textId="77777777" w:rsidR="00902A10" w:rsidRDefault="00E40F41" w:rsidP="00902A10">
      <w:pPr>
        <w:rPr>
          <w:rFonts w:ascii="Calibri" w:hAnsi="Calibri"/>
          <w:sz w:val="20"/>
          <w:szCs w:val="20"/>
          <w:highlight w:val="yellow"/>
        </w:rPr>
      </w:pPr>
      <w:r w:rsidRPr="00E40F41">
        <w:rPr>
          <w:rFonts w:ascii="Calibri" w:hAnsi="Calibri"/>
          <w:color w:val="000000"/>
          <w:sz w:val="20"/>
          <w:szCs w:val="20"/>
        </w:rPr>
        <w:t xml:space="preserve">Figure 2 shows the intensity of reported ILI activity in Massachusetts by region. The activity level for each region (and associated color) is in relation to a baseline ILI activity level for that region.  Differences in activity may reflect variation in the size and type of patient population served by reporters in that region.  </w:t>
      </w:r>
      <w:r w:rsidR="00902A10">
        <w:rPr>
          <w:rFonts w:ascii="Calibri" w:hAnsi="Calibri"/>
          <w:color w:val="000000"/>
          <w:sz w:val="20"/>
          <w:szCs w:val="20"/>
        </w:rPr>
        <w:t xml:space="preserve">Figure 2 shows </w:t>
      </w:r>
      <w:r w:rsidR="00902A10" w:rsidRPr="00183FFB">
        <w:rPr>
          <w:rFonts w:ascii="Calibri" w:hAnsi="Calibri"/>
          <w:color w:val="000000"/>
          <w:sz w:val="20"/>
          <w:szCs w:val="20"/>
        </w:rPr>
        <w:t>that the Northeast</w:t>
      </w:r>
      <w:r w:rsidR="00902A10">
        <w:rPr>
          <w:rFonts w:ascii="Calibri" w:hAnsi="Calibri"/>
          <w:color w:val="000000"/>
          <w:sz w:val="20"/>
          <w:szCs w:val="20"/>
        </w:rPr>
        <w:t>, Boston, and Central</w:t>
      </w:r>
      <w:r w:rsidR="00902A10" w:rsidRPr="00183FFB">
        <w:rPr>
          <w:rFonts w:ascii="Calibri" w:hAnsi="Calibri"/>
          <w:color w:val="000000"/>
          <w:sz w:val="20"/>
          <w:szCs w:val="20"/>
        </w:rPr>
        <w:t xml:space="preserve"> regions are reporting </w:t>
      </w:r>
      <w:r w:rsidR="00902A10">
        <w:rPr>
          <w:rFonts w:ascii="Calibri" w:hAnsi="Calibri"/>
          <w:color w:val="000000"/>
          <w:sz w:val="20"/>
          <w:szCs w:val="20"/>
        </w:rPr>
        <w:t xml:space="preserve">somewhat </w:t>
      </w:r>
      <w:r w:rsidR="00902A10" w:rsidRPr="00183FFB">
        <w:rPr>
          <w:rFonts w:ascii="Calibri" w:hAnsi="Calibri"/>
          <w:color w:val="000000"/>
          <w:sz w:val="20"/>
          <w:szCs w:val="20"/>
        </w:rPr>
        <w:t>increased ILI. All other regions are reporting low ILI activity.</w:t>
      </w:r>
    </w:p>
    <w:p w14:paraId="297CF75B" w14:textId="77777777" w:rsidR="00B2285D" w:rsidRPr="00902A10" w:rsidRDefault="00902A10" w:rsidP="00902A10">
      <w:pPr>
        <w:jc w:val="center"/>
        <w:rPr>
          <w:rFonts w:ascii="Calibri" w:hAnsi="Calibri"/>
          <w:sz w:val="20"/>
          <w:szCs w:val="20"/>
          <w:highlight w:val="yellow"/>
        </w:rPr>
      </w:pPr>
      <w:r>
        <w:rPr>
          <w:rFonts w:ascii="Calibri" w:hAnsi="Calibri"/>
          <w:sz w:val="20"/>
          <w:szCs w:val="20"/>
          <w:highlight w:val="yellow"/>
        </w:rPr>
        <w:pict w14:anchorId="76CD9362">
          <v:shape id="_x0000_i1026" type="#_x0000_t75" alt="Map of the percent ILI activity by region in Massachusetts as reported by sentinel provider sites; last updated October 6, 2018" style="width:463.5pt;height:323pt">
            <v:imagedata r:id="rId10" o:title="Regional ILI Week40" croptop="1920f" cropbottom="8448f" cropleft="2673f" cropright="1683f"/>
          </v:shape>
        </w:pict>
      </w:r>
    </w:p>
    <w:p w14:paraId="3A2A1E33" w14:textId="77777777" w:rsidR="00B74464" w:rsidRPr="004F3C2D" w:rsidRDefault="00B74464" w:rsidP="00B74464">
      <w:pPr>
        <w:adjustRightInd w:val="0"/>
        <w:rPr>
          <w:rFonts w:ascii="Calibri" w:hAnsi="Calibri"/>
          <w:b/>
          <w:bCs/>
          <w:color w:val="000000"/>
          <w:u w:val="single"/>
        </w:rPr>
      </w:pPr>
      <w:r w:rsidRPr="00F05615">
        <w:rPr>
          <w:rFonts w:ascii="Calibri" w:hAnsi="Calibri"/>
          <w:b/>
          <w:bCs/>
          <w:color w:val="000000"/>
          <w:u w:val="single"/>
        </w:rPr>
        <w:t>Laboratory testing for influenza</w:t>
      </w:r>
    </w:p>
    <w:p w14:paraId="7CD55095" w14:textId="77777777" w:rsidR="00B74464" w:rsidRDefault="00B74464" w:rsidP="00B74464">
      <w:pPr>
        <w:adjustRightInd w:val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Laboratories in Massachusetts report all positive influenza laboratory tests to</w:t>
      </w:r>
      <w:r w:rsidR="000056FE">
        <w:rPr>
          <w:rFonts w:ascii="Calibri" w:hAnsi="Calibri"/>
          <w:color w:val="000000"/>
          <w:sz w:val="20"/>
          <w:szCs w:val="20"/>
        </w:rPr>
        <w:t xml:space="preserve"> the Massachusetts Department of Public Health (MDPH), including viral culture and </w:t>
      </w:r>
      <w:r>
        <w:rPr>
          <w:rFonts w:ascii="Calibri" w:hAnsi="Calibri"/>
          <w:color w:val="000000"/>
          <w:sz w:val="20"/>
          <w:szCs w:val="20"/>
        </w:rPr>
        <w:t>polymerase chain reaction (PCR)</w:t>
      </w:r>
      <w:r w:rsidR="000056FE">
        <w:rPr>
          <w:rFonts w:ascii="Calibri" w:hAnsi="Calibri"/>
          <w:color w:val="000000"/>
          <w:sz w:val="20"/>
          <w:szCs w:val="20"/>
        </w:rPr>
        <w:t xml:space="preserve">. </w:t>
      </w:r>
      <w:r>
        <w:rPr>
          <w:rFonts w:ascii="Calibri" w:hAnsi="Calibri"/>
          <w:color w:val="000000"/>
          <w:sz w:val="20"/>
          <w:szCs w:val="20"/>
        </w:rPr>
        <w:t>Because the majority of cases are not tested, t</w:t>
      </w:r>
      <w:r w:rsidRPr="00A202D4">
        <w:rPr>
          <w:rFonts w:ascii="Calibri" w:hAnsi="Calibri"/>
          <w:color w:val="000000"/>
          <w:sz w:val="20"/>
          <w:szCs w:val="20"/>
        </w:rPr>
        <w:t>he number of 'confirmed' cases does not reflect the overall incidence of influenza</w:t>
      </w:r>
      <w:r>
        <w:rPr>
          <w:rFonts w:ascii="Calibri" w:hAnsi="Calibri"/>
          <w:color w:val="000000"/>
          <w:sz w:val="20"/>
          <w:szCs w:val="20"/>
        </w:rPr>
        <w:t>; however, this information is essential to track the types of influenza circulating in Massachusetts and can be a useful indicator of the presence and distribution of influenza in the state</w:t>
      </w:r>
      <w:r w:rsidRPr="00E8562A">
        <w:rPr>
          <w:rFonts w:ascii="Calibri" w:hAnsi="Calibri"/>
          <w:color w:val="000000"/>
          <w:sz w:val="20"/>
          <w:szCs w:val="20"/>
        </w:rPr>
        <w:t xml:space="preserve">.  </w:t>
      </w:r>
      <w:r w:rsidR="00625C13" w:rsidRPr="00E8562A">
        <w:rPr>
          <w:rFonts w:ascii="Calibri" w:hAnsi="Calibri"/>
          <w:color w:val="000000"/>
          <w:sz w:val="20"/>
          <w:szCs w:val="20"/>
        </w:rPr>
        <w:t>Table</w:t>
      </w:r>
      <w:r w:rsidR="00625C13">
        <w:rPr>
          <w:rFonts w:ascii="Calibri" w:hAnsi="Calibri"/>
          <w:color w:val="000000"/>
          <w:sz w:val="20"/>
          <w:szCs w:val="20"/>
        </w:rPr>
        <w:t xml:space="preserve"> 1 reflects the number of influenza cases confirmed via viral culture or PCR test by region and influenza type. </w:t>
      </w:r>
      <w:r w:rsidRPr="00E8562A">
        <w:rPr>
          <w:rFonts w:ascii="Calibri" w:hAnsi="Calibri"/>
          <w:color w:val="000000"/>
          <w:sz w:val="20"/>
          <w:szCs w:val="20"/>
        </w:rPr>
        <w:t xml:space="preserve">Figure 3 illustrates the number of </w:t>
      </w:r>
      <w:proofErr w:type="gramStart"/>
      <w:r w:rsidRPr="00E8562A">
        <w:rPr>
          <w:rFonts w:ascii="Calibri" w:hAnsi="Calibri"/>
          <w:color w:val="000000"/>
          <w:sz w:val="20"/>
          <w:szCs w:val="20"/>
        </w:rPr>
        <w:t>laboratory</w:t>
      </w:r>
      <w:proofErr w:type="gramEnd"/>
      <w:r w:rsidRPr="00E8562A">
        <w:rPr>
          <w:rFonts w:ascii="Calibri" w:hAnsi="Calibri"/>
          <w:color w:val="000000"/>
          <w:sz w:val="20"/>
          <w:szCs w:val="20"/>
        </w:rPr>
        <w:t xml:space="preserve"> confirmed cases in Massachusetts by week, shown along with Massachusetts ILI. </w:t>
      </w:r>
    </w:p>
    <w:p w14:paraId="1E815DF7" w14:textId="77777777" w:rsidR="00B2285D" w:rsidRPr="00B2285D" w:rsidRDefault="00B2285D" w:rsidP="00B74464">
      <w:pPr>
        <w:adjustRightInd w:val="0"/>
        <w:rPr>
          <w:rFonts w:ascii="Calibri" w:hAnsi="Calibri"/>
          <w:color w:val="000000"/>
          <w:sz w:val="12"/>
          <w:szCs w:val="12"/>
        </w:rPr>
      </w:pPr>
    </w:p>
    <w:p w14:paraId="63FE8DB1" w14:textId="77777777" w:rsidR="004F3C2D" w:rsidRDefault="00B74464" w:rsidP="00B74464">
      <w:pPr>
        <w:jc w:val="center"/>
        <w:rPr>
          <w:rFonts w:ascii="Calibri" w:hAnsi="Calibri"/>
          <w:b/>
          <w:bCs/>
          <w:color w:val="000000"/>
          <w:u w:val="single"/>
        </w:rPr>
      </w:pPr>
      <w:r w:rsidRPr="00902A10">
        <w:rPr>
          <w:rFonts w:ascii="Calibri" w:hAnsi="Calibri"/>
          <w:b/>
          <w:bCs/>
          <w:i/>
          <w:iCs/>
          <w:color w:val="000000"/>
          <w:sz w:val="22"/>
          <w:szCs w:val="22"/>
        </w:rPr>
        <w:t>Table 1: Laboratory-confirmed Influenza by Region – 201</w:t>
      </w:r>
      <w:r w:rsidR="0070305E" w:rsidRPr="00902A10">
        <w:rPr>
          <w:rFonts w:ascii="Calibri" w:hAnsi="Calibri"/>
          <w:b/>
          <w:bCs/>
          <w:i/>
          <w:iCs/>
          <w:color w:val="000000"/>
          <w:sz w:val="22"/>
          <w:szCs w:val="22"/>
        </w:rPr>
        <w:t>8</w:t>
      </w:r>
      <w:r w:rsidRPr="00902A10">
        <w:rPr>
          <w:rFonts w:ascii="Calibri" w:hAnsi="Calibri"/>
          <w:b/>
          <w:bCs/>
          <w:i/>
          <w:iCs/>
          <w:color w:val="000000"/>
          <w:sz w:val="22"/>
          <w:szCs w:val="22"/>
        </w:rPr>
        <w:t>-201</w:t>
      </w:r>
      <w:r w:rsidR="0070305E" w:rsidRPr="00902A10">
        <w:rPr>
          <w:rFonts w:ascii="Calibri" w:hAnsi="Calibri"/>
          <w:b/>
          <w:bCs/>
          <w:i/>
          <w:iCs/>
          <w:color w:val="000000"/>
          <w:sz w:val="22"/>
          <w:szCs w:val="22"/>
        </w:rPr>
        <w:t>9</w:t>
      </w:r>
      <w:r w:rsidRPr="00902A10">
        <w:rPr>
          <w:rFonts w:ascii="Calibri" w:hAnsi="Calibri"/>
          <w:b/>
          <w:bCs/>
          <w:i/>
          <w:iCs/>
          <w:color w:val="000000"/>
          <w:sz w:val="22"/>
          <w:szCs w:val="22"/>
        </w:rPr>
        <w:t xml:space="preserve"> and 201</w:t>
      </w:r>
      <w:r w:rsidR="0070305E" w:rsidRPr="00902A10">
        <w:rPr>
          <w:rFonts w:ascii="Calibri" w:hAnsi="Calibri"/>
          <w:b/>
          <w:bCs/>
          <w:i/>
          <w:iCs/>
          <w:color w:val="000000"/>
          <w:sz w:val="22"/>
          <w:szCs w:val="22"/>
        </w:rPr>
        <w:t>7</w:t>
      </w:r>
      <w:r w:rsidRPr="00902A10">
        <w:rPr>
          <w:rFonts w:ascii="Calibri" w:hAnsi="Calibri"/>
          <w:b/>
          <w:bCs/>
          <w:i/>
          <w:iCs/>
          <w:color w:val="000000"/>
          <w:sz w:val="22"/>
          <w:szCs w:val="22"/>
        </w:rPr>
        <w:t>-201</w:t>
      </w:r>
      <w:r w:rsidR="0070305E" w:rsidRPr="00902A10">
        <w:rPr>
          <w:rFonts w:ascii="Calibri" w:hAnsi="Calibri"/>
          <w:b/>
          <w:bCs/>
          <w:i/>
          <w:iCs/>
          <w:color w:val="000000"/>
          <w:sz w:val="22"/>
          <w:szCs w:val="22"/>
        </w:rPr>
        <w:t>8</w:t>
      </w:r>
      <w:r w:rsidRPr="00902A10">
        <w:rPr>
          <w:rFonts w:ascii="Calibri" w:hAnsi="Calibri"/>
          <w:b/>
          <w:bCs/>
          <w:i/>
          <w:iCs/>
          <w:color w:val="000000"/>
          <w:sz w:val="22"/>
          <w:szCs w:val="22"/>
        </w:rPr>
        <w:t xml:space="preserve"> Influenza Seasons</w:t>
      </w:r>
    </w:p>
    <w:tbl>
      <w:tblPr>
        <w:tblW w:w="7507" w:type="dxa"/>
        <w:jc w:val="center"/>
        <w:tblLook w:val="04A0" w:firstRow="1" w:lastRow="0" w:firstColumn="1" w:lastColumn="0" w:noHBand="0" w:noVBand="1"/>
      </w:tblPr>
      <w:tblGrid>
        <w:gridCol w:w="1960"/>
        <w:gridCol w:w="764"/>
        <w:gridCol w:w="728"/>
        <w:gridCol w:w="764"/>
        <w:gridCol w:w="573"/>
        <w:gridCol w:w="801"/>
        <w:gridCol w:w="559"/>
        <w:gridCol w:w="801"/>
        <w:gridCol w:w="557"/>
      </w:tblGrid>
      <w:tr w:rsidR="00902A10" w:rsidRPr="009C5E07" w14:paraId="6AE7BB62" w14:textId="77777777" w:rsidTr="00213A46">
        <w:trPr>
          <w:trHeight w:val="302"/>
          <w:jc w:val="center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8EABA6" w14:textId="77777777" w:rsidR="00902A10" w:rsidRDefault="00902A10" w:rsidP="00E27BE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5BCBCE" w14:textId="77777777" w:rsidR="00902A10" w:rsidRPr="009C5E07" w:rsidRDefault="00902A10" w:rsidP="00E27BE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201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8-2019</w:t>
            </w:r>
          </w:p>
        </w:tc>
        <w:tc>
          <w:tcPr>
            <w:tcW w:w="271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7A68923" w14:textId="77777777" w:rsidR="00902A10" w:rsidRPr="009C5E07" w:rsidRDefault="00902A10" w:rsidP="00184D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2017</w:t>
            </w: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-201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</w:tr>
      <w:tr w:rsidR="00902A10" w:rsidRPr="009C5E07" w14:paraId="138F534B" w14:textId="77777777" w:rsidTr="00902A10">
        <w:trPr>
          <w:trHeight w:val="302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0C9D3B" w14:textId="77777777" w:rsidR="00902A10" w:rsidRPr="009C5E07" w:rsidRDefault="00902A10" w:rsidP="00E27BE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F8B960" w14:textId="77777777" w:rsidR="00902A10" w:rsidRPr="009C5E07" w:rsidRDefault="00902A10" w:rsidP="00E27BE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EC62A7" w14:textId="77777777" w:rsidR="00902A10" w:rsidRPr="009C5E07" w:rsidRDefault="00902A10" w:rsidP="00E27BE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918527" w14:textId="77777777" w:rsidR="00902A10" w:rsidRPr="009C5E07" w:rsidRDefault="00902A10" w:rsidP="00E27BE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ADCC9C" w14:textId="77777777" w:rsidR="00902A10" w:rsidRPr="009C5E07" w:rsidRDefault="00902A10" w:rsidP="00E27BE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B</w:t>
            </w:r>
          </w:p>
        </w:tc>
      </w:tr>
      <w:tr w:rsidR="00902A10" w:rsidRPr="009C5E07" w14:paraId="14083E82" w14:textId="77777777" w:rsidTr="00902A10">
        <w:trPr>
          <w:trHeight w:val="302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7B16D2" w14:textId="77777777" w:rsidR="00902A10" w:rsidRPr="009C5E07" w:rsidRDefault="00902A10" w:rsidP="00E27BE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27676F" w14:textId="77777777" w:rsidR="00902A10" w:rsidRPr="009C5E07" w:rsidRDefault="00902A10" w:rsidP="00E27BE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B7CB98" w14:textId="77777777" w:rsidR="00902A10" w:rsidRPr="009C5E07" w:rsidRDefault="00902A10" w:rsidP="00E27BE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YTD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0A3787" w14:textId="77777777" w:rsidR="00902A10" w:rsidRPr="009C5E07" w:rsidRDefault="00902A10" w:rsidP="00E27BE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00D717" w14:textId="77777777" w:rsidR="00902A10" w:rsidRPr="009C5E07" w:rsidRDefault="00902A10" w:rsidP="00E27BE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YTD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4844CE" w14:textId="77777777" w:rsidR="00902A10" w:rsidRPr="009C5E07" w:rsidRDefault="00902A10" w:rsidP="00E27BE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8461B2" w14:textId="77777777" w:rsidR="00902A10" w:rsidRPr="009C5E07" w:rsidRDefault="00902A10" w:rsidP="00E27BE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YTD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A4C8C0" w14:textId="77777777" w:rsidR="00902A10" w:rsidRPr="009C5E07" w:rsidRDefault="00902A10" w:rsidP="00E27BE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B6347C" w14:textId="77777777" w:rsidR="00902A10" w:rsidRPr="009C5E07" w:rsidRDefault="00902A10" w:rsidP="00E27BE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YTD</w:t>
            </w:r>
          </w:p>
        </w:tc>
      </w:tr>
      <w:tr w:rsidR="009B6F09" w:rsidRPr="009C5E07" w14:paraId="4FF4316C" w14:textId="77777777" w:rsidTr="00902A10">
        <w:trPr>
          <w:trHeight w:val="302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52C351" w14:textId="77777777" w:rsidR="009B6F09" w:rsidRPr="009C5E07" w:rsidRDefault="009B6F09" w:rsidP="00E27BE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Boston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B5D8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BFAE2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7AA7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24E9C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6668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4BF2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442C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5435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902A10" w:rsidRPr="009C5E07" w14:paraId="52241827" w14:textId="77777777" w:rsidTr="00902A10">
        <w:trPr>
          <w:trHeight w:val="302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18D09A" w14:textId="77777777" w:rsidR="00902A10" w:rsidRPr="009C5E07" w:rsidRDefault="00902A10" w:rsidP="00E27BE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Central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9203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976C5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E632C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F4F59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3E44B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9FEB8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D9AC9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7BE80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9B6F09" w:rsidRPr="009C5E07" w14:paraId="0AF84D67" w14:textId="77777777" w:rsidTr="00902A10">
        <w:trPr>
          <w:trHeight w:val="302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BF8056" w14:textId="77777777" w:rsidR="009B6F09" w:rsidRPr="009C5E07" w:rsidRDefault="009B6F09" w:rsidP="00E27BE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Inner Metro Boston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39DC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85DD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73A11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B5C4B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72FA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7B078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9C8A7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39F6F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9B6F09" w:rsidRPr="009C5E07" w14:paraId="7B5252F6" w14:textId="77777777" w:rsidTr="00902A10">
        <w:trPr>
          <w:trHeight w:val="302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BE275B" w14:textId="77777777" w:rsidR="009B6F09" w:rsidRPr="009C5E07" w:rsidRDefault="009B6F09" w:rsidP="00E27BE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Northeast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8BE15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CE05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C7DF7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5928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E00A4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5464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15EBD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4D68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9B6F09" w:rsidRPr="009C5E07" w14:paraId="498C8C13" w14:textId="77777777" w:rsidTr="00902A10">
        <w:trPr>
          <w:trHeight w:val="302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45B2D0" w14:textId="77777777" w:rsidR="009B6F09" w:rsidRPr="009C5E07" w:rsidRDefault="009B6F09" w:rsidP="00E27BE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Outer Metro Boston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8A63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D3FB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F9C2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85C72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5A81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FDF94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D01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A9D9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902A10" w:rsidRPr="009C5E07" w14:paraId="3E8E0443" w14:textId="77777777" w:rsidTr="00902A10">
        <w:trPr>
          <w:trHeight w:val="302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E68F1E" w14:textId="77777777" w:rsidR="00902A10" w:rsidRPr="009C5E07" w:rsidRDefault="00902A10" w:rsidP="00E27BE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Southeast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D4B83" w14:textId="77777777" w:rsidR="00902A10" w:rsidRP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6C3B9" w14:textId="77777777" w:rsidR="00902A10" w:rsidRP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F4F98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6DB0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A8F8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FF620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2722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40059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902A10" w:rsidRPr="009C5E07" w14:paraId="4F451349" w14:textId="77777777" w:rsidTr="00902A10">
        <w:trPr>
          <w:trHeight w:val="302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466570" w14:textId="77777777" w:rsidR="00902A10" w:rsidRPr="009C5E07" w:rsidRDefault="00902A10" w:rsidP="00E27BE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Unknown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777E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AF5A3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5863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1B690" w14:textId="77777777" w:rsidR="00902A10" w:rsidRP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A208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E014" w14:textId="77777777" w:rsidR="00902A10" w:rsidRP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22A92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7EB93" w14:textId="77777777" w:rsidR="00902A10" w:rsidRPr="009B6F09" w:rsidRDefault="00902A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6F09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9B6F09" w:rsidRPr="009C5E07" w14:paraId="327CE2BB" w14:textId="77777777" w:rsidTr="00902A10">
        <w:trPr>
          <w:trHeight w:val="302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01A9CB" w14:textId="77777777" w:rsidR="009B6F09" w:rsidRPr="009C5E07" w:rsidRDefault="009B6F09" w:rsidP="00E27BE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sz w:val="20"/>
                <w:szCs w:val="20"/>
              </w:rPr>
              <w:t>West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9527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5F327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DEDEB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D268A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C519F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4AA1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FE4B7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645B4" w14:textId="77777777" w:rsidR="009B6F09" w:rsidRDefault="009B6F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9B6F09" w14:paraId="613734EC" w14:textId="77777777" w:rsidTr="00902A10">
        <w:trPr>
          <w:trHeight w:val="302"/>
          <w:jc w:val="center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C12FFB0" w14:textId="77777777" w:rsidR="009B6F09" w:rsidRDefault="009B6F09" w:rsidP="00E27BEC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9C5E07"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7FE80862" w14:textId="77777777" w:rsidR="009B6F09" w:rsidRDefault="009B6F09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039684C7" w14:textId="77777777" w:rsidR="009B6F09" w:rsidRDefault="009B6F09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40706C6F" w14:textId="77777777" w:rsidR="009B6F09" w:rsidRDefault="009B6F09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33FCA342" w14:textId="77777777" w:rsidR="009B6F09" w:rsidRDefault="009B6F09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7E0FF902" w14:textId="77777777" w:rsidR="009B6F09" w:rsidRDefault="009B6F09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45D0C05B" w14:textId="77777777" w:rsidR="009B6F09" w:rsidRDefault="009B6F09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74703BFF" w14:textId="77777777" w:rsidR="009B6F09" w:rsidRDefault="009B6F09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10BA96C8" w14:textId="77777777" w:rsidR="009B6F09" w:rsidRDefault="009B6F09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</w:rPr>
              <w:t>1</w:t>
            </w:r>
          </w:p>
        </w:tc>
      </w:tr>
    </w:tbl>
    <w:p w14:paraId="1DF61967" w14:textId="77777777" w:rsidR="004F6E44" w:rsidRDefault="004F6E44" w:rsidP="004F6E44">
      <w:pPr>
        <w:adjustRightInd w:val="0"/>
        <w:rPr>
          <w:rFonts w:ascii="Calibri" w:hAnsi="Calibri"/>
          <w:color w:val="000000"/>
          <w:sz w:val="20"/>
          <w:szCs w:val="20"/>
        </w:rPr>
      </w:pPr>
    </w:p>
    <w:p w14:paraId="05394BD4" w14:textId="77777777" w:rsidR="00B2285D" w:rsidRPr="003F45B5" w:rsidRDefault="003F45B5" w:rsidP="003F45B5">
      <w:pPr>
        <w:adjustRightInd w:val="0"/>
        <w:jc w:val="center"/>
        <w:rPr>
          <w:rFonts w:ascii="Calibri" w:hAnsi="Calibri"/>
          <w:sz w:val="20"/>
          <w:szCs w:val="20"/>
          <w:highlight w:val="yellow"/>
        </w:rPr>
      </w:pPr>
      <w:r w:rsidRPr="003F45B5">
        <w:rPr>
          <w:rFonts w:ascii="Calibri" w:hAnsi="Calibri"/>
          <w:sz w:val="20"/>
          <w:szCs w:val="20"/>
        </w:rPr>
        <w:pict w14:anchorId="479BFF6D">
          <v:shape id="_x0000_i1027" type="#_x0000_t75" alt="Total laboratory-confirmed influenza cases and percent influenza-like illness; last updated October 6, 2018." style="width:408pt;height:305.5pt">
            <v:imagedata r:id="rId11" o:title="lab40"/>
          </v:shape>
        </w:pict>
      </w:r>
    </w:p>
    <w:p w14:paraId="021EBB77" w14:textId="77777777" w:rsidR="00E23502" w:rsidRDefault="00E23502" w:rsidP="00E23502">
      <w:pPr>
        <w:rPr>
          <w:rFonts w:ascii="Calibri" w:hAnsi="Calibri"/>
          <w:b/>
          <w:bCs/>
          <w:color w:val="000000"/>
          <w:u w:val="single"/>
        </w:rPr>
      </w:pPr>
      <w:r w:rsidRPr="00E23502">
        <w:rPr>
          <w:rFonts w:ascii="Calibri" w:hAnsi="Calibri"/>
          <w:b/>
          <w:bCs/>
          <w:color w:val="000000"/>
          <w:u w:val="single"/>
        </w:rPr>
        <w:t>Influenza-Associated Hospitalizations</w:t>
      </w:r>
    </w:p>
    <w:p w14:paraId="700A8797" w14:textId="77777777" w:rsidR="00B2285D" w:rsidRPr="00213A46" w:rsidRDefault="000056FE" w:rsidP="00E23502">
      <w:pPr>
        <w:rPr>
          <w:rFonts w:ascii="Calibri" w:hAnsi="Calibri"/>
          <w:color w:val="000000"/>
          <w:sz w:val="20"/>
          <w:szCs w:val="20"/>
        </w:rPr>
      </w:pPr>
      <w:r w:rsidRPr="00213A46">
        <w:rPr>
          <w:rFonts w:ascii="Calibri" w:hAnsi="Calibri"/>
          <w:color w:val="000000"/>
          <w:sz w:val="20"/>
          <w:szCs w:val="20"/>
        </w:rPr>
        <w:t>In 2015, MDPH began to collect emergency department (ED) visit data from hospitals in Massachusetts</w:t>
      </w:r>
      <w:r w:rsidR="00786DB2" w:rsidRPr="00213A46">
        <w:rPr>
          <w:rFonts w:ascii="Calibri" w:hAnsi="Calibri"/>
          <w:color w:val="000000"/>
          <w:sz w:val="20"/>
          <w:szCs w:val="20"/>
        </w:rPr>
        <w:t>, as part of the National Syndromic Surveillance Program</w:t>
      </w:r>
      <w:r w:rsidR="00A9587C" w:rsidRPr="00213A46">
        <w:rPr>
          <w:rFonts w:ascii="Calibri" w:hAnsi="Calibri"/>
          <w:color w:val="000000"/>
          <w:sz w:val="20"/>
          <w:szCs w:val="20"/>
        </w:rPr>
        <w:t xml:space="preserve">. </w:t>
      </w:r>
      <w:r w:rsidRPr="00213A46">
        <w:rPr>
          <w:rFonts w:ascii="Calibri" w:hAnsi="Calibri"/>
          <w:color w:val="000000"/>
          <w:sz w:val="20"/>
          <w:szCs w:val="20"/>
        </w:rPr>
        <w:t>MDPH receives data from 55 ED facilities or systems, constituting more than 90% of statewide ED visits captured in near real time. </w:t>
      </w:r>
      <w:r w:rsidR="00786DB2" w:rsidRPr="00213A46">
        <w:rPr>
          <w:rFonts w:ascii="Calibri" w:hAnsi="Calibri"/>
          <w:color w:val="000000"/>
          <w:sz w:val="20"/>
          <w:szCs w:val="20"/>
        </w:rPr>
        <w:t>This h</w:t>
      </w:r>
      <w:r w:rsidRPr="00213A46">
        <w:rPr>
          <w:rFonts w:ascii="Calibri" w:hAnsi="Calibri"/>
          <w:color w:val="000000"/>
          <w:sz w:val="20"/>
          <w:szCs w:val="20"/>
        </w:rPr>
        <w:t xml:space="preserve">ospital ED visit data </w:t>
      </w:r>
      <w:r w:rsidR="00A9587C" w:rsidRPr="00213A46">
        <w:rPr>
          <w:rFonts w:ascii="Calibri" w:hAnsi="Calibri"/>
          <w:color w:val="000000"/>
          <w:sz w:val="20"/>
          <w:szCs w:val="20"/>
        </w:rPr>
        <w:t xml:space="preserve">is used </w:t>
      </w:r>
      <w:r w:rsidRPr="00213A46">
        <w:rPr>
          <w:rFonts w:ascii="Calibri" w:hAnsi="Calibri"/>
          <w:color w:val="000000"/>
          <w:sz w:val="20"/>
          <w:szCs w:val="20"/>
        </w:rPr>
        <w:t xml:space="preserve">to track seasonal influenza trends </w:t>
      </w:r>
      <w:r w:rsidR="00A9587C" w:rsidRPr="00213A46">
        <w:rPr>
          <w:rFonts w:ascii="Calibri" w:hAnsi="Calibri"/>
          <w:color w:val="000000"/>
          <w:sz w:val="20"/>
          <w:szCs w:val="20"/>
        </w:rPr>
        <w:t>by monitoring</w:t>
      </w:r>
      <w:r w:rsidRPr="00213A46">
        <w:rPr>
          <w:rFonts w:ascii="Calibri" w:hAnsi="Calibri"/>
          <w:color w:val="000000"/>
          <w:sz w:val="20"/>
          <w:szCs w:val="20"/>
        </w:rPr>
        <w:t xml:space="preserve"> chi</w:t>
      </w:r>
      <w:r w:rsidR="00786DB2" w:rsidRPr="00213A46">
        <w:rPr>
          <w:rFonts w:ascii="Calibri" w:hAnsi="Calibri"/>
          <w:color w:val="000000"/>
          <w:sz w:val="20"/>
          <w:szCs w:val="20"/>
        </w:rPr>
        <w:t>ef complaint and diagnosis code-</w:t>
      </w:r>
      <w:r w:rsidRPr="00213A46">
        <w:rPr>
          <w:rFonts w:ascii="Calibri" w:hAnsi="Calibri"/>
          <w:color w:val="000000"/>
          <w:sz w:val="20"/>
          <w:szCs w:val="20"/>
        </w:rPr>
        <w:t>based syndromes. </w:t>
      </w:r>
      <w:r w:rsidR="00786DB2" w:rsidRPr="00213A46">
        <w:rPr>
          <w:rFonts w:ascii="Calibri" w:hAnsi="Calibri"/>
          <w:color w:val="000000"/>
          <w:sz w:val="20"/>
          <w:szCs w:val="20"/>
        </w:rPr>
        <w:t>The graph below shows influenza-</w:t>
      </w:r>
      <w:r w:rsidRPr="00213A46">
        <w:rPr>
          <w:rFonts w:ascii="Calibri" w:hAnsi="Calibri"/>
          <w:color w:val="000000"/>
          <w:sz w:val="20"/>
          <w:szCs w:val="20"/>
        </w:rPr>
        <w:t xml:space="preserve">associated hospitalizations as a percent of all </w:t>
      </w:r>
      <w:r w:rsidR="00786DB2" w:rsidRPr="00213A46">
        <w:rPr>
          <w:rFonts w:ascii="Calibri" w:hAnsi="Calibri"/>
          <w:color w:val="000000"/>
          <w:sz w:val="20"/>
          <w:szCs w:val="20"/>
        </w:rPr>
        <w:t xml:space="preserve">ED </w:t>
      </w:r>
      <w:r w:rsidRPr="00213A46">
        <w:rPr>
          <w:rFonts w:ascii="Calibri" w:hAnsi="Calibri"/>
          <w:color w:val="000000"/>
          <w:sz w:val="20"/>
          <w:szCs w:val="20"/>
        </w:rPr>
        <w:t>hospitalizations</w:t>
      </w:r>
      <w:r w:rsidR="00786DB2" w:rsidRPr="00213A46">
        <w:rPr>
          <w:rFonts w:ascii="Calibri" w:hAnsi="Calibri"/>
          <w:color w:val="000000"/>
          <w:sz w:val="20"/>
          <w:szCs w:val="20"/>
        </w:rPr>
        <w:t xml:space="preserve"> </w:t>
      </w:r>
      <w:r w:rsidR="001E37C8" w:rsidRPr="00213A46">
        <w:rPr>
          <w:rFonts w:ascii="Calibri" w:hAnsi="Calibri"/>
          <w:color w:val="000000"/>
          <w:sz w:val="20"/>
          <w:szCs w:val="20"/>
        </w:rPr>
        <w:t xml:space="preserve">for the current season and </w:t>
      </w:r>
      <w:r w:rsidRPr="00213A46">
        <w:rPr>
          <w:rFonts w:ascii="Calibri" w:hAnsi="Calibri"/>
          <w:color w:val="000000"/>
          <w:sz w:val="20"/>
          <w:szCs w:val="20"/>
        </w:rPr>
        <w:t>previous</w:t>
      </w:r>
      <w:r w:rsidR="001E37C8" w:rsidRPr="00213A46">
        <w:rPr>
          <w:rFonts w:ascii="Calibri" w:hAnsi="Calibri"/>
          <w:color w:val="000000"/>
          <w:sz w:val="20"/>
          <w:szCs w:val="20"/>
        </w:rPr>
        <w:t xml:space="preserve"> two</w:t>
      </w:r>
      <w:r w:rsidRPr="00213A46">
        <w:rPr>
          <w:rFonts w:ascii="Calibri" w:hAnsi="Calibri"/>
          <w:color w:val="000000"/>
          <w:sz w:val="20"/>
          <w:szCs w:val="20"/>
        </w:rPr>
        <w:t xml:space="preserve"> seasons. </w:t>
      </w:r>
    </w:p>
    <w:p w14:paraId="5F009102" w14:textId="77777777" w:rsidR="0090387A" w:rsidRPr="003F45B5" w:rsidRDefault="003F45B5" w:rsidP="003F45B5">
      <w:pPr>
        <w:adjustRightInd w:val="0"/>
        <w:jc w:val="center"/>
        <w:rPr>
          <w:rFonts w:ascii="Calibri" w:hAnsi="Calibri"/>
          <w:sz w:val="20"/>
          <w:szCs w:val="20"/>
          <w:highlight w:val="yellow"/>
        </w:rPr>
      </w:pPr>
      <w:r>
        <w:rPr>
          <w:rFonts w:ascii="Calibri" w:hAnsi="Calibri"/>
          <w:sz w:val="20"/>
          <w:szCs w:val="20"/>
          <w:highlight w:val="yellow"/>
        </w:rPr>
        <w:pict w14:anchorId="46A2D6EF">
          <v:shape id="_x0000_i1028" type="#_x0000_t75" alt="Influenza-associated hospitalization data received from emergency departments as part of MA syndromic surveillance; last updated October 6, 2018.  " style="width:395.5pt;height:297pt">
            <v:imagedata r:id="rId12" o:title="hosp40"/>
          </v:shape>
        </w:pict>
      </w:r>
    </w:p>
    <w:p w14:paraId="33C7F2E3" w14:textId="77777777" w:rsidR="00F84722" w:rsidRPr="00433F23" w:rsidRDefault="00F84722" w:rsidP="00F84722">
      <w:pPr>
        <w:adjustRightInd w:val="0"/>
        <w:rPr>
          <w:rFonts w:ascii="Calibri" w:hAnsi="Calibri"/>
          <w:b/>
          <w:bCs/>
          <w:color w:val="000000"/>
          <w:u w:val="single"/>
        </w:rPr>
      </w:pPr>
      <w:r w:rsidRPr="00433F23">
        <w:rPr>
          <w:rFonts w:ascii="Calibri" w:hAnsi="Calibri"/>
          <w:b/>
          <w:bCs/>
          <w:color w:val="000000"/>
          <w:u w:val="single"/>
        </w:rPr>
        <w:lastRenderedPageBreak/>
        <w:t xml:space="preserve">Testing at the </w:t>
      </w:r>
      <w:r w:rsidR="00432AC8">
        <w:rPr>
          <w:rFonts w:ascii="Calibri" w:hAnsi="Calibri"/>
          <w:b/>
          <w:bCs/>
          <w:color w:val="000000"/>
          <w:u w:val="single"/>
        </w:rPr>
        <w:t>State Public Health Laboratory</w:t>
      </w:r>
    </w:p>
    <w:p w14:paraId="18BDBD4B" w14:textId="77777777" w:rsidR="003F45B5" w:rsidRPr="00F84795" w:rsidRDefault="00CC567F" w:rsidP="00F84795">
      <w:pPr>
        <w:rPr>
          <w:rFonts w:ascii="Calibri" w:hAnsi="Calibri"/>
          <w:color w:val="000000"/>
          <w:sz w:val="20"/>
          <w:szCs w:val="20"/>
        </w:rPr>
      </w:pPr>
      <w:r w:rsidRPr="00365A13">
        <w:rPr>
          <w:rFonts w:ascii="Calibri" w:hAnsi="Calibri"/>
          <w:color w:val="000000"/>
          <w:sz w:val="20"/>
          <w:szCs w:val="20"/>
        </w:rPr>
        <w:t>As part of a more comprehensive respiratory surveillance initiative, MDPH’s Bureau</w:t>
      </w:r>
      <w:r w:rsidR="00432AC8">
        <w:rPr>
          <w:rFonts w:ascii="Calibri" w:hAnsi="Calibri"/>
          <w:color w:val="000000"/>
          <w:sz w:val="20"/>
          <w:szCs w:val="20"/>
        </w:rPr>
        <w:t xml:space="preserve"> of Infectious Disease and Laboratory Sciences (MDPH-BIDL</w:t>
      </w:r>
      <w:r w:rsidRPr="00365A13">
        <w:rPr>
          <w:rFonts w:ascii="Calibri" w:hAnsi="Calibri"/>
          <w:color w:val="000000"/>
          <w:sz w:val="20"/>
          <w:szCs w:val="20"/>
        </w:rPr>
        <w:t xml:space="preserve">S) performs testing to confirm typing and subtyping of circulating influenza viruses </w:t>
      </w:r>
      <w:r w:rsidRPr="00365A13">
        <w:rPr>
          <w:rFonts w:ascii="Calibri" w:hAnsi="Calibri"/>
          <w:bCs/>
          <w:sz w:val="20"/>
          <w:szCs w:val="20"/>
        </w:rPr>
        <w:t xml:space="preserve">followed by testing of influenza-negative samples for the </w:t>
      </w:r>
      <w:r>
        <w:rPr>
          <w:rFonts w:ascii="Calibri" w:hAnsi="Calibri"/>
          <w:bCs/>
          <w:sz w:val="20"/>
          <w:szCs w:val="20"/>
        </w:rPr>
        <w:t>evidence</w:t>
      </w:r>
      <w:r w:rsidRPr="00365A13">
        <w:rPr>
          <w:rFonts w:ascii="Calibri" w:hAnsi="Calibri"/>
          <w:bCs/>
          <w:sz w:val="20"/>
          <w:szCs w:val="20"/>
        </w:rPr>
        <w:t xml:space="preserve"> of adenovirus, respiratory syncytial virus (</w:t>
      </w:r>
      <w:r>
        <w:rPr>
          <w:rFonts w:ascii="Calibri" w:hAnsi="Calibri"/>
          <w:bCs/>
          <w:sz w:val="20"/>
          <w:szCs w:val="20"/>
        </w:rPr>
        <w:t>RSV) A/B</w:t>
      </w:r>
      <w:r w:rsidRPr="00365A13">
        <w:rPr>
          <w:rFonts w:ascii="Calibri" w:hAnsi="Calibri"/>
          <w:bCs/>
          <w:sz w:val="20"/>
          <w:szCs w:val="20"/>
        </w:rPr>
        <w:t>, parainfluenza virus</w:t>
      </w:r>
      <w:r>
        <w:rPr>
          <w:rFonts w:ascii="Calibri" w:hAnsi="Calibri"/>
          <w:bCs/>
          <w:sz w:val="20"/>
          <w:szCs w:val="20"/>
        </w:rPr>
        <w:t xml:space="preserve"> (PIV) t</w:t>
      </w:r>
      <w:r w:rsidRPr="00365A13">
        <w:rPr>
          <w:rFonts w:ascii="Calibri" w:hAnsi="Calibri"/>
          <w:bCs/>
          <w:sz w:val="20"/>
          <w:szCs w:val="20"/>
        </w:rPr>
        <w:t>ypes 1-4</w:t>
      </w:r>
      <w:r>
        <w:rPr>
          <w:rFonts w:ascii="Calibri" w:hAnsi="Calibri"/>
          <w:bCs/>
          <w:sz w:val="20"/>
          <w:szCs w:val="20"/>
        </w:rPr>
        <w:t xml:space="preserve"> , </w:t>
      </w:r>
      <w:r w:rsidRPr="00365A13">
        <w:rPr>
          <w:rFonts w:ascii="Calibri" w:hAnsi="Calibri"/>
          <w:bCs/>
          <w:sz w:val="20"/>
          <w:szCs w:val="20"/>
        </w:rPr>
        <w:t xml:space="preserve">coronavirus </w:t>
      </w:r>
      <w:r>
        <w:rPr>
          <w:rFonts w:ascii="Calibri" w:hAnsi="Calibri"/>
          <w:bCs/>
          <w:sz w:val="20"/>
          <w:szCs w:val="20"/>
        </w:rPr>
        <w:t xml:space="preserve"> (HCoV) </w:t>
      </w:r>
      <w:r w:rsidRPr="00365A13">
        <w:rPr>
          <w:rFonts w:ascii="Calibri" w:hAnsi="Calibri"/>
          <w:bCs/>
          <w:sz w:val="20"/>
          <w:szCs w:val="20"/>
        </w:rPr>
        <w:t>HKU1, OC43</w:t>
      </w:r>
      <w:r>
        <w:rPr>
          <w:rFonts w:ascii="Calibri" w:hAnsi="Calibri"/>
          <w:bCs/>
          <w:sz w:val="20"/>
          <w:szCs w:val="20"/>
        </w:rPr>
        <w:t>, NL63, 229E</w:t>
      </w:r>
      <w:r w:rsidRPr="00365A13">
        <w:rPr>
          <w:rFonts w:ascii="Calibri" w:hAnsi="Calibri"/>
          <w:bCs/>
          <w:sz w:val="20"/>
          <w:szCs w:val="20"/>
        </w:rPr>
        <w:t>, human metapneumovirus</w:t>
      </w:r>
      <w:r>
        <w:rPr>
          <w:rFonts w:ascii="Calibri" w:hAnsi="Calibri"/>
          <w:bCs/>
          <w:sz w:val="20"/>
          <w:szCs w:val="20"/>
        </w:rPr>
        <w:t xml:space="preserve"> (HMPV),</w:t>
      </w:r>
      <w:r w:rsidRPr="00365A13">
        <w:rPr>
          <w:rFonts w:ascii="Calibri" w:hAnsi="Calibri"/>
          <w:bCs/>
          <w:sz w:val="20"/>
          <w:szCs w:val="20"/>
        </w:rPr>
        <w:t xml:space="preserve"> and rhinovirus/enterovirus </w:t>
      </w:r>
      <w:r>
        <w:rPr>
          <w:rFonts w:ascii="Calibri" w:hAnsi="Calibri"/>
          <w:bCs/>
          <w:sz w:val="20"/>
          <w:szCs w:val="20"/>
        </w:rPr>
        <w:t xml:space="preserve">(RHV/ENT) </w:t>
      </w:r>
      <w:r w:rsidRPr="00365A13">
        <w:rPr>
          <w:rFonts w:ascii="Calibri" w:hAnsi="Calibri"/>
          <w:bCs/>
          <w:sz w:val="20"/>
          <w:szCs w:val="20"/>
        </w:rPr>
        <w:t>using a multiplex PCR respiratory viral panel.  Samples a</w:t>
      </w:r>
      <w:r w:rsidRPr="00365A13">
        <w:rPr>
          <w:rFonts w:ascii="Calibri" w:hAnsi="Calibri"/>
          <w:color w:val="000000"/>
          <w:sz w:val="20"/>
          <w:szCs w:val="20"/>
        </w:rPr>
        <w:t xml:space="preserve">re submitted by ~60 outpatient healthcare providers (ILINet) and include early </w:t>
      </w:r>
      <w:r>
        <w:rPr>
          <w:rFonts w:ascii="Calibri" w:hAnsi="Calibri"/>
          <w:color w:val="000000"/>
          <w:sz w:val="20"/>
          <w:szCs w:val="20"/>
        </w:rPr>
        <w:t>influenza positives, as well as</w:t>
      </w:r>
      <w:r w:rsidRPr="00365A13"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>specimens and isolates</w:t>
      </w:r>
      <w:r w:rsidRPr="00365A13">
        <w:rPr>
          <w:rFonts w:ascii="Calibri" w:hAnsi="Calibri"/>
          <w:color w:val="000000"/>
          <w:sz w:val="20"/>
          <w:szCs w:val="20"/>
        </w:rPr>
        <w:t xml:space="preserve"> from clinical hospital diagnostic laboratories across </w:t>
      </w:r>
      <w:r w:rsidRPr="003C3FF5">
        <w:rPr>
          <w:rFonts w:ascii="Calibri" w:hAnsi="Calibri"/>
          <w:color w:val="000000"/>
          <w:sz w:val="20"/>
          <w:szCs w:val="20"/>
        </w:rPr>
        <w:t>Massachusetts.  For the 201</w:t>
      </w:r>
      <w:r w:rsidR="0070305E">
        <w:rPr>
          <w:rFonts w:ascii="Calibri" w:hAnsi="Calibri"/>
          <w:color w:val="000000"/>
          <w:sz w:val="20"/>
          <w:szCs w:val="20"/>
        </w:rPr>
        <w:t>8</w:t>
      </w:r>
      <w:r w:rsidRPr="003C3FF5">
        <w:rPr>
          <w:rFonts w:ascii="Calibri" w:hAnsi="Calibri"/>
          <w:color w:val="000000"/>
          <w:sz w:val="20"/>
          <w:szCs w:val="20"/>
        </w:rPr>
        <w:t>-201</w:t>
      </w:r>
      <w:r w:rsidR="0070305E">
        <w:rPr>
          <w:rFonts w:ascii="Calibri" w:hAnsi="Calibri"/>
          <w:color w:val="000000"/>
          <w:sz w:val="20"/>
          <w:szCs w:val="20"/>
        </w:rPr>
        <w:t>9</w:t>
      </w:r>
      <w:r w:rsidR="007F0FBF" w:rsidRPr="003C3FF5">
        <w:rPr>
          <w:rFonts w:ascii="Calibri" w:hAnsi="Calibri"/>
          <w:color w:val="000000"/>
          <w:sz w:val="20"/>
          <w:szCs w:val="20"/>
        </w:rPr>
        <w:t xml:space="preserve"> season, Tables 2 and 3</w:t>
      </w:r>
      <w:r w:rsidRPr="003C3FF5">
        <w:rPr>
          <w:rFonts w:ascii="Calibri" w:hAnsi="Calibri"/>
          <w:color w:val="000000"/>
          <w:sz w:val="20"/>
          <w:szCs w:val="20"/>
        </w:rPr>
        <w:t xml:space="preserve"> summarize virologic surveillance testing conducted by MDPH-B</w:t>
      </w:r>
      <w:r w:rsidR="00432AC8" w:rsidRPr="003C3FF5">
        <w:rPr>
          <w:rFonts w:ascii="Calibri" w:hAnsi="Calibri"/>
          <w:color w:val="000000"/>
          <w:sz w:val="20"/>
          <w:szCs w:val="20"/>
        </w:rPr>
        <w:t>ID</w:t>
      </w:r>
      <w:r w:rsidRPr="003C3FF5">
        <w:rPr>
          <w:rFonts w:ascii="Calibri" w:hAnsi="Calibri"/>
          <w:color w:val="000000"/>
          <w:sz w:val="20"/>
          <w:szCs w:val="20"/>
        </w:rPr>
        <w:t xml:space="preserve">LS beginning MMWR week </w:t>
      </w:r>
      <w:r w:rsidRPr="003C3FF5">
        <w:rPr>
          <w:rFonts w:ascii="Calibri" w:hAnsi="Calibri"/>
          <w:sz w:val="20"/>
          <w:szCs w:val="20"/>
        </w:rPr>
        <w:t>40</w:t>
      </w:r>
      <w:r w:rsidRPr="003C3FF5">
        <w:rPr>
          <w:rFonts w:ascii="Calibri" w:hAnsi="Calibri"/>
          <w:color w:val="000000"/>
          <w:sz w:val="20"/>
          <w:szCs w:val="20"/>
        </w:rPr>
        <w:t xml:space="preserve"> (week ending </w:t>
      </w:r>
      <w:r w:rsidRPr="003C3FF5">
        <w:rPr>
          <w:rFonts w:ascii="Calibri" w:hAnsi="Calibri"/>
          <w:sz w:val="20"/>
          <w:szCs w:val="20"/>
        </w:rPr>
        <w:t xml:space="preserve">October </w:t>
      </w:r>
      <w:r w:rsidR="0070305E">
        <w:rPr>
          <w:rFonts w:ascii="Calibri" w:hAnsi="Calibri"/>
          <w:sz w:val="20"/>
          <w:szCs w:val="20"/>
        </w:rPr>
        <w:t>6</w:t>
      </w:r>
      <w:r w:rsidRPr="003C3FF5">
        <w:rPr>
          <w:rFonts w:ascii="Calibri" w:hAnsi="Calibri"/>
          <w:sz w:val="20"/>
          <w:szCs w:val="20"/>
        </w:rPr>
        <w:t>, 201</w:t>
      </w:r>
      <w:r w:rsidR="0070305E">
        <w:rPr>
          <w:rFonts w:ascii="Calibri" w:hAnsi="Calibri"/>
          <w:sz w:val="20"/>
          <w:szCs w:val="20"/>
        </w:rPr>
        <w:t>8</w:t>
      </w:r>
      <w:r w:rsidRPr="003C3FF5">
        <w:rPr>
          <w:rFonts w:ascii="Calibri" w:hAnsi="Calibri"/>
          <w:sz w:val="20"/>
          <w:szCs w:val="20"/>
        </w:rPr>
        <w:t>)</w:t>
      </w:r>
      <w:r w:rsidRPr="003C3FF5">
        <w:rPr>
          <w:rFonts w:ascii="Calibri" w:hAnsi="Calibri"/>
          <w:color w:val="000000"/>
          <w:sz w:val="20"/>
          <w:szCs w:val="20"/>
        </w:rPr>
        <w:t>.  MDPH-B</w:t>
      </w:r>
      <w:r w:rsidR="00432AC8" w:rsidRPr="003C3FF5">
        <w:rPr>
          <w:rFonts w:ascii="Calibri" w:hAnsi="Calibri"/>
          <w:color w:val="000000"/>
          <w:sz w:val="20"/>
          <w:szCs w:val="20"/>
        </w:rPr>
        <w:t>ID</w:t>
      </w:r>
      <w:r w:rsidRPr="003C3FF5">
        <w:rPr>
          <w:rFonts w:ascii="Calibri" w:hAnsi="Calibri"/>
          <w:color w:val="000000"/>
          <w:sz w:val="20"/>
          <w:szCs w:val="20"/>
        </w:rPr>
        <w:t xml:space="preserve">LS performs influenza surveillance testing </w:t>
      </w:r>
      <w:proofErr w:type="gramStart"/>
      <w:r w:rsidRPr="003C3FF5">
        <w:rPr>
          <w:rFonts w:ascii="Calibri" w:hAnsi="Calibri"/>
          <w:color w:val="000000"/>
          <w:sz w:val="20"/>
          <w:szCs w:val="20"/>
        </w:rPr>
        <w:t>year round</w:t>
      </w:r>
      <w:proofErr w:type="gramEnd"/>
      <w:r w:rsidRPr="003C3FF5">
        <w:rPr>
          <w:rFonts w:ascii="Calibri" w:hAnsi="Calibri"/>
          <w:color w:val="000000"/>
          <w:sz w:val="20"/>
          <w:szCs w:val="20"/>
        </w:rPr>
        <w:t xml:space="preserve">. </w:t>
      </w:r>
      <w:r w:rsidRPr="00F84795">
        <w:rPr>
          <w:rFonts w:ascii="Calibri" w:hAnsi="Calibri"/>
          <w:color w:val="000000"/>
          <w:sz w:val="20"/>
          <w:szCs w:val="20"/>
        </w:rPr>
        <w:t>For the 201</w:t>
      </w:r>
      <w:r w:rsidR="0070305E" w:rsidRPr="00F84795">
        <w:rPr>
          <w:rFonts w:ascii="Calibri" w:hAnsi="Calibri"/>
          <w:color w:val="000000"/>
          <w:sz w:val="20"/>
          <w:szCs w:val="20"/>
        </w:rPr>
        <w:t>8</w:t>
      </w:r>
      <w:r w:rsidRPr="00F84795">
        <w:rPr>
          <w:rFonts w:ascii="Calibri" w:hAnsi="Calibri"/>
          <w:color w:val="000000"/>
          <w:sz w:val="20"/>
          <w:szCs w:val="20"/>
        </w:rPr>
        <w:t>-201</w:t>
      </w:r>
      <w:r w:rsidR="0070305E" w:rsidRPr="00F84795">
        <w:rPr>
          <w:rFonts w:ascii="Calibri" w:hAnsi="Calibri"/>
          <w:color w:val="000000"/>
          <w:sz w:val="20"/>
          <w:szCs w:val="20"/>
        </w:rPr>
        <w:t>9</w:t>
      </w:r>
      <w:r w:rsidRPr="00F84795">
        <w:rPr>
          <w:rFonts w:ascii="Calibri" w:hAnsi="Calibri"/>
          <w:color w:val="000000"/>
          <w:sz w:val="20"/>
          <w:szCs w:val="20"/>
        </w:rPr>
        <w:t xml:space="preserve"> season to date,</w:t>
      </w:r>
      <w:r w:rsidR="00561C24" w:rsidRPr="00F84795">
        <w:rPr>
          <w:rFonts w:ascii="Calibri" w:hAnsi="Calibri"/>
          <w:color w:val="000000"/>
          <w:sz w:val="20"/>
          <w:szCs w:val="20"/>
        </w:rPr>
        <w:t xml:space="preserve"> </w:t>
      </w:r>
      <w:r w:rsidR="00F84795" w:rsidRPr="00F84795">
        <w:rPr>
          <w:rFonts w:ascii="Calibri" w:hAnsi="Calibri"/>
          <w:color w:val="000000"/>
          <w:sz w:val="20"/>
          <w:szCs w:val="20"/>
        </w:rPr>
        <w:t>no cases of</w:t>
      </w:r>
      <w:r w:rsidRPr="00F84795">
        <w:rPr>
          <w:rFonts w:ascii="Calibri" w:hAnsi="Calibri"/>
          <w:color w:val="000000"/>
          <w:sz w:val="20"/>
          <w:szCs w:val="20"/>
        </w:rPr>
        <w:t xml:space="preserve"> infl</w:t>
      </w:r>
      <w:r w:rsidR="00F84795" w:rsidRPr="00F84795">
        <w:rPr>
          <w:rFonts w:ascii="Calibri" w:hAnsi="Calibri"/>
          <w:color w:val="000000"/>
          <w:sz w:val="20"/>
          <w:szCs w:val="20"/>
        </w:rPr>
        <w:t xml:space="preserve">uenza have been </w:t>
      </w:r>
      <w:r w:rsidR="00F84795">
        <w:rPr>
          <w:rFonts w:ascii="Calibri" w:hAnsi="Calibri"/>
          <w:color w:val="000000"/>
          <w:sz w:val="20"/>
          <w:szCs w:val="20"/>
        </w:rPr>
        <w:t>tested at the state public health laboratory.</w:t>
      </w:r>
    </w:p>
    <w:p w14:paraId="42139D05" w14:textId="77777777" w:rsidR="0043087E" w:rsidRDefault="0043087E" w:rsidP="003F45B5">
      <w:pPr>
        <w:adjustRightInd w:val="0"/>
        <w:rPr>
          <w:rFonts w:ascii="Calibri" w:hAnsi="Calibri"/>
          <w:bCs/>
          <w:iCs/>
          <w:color w:val="000000"/>
          <w:sz w:val="20"/>
          <w:szCs w:val="20"/>
        </w:rPr>
      </w:pPr>
    </w:p>
    <w:p w14:paraId="057B9A31" w14:textId="77777777" w:rsidR="00F84795" w:rsidRDefault="00F84795" w:rsidP="003F45B5">
      <w:pPr>
        <w:adjustRightInd w:val="0"/>
        <w:rPr>
          <w:rFonts w:ascii="Calibri" w:hAnsi="Calibri"/>
          <w:bCs/>
          <w:iCs/>
          <w:color w:val="000000"/>
          <w:sz w:val="20"/>
          <w:szCs w:val="20"/>
        </w:rPr>
      </w:pPr>
    </w:p>
    <w:p w14:paraId="71D70750" w14:textId="77777777" w:rsidR="00F84795" w:rsidRPr="00417044" w:rsidRDefault="00F84795" w:rsidP="003F45B5">
      <w:pPr>
        <w:adjustRightInd w:val="0"/>
        <w:rPr>
          <w:rFonts w:ascii="Calibri" w:hAnsi="Calibri"/>
          <w:bCs/>
          <w:iCs/>
          <w:color w:val="000000"/>
          <w:sz w:val="20"/>
          <w:szCs w:val="20"/>
        </w:rPr>
      </w:pPr>
    </w:p>
    <w:p w14:paraId="61408D22" w14:textId="77777777" w:rsidR="003A7309" w:rsidRPr="0068298E" w:rsidRDefault="00B74464" w:rsidP="0068298E">
      <w:pPr>
        <w:adjustRightInd w:val="0"/>
        <w:jc w:val="center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  <w:r w:rsidRPr="00F84795">
        <w:rPr>
          <w:rFonts w:ascii="Calibri" w:hAnsi="Calibri"/>
          <w:b/>
          <w:bCs/>
          <w:i/>
          <w:iCs/>
          <w:color w:val="000000"/>
          <w:sz w:val="22"/>
          <w:szCs w:val="22"/>
        </w:rPr>
        <w:t xml:space="preserve">Table </w:t>
      </w:r>
      <w:r w:rsidR="007F0FBF" w:rsidRPr="00F84795">
        <w:rPr>
          <w:rFonts w:ascii="Calibri" w:hAnsi="Calibri"/>
          <w:b/>
          <w:bCs/>
          <w:i/>
          <w:iCs/>
          <w:color w:val="000000"/>
          <w:sz w:val="22"/>
          <w:szCs w:val="22"/>
        </w:rPr>
        <w:t>2</w:t>
      </w:r>
      <w:r w:rsidRPr="00F84795">
        <w:rPr>
          <w:rFonts w:ascii="Calibri" w:hAnsi="Calibri"/>
          <w:b/>
          <w:bCs/>
          <w:i/>
          <w:iCs/>
          <w:color w:val="000000"/>
          <w:sz w:val="22"/>
          <w:szCs w:val="22"/>
        </w:rPr>
        <w:t>: Weekly Summary of MDPH-B</w:t>
      </w:r>
      <w:r w:rsidR="00432AC8" w:rsidRPr="00F84795">
        <w:rPr>
          <w:rFonts w:ascii="Calibri" w:hAnsi="Calibri"/>
          <w:b/>
          <w:bCs/>
          <w:i/>
          <w:iCs/>
          <w:color w:val="000000"/>
          <w:sz w:val="22"/>
          <w:szCs w:val="22"/>
        </w:rPr>
        <w:t>ID</w:t>
      </w:r>
      <w:r w:rsidRPr="00F84795">
        <w:rPr>
          <w:rFonts w:ascii="Calibri" w:hAnsi="Calibri"/>
          <w:b/>
          <w:bCs/>
          <w:i/>
          <w:iCs/>
          <w:color w:val="000000"/>
          <w:sz w:val="22"/>
          <w:szCs w:val="22"/>
        </w:rPr>
        <w:t>LS Influenza Surveillance Test Results</w:t>
      </w:r>
    </w:p>
    <w:tbl>
      <w:tblPr>
        <w:tblW w:w="9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809"/>
        <w:gridCol w:w="960"/>
        <w:gridCol w:w="720"/>
        <w:gridCol w:w="720"/>
        <w:gridCol w:w="720"/>
        <w:gridCol w:w="960"/>
        <w:gridCol w:w="720"/>
        <w:gridCol w:w="720"/>
        <w:gridCol w:w="870"/>
      </w:tblGrid>
      <w:tr w:rsidR="00B74464" w:rsidRPr="009C5E07" w14:paraId="7D51621B" w14:textId="77777777" w:rsidTr="00E27BEC">
        <w:trPr>
          <w:trHeight w:val="359"/>
          <w:jc w:val="center"/>
        </w:trPr>
        <w:tc>
          <w:tcPr>
            <w:tcW w:w="9460" w:type="dxa"/>
            <w:gridSpan w:val="10"/>
            <w:tcMar>
              <w:left w:w="115" w:type="dxa"/>
              <w:right w:w="115" w:type="dxa"/>
            </w:tcMar>
            <w:vAlign w:val="center"/>
          </w:tcPr>
          <w:p w14:paraId="047341F9" w14:textId="77777777" w:rsidR="00B74464" w:rsidRPr="009C5E07" w:rsidRDefault="00B74464" w:rsidP="00E27BEC">
            <w:pPr>
              <w:jc w:val="center"/>
              <w:rPr>
                <w:rFonts w:ascii="Calibri" w:hAnsi="Calibri"/>
                <w:sz w:val="22"/>
              </w:rPr>
            </w:pPr>
            <w:r w:rsidRPr="009C5E07">
              <w:rPr>
                <w:rFonts w:ascii="Calibri" w:hAnsi="Calibri"/>
                <w:b/>
                <w:sz w:val="22"/>
              </w:rPr>
              <w:t>201</w:t>
            </w:r>
            <w:r w:rsidR="00061FB0">
              <w:rPr>
                <w:rFonts w:ascii="Calibri" w:hAnsi="Calibri"/>
                <w:b/>
                <w:sz w:val="22"/>
              </w:rPr>
              <w:t>8</w:t>
            </w:r>
            <w:r w:rsidRPr="009C5E07">
              <w:rPr>
                <w:rFonts w:ascii="Calibri" w:hAnsi="Calibri"/>
                <w:b/>
                <w:sz w:val="22"/>
              </w:rPr>
              <w:t>-201</w:t>
            </w:r>
            <w:r w:rsidR="00061FB0">
              <w:rPr>
                <w:rFonts w:ascii="Calibri" w:hAnsi="Calibri"/>
                <w:b/>
                <w:sz w:val="22"/>
              </w:rPr>
              <w:t>9</w:t>
            </w:r>
            <w:r w:rsidRPr="009C5E07">
              <w:rPr>
                <w:rFonts w:ascii="Calibri" w:hAnsi="Calibri"/>
                <w:b/>
                <w:sz w:val="22"/>
              </w:rPr>
              <w:t xml:space="preserve"> Season</w:t>
            </w:r>
            <w:r w:rsidRPr="009C5E07">
              <w:rPr>
                <w:rFonts w:ascii="Calibri" w:hAnsi="Calibri"/>
                <w:sz w:val="22"/>
              </w:rPr>
              <w:t>: Influenza Surveillance</w:t>
            </w:r>
          </w:p>
          <w:p w14:paraId="54B6A128" w14:textId="77777777" w:rsidR="00B74464" w:rsidRPr="009C5E07" w:rsidRDefault="00B74464" w:rsidP="00E27B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5E07">
              <w:rPr>
                <w:rFonts w:ascii="Calibri" w:hAnsi="Calibri"/>
                <w:sz w:val="22"/>
              </w:rPr>
              <w:t xml:space="preserve"> </w:t>
            </w:r>
            <w:r w:rsidRPr="009C5E07">
              <w:rPr>
                <w:rFonts w:ascii="Calibri" w:hAnsi="Calibri"/>
                <w:sz w:val="20"/>
                <w:szCs w:val="20"/>
              </w:rPr>
              <w:t xml:space="preserve">MA Department of Public Health’s Bureau </w:t>
            </w:r>
            <w:proofErr w:type="gramStart"/>
            <w:r w:rsidRPr="009C5E07">
              <w:rPr>
                <w:rFonts w:ascii="Calibri" w:hAnsi="Calibri"/>
                <w:sz w:val="20"/>
                <w:szCs w:val="20"/>
              </w:rPr>
              <w:t xml:space="preserve">of </w:t>
            </w:r>
            <w:r w:rsidR="00432AC8">
              <w:rPr>
                <w:rFonts w:ascii="Calibri" w:hAnsi="Calibri"/>
                <w:sz w:val="20"/>
                <w:szCs w:val="20"/>
              </w:rPr>
              <w:t xml:space="preserve"> Infectious</w:t>
            </w:r>
            <w:proofErr w:type="gramEnd"/>
            <w:r w:rsidR="00432AC8">
              <w:rPr>
                <w:rFonts w:ascii="Calibri" w:hAnsi="Calibri"/>
                <w:sz w:val="20"/>
                <w:szCs w:val="20"/>
              </w:rPr>
              <w:t xml:space="preserve"> Disease and </w:t>
            </w:r>
            <w:r w:rsidRPr="009C5E07">
              <w:rPr>
                <w:rFonts w:ascii="Calibri" w:hAnsi="Calibri"/>
                <w:sz w:val="20"/>
                <w:szCs w:val="20"/>
              </w:rPr>
              <w:t>Laboratory Sciences (MDPH-B</w:t>
            </w:r>
            <w:r w:rsidR="00432AC8">
              <w:rPr>
                <w:rFonts w:ascii="Calibri" w:hAnsi="Calibri"/>
                <w:sz w:val="20"/>
                <w:szCs w:val="20"/>
              </w:rPr>
              <w:t>ID</w:t>
            </w:r>
            <w:r w:rsidRPr="009C5E07">
              <w:rPr>
                <w:rFonts w:ascii="Calibri" w:hAnsi="Calibri"/>
                <w:sz w:val="20"/>
                <w:szCs w:val="20"/>
              </w:rPr>
              <w:t>LS)</w:t>
            </w:r>
          </w:p>
        </w:tc>
      </w:tr>
      <w:tr w:rsidR="00B74464" w:rsidRPr="009C5E07" w14:paraId="4CB018E3" w14:textId="77777777" w:rsidTr="00E27BEC">
        <w:trPr>
          <w:trHeight w:val="476"/>
          <w:jc w:val="center"/>
        </w:trPr>
        <w:tc>
          <w:tcPr>
            <w:tcW w:w="2261" w:type="dxa"/>
            <w:tcBorders>
              <w:bottom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62D9933" w14:textId="77777777" w:rsidR="00B74464" w:rsidRPr="009C5E07" w:rsidRDefault="00B74464" w:rsidP="00E27B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5E07">
              <w:rPr>
                <w:rFonts w:ascii="Calibri" w:hAnsi="Calibri"/>
                <w:sz w:val="20"/>
                <w:szCs w:val="20"/>
              </w:rPr>
              <w:t>MMWR Week:</w:t>
            </w:r>
          </w:p>
          <w:p w14:paraId="0E5B08E1" w14:textId="77777777" w:rsidR="00B74464" w:rsidRPr="009C5E07" w:rsidRDefault="00B74464" w:rsidP="00E27B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5E07">
              <w:rPr>
                <w:rFonts w:ascii="Calibri" w:hAnsi="Calibri"/>
                <w:sz w:val="20"/>
                <w:szCs w:val="20"/>
              </w:rPr>
              <w:t>(Specimen Collected)</w:t>
            </w:r>
          </w:p>
        </w:tc>
        <w:tc>
          <w:tcPr>
            <w:tcW w:w="809" w:type="dxa"/>
            <w:tcBorders>
              <w:bottom w:val="single" w:sz="4" w:space="0" w:color="000000"/>
            </w:tcBorders>
            <w:vAlign w:val="center"/>
          </w:tcPr>
          <w:p w14:paraId="557060ED" w14:textId="77777777" w:rsidR="00B74464" w:rsidRPr="009C5E07" w:rsidRDefault="00B74464" w:rsidP="00E27BEC">
            <w:pPr>
              <w:jc w:val="center"/>
              <w:rPr>
                <w:rFonts w:ascii="Calibri" w:hAnsi="Calibri"/>
                <w:sz w:val="18"/>
                <w:szCs w:val="18"/>
                <w:lang w:val="pt-BR"/>
              </w:rPr>
            </w:pPr>
            <w:r w:rsidRPr="009C5E07">
              <w:rPr>
                <w:rFonts w:ascii="Calibri" w:hAnsi="Calibri"/>
                <w:sz w:val="18"/>
                <w:szCs w:val="18"/>
                <w:lang w:val="pt-BR"/>
              </w:rPr>
              <w:t>2009  H1N1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53433EFC" w14:textId="77777777" w:rsidR="00B74464" w:rsidRPr="009C5E07" w:rsidRDefault="00B74464" w:rsidP="00E27BEC">
            <w:pPr>
              <w:jc w:val="center"/>
              <w:rPr>
                <w:rFonts w:ascii="Calibri" w:hAnsi="Calibri"/>
                <w:sz w:val="18"/>
                <w:szCs w:val="18"/>
                <w:lang w:val="pt-BR"/>
              </w:rPr>
            </w:pPr>
            <w:r w:rsidRPr="009C5E07">
              <w:rPr>
                <w:rFonts w:ascii="Calibri" w:hAnsi="Calibri"/>
                <w:sz w:val="18"/>
                <w:szCs w:val="18"/>
                <w:lang w:val="pt-BR"/>
              </w:rPr>
              <w:t>seasonal A/H3N2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55D4300C" w14:textId="77777777" w:rsidR="00B74464" w:rsidRPr="009C5E07" w:rsidRDefault="00B74464" w:rsidP="00E27BE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val="pt-BR"/>
              </w:rPr>
              <w:t>H3N2v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4428C8" w14:textId="77777777" w:rsidR="00B74464" w:rsidRPr="009C5E07" w:rsidRDefault="00B74464" w:rsidP="00E27BEC">
            <w:pPr>
              <w:jc w:val="center"/>
              <w:rPr>
                <w:rFonts w:ascii="Calibri" w:hAnsi="Calibri"/>
                <w:sz w:val="18"/>
                <w:szCs w:val="18"/>
                <w:lang w:val="pt-BR"/>
              </w:rPr>
            </w:pPr>
            <w:r>
              <w:rPr>
                <w:rFonts w:ascii="Calibri" w:hAnsi="Calibri"/>
                <w:sz w:val="18"/>
                <w:szCs w:val="18"/>
              </w:rPr>
              <w:t>B Yam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79DD5420" w14:textId="77777777" w:rsidR="00B74464" w:rsidRPr="009C5E07" w:rsidRDefault="00B74464" w:rsidP="00E27BEC">
            <w:pPr>
              <w:jc w:val="center"/>
              <w:rPr>
                <w:rFonts w:ascii="Calibri" w:hAnsi="Calibri"/>
                <w:sz w:val="18"/>
                <w:szCs w:val="18"/>
                <w:lang w:val="pt-BR"/>
              </w:rPr>
            </w:pPr>
            <w:r>
              <w:rPr>
                <w:rFonts w:ascii="Calibri" w:hAnsi="Calibri"/>
                <w:sz w:val="18"/>
                <w:szCs w:val="18"/>
              </w:rPr>
              <w:t>B Vic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3AF136CD" w14:textId="77777777" w:rsidR="00B74464" w:rsidRPr="009C5E07" w:rsidRDefault="00B74464" w:rsidP="00E27BE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C5E07">
              <w:rPr>
                <w:rFonts w:ascii="Calibri" w:hAnsi="Calibri"/>
                <w:sz w:val="18"/>
                <w:szCs w:val="18"/>
              </w:rPr>
              <w:t>No. Flu Pos (%)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52D034F5" w14:textId="77777777" w:rsidR="00B74464" w:rsidRPr="009C5E07" w:rsidRDefault="00B74464" w:rsidP="00E27BE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C5E07">
              <w:rPr>
                <w:rFonts w:ascii="Calibri" w:hAnsi="Calibri"/>
                <w:sz w:val="18"/>
                <w:szCs w:val="18"/>
              </w:rPr>
              <w:t>Unsat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188C76B8" w14:textId="77777777" w:rsidR="00B74464" w:rsidRPr="009C5E07" w:rsidRDefault="00B74464" w:rsidP="00E27BE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C5E07">
              <w:rPr>
                <w:rFonts w:ascii="Calibri" w:hAnsi="Calibri"/>
                <w:sz w:val="18"/>
                <w:szCs w:val="18"/>
              </w:rPr>
              <w:t>Total Tested</w:t>
            </w:r>
          </w:p>
        </w:tc>
        <w:tc>
          <w:tcPr>
            <w:tcW w:w="870" w:type="dxa"/>
            <w:tcBorders>
              <w:bottom w:val="single" w:sz="4" w:space="0" w:color="000000"/>
            </w:tcBorders>
          </w:tcPr>
          <w:p w14:paraId="5FB330E8" w14:textId="77777777" w:rsidR="00B74464" w:rsidRPr="009C5E07" w:rsidRDefault="00B74464" w:rsidP="00E27BE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C5E07">
              <w:rPr>
                <w:rFonts w:ascii="Calibri" w:hAnsi="Calibri"/>
                <w:sz w:val="18"/>
                <w:szCs w:val="18"/>
              </w:rPr>
              <w:t>Total</w:t>
            </w:r>
          </w:p>
          <w:p w14:paraId="786819BB" w14:textId="77777777" w:rsidR="00B74464" w:rsidRPr="009C5E07" w:rsidRDefault="00B74464" w:rsidP="00E27BE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C5E07">
              <w:rPr>
                <w:rFonts w:ascii="Calibri" w:hAnsi="Calibri"/>
                <w:sz w:val="18"/>
                <w:szCs w:val="18"/>
              </w:rPr>
              <w:t>Rec’d</w:t>
            </w:r>
          </w:p>
        </w:tc>
      </w:tr>
      <w:tr w:rsidR="00F84795" w:rsidRPr="009C5E07" w14:paraId="30FBFA5B" w14:textId="77777777" w:rsidTr="00F84795">
        <w:trPr>
          <w:jc w:val="center"/>
        </w:trPr>
        <w:tc>
          <w:tcPr>
            <w:tcW w:w="2261" w:type="dxa"/>
            <w:shd w:val="clear" w:color="auto" w:fill="auto"/>
            <w:vAlign w:val="bottom"/>
          </w:tcPr>
          <w:p w14:paraId="1AB7A358" w14:textId="77777777" w:rsidR="00F84795" w:rsidRPr="00421AA4" w:rsidRDefault="00F84795" w:rsidP="00213A4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 (09/30 – 10/06/18)</w:t>
            </w:r>
          </w:p>
        </w:tc>
        <w:tc>
          <w:tcPr>
            <w:tcW w:w="8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22982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F1F17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589E68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1C8BC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3E9CAE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0D8485" w14:textId="77777777" w:rsidR="00F84795" w:rsidRPr="00E35F27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0(0%)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A1BCD4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5FB09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0</w:t>
            </w: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0C894C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0</w:t>
            </w:r>
          </w:p>
        </w:tc>
      </w:tr>
      <w:tr w:rsidR="00F84795" w:rsidRPr="009C5E07" w14:paraId="606B38B5" w14:textId="77777777" w:rsidTr="00F84795">
        <w:trPr>
          <w:jc w:val="center"/>
        </w:trPr>
        <w:tc>
          <w:tcPr>
            <w:tcW w:w="2261" w:type="dxa"/>
            <w:shd w:val="clear" w:color="auto" w:fill="auto"/>
            <w:vAlign w:val="bottom"/>
          </w:tcPr>
          <w:p w14:paraId="4DC0556A" w14:textId="77777777" w:rsidR="00F84795" w:rsidRPr="00421AA4" w:rsidRDefault="00F84795" w:rsidP="00213A4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699B3F9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19A49F3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13B7BD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A7C7394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6AA4CC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D40EA26" w14:textId="77777777" w:rsidR="00F84795" w:rsidRPr="00E35F27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E636495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6168B7C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49F1E857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F84795" w:rsidRPr="009C5E07" w14:paraId="06EFE9FD" w14:textId="77777777" w:rsidTr="00F84795">
        <w:trPr>
          <w:jc w:val="center"/>
        </w:trPr>
        <w:tc>
          <w:tcPr>
            <w:tcW w:w="226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6B4F33" w14:textId="77777777" w:rsidR="00F84795" w:rsidRPr="00421AA4" w:rsidRDefault="00F84795" w:rsidP="00213A4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CA0A08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F98B7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28D14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AB27FB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29C1B8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F97B26" w14:textId="77777777" w:rsidR="00F84795" w:rsidRPr="00E35F27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F62956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9C9B7E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05DCAF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F84795" w:rsidRPr="009C5E07" w14:paraId="22C59F5E" w14:textId="77777777" w:rsidTr="00F84795">
        <w:trPr>
          <w:jc w:val="center"/>
        </w:trPr>
        <w:tc>
          <w:tcPr>
            <w:tcW w:w="226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CF03C2B" w14:textId="77777777" w:rsidR="00F84795" w:rsidRPr="00421AA4" w:rsidRDefault="00F84795" w:rsidP="00213A4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410C5E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46EAE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96DEB5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EA82E6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AC6D6D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EEA718" w14:textId="77777777" w:rsidR="00F84795" w:rsidRPr="00E35F27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8D1BEA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74A279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9B3DB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F84795" w:rsidRPr="009C5E07" w14:paraId="623A9F81" w14:textId="77777777" w:rsidTr="00F84795">
        <w:trPr>
          <w:trHeight w:val="70"/>
          <w:jc w:val="center"/>
        </w:trPr>
        <w:tc>
          <w:tcPr>
            <w:tcW w:w="2261" w:type="dxa"/>
            <w:tcBorders>
              <w:bottom w:val="single" w:sz="4" w:space="0" w:color="000000"/>
            </w:tcBorders>
            <w:shd w:val="clear" w:color="auto" w:fill="D9D9D9"/>
            <w:vAlign w:val="bottom"/>
          </w:tcPr>
          <w:p w14:paraId="127FA594" w14:textId="77777777" w:rsidR="00F84795" w:rsidRPr="00421AA4" w:rsidRDefault="00F84795" w:rsidP="00213A4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21AA4">
              <w:rPr>
                <w:rFonts w:ascii="Calibri" w:hAnsi="Calibri" w:cs="Arial"/>
                <w:b/>
                <w:bCs/>
                <w:sz w:val="20"/>
                <w:szCs w:val="20"/>
              </w:rPr>
              <w:t>Prior 4 wk Total</w:t>
            </w:r>
          </w:p>
        </w:tc>
        <w:tc>
          <w:tcPr>
            <w:tcW w:w="80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5FFDCBB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3C3D418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AAC4E40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F42A334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21AA4"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A7BACFA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21AA4"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5A7B74E" w14:textId="77777777" w:rsidR="00F84795" w:rsidRPr="00E35F27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0(0</w:t>
            </w:r>
            <w:r w:rsidRPr="00E35F27">
              <w:rPr>
                <w:rFonts w:ascii="Calibri" w:hAnsi="Calibri" w:cs="Arial"/>
                <w:b/>
                <w:bCs/>
                <w:sz w:val="22"/>
              </w:rPr>
              <w:t>%)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E3005EC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3601FBA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9ADF91D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</w:tr>
      <w:tr w:rsidR="00F84795" w14:paraId="6BCA89E9" w14:textId="77777777" w:rsidTr="00F84795">
        <w:trPr>
          <w:jc w:val="center"/>
        </w:trPr>
        <w:tc>
          <w:tcPr>
            <w:tcW w:w="2261" w:type="dxa"/>
            <w:shd w:val="clear" w:color="auto" w:fill="D9D9D9"/>
            <w:vAlign w:val="bottom"/>
          </w:tcPr>
          <w:p w14:paraId="7E060D1F" w14:textId="77777777" w:rsidR="00F84795" w:rsidRPr="00421AA4" w:rsidRDefault="00F84795" w:rsidP="00213A4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21AA4">
              <w:rPr>
                <w:rFonts w:ascii="Calibri" w:hAnsi="Calibri" w:cs="Arial"/>
                <w:b/>
                <w:bCs/>
                <w:sz w:val="20"/>
                <w:szCs w:val="20"/>
              </w:rPr>
              <w:t>Cumulative Season total</w:t>
            </w:r>
          </w:p>
        </w:tc>
        <w:tc>
          <w:tcPr>
            <w:tcW w:w="809" w:type="dxa"/>
            <w:shd w:val="clear" w:color="auto" w:fill="D9D9D9"/>
            <w:vAlign w:val="center"/>
          </w:tcPr>
          <w:p w14:paraId="493268BB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0" w:type="dxa"/>
            <w:shd w:val="clear" w:color="auto" w:fill="D9D9D9"/>
            <w:vAlign w:val="center"/>
          </w:tcPr>
          <w:p w14:paraId="2DE89B30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4F963E54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51E1F7B4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21AA4"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64E89067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21AA4"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0" w:type="dxa"/>
            <w:shd w:val="clear" w:color="auto" w:fill="D9D9D9"/>
            <w:vAlign w:val="center"/>
          </w:tcPr>
          <w:p w14:paraId="48F89B5B" w14:textId="77777777" w:rsidR="00F84795" w:rsidRPr="00E35F27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0</w:t>
            </w:r>
            <w:r w:rsidRPr="00E35F27">
              <w:rPr>
                <w:rFonts w:ascii="Calibri" w:hAnsi="Calibri" w:cs="Arial"/>
                <w:b/>
                <w:bCs/>
                <w:sz w:val="22"/>
              </w:rPr>
              <w:t>(</w:t>
            </w:r>
            <w:r>
              <w:rPr>
                <w:rFonts w:ascii="Calibri" w:hAnsi="Calibri" w:cs="Arial"/>
                <w:b/>
                <w:bCs/>
                <w:sz w:val="22"/>
              </w:rPr>
              <w:t>0</w:t>
            </w:r>
            <w:r w:rsidRPr="00E35F27">
              <w:rPr>
                <w:rFonts w:ascii="Calibri" w:hAnsi="Calibri" w:cs="Arial"/>
                <w:b/>
                <w:bCs/>
                <w:sz w:val="22"/>
              </w:rPr>
              <w:t>%)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046CC708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5C1C30A2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D9D9D9"/>
            <w:vAlign w:val="center"/>
          </w:tcPr>
          <w:p w14:paraId="40828F91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</w:tr>
    </w:tbl>
    <w:p w14:paraId="5419A07C" w14:textId="77777777" w:rsidR="00F84795" w:rsidRDefault="007F0FBF" w:rsidP="004C4472">
      <w:pPr>
        <w:adjustRightInd w:val="0"/>
        <w:jc w:val="center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  <w:r w:rsidRPr="00CC567F">
        <w:rPr>
          <w:rFonts w:ascii="Calibri" w:hAnsi="Calibri" w:cs="Arial"/>
          <w:sz w:val="16"/>
          <w:szCs w:val="20"/>
        </w:rPr>
        <w:t>All data are subject to change as test re</w:t>
      </w:r>
      <w:r w:rsidR="000778A3">
        <w:rPr>
          <w:rFonts w:ascii="Calibri" w:hAnsi="Calibri" w:cs="Arial"/>
          <w:sz w:val="16"/>
          <w:szCs w:val="20"/>
        </w:rPr>
        <w:t>sults become finalized. The 201</w:t>
      </w:r>
      <w:r w:rsidR="00821D2F">
        <w:rPr>
          <w:rFonts w:ascii="Calibri" w:hAnsi="Calibri" w:cs="Arial"/>
          <w:sz w:val="16"/>
          <w:szCs w:val="20"/>
        </w:rPr>
        <w:t>8</w:t>
      </w:r>
      <w:r w:rsidRPr="00CC567F">
        <w:rPr>
          <w:rFonts w:ascii="Calibri" w:hAnsi="Calibri" w:cs="Arial"/>
          <w:sz w:val="16"/>
          <w:szCs w:val="20"/>
        </w:rPr>
        <w:t xml:space="preserve"> -201</w:t>
      </w:r>
      <w:r w:rsidR="00821D2F">
        <w:rPr>
          <w:rFonts w:ascii="Calibri" w:hAnsi="Calibri" w:cs="Arial"/>
          <w:sz w:val="16"/>
          <w:szCs w:val="20"/>
        </w:rPr>
        <w:t>9</w:t>
      </w:r>
      <w:r w:rsidRPr="00CC567F">
        <w:rPr>
          <w:rFonts w:ascii="Calibri" w:hAnsi="Calibri" w:cs="Arial"/>
          <w:sz w:val="16"/>
          <w:szCs w:val="20"/>
        </w:rPr>
        <w:t xml:space="preserve"> i</w:t>
      </w:r>
      <w:r>
        <w:rPr>
          <w:rFonts w:ascii="Calibri" w:hAnsi="Calibri" w:cs="Arial"/>
          <w:sz w:val="16"/>
          <w:szCs w:val="20"/>
        </w:rPr>
        <w:t>n</w:t>
      </w:r>
      <w:r w:rsidR="00821D2F">
        <w:rPr>
          <w:rFonts w:ascii="Calibri" w:hAnsi="Calibri" w:cs="Arial"/>
          <w:sz w:val="16"/>
          <w:szCs w:val="20"/>
        </w:rPr>
        <w:t>fluenza season began MMWR 40 (09</w:t>
      </w:r>
      <w:r w:rsidRPr="00CC567F">
        <w:rPr>
          <w:rFonts w:ascii="Calibri" w:hAnsi="Calibri" w:cs="Arial"/>
          <w:sz w:val="16"/>
          <w:szCs w:val="20"/>
        </w:rPr>
        <w:t>/</w:t>
      </w:r>
      <w:r w:rsidR="00821D2F">
        <w:rPr>
          <w:rFonts w:ascii="Calibri" w:hAnsi="Calibri" w:cs="Arial"/>
          <w:sz w:val="16"/>
          <w:szCs w:val="20"/>
        </w:rPr>
        <w:t>30</w:t>
      </w:r>
      <w:r w:rsidR="000778A3">
        <w:rPr>
          <w:rFonts w:ascii="Calibri" w:hAnsi="Calibri" w:cs="Arial"/>
          <w:sz w:val="16"/>
          <w:szCs w:val="20"/>
        </w:rPr>
        <w:t>- 10/0</w:t>
      </w:r>
      <w:r w:rsidR="00821D2F">
        <w:rPr>
          <w:rFonts w:ascii="Calibri" w:hAnsi="Calibri" w:cs="Arial"/>
          <w:sz w:val="16"/>
          <w:szCs w:val="20"/>
        </w:rPr>
        <w:t>6</w:t>
      </w:r>
      <w:r w:rsidRPr="00CC567F">
        <w:rPr>
          <w:rFonts w:ascii="Calibri" w:hAnsi="Calibri" w:cs="Arial"/>
          <w:sz w:val="16"/>
          <w:szCs w:val="20"/>
        </w:rPr>
        <w:t>/201</w:t>
      </w:r>
      <w:r w:rsidR="00821D2F">
        <w:rPr>
          <w:rFonts w:ascii="Calibri" w:hAnsi="Calibri" w:cs="Arial"/>
          <w:sz w:val="16"/>
          <w:szCs w:val="20"/>
        </w:rPr>
        <w:t>8</w:t>
      </w:r>
      <w:r w:rsidRPr="00CC567F">
        <w:rPr>
          <w:rFonts w:ascii="Calibri" w:hAnsi="Calibri" w:cs="Arial"/>
          <w:sz w:val="16"/>
          <w:szCs w:val="20"/>
        </w:rPr>
        <w:t>).</w:t>
      </w:r>
    </w:p>
    <w:p w14:paraId="762EA42A" w14:textId="77777777" w:rsidR="00F84795" w:rsidRDefault="00F84795" w:rsidP="004C4472">
      <w:pPr>
        <w:adjustRightInd w:val="0"/>
        <w:jc w:val="center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</w:p>
    <w:p w14:paraId="765CC768" w14:textId="77777777" w:rsidR="00F84795" w:rsidRDefault="00F84795" w:rsidP="004C4472">
      <w:pPr>
        <w:adjustRightInd w:val="0"/>
        <w:jc w:val="center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</w:p>
    <w:p w14:paraId="605ACD33" w14:textId="77777777" w:rsidR="00F84795" w:rsidRDefault="00F84795" w:rsidP="004C4472">
      <w:pPr>
        <w:adjustRightInd w:val="0"/>
        <w:jc w:val="center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</w:p>
    <w:p w14:paraId="167F1770" w14:textId="77777777" w:rsidR="000778A3" w:rsidRDefault="000778A3" w:rsidP="004C4472">
      <w:pPr>
        <w:adjustRightInd w:val="0"/>
        <w:jc w:val="center"/>
        <w:rPr>
          <w:rFonts w:ascii="Calibri" w:hAnsi="Calibri"/>
          <w:b/>
          <w:i/>
          <w:color w:val="000000"/>
          <w:sz w:val="22"/>
          <w:szCs w:val="22"/>
        </w:rPr>
      </w:pPr>
      <w:r w:rsidRPr="00F84795">
        <w:rPr>
          <w:rFonts w:ascii="Calibri" w:hAnsi="Calibri"/>
          <w:b/>
          <w:i/>
          <w:color w:val="000000"/>
          <w:sz w:val="22"/>
          <w:szCs w:val="22"/>
        </w:rPr>
        <w:t>Table 3</w:t>
      </w:r>
      <w:r w:rsidR="00C91A27" w:rsidRPr="00F84795">
        <w:rPr>
          <w:rFonts w:ascii="Calibri" w:hAnsi="Calibri"/>
          <w:b/>
          <w:i/>
          <w:color w:val="000000"/>
          <w:sz w:val="22"/>
          <w:szCs w:val="22"/>
        </w:rPr>
        <w:t>: Weekly Summary of MDPH-B</w:t>
      </w:r>
      <w:r w:rsidR="00432AC8" w:rsidRPr="00F84795">
        <w:rPr>
          <w:rFonts w:ascii="Calibri" w:hAnsi="Calibri"/>
          <w:b/>
          <w:i/>
          <w:color w:val="000000"/>
          <w:sz w:val="22"/>
          <w:szCs w:val="22"/>
        </w:rPr>
        <w:t>ID</w:t>
      </w:r>
      <w:r w:rsidR="00C91A27" w:rsidRPr="00F84795">
        <w:rPr>
          <w:rFonts w:ascii="Calibri" w:hAnsi="Calibri"/>
          <w:b/>
          <w:i/>
          <w:color w:val="000000"/>
          <w:sz w:val="22"/>
          <w:szCs w:val="22"/>
        </w:rPr>
        <w:t>LS non-Influenza Respiratory Surveillance Test Results</w:t>
      </w:r>
    </w:p>
    <w:tbl>
      <w:tblPr>
        <w:tblW w:w="9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594"/>
        <w:gridCol w:w="630"/>
        <w:gridCol w:w="540"/>
        <w:gridCol w:w="720"/>
        <w:gridCol w:w="540"/>
        <w:gridCol w:w="540"/>
        <w:gridCol w:w="900"/>
        <w:gridCol w:w="990"/>
        <w:gridCol w:w="720"/>
        <w:gridCol w:w="720"/>
        <w:gridCol w:w="703"/>
      </w:tblGrid>
      <w:tr w:rsidR="009C5E07" w:rsidRPr="009C5E07" w14:paraId="45F99738" w14:textId="77777777" w:rsidTr="00E56A67">
        <w:trPr>
          <w:trHeight w:val="431"/>
          <w:jc w:val="center"/>
        </w:trPr>
        <w:tc>
          <w:tcPr>
            <w:tcW w:w="9843" w:type="dxa"/>
            <w:gridSpan w:val="12"/>
          </w:tcPr>
          <w:p w14:paraId="24B2EB79" w14:textId="77777777" w:rsidR="009C5E07" w:rsidRPr="009C5E07" w:rsidRDefault="009C5E07" w:rsidP="00E56A67">
            <w:pPr>
              <w:jc w:val="center"/>
              <w:rPr>
                <w:rFonts w:ascii="Calibri" w:hAnsi="Calibri"/>
                <w:sz w:val="22"/>
              </w:rPr>
            </w:pPr>
            <w:r w:rsidRPr="009C5E07">
              <w:rPr>
                <w:rFonts w:ascii="Calibri" w:hAnsi="Calibri"/>
                <w:b/>
                <w:sz w:val="22"/>
              </w:rPr>
              <w:t>201</w:t>
            </w:r>
            <w:r w:rsidR="00B537D0">
              <w:rPr>
                <w:rFonts w:ascii="Calibri" w:hAnsi="Calibri"/>
                <w:b/>
                <w:sz w:val="22"/>
              </w:rPr>
              <w:t>8</w:t>
            </w:r>
            <w:r w:rsidRPr="009C5E07">
              <w:rPr>
                <w:rFonts w:ascii="Calibri" w:hAnsi="Calibri"/>
                <w:b/>
                <w:sz w:val="22"/>
              </w:rPr>
              <w:t>-201</w:t>
            </w:r>
            <w:r w:rsidR="00B537D0">
              <w:rPr>
                <w:rFonts w:ascii="Calibri" w:hAnsi="Calibri"/>
                <w:b/>
                <w:sz w:val="22"/>
              </w:rPr>
              <w:t>9</w:t>
            </w:r>
            <w:r w:rsidRPr="009C5E07">
              <w:rPr>
                <w:rFonts w:ascii="Calibri" w:hAnsi="Calibri"/>
                <w:b/>
                <w:sz w:val="22"/>
              </w:rPr>
              <w:t xml:space="preserve"> Season</w:t>
            </w:r>
            <w:r w:rsidRPr="009C5E07">
              <w:rPr>
                <w:rFonts w:ascii="Calibri" w:hAnsi="Calibri"/>
                <w:sz w:val="22"/>
              </w:rPr>
              <w:t>: Influenza Like Illness Surveillance</w:t>
            </w:r>
          </w:p>
          <w:p w14:paraId="7F0034E1" w14:textId="77777777" w:rsidR="009C5E07" w:rsidRPr="009C5E07" w:rsidRDefault="009C5E07" w:rsidP="00E56A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5E07">
              <w:rPr>
                <w:rFonts w:ascii="Calibri" w:hAnsi="Calibri"/>
                <w:sz w:val="20"/>
                <w:szCs w:val="20"/>
              </w:rPr>
              <w:t xml:space="preserve">MA Department of Public Health’s Bureau of </w:t>
            </w:r>
            <w:r w:rsidR="00432AC8">
              <w:rPr>
                <w:rFonts w:ascii="Calibri" w:hAnsi="Calibri"/>
                <w:sz w:val="20"/>
                <w:szCs w:val="20"/>
              </w:rPr>
              <w:t xml:space="preserve">Infectious Disease and </w:t>
            </w:r>
            <w:r w:rsidRPr="009C5E07">
              <w:rPr>
                <w:rFonts w:ascii="Calibri" w:hAnsi="Calibri"/>
                <w:sz w:val="20"/>
                <w:szCs w:val="20"/>
              </w:rPr>
              <w:t>Laboratory Sciences (MDPH-B</w:t>
            </w:r>
            <w:r w:rsidR="00432AC8">
              <w:rPr>
                <w:rFonts w:ascii="Calibri" w:hAnsi="Calibri"/>
                <w:sz w:val="20"/>
                <w:szCs w:val="20"/>
              </w:rPr>
              <w:t>ID</w:t>
            </w:r>
            <w:r w:rsidRPr="009C5E07">
              <w:rPr>
                <w:rFonts w:ascii="Calibri" w:hAnsi="Calibri"/>
                <w:sz w:val="20"/>
                <w:szCs w:val="20"/>
              </w:rPr>
              <w:t>LS)</w:t>
            </w:r>
          </w:p>
        </w:tc>
      </w:tr>
      <w:tr w:rsidR="009C5E07" w:rsidRPr="009C5E07" w14:paraId="0785961E" w14:textId="77777777" w:rsidTr="00E56A67">
        <w:trPr>
          <w:trHeight w:val="476"/>
          <w:jc w:val="center"/>
        </w:trPr>
        <w:tc>
          <w:tcPr>
            <w:tcW w:w="2246" w:type="dxa"/>
            <w:tcBorders>
              <w:bottom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32B2660" w14:textId="77777777" w:rsidR="009C5E07" w:rsidRPr="009C5E07" w:rsidRDefault="009C5E07" w:rsidP="00E56A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5E07">
              <w:rPr>
                <w:rFonts w:ascii="Calibri" w:hAnsi="Calibri"/>
                <w:sz w:val="20"/>
                <w:szCs w:val="20"/>
              </w:rPr>
              <w:t>MMWR Week:</w:t>
            </w:r>
          </w:p>
          <w:p w14:paraId="796BDAFB" w14:textId="77777777" w:rsidR="009C5E07" w:rsidRPr="009C5E07" w:rsidRDefault="009C5E07" w:rsidP="00E56A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C5E07">
              <w:rPr>
                <w:rFonts w:ascii="Calibri" w:hAnsi="Calibri"/>
                <w:sz w:val="20"/>
                <w:szCs w:val="20"/>
              </w:rPr>
              <w:t>(Specimen Collected)</w:t>
            </w:r>
          </w:p>
        </w:tc>
        <w:tc>
          <w:tcPr>
            <w:tcW w:w="594" w:type="dxa"/>
            <w:tcBorders>
              <w:bottom w:val="single" w:sz="4" w:space="0" w:color="000000"/>
            </w:tcBorders>
            <w:vAlign w:val="center"/>
          </w:tcPr>
          <w:p w14:paraId="39BCD289" w14:textId="77777777" w:rsidR="009C5E07" w:rsidRPr="009C5E07" w:rsidRDefault="009C5E07" w:rsidP="00E56A67">
            <w:pPr>
              <w:jc w:val="center"/>
              <w:rPr>
                <w:rFonts w:ascii="Calibri" w:hAnsi="Calibri"/>
                <w:sz w:val="18"/>
                <w:szCs w:val="18"/>
                <w:lang w:val="pt-BR"/>
              </w:rPr>
            </w:pPr>
            <w:r w:rsidRPr="009C5E07">
              <w:rPr>
                <w:rFonts w:ascii="Calibri" w:hAnsi="Calibri"/>
                <w:sz w:val="18"/>
                <w:szCs w:val="18"/>
                <w:lang w:val="pt-BR"/>
              </w:rPr>
              <w:t>RSV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vAlign w:val="center"/>
          </w:tcPr>
          <w:p w14:paraId="1BE59548" w14:textId="77777777" w:rsidR="009C5E07" w:rsidRPr="009C5E07" w:rsidRDefault="009C5E07" w:rsidP="00E56A67">
            <w:pPr>
              <w:jc w:val="center"/>
              <w:rPr>
                <w:rFonts w:ascii="Calibri" w:hAnsi="Calibri"/>
                <w:sz w:val="18"/>
                <w:szCs w:val="18"/>
                <w:lang w:val="pt-BR"/>
              </w:rPr>
            </w:pPr>
            <w:r w:rsidRPr="009C5E07">
              <w:rPr>
                <w:rFonts w:ascii="Calibri" w:hAnsi="Calibri"/>
                <w:sz w:val="18"/>
                <w:szCs w:val="18"/>
                <w:lang w:val="pt-BR"/>
              </w:rPr>
              <w:t>RHV/ENT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519CB7E2" w14:textId="77777777" w:rsidR="009C5E07" w:rsidRPr="009C5E07" w:rsidRDefault="009C5E07" w:rsidP="00E56A6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C5E07">
              <w:rPr>
                <w:rFonts w:ascii="Calibri" w:hAnsi="Calibri"/>
                <w:sz w:val="18"/>
                <w:szCs w:val="18"/>
                <w:lang w:val="pt-BR"/>
              </w:rPr>
              <w:t>PIV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4732F2" w14:textId="77777777" w:rsidR="009C5E07" w:rsidRPr="009C5E07" w:rsidRDefault="009C5E07" w:rsidP="00E56A67">
            <w:pPr>
              <w:jc w:val="center"/>
              <w:rPr>
                <w:rFonts w:ascii="Calibri" w:hAnsi="Calibri"/>
                <w:sz w:val="18"/>
                <w:szCs w:val="18"/>
                <w:lang w:val="pt-BR"/>
              </w:rPr>
            </w:pPr>
            <w:r w:rsidRPr="009C5E07">
              <w:rPr>
                <w:rFonts w:ascii="Calibri" w:hAnsi="Calibri"/>
                <w:sz w:val="18"/>
                <w:szCs w:val="18"/>
              </w:rPr>
              <w:t>HMPV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3A7A1939" w14:textId="77777777" w:rsidR="009C5E07" w:rsidRPr="009C5E07" w:rsidRDefault="009C5E07" w:rsidP="00E56A67">
            <w:pPr>
              <w:jc w:val="center"/>
              <w:rPr>
                <w:rFonts w:ascii="Calibri" w:hAnsi="Calibri"/>
                <w:sz w:val="18"/>
                <w:szCs w:val="18"/>
                <w:lang w:val="pt-BR"/>
              </w:rPr>
            </w:pPr>
            <w:r w:rsidRPr="009C5E07">
              <w:rPr>
                <w:rFonts w:ascii="Calibri" w:hAnsi="Calibri"/>
                <w:sz w:val="18"/>
                <w:szCs w:val="18"/>
              </w:rPr>
              <w:t>HCV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79267918" w14:textId="77777777" w:rsidR="009C5E07" w:rsidRPr="009C5E07" w:rsidRDefault="009C5E07" w:rsidP="00E56A67">
            <w:pPr>
              <w:jc w:val="center"/>
              <w:rPr>
                <w:rFonts w:ascii="Calibri" w:hAnsi="Calibri"/>
                <w:sz w:val="18"/>
                <w:szCs w:val="18"/>
                <w:lang w:val="pt-BR"/>
              </w:rPr>
            </w:pPr>
            <w:r w:rsidRPr="009C5E07">
              <w:rPr>
                <w:rFonts w:ascii="Calibri" w:hAnsi="Calibri"/>
                <w:sz w:val="18"/>
                <w:szCs w:val="18"/>
                <w:lang w:val="pt-BR"/>
              </w:rPr>
              <w:t>ADV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5400824E" w14:textId="77777777" w:rsidR="009C5E07" w:rsidRPr="009C5E07" w:rsidRDefault="009C5E07" w:rsidP="00E56A67">
            <w:pPr>
              <w:jc w:val="center"/>
              <w:rPr>
                <w:rFonts w:ascii="Calibri" w:hAnsi="Calibri"/>
                <w:sz w:val="18"/>
                <w:szCs w:val="18"/>
                <w:lang w:val="pt-BR"/>
              </w:rPr>
            </w:pPr>
            <w:r w:rsidRPr="009C5E07">
              <w:rPr>
                <w:rFonts w:ascii="Calibri" w:hAnsi="Calibri"/>
                <w:sz w:val="18"/>
                <w:szCs w:val="18"/>
                <w:lang w:val="pt-BR"/>
              </w:rPr>
              <w:t># Co-Infection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3293DC74" w14:textId="77777777" w:rsidR="009C5E07" w:rsidRPr="009C5E07" w:rsidRDefault="009C5E07" w:rsidP="00E56A6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C5E07">
              <w:rPr>
                <w:rFonts w:ascii="Calibri" w:hAnsi="Calibri"/>
                <w:sz w:val="18"/>
                <w:szCs w:val="18"/>
              </w:rPr>
              <w:t>No. Pos (%)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6D7D1A1E" w14:textId="77777777" w:rsidR="009C5E07" w:rsidRPr="009C5E07" w:rsidRDefault="009C5E07" w:rsidP="00E56A6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C5E07">
              <w:rPr>
                <w:rFonts w:ascii="Calibri" w:hAnsi="Calibri"/>
                <w:sz w:val="18"/>
                <w:szCs w:val="18"/>
              </w:rPr>
              <w:t>Unsat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735FD1C7" w14:textId="77777777" w:rsidR="009C5E07" w:rsidRPr="009C5E07" w:rsidRDefault="009C5E07" w:rsidP="00E56A6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C5E07">
              <w:rPr>
                <w:rFonts w:ascii="Calibri" w:hAnsi="Calibri"/>
                <w:sz w:val="18"/>
                <w:szCs w:val="18"/>
              </w:rPr>
              <w:t>Total Tested</w:t>
            </w:r>
          </w:p>
        </w:tc>
        <w:tc>
          <w:tcPr>
            <w:tcW w:w="703" w:type="dxa"/>
            <w:tcBorders>
              <w:bottom w:val="single" w:sz="4" w:space="0" w:color="000000"/>
            </w:tcBorders>
          </w:tcPr>
          <w:p w14:paraId="3DFFBA40" w14:textId="77777777" w:rsidR="009C5E07" w:rsidRPr="009C5E07" w:rsidRDefault="009C5E07" w:rsidP="00E56A6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C5E07">
              <w:rPr>
                <w:rFonts w:ascii="Calibri" w:hAnsi="Calibri"/>
                <w:sz w:val="18"/>
                <w:szCs w:val="18"/>
              </w:rPr>
              <w:t>Total</w:t>
            </w:r>
          </w:p>
          <w:p w14:paraId="169905F0" w14:textId="77777777" w:rsidR="009C5E07" w:rsidRPr="009C5E07" w:rsidRDefault="009C5E07" w:rsidP="00E56A6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C5E07">
              <w:rPr>
                <w:rFonts w:ascii="Calibri" w:hAnsi="Calibri"/>
                <w:sz w:val="18"/>
                <w:szCs w:val="18"/>
              </w:rPr>
              <w:t>Rec’d</w:t>
            </w:r>
          </w:p>
        </w:tc>
      </w:tr>
      <w:tr w:rsidR="00F84795" w:rsidRPr="009C5E07" w14:paraId="66B4B0D8" w14:textId="77777777" w:rsidTr="00F84795">
        <w:trPr>
          <w:trHeight w:val="242"/>
          <w:jc w:val="center"/>
        </w:trPr>
        <w:tc>
          <w:tcPr>
            <w:tcW w:w="2246" w:type="dxa"/>
            <w:shd w:val="clear" w:color="auto" w:fill="auto"/>
            <w:vAlign w:val="bottom"/>
          </w:tcPr>
          <w:p w14:paraId="2ADCACC7" w14:textId="77777777" w:rsidR="00F84795" w:rsidRPr="00421AA4" w:rsidRDefault="00F84795" w:rsidP="00213A4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 (09/30 – 10/06/18)</w:t>
            </w: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D2AC0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BE0D7F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8A3D1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516B3B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B9C43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3BF68A69" w14:textId="77777777" w:rsidR="00F84795" w:rsidRPr="009C53C2" w:rsidRDefault="00F84795" w:rsidP="00F84795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7C28B056" w14:textId="77777777" w:rsidR="00F84795" w:rsidRPr="009C53C2" w:rsidRDefault="00F84795" w:rsidP="00F84795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01DD69" w14:textId="77777777" w:rsidR="00F84795" w:rsidRPr="00E35F27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97DCE3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01BED7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0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0317CB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0</w:t>
            </w:r>
          </w:p>
        </w:tc>
      </w:tr>
      <w:tr w:rsidR="00F84795" w:rsidRPr="009C5E07" w14:paraId="3DEDDA8D" w14:textId="77777777" w:rsidTr="00F84795">
        <w:trPr>
          <w:jc w:val="center"/>
        </w:trPr>
        <w:tc>
          <w:tcPr>
            <w:tcW w:w="2246" w:type="dxa"/>
            <w:shd w:val="clear" w:color="auto" w:fill="auto"/>
            <w:vAlign w:val="bottom"/>
          </w:tcPr>
          <w:p w14:paraId="3CF1301A" w14:textId="77777777" w:rsidR="00F84795" w:rsidRPr="00421AA4" w:rsidRDefault="00F84795" w:rsidP="00213A4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0BCF22ED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47B8A88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27E523B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257E92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0757869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540" w:type="dxa"/>
            <w:vAlign w:val="center"/>
          </w:tcPr>
          <w:p w14:paraId="75993805" w14:textId="77777777" w:rsidR="00F84795" w:rsidRPr="00E35F27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900" w:type="dxa"/>
            <w:vAlign w:val="center"/>
          </w:tcPr>
          <w:p w14:paraId="12071CE4" w14:textId="77777777" w:rsidR="00F84795" w:rsidRPr="00E35F27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5EC2115" w14:textId="77777777" w:rsidR="00F84795" w:rsidRPr="00E35F27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EBDFCB1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93F8E1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CBF9CC3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F84795" w:rsidRPr="009C5E07" w14:paraId="5A88E3EC" w14:textId="77777777" w:rsidTr="00F84795">
        <w:trPr>
          <w:jc w:val="center"/>
        </w:trPr>
        <w:tc>
          <w:tcPr>
            <w:tcW w:w="224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8E63AC5" w14:textId="77777777" w:rsidR="00F84795" w:rsidRPr="00421AA4" w:rsidRDefault="00F84795" w:rsidP="00213A4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6998D1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18706D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DF204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5A7D49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8540D8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14158AD1" w14:textId="77777777" w:rsidR="00F84795" w:rsidRPr="00E35F27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197B4095" w14:textId="77777777" w:rsidR="00F84795" w:rsidRPr="00E35F27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940A3" w14:textId="77777777" w:rsidR="00F84795" w:rsidRPr="00E35F27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E18301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6BBCBE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3496C4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F84795" w:rsidRPr="009C5E07" w14:paraId="77E6DF62" w14:textId="77777777" w:rsidTr="00F84795">
        <w:trPr>
          <w:jc w:val="center"/>
        </w:trPr>
        <w:tc>
          <w:tcPr>
            <w:tcW w:w="224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09CC55A" w14:textId="77777777" w:rsidR="00F84795" w:rsidRPr="00421AA4" w:rsidRDefault="00F84795" w:rsidP="00213A4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4BE7C3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6E40D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67BA1E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5BB9E2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F6FAA8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57FAB38E" w14:textId="77777777" w:rsidR="00F84795" w:rsidRPr="00E35F27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47C73517" w14:textId="77777777" w:rsidR="00F84795" w:rsidRPr="00E35F27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C906B" w14:textId="77777777" w:rsidR="00F84795" w:rsidRPr="00E35F27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4D2346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F1C6E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02864C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F84795" w:rsidRPr="009C5E07" w14:paraId="3647C715" w14:textId="77777777" w:rsidTr="00F84795">
        <w:trPr>
          <w:trHeight w:val="242"/>
          <w:jc w:val="center"/>
        </w:trPr>
        <w:tc>
          <w:tcPr>
            <w:tcW w:w="2246" w:type="dxa"/>
            <w:tcBorders>
              <w:bottom w:val="single" w:sz="4" w:space="0" w:color="000000"/>
            </w:tcBorders>
            <w:shd w:val="clear" w:color="auto" w:fill="D9D9D9"/>
            <w:vAlign w:val="bottom"/>
          </w:tcPr>
          <w:p w14:paraId="6F14A145" w14:textId="77777777" w:rsidR="00F84795" w:rsidRPr="00421AA4" w:rsidRDefault="00F84795" w:rsidP="00213A4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21AA4">
              <w:rPr>
                <w:rFonts w:ascii="Calibri" w:hAnsi="Calibri" w:cs="Arial"/>
                <w:b/>
                <w:bCs/>
                <w:sz w:val="20"/>
                <w:szCs w:val="20"/>
              </w:rPr>
              <w:t>Prior 4 wk Total</w:t>
            </w: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57BB8D9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66F1C25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F97A3F1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77908A1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21AA4"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94CC52F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21AA4"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135547F" w14:textId="77777777" w:rsidR="00F84795" w:rsidRPr="00E90029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90029"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5F75D5B" w14:textId="77777777" w:rsidR="00F84795" w:rsidRPr="00E90029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90029"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DC5685D" w14:textId="77777777" w:rsidR="00F84795" w:rsidRPr="00E35F27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0(0</w:t>
            </w:r>
            <w:r w:rsidRPr="00E35F27">
              <w:rPr>
                <w:rFonts w:ascii="Calibri" w:hAnsi="Calibri" w:cs="Arial"/>
                <w:b/>
                <w:bCs/>
                <w:sz w:val="22"/>
              </w:rPr>
              <w:t>%)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9419EBC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573822A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B556671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</w:tr>
      <w:tr w:rsidR="00F84795" w14:paraId="7FD2459C" w14:textId="77777777" w:rsidTr="00F84795">
        <w:trPr>
          <w:trHeight w:val="70"/>
          <w:jc w:val="center"/>
        </w:trPr>
        <w:tc>
          <w:tcPr>
            <w:tcW w:w="2246" w:type="dxa"/>
            <w:shd w:val="clear" w:color="auto" w:fill="D9D9D9"/>
            <w:vAlign w:val="bottom"/>
          </w:tcPr>
          <w:p w14:paraId="7AAD35C9" w14:textId="77777777" w:rsidR="00F84795" w:rsidRPr="00421AA4" w:rsidRDefault="00F84795" w:rsidP="00213A4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21AA4">
              <w:rPr>
                <w:rFonts w:ascii="Calibri" w:hAnsi="Calibri" w:cs="Arial"/>
                <w:b/>
                <w:bCs/>
                <w:sz w:val="20"/>
                <w:szCs w:val="20"/>
              </w:rPr>
              <w:t>Cumulative Season total</w:t>
            </w:r>
          </w:p>
        </w:tc>
        <w:tc>
          <w:tcPr>
            <w:tcW w:w="594" w:type="dxa"/>
            <w:shd w:val="clear" w:color="auto" w:fill="D9D9D9"/>
            <w:vAlign w:val="center"/>
          </w:tcPr>
          <w:p w14:paraId="61F552F5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1B7C736C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D9D9D9"/>
            <w:vAlign w:val="center"/>
          </w:tcPr>
          <w:p w14:paraId="1064B7BA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02E9049C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21AA4"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D9D9D9"/>
            <w:vAlign w:val="center"/>
          </w:tcPr>
          <w:p w14:paraId="40628454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21AA4"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D9D9D9"/>
            <w:vAlign w:val="center"/>
          </w:tcPr>
          <w:p w14:paraId="1E7B5214" w14:textId="77777777" w:rsidR="00F84795" w:rsidRPr="00E90029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90029"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7C087F49" w14:textId="77777777" w:rsidR="00F84795" w:rsidRPr="00E90029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90029"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6D08124C" w14:textId="77777777" w:rsidR="00F84795" w:rsidRPr="00E35F27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0</w:t>
            </w:r>
            <w:r w:rsidRPr="00E35F27">
              <w:rPr>
                <w:rFonts w:ascii="Calibri" w:hAnsi="Calibri" w:cs="Arial"/>
                <w:b/>
                <w:bCs/>
                <w:sz w:val="22"/>
              </w:rPr>
              <w:t>(</w:t>
            </w:r>
            <w:r>
              <w:rPr>
                <w:rFonts w:ascii="Calibri" w:hAnsi="Calibri" w:cs="Arial"/>
                <w:b/>
                <w:bCs/>
                <w:sz w:val="22"/>
              </w:rPr>
              <w:t>0</w:t>
            </w:r>
            <w:r w:rsidRPr="00E35F27">
              <w:rPr>
                <w:rFonts w:ascii="Calibri" w:hAnsi="Calibri" w:cs="Arial"/>
                <w:b/>
                <w:bCs/>
                <w:sz w:val="22"/>
              </w:rPr>
              <w:t>%)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69B2D455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0C88C249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3" w:type="dxa"/>
            <w:shd w:val="clear" w:color="auto" w:fill="D9D9D9"/>
            <w:vAlign w:val="center"/>
          </w:tcPr>
          <w:p w14:paraId="7592123B" w14:textId="77777777" w:rsidR="00F84795" w:rsidRPr="00421AA4" w:rsidRDefault="00F84795" w:rsidP="00F8479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0</w:t>
            </w:r>
          </w:p>
        </w:tc>
      </w:tr>
    </w:tbl>
    <w:p w14:paraId="40C56C54" w14:textId="77777777" w:rsidR="00F84795" w:rsidRPr="00F84795" w:rsidRDefault="00184DE5" w:rsidP="000778A3">
      <w:pPr>
        <w:rPr>
          <w:rFonts w:ascii="Calibri" w:hAnsi="Calibri" w:cs="Arial"/>
          <w:sz w:val="16"/>
          <w:szCs w:val="20"/>
        </w:rPr>
      </w:pPr>
      <w:r w:rsidRPr="00CC567F">
        <w:rPr>
          <w:rFonts w:ascii="Calibri" w:hAnsi="Calibri" w:cs="Arial"/>
          <w:sz w:val="16"/>
          <w:szCs w:val="20"/>
        </w:rPr>
        <w:t>All data are subject to change as test re</w:t>
      </w:r>
      <w:r w:rsidR="00061FB0">
        <w:rPr>
          <w:rFonts w:ascii="Calibri" w:hAnsi="Calibri" w:cs="Arial"/>
          <w:sz w:val="16"/>
          <w:szCs w:val="20"/>
        </w:rPr>
        <w:t>sults become finalized. The 2018</w:t>
      </w:r>
      <w:r w:rsidRPr="00CC567F">
        <w:rPr>
          <w:rFonts w:ascii="Calibri" w:hAnsi="Calibri" w:cs="Arial"/>
          <w:sz w:val="16"/>
          <w:szCs w:val="20"/>
        </w:rPr>
        <w:t xml:space="preserve"> -201</w:t>
      </w:r>
      <w:r w:rsidR="00061FB0">
        <w:rPr>
          <w:rFonts w:ascii="Calibri" w:hAnsi="Calibri" w:cs="Arial"/>
          <w:sz w:val="16"/>
          <w:szCs w:val="20"/>
        </w:rPr>
        <w:t>9</w:t>
      </w:r>
      <w:r w:rsidRPr="00CC567F">
        <w:rPr>
          <w:rFonts w:ascii="Calibri" w:hAnsi="Calibri" w:cs="Arial"/>
          <w:sz w:val="16"/>
          <w:szCs w:val="20"/>
        </w:rPr>
        <w:t xml:space="preserve"> i</w:t>
      </w:r>
      <w:r>
        <w:rPr>
          <w:rFonts w:ascii="Calibri" w:hAnsi="Calibri" w:cs="Arial"/>
          <w:sz w:val="16"/>
          <w:szCs w:val="20"/>
        </w:rPr>
        <w:t>n</w:t>
      </w:r>
      <w:r w:rsidR="00061FB0">
        <w:rPr>
          <w:rFonts w:ascii="Calibri" w:hAnsi="Calibri" w:cs="Arial"/>
          <w:sz w:val="16"/>
          <w:szCs w:val="20"/>
        </w:rPr>
        <w:t>fluenza season began MMWR 40 (9/30- 10/06</w:t>
      </w:r>
      <w:r w:rsidRPr="00CC567F">
        <w:rPr>
          <w:rFonts w:ascii="Calibri" w:hAnsi="Calibri" w:cs="Arial"/>
          <w:sz w:val="16"/>
          <w:szCs w:val="20"/>
        </w:rPr>
        <w:t>/201</w:t>
      </w:r>
      <w:r w:rsidR="00061FB0">
        <w:rPr>
          <w:rFonts w:ascii="Calibri" w:hAnsi="Calibri" w:cs="Arial"/>
          <w:sz w:val="16"/>
          <w:szCs w:val="20"/>
        </w:rPr>
        <w:t>8</w:t>
      </w:r>
      <w:r w:rsidRPr="00CC567F">
        <w:rPr>
          <w:rFonts w:ascii="Calibri" w:hAnsi="Calibri" w:cs="Arial"/>
          <w:sz w:val="16"/>
          <w:szCs w:val="20"/>
        </w:rPr>
        <w:t>).</w:t>
      </w:r>
    </w:p>
    <w:p w14:paraId="70D9B9B0" w14:textId="77777777" w:rsidR="00F84795" w:rsidRDefault="00F84795" w:rsidP="000778A3">
      <w:pPr>
        <w:rPr>
          <w:rFonts w:ascii="Calibri" w:hAnsi="Calibri"/>
          <w:color w:val="000000"/>
          <w:sz w:val="20"/>
          <w:szCs w:val="20"/>
        </w:rPr>
      </w:pPr>
    </w:p>
    <w:p w14:paraId="6BB599B5" w14:textId="77777777" w:rsidR="00F84795" w:rsidRDefault="00F84795" w:rsidP="000778A3">
      <w:pPr>
        <w:rPr>
          <w:rFonts w:ascii="Calibri" w:hAnsi="Calibri"/>
          <w:color w:val="000000"/>
          <w:sz w:val="20"/>
          <w:szCs w:val="20"/>
        </w:rPr>
      </w:pPr>
    </w:p>
    <w:p w14:paraId="30D6AFDD" w14:textId="77777777" w:rsidR="00F84795" w:rsidRDefault="00F84795" w:rsidP="000778A3">
      <w:pPr>
        <w:rPr>
          <w:rFonts w:ascii="Calibri" w:hAnsi="Calibri"/>
          <w:color w:val="000000"/>
          <w:sz w:val="20"/>
          <w:szCs w:val="20"/>
        </w:rPr>
      </w:pPr>
    </w:p>
    <w:p w14:paraId="3725758C" w14:textId="77777777" w:rsidR="00F84795" w:rsidRDefault="00F84795" w:rsidP="000778A3">
      <w:pPr>
        <w:rPr>
          <w:rFonts w:ascii="Calibri" w:hAnsi="Calibri"/>
          <w:color w:val="000000"/>
          <w:sz w:val="20"/>
          <w:szCs w:val="20"/>
        </w:rPr>
      </w:pPr>
    </w:p>
    <w:p w14:paraId="331B418B" w14:textId="77777777" w:rsidR="00F84795" w:rsidRDefault="00F84795" w:rsidP="000778A3">
      <w:pPr>
        <w:rPr>
          <w:rFonts w:ascii="Calibri" w:hAnsi="Calibri"/>
          <w:color w:val="000000"/>
          <w:sz w:val="20"/>
          <w:szCs w:val="20"/>
        </w:rPr>
      </w:pPr>
    </w:p>
    <w:p w14:paraId="37AE487D" w14:textId="77777777" w:rsidR="00F84795" w:rsidRDefault="00F84795" w:rsidP="000778A3">
      <w:pPr>
        <w:rPr>
          <w:rFonts w:ascii="Calibri" w:hAnsi="Calibri"/>
          <w:color w:val="000000"/>
          <w:sz w:val="20"/>
          <w:szCs w:val="20"/>
        </w:rPr>
      </w:pPr>
    </w:p>
    <w:p w14:paraId="341FB8D4" w14:textId="77777777" w:rsidR="00F84795" w:rsidRDefault="00F84795" w:rsidP="000778A3">
      <w:pPr>
        <w:rPr>
          <w:rFonts w:ascii="Calibri" w:hAnsi="Calibri"/>
          <w:color w:val="000000"/>
          <w:sz w:val="20"/>
          <w:szCs w:val="20"/>
        </w:rPr>
      </w:pPr>
    </w:p>
    <w:p w14:paraId="4002798D" w14:textId="77777777" w:rsidR="00F84795" w:rsidRDefault="00F84795" w:rsidP="000778A3">
      <w:pPr>
        <w:rPr>
          <w:rFonts w:ascii="Calibri" w:hAnsi="Calibri"/>
          <w:color w:val="000000"/>
          <w:sz w:val="20"/>
          <w:szCs w:val="20"/>
        </w:rPr>
      </w:pPr>
    </w:p>
    <w:p w14:paraId="39FDFC93" w14:textId="77777777" w:rsidR="00F84795" w:rsidRDefault="00F84795" w:rsidP="000778A3">
      <w:pPr>
        <w:rPr>
          <w:rFonts w:ascii="Calibri" w:hAnsi="Calibri"/>
          <w:color w:val="000000"/>
          <w:sz w:val="20"/>
          <w:szCs w:val="20"/>
        </w:rPr>
      </w:pPr>
    </w:p>
    <w:p w14:paraId="5FCF71E3" w14:textId="77777777" w:rsidR="00F84795" w:rsidRDefault="00F84795" w:rsidP="000778A3">
      <w:pPr>
        <w:rPr>
          <w:rFonts w:ascii="Calibri" w:hAnsi="Calibri"/>
          <w:color w:val="000000"/>
          <w:sz w:val="20"/>
          <w:szCs w:val="20"/>
        </w:rPr>
      </w:pPr>
    </w:p>
    <w:p w14:paraId="3450ED2E" w14:textId="77777777" w:rsidR="00F84795" w:rsidRDefault="00F84795" w:rsidP="000778A3">
      <w:pPr>
        <w:rPr>
          <w:rFonts w:ascii="Calibri" w:hAnsi="Calibri"/>
          <w:color w:val="000000"/>
          <w:sz w:val="20"/>
          <w:szCs w:val="20"/>
        </w:rPr>
      </w:pPr>
    </w:p>
    <w:p w14:paraId="1FA7BDC7" w14:textId="77777777" w:rsidR="00F84795" w:rsidRDefault="00F84795" w:rsidP="000778A3">
      <w:pPr>
        <w:rPr>
          <w:rFonts w:ascii="Calibri" w:hAnsi="Calibri"/>
          <w:color w:val="000000"/>
          <w:sz w:val="20"/>
          <w:szCs w:val="20"/>
        </w:rPr>
      </w:pPr>
    </w:p>
    <w:p w14:paraId="01283A63" w14:textId="77777777" w:rsidR="00F84795" w:rsidRDefault="00F84795" w:rsidP="000778A3">
      <w:pPr>
        <w:rPr>
          <w:rFonts w:ascii="Calibri" w:hAnsi="Calibri"/>
          <w:color w:val="000000"/>
          <w:sz w:val="20"/>
          <w:szCs w:val="20"/>
        </w:rPr>
      </w:pPr>
    </w:p>
    <w:p w14:paraId="7F549930" w14:textId="77777777" w:rsidR="000778A3" w:rsidRDefault="009A6180" w:rsidP="000778A3">
      <w:pPr>
        <w:rPr>
          <w:rFonts w:ascii="Calibri" w:hAnsi="Calibri"/>
          <w:sz w:val="20"/>
          <w:szCs w:val="20"/>
        </w:rPr>
      </w:pPr>
      <w:r w:rsidRPr="00E27BEC">
        <w:rPr>
          <w:rFonts w:ascii="Calibri" w:hAnsi="Calibri"/>
          <w:color w:val="000000"/>
          <w:sz w:val="20"/>
          <w:szCs w:val="20"/>
        </w:rPr>
        <w:lastRenderedPageBreak/>
        <w:t>Fo</w:t>
      </w:r>
      <w:r w:rsidR="00B537D0">
        <w:rPr>
          <w:rFonts w:ascii="Calibri" w:hAnsi="Calibri"/>
          <w:color w:val="000000"/>
          <w:sz w:val="20"/>
          <w:szCs w:val="20"/>
        </w:rPr>
        <w:t>r the 2018</w:t>
      </w:r>
      <w:r w:rsidRPr="00E27BEC">
        <w:rPr>
          <w:rFonts w:ascii="Calibri" w:hAnsi="Calibri"/>
          <w:color w:val="000000"/>
          <w:sz w:val="20"/>
          <w:szCs w:val="20"/>
        </w:rPr>
        <w:t>-</w:t>
      </w:r>
      <w:r w:rsidRPr="00E27BEC">
        <w:rPr>
          <w:rFonts w:ascii="Calibri" w:hAnsi="Calibri"/>
          <w:sz w:val="20"/>
          <w:szCs w:val="20"/>
        </w:rPr>
        <w:t>201</w:t>
      </w:r>
      <w:r w:rsidR="00B537D0">
        <w:rPr>
          <w:rFonts w:ascii="Calibri" w:hAnsi="Calibri"/>
          <w:sz w:val="20"/>
          <w:szCs w:val="20"/>
        </w:rPr>
        <w:t>9</w:t>
      </w:r>
      <w:r w:rsidRPr="00E27BEC">
        <w:rPr>
          <w:rFonts w:ascii="Calibri" w:hAnsi="Calibri"/>
          <w:sz w:val="20"/>
          <w:szCs w:val="20"/>
        </w:rPr>
        <w:t xml:space="preserve"> season, two original specimens positive for each influenza virus A(H3N2), influenza virus A(H1N1)pdm09,</w:t>
      </w:r>
      <w:r w:rsidRPr="00E27BEC">
        <w:rPr>
          <w:rFonts w:ascii="Calibri" w:hAnsi="Calibri"/>
        </w:rPr>
        <w:t xml:space="preserve"> </w:t>
      </w:r>
      <w:r w:rsidRPr="00E27BEC">
        <w:rPr>
          <w:rFonts w:ascii="Calibri" w:hAnsi="Calibri"/>
          <w:sz w:val="20"/>
          <w:szCs w:val="20"/>
        </w:rPr>
        <w:t>and influenza virus B (with one sample from each Victoria and Yamagata lineage, if possible) will be sent every two weeks by MDPH-B</w:t>
      </w:r>
      <w:r>
        <w:rPr>
          <w:rFonts w:ascii="Calibri" w:hAnsi="Calibri"/>
          <w:sz w:val="20"/>
          <w:szCs w:val="20"/>
        </w:rPr>
        <w:t>ID</w:t>
      </w:r>
      <w:r w:rsidRPr="00E27BEC">
        <w:rPr>
          <w:rFonts w:ascii="Calibri" w:hAnsi="Calibri"/>
          <w:sz w:val="20"/>
          <w:szCs w:val="20"/>
        </w:rPr>
        <w:t>LS to a CDC contract laboratory performing National Influenza Virus Surveillance standardized test methods. Antigenic characterization of these submitted specimens include:</w:t>
      </w:r>
      <w:r w:rsidRPr="00E27BEC">
        <w:rPr>
          <w:rFonts w:ascii="Calibri" w:hAnsi="Calibri"/>
          <w:color w:val="000000"/>
          <w:sz w:val="20"/>
          <w:szCs w:val="20"/>
        </w:rPr>
        <w:t xml:space="preserve"> hemagglutination inhibition (HI), genetic analysis (sequencing) and sensitivity to FDA</w:t>
      </w:r>
      <w:r w:rsidRPr="00261BF8">
        <w:rPr>
          <w:rFonts w:ascii="Calibri" w:hAnsi="Calibri"/>
          <w:color w:val="000000"/>
          <w:sz w:val="20"/>
          <w:szCs w:val="20"/>
        </w:rPr>
        <w:t xml:space="preserve">-approved drugs for identification of resistance.  </w:t>
      </w:r>
      <w:r w:rsidRPr="00261BF8">
        <w:rPr>
          <w:rFonts w:ascii="Calibri" w:hAnsi="Calibri"/>
          <w:sz w:val="20"/>
          <w:szCs w:val="20"/>
        </w:rPr>
        <w:t xml:space="preserve">Selection criteria </w:t>
      </w:r>
      <w:r w:rsidRPr="0044110C">
        <w:rPr>
          <w:rFonts w:ascii="Calibri" w:hAnsi="Calibri"/>
          <w:sz w:val="20"/>
          <w:szCs w:val="20"/>
        </w:rPr>
        <w:t xml:space="preserve">for submitting influenza positive specimens will be based on a Ct value (&lt;30) for Inf A and Inf B tests using </w:t>
      </w:r>
      <w:r>
        <w:rPr>
          <w:rFonts w:ascii="Calibri" w:hAnsi="Calibri"/>
          <w:sz w:val="20"/>
          <w:szCs w:val="20"/>
        </w:rPr>
        <w:t xml:space="preserve">the CDC Flu rRT-PCR Dx Panel.  </w:t>
      </w:r>
    </w:p>
    <w:p w14:paraId="6B85D39A" w14:textId="77777777" w:rsidR="004C4472" w:rsidRDefault="004C4472" w:rsidP="000778A3">
      <w:pPr>
        <w:rPr>
          <w:rFonts w:ascii="Calibri" w:hAnsi="Calibri"/>
          <w:sz w:val="20"/>
          <w:szCs w:val="20"/>
        </w:rPr>
      </w:pPr>
    </w:p>
    <w:p w14:paraId="0813A86B" w14:textId="77777777" w:rsidR="009A6180" w:rsidRPr="00427E50" w:rsidRDefault="009A6180" w:rsidP="009A6180">
      <w:pPr>
        <w:rPr>
          <w:rFonts w:ascii="Calibri" w:hAnsi="Calibri"/>
          <w:sz w:val="20"/>
          <w:szCs w:val="20"/>
        </w:rPr>
      </w:pPr>
      <w:r w:rsidRPr="0044110C">
        <w:rPr>
          <w:rFonts w:ascii="Calibri" w:hAnsi="Calibri"/>
          <w:sz w:val="20"/>
          <w:szCs w:val="20"/>
        </w:rPr>
        <w:t>The CDC Flu rRT-PCT Dx Panel for Influenza A subtyping was updated prior to the start of the 2016-2017 season. The oligonucleotide primers and probe were improved to ensure detection of currently circulating influenza A(H1N</w:t>
      </w:r>
      <w:proofErr w:type="gramStart"/>
      <w:r w:rsidRPr="0044110C">
        <w:rPr>
          <w:rFonts w:ascii="Calibri" w:hAnsi="Calibri"/>
          <w:sz w:val="20"/>
          <w:szCs w:val="20"/>
        </w:rPr>
        <w:t>1)pdm</w:t>
      </w:r>
      <w:proofErr w:type="gramEnd"/>
      <w:r w:rsidRPr="0044110C">
        <w:rPr>
          <w:rFonts w:ascii="Calibri" w:hAnsi="Calibri"/>
          <w:sz w:val="20"/>
          <w:szCs w:val="20"/>
        </w:rPr>
        <w:t>09 viruses. The “seasonal” H1 target from Influenza A(H1N1) viruses that caused seasonal epidemics in humans prior to 2009 no longer circulates in humans and this target within the assay was discontinued.</w:t>
      </w:r>
    </w:p>
    <w:p w14:paraId="7530D2E1" w14:textId="77777777" w:rsidR="009A6180" w:rsidRPr="0043087E" w:rsidRDefault="009A6180" w:rsidP="009A6180">
      <w:pPr>
        <w:rPr>
          <w:rFonts w:ascii="Calibri" w:hAnsi="Calibri"/>
          <w:color w:val="000000"/>
          <w:sz w:val="16"/>
          <w:szCs w:val="20"/>
        </w:rPr>
      </w:pPr>
    </w:p>
    <w:p w14:paraId="6D1702EA" w14:textId="77777777" w:rsidR="009A6180" w:rsidRPr="00E27BEC" w:rsidRDefault="009A6180" w:rsidP="009A6180">
      <w:pPr>
        <w:rPr>
          <w:rFonts w:ascii="Calibri" w:hAnsi="Calibri"/>
          <w:color w:val="000000"/>
          <w:sz w:val="20"/>
          <w:szCs w:val="20"/>
        </w:rPr>
      </w:pPr>
      <w:r w:rsidRPr="00E27BEC">
        <w:rPr>
          <w:rFonts w:ascii="Calibri" w:hAnsi="Calibri"/>
          <w:color w:val="000000"/>
          <w:sz w:val="20"/>
          <w:szCs w:val="20"/>
        </w:rPr>
        <w:t>As samples are received, MDPH-B</w:t>
      </w:r>
      <w:r>
        <w:rPr>
          <w:rFonts w:ascii="Calibri" w:hAnsi="Calibri"/>
          <w:color w:val="000000"/>
          <w:sz w:val="20"/>
          <w:szCs w:val="20"/>
        </w:rPr>
        <w:t>ID</w:t>
      </w:r>
      <w:r w:rsidRPr="00E27BEC">
        <w:rPr>
          <w:rFonts w:ascii="Calibri" w:hAnsi="Calibri"/>
          <w:color w:val="000000"/>
          <w:sz w:val="20"/>
          <w:szCs w:val="20"/>
        </w:rPr>
        <w:t xml:space="preserve">LS will screen additional samples every two weeks to detect point mutations within the neuraminidase gene of influenza A/H3N2 viruses (E119, R292, and N294) and influenza A/2009 H1N1 viruses (H275 and I223) to assess resistance trends using the current CDC </w:t>
      </w:r>
      <w:r w:rsidRPr="00FD3494">
        <w:rPr>
          <w:rFonts w:ascii="Calibri" w:hAnsi="Calibri"/>
          <w:color w:val="000000"/>
          <w:sz w:val="20"/>
          <w:szCs w:val="20"/>
        </w:rPr>
        <w:t xml:space="preserve">pyrosequencing method.  This information will be reported locally and captured nationally in FluView </w:t>
      </w:r>
      <w:r w:rsidRPr="005B5108">
        <w:rPr>
          <w:rFonts w:ascii="Calibri" w:hAnsi="Calibri"/>
          <w:color w:val="000000"/>
          <w:sz w:val="20"/>
          <w:szCs w:val="20"/>
        </w:rPr>
        <w:t>(</w:t>
      </w:r>
      <w:hyperlink r:id="rId13" w:history="1">
        <w:r w:rsidRPr="005B5108">
          <w:rPr>
            <w:rStyle w:val="Hyperlink"/>
            <w:rFonts w:ascii="Calibri" w:hAnsi="Calibri"/>
            <w:sz w:val="20"/>
            <w:szCs w:val="20"/>
          </w:rPr>
          <w:t>http://www.cdc.gov/flu/weekly/</w:t>
        </w:r>
      </w:hyperlink>
      <w:r w:rsidRPr="005B5108">
        <w:rPr>
          <w:rFonts w:ascii="Calibri" w:hAnsi="Calibri"/>
          <w:color w:val="000000"/>
          <w:sz w:val="20"/>
          <w:szCs w:val="20"/>
        </w:rPr>
        <w:t>).</w:t>
      </w:r>
      <w:r w:rsidR="00B4436C" w:rsidRPr="005B5108">
        <w:rPr>
          <w:rFonts w:ascii="Calibri" w:hAnsi="Calibri"/>
          <w:color w:val="000000"/>
          <w:sz w:val="20"/>
          <w:szCs w:val="20"/>
        </w:rPr>
        <w:t xml:space="preserve"> </w:t>
      </w:r>
      <w:r w:rsidRPr="005B5108">
        <w:rPr>
          <w:rFonts w:ascii="Calibri" w:hAnsi="Calibri"/>
          <w:color w:val="000000"/>
          <w:sz w:val="20"/>
          <w:szCs w:val="20"/>
        </w:rPr>
        <w:t>No mutations were detected in the 2016-2017 season.</w:t>
      </w:r>
      <w:r w:rsidR="00B4436C">
        <w:rPr>
          <w:rFonts w:ascii="Calibri" w:hAnsi="Calibri"/>
          <w:color w:val="000000"/>
          <w:sz w:val="20"/>
          <w:szCs w:val="20"/>
        </w:rPr>
        <w:t xml:space="preserve"> </w:t>
      </w:r>
      <w:r w:rsidR="00B4436C" w:rsidRPr="00E70482">
        <w:rPr>
          <w:rFonts w:ascii="Calibri" w:hAnsi="Calibri"/>
          <w:color w:val="000000"/>
          <w:sz w:val="20"/>
          <w:szCs w:val="20"/>
        </w:rPr>
        <w:t>For the 2017-2018 season, one A/H3N2 isolate with a mutation</w:t>
      </w:r>
      <w:r w:rsidR="00E70482" w:rsidRPr="00E70482">
        <w:rPr>
          <w:rFonts w:ascii="Calibri" w:hAnsi="Calibri"/>
          <w:color w:val="000000"/>
          <w:sz w:val="20"/>
          <w:szCs w:val="20"/>
        </w:rPr>
        <w:t xml:space="preserve"> (E119 variant)</w:t>
      </w:r>
      <w:r w:rsidR="00B4436C" w:rsidRPr="00E70482">
        <w:rPr>
          <w:rFonts w:ascii="Calibri" w:hAnsi="Calibri"/>
          <w:color w:val="000000"/>
          <w:sz w:val="20"/>
          <w:szCs w:val="20"/>
        </w:rPr>
        <w:t xml:space="preserve"> conferring oseltamivir-resistance was detected.</w:t>
      </w:r>
    </w:p>
    <w:p w14:paraId="26D7AA8B" w14:textId="77777777" w:rsidR="00704A59" w:rsidRDefault="00704A59" w:rsidP="00704A59">
      <w:pPr>
        <w:rPr>
          <w:rFonts w:ascii="Calibri" w:hAnsi="Calibri"/>
          <w:color w:val="000000"/>
          <w:sz w:val="20"/>
          <w:szCs w:val="20"/>
        </w:rPr>
      </w:pPr>
    </w:p>
    <w:p w14:paraId="3AB660C0" w14:textId="77777777" w:rsidR="00091087" w:rsidRPr="003C3FF5" w:rsidRDefault="00091087" w:rsidP="00091087">
      <w:pPr>
        <w:jc w:val="center"/>
        <w:rPr>
          <w:rFonts w:ascii="Calibri" w:hAnsi="Calibri"/>
          <w:b/>
          <w:i/>
          <w:color w:val="000000"/>
          <w:sz w:val="22"/>
          <w:szCs w:val="22"/>
        </w:rPr>
      </w:pPr>
      <w:r w:rsidRPr="00091087">
        <w:rPr>
          <w:rFonts w:ascii="Calibri" w:hAnsi="Calibri"/>
          <w:b/>
          <w:i/>
          <w:color w:val="000000"/>
          <w:sz w:val="22"/>
          <w:szCs w:val="22"/>
        </w:rPr>
        <w:t xml:space="preserve"> </w:t>
      </w:r>
      <w:r w:rsidRPr="00F84795">
        <w:rPr>
          <w:rFonts w:ascii="Calibri" w:hAnsi="Calibri"/>
          <w:b/>
          <w:i/>
          <w:color w:val="000000"/>
          <w:sz w:val="22"/>
          <w:szCs w:val="22"/>
        </w:rPr>
        <w:t xml:space="preserve">Table </w:t>
      </w:r>
      <w:r w:rsidR="00F84795" w:rsidRPr="00F84795">
        <w:rPr>
          <w:rFonts w:ascii="Calibri" w:hAnsi="Calibri"/>
          <w:b/>
          <w:i/>
          <w:color w:val="000000"/>
          <w:sz w:val="22"/>
          <w:szCs w:val="22"/>
        </w:rPr>
        <w:t>4</w:t>
      </w:r>
      <w:r w:rsidRPr="00F84795">
        <w:rPr>
          <w:rFonts w:ascii="Calibri" w:hAnsi="Calibri"/>
          <w:b/>
          <w:i/>
          <w:color w:val="000000"/>
          <w:sz w:val="22"/>
          <w:szCs w:val="22"/>
        </w:rPr>
        <w:t>: DPH-B</w:t>
      </w:r>
      <w:r w:rsidR="00432AC8" w:rsidRPr="00F84795">
        <w:rPr>
          <w:rFonts w:ascii="Calibri" w:hAnsi="Calibri"/>
          <w:b/>
          <w:i/>
          <w:color w:val="000000"/>
          <w:sz w:val="22"/>
          <w:szCs w:val="22"/>
        </w:rPr>
        <w:t>ID</w:t>
      </w:r>
      <w:r w:rsidRPr="00F84795">
        <w:rPr>
          <w:rFonts w:ascii="Calibri" w:hAnsi="Calibri"/>
          <w:b/>
          <w:i/>
          <w:color w:val="000000"/>
          <w:sz w:val="22"/>
          <w:szCs w:val="22"/>
        </w:rPr>
        <w:t>LS Influenza Antiviral Resistance Screening: 201</w:t>
      </w:r>
      <w:r w:rsidR="00061FB0" w:rsidRPr="00F84795">
        <w:rPr>
          <w:rFonts w:ascii="Calibri" w:hAnsi="Calibri"/>
          <w:b/>
          <w:i/>
          <w:color w:val="000000"/>
          <w:sz w:val="22"/>
          <w:szCs w:val="22"/>
        </w:rPr>
        <w:t>8</w:t>
      </w:r>
      <w:r w:rsidR="00F067CD" w:rsidRPr="00F84795">
        <w:rPr>
          <w:rFonts w:ascii="Calibri" w:hAnsi="Calibri"/>
          <w:b/>
          <w:i/>
          <w:color w:val="000000"/>
          <w:sz w:val="22"/>
          <w:szCs w:val="22"/>
        </w:rPr>
        <w:t>-</w:t>
      </w:r>
      <w:r w:rsidRPr="00F84795">
        <w:rPr>
          <w:rFonts w:ascii="Calibri" w:hAnsi="Calibri"/>
          <w:b/>
          <w:i/>
          <w:color w:val="000000"/>
          <w:sz w:val="22"/>
          <w:szCs w:val="22"/>
        </w:rPr>
        <w:t>201</w:t>
      </w:r>
      <w:r w:rsidR="00061FB0" w:rsidRPr="00F84795">
        <w:rPr>
          <w:rFonts w:ascii="Calibri" w:hAnsi="Calibri"/>
          <w:b/>
          <w:i/>
          <w:color w:val="000000"/>
          <w:sz w:val="22"/>
          <w:szCs w:val="22"/>
        </w:rPr>
        <w:t>9</w:t>
      </w:r>
      <w:r w:rsidRPr="00F84795">
        <w:rPr>
          <w:rFonts w:ascii="Calibri" w:hAnsi="Calibri"/>
          <w:b/>
          <w:i/>
          <w:color w:val="000000"/>
          <w:sz w:val="22"/>
          <w:szCs w:val="22"/>
        </w:rPr>
        <w:t xml:space="preserve"> Season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530"/>
        <w:gridCol w:w="2178"/>
        <w:gridCol w:w="1216"/>
        <w:gridCol w:w="1772"/>
      </w:tblGrid>
      <w:tr w:rsidR="009C5E07" w:rsidRPr="003C3FF5" w14:paraId="04F63525" w14:textId="77777777" w:rsidTr="00E56A67">
        <w:trPr>
          <w:jc w:val="center"/>
        </w:trPr>
        <w:tc>
          <w:tcPr>
            <w:tcW w:w="9216" w:type="dxa"/>
            <w:gridSpan w:val="5"/>
            <w:shd w:val="clear" w:color="auto" w:fill="auto"/>
          </w:tcPr>
          <w:p w14:paraId="01AA7FD1" w14:textId="77777777" w:rsidR="009C5E07" w:rsidRPr="003C3FF5" w:rsidRDefault="009C5E07" w:rsidP="004202E9">
            <w:pPr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3C3FF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Virus Collection Period: </w:t>
            </w:r>
            <w:r w:rsidRPr="003C3FF5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  <w:r w:rsidR="004202E9">
              <w:rPr>
                <w:rFonts w:ascii="Calibri" w:eastAsia="Calibri" w:hAnsi="Calibri"/>
                <w:color w:val="000000"/>
                <w:sz w:val="20"/>
                <w:szCs w:val="20"/>
              </w:rPr>
              <w:t>September</w:t>
            </w:r>
            <w:r w:rsidRPr="003C3FF5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  <w:r w:rsidR="004202E9">
              <w:rPr>
                <w:rFonts w:ascii="Calibri" w:eastAsia="Calibri" w:hAnsi="Calibri"/>
                <w:color w:val="000000"/>
                <w:sz w:val="20"/>
                <w:szCs w:val="20"/>
              </w:rPr>
              <w:t>30</w:t>
            </w:r>
            <w:r w:rsidRPr="003C3FF5">
              <w:rPr>
                <w:rFonts w:ascii="Calibri" w:eastAsia="Calibri" w:hAnsi="Calibri"/>
                <w:color w:val="000000"/>
                <w:sz w:val="20"/>
                <w:szCs w:val="20"/>
              </w:rPr>
              <w:t>, 201</w:t>
            </w:r>
            <w:r w:rsidR="004202E9">
              <w:rPr>
                <w:rFonts w:ascii="Calibri" w:eastAsia="Calibri" w:hAnsi="Calibri"/>
                <w:color w:val="000000"/>
                <w:sz w:val="20"/>
                <w:szCs w:val="20"/>
              </w:rPr>
              <w:t>8</w:t>
            </w:r>
            <w:r w:rsidRPr="003C3FF5">
              <w:rPr>
                <w:rFonts w:ascii="Calibri" w:eastAsia="Calibri" w:hAnsi="Calibri"/>
                <w:color w:val="000000"/>
                <w:sz w:val="20"/>
                <w:szCs w:val="20"/>
              </w:rPr>
              <w:t>- ongoing</w:t>
            </w:r>
          </w:p>
        </w:tc>
      </w:tr>
      <w:tr w:rsidR="009C5E07" w:rsidRPr="003C3FF5" w14:paraId="37689B81" w14:textId="77777777" w:rsidTr="00E56A67">
        <w:trPr>
          <w:jc w:val="center"/>
        </w:trPr>
        <w:tc>
          <w:tcPr>
            <w:tcW w:w="2520" w:type="dxa"/>
            <w:shd w:val="clear" w:color="auto" w:fill="auto"/>
          </w:tcPr>
          <w:p w14:paraId="7461731B" w14:textId="77777777" w:rsidR="009C5E07" w:rsidRPr="003C3FF5" w:rsidRDefault="009C5E07" w:rsidP="00E56A67">
            <w:pPr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14:paraId="5989B926" w14:textId="77777777" w:rsidR="009C5E07" w:rsidRPr="003C3FF5" w:rsidRDefault="009C5E07" w:rsidP="00E56A67">
            <w:pPr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3C3FF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Oseltamivir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1390DC85" w14:textId="77777777" w:rsidR="009C5E07" w:rsidRPr="003C3FF5" w:rsidRDefault="009C5E07" w:rsidP="00E56A67">
            <w:pPr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3C3FF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Zanamivir</w:t>
            </w:r>
          </w:p>
        </w:tc>
      </w:tr>
      <w:tr w:rsidR="009C5E07" w:rsidRPr="003C3FF5" w14:paraId="39FA10FD" w14:textId="77777777" w:rsidTr="00E56A67">
        <w:trPr>
          <w:trHeight w:val="413"/>
          <w:jc w:val="center"/>
        </w:trPr>
        <w:tc>
          <w:tcPr>
            <w:tcW w:w="2520" w:type="dxa"/>
            <w:shd w:val="clear" w:color="auto" w:fill="auto"/>
          </w:tcPr>
          <w:p w14:paraId="43227EC0" w14:textId="77777777" w:rsidR="009C5E07" w:rsidRPr="003C3FF5" w:rsidRDefault="009C5E07" w:rsidP="00E56A67">
            <w:pPr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D657241" w14:textId="77777777" w:rsidR="009C5E07" w:rsidRPr="003C3FF5" w:rsidRDefault="009C5E07" w:rsidP="00E56A67">
            <w:pPr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3C3FF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Samples Tested</w:t>
            </w:r>
          </w:p>
        </w:tc>
        <w:tc>
          <w:tcPr>
            <w:tcW w:w="2178" w:type="dxa"/>
            <w:shd w:val="clear" w:color="auto" w:fill="auto"/>
          </w:tcPr>
          <w:p w14:paraId="57DCEDAC" w14:textId="77777777" w:rsidR="009C5E07" w:rsidRPr="003C3FF5" w:rsidRDefault="009C5E07" w:rsidP="00E56A67">
            <w:pPr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3C3FF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Resistant Viruses, Number (%)</w:t>
            </w:r>
          </w:p>
        </w:tc>
        <w:tc>
          <w:tcPr>
            <w:tcW w:w="1216" w:type="dxa"/>
            <w:shd w:val="clear" w:color="auto" w:fill="auto"/>
          </w:tcPr>
          <w:p w14:paraId="5196B2F4" w14:textId="77777777" w:rsidR="009C5E07" w:rsidRPr="003C3FF5" w:rsidRDefault="009C5E07" w:rsidP="00E56A67">
            <w:pPr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3C3FF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Samples Tested</w:t>
            </w:r>
          </w:p>
        </w:tc>
        <w:tc>
          <w:tcPr>
            <w:tcW w:w="1772" w:type="dxa"/>
            <w:shd w:val="clear" w:color="auto" w:fill="auto"/>
          </w:tcPr>
          <w:p w14:paraId="1D5C21D2" w14:textId="77777777" w:rsidR="009C5E07" w:rsidRPr="003C3FF5" w:rsidRDefault="009C5E07" w:rsidP="00E56A67">
            <w:pPr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3C3FF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Resistant Viruses,</w:t>
            </w:r>
          </w:p>
          <w:p w14:paraId="728A2D55" w14:textId="77777777" w:rsidR="009C5E07" w:rsidRPr="003C3FF5" w:rsidRDefault="009C5E07" w:rsidP="00E56A67">
            <w:pPr>
              <w:jc w:val="center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3C3FF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Number (%)</w:t>
            </w:r>
          </w:p>
        </w:tc>
      </w:tr>
      <w:tr w:rsidR="000778A3" w:rsidRPr="003C3FF5" w14:paraId="52FC78B3" w14:textId="77777777" w:rsidTr="00E27BEC">
        <w:trPr>
          <w:jc w:val="center"/>
        </w:trPr>
        <w:tc>
          <w:tcPr>
            <w:tcW w:w="2520" w:type="dxa"/>
            <w:shd w:val="clear" w:color="auto" w:fill="auto"/>
          </w:tcPr>
          <w:p w14:paraId="496A7E2B" w14:textId="77777777" w:rsidR="000778A3" w:rsidRPr="003C3FF5" w:rsidRDefault="000778A3" w:rsidP="00E56A67">
            <w:pP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3C3FF5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Influenza A (H3N2)</w:t>
            </w:r>
            <w:r w:rsidRPr="003C3FF5">
              <w:rPr>
                <w:rFonts w:ascii="Calibri" w:eastAsia="Calibri" w:hAnsi="Calibri"/>
                <w:b/>
                <w:color w:val="000000"/>
                <w:sz w:val="20"/>
                <w:szCs w:val="20"/>
                <w:vertAlign w:val="superscript"/>
              </w:rPr>
              <w:t xml:space="preserve"> i</w:t>
            </w:r>
          </w:p>
        </w:tc>
        <w:tc>
          <w:tcPr>
            <w:tcW w:w="1530" w:type="dxa"/>
            <w:shd w:val="clear" w:color="auto" w:fill="auto"/>
          </w:tcPr>
          <w:p w14:paraId="157723AC" w14:textId="77777777" w:rsidR="000778A3" w:rsidRPr="00F84795" w:rsidRDefault="000778A3" w:rsidP="00E27BEC">
            <w:pPr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F84795">
              <w:rPr>
                <w:rFonts w:ascii="Calibri" w:eastAsia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78" w:type="dxa"/>
            <w:shd w:val="clear" w:color="auto" w:fill="auto"/>
          </w:tcPr>
          <w:p w14:paraId="16A02E1E" w14:textId="77777777" w:rsidR="000778A3" w:rsidRPr="00F84795" w:rsidRDefault="000778A3" w:rsidP="00E27BEC">
            <w:pPr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F84795">
              <w:rPr>
                <w:rFonts w:ascii="Calibri" w:eastAsia="Calibri" w:hAnsi="Calibri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16" w:type="dxa"/>
            <w:shd w:val="clear" w:color="auto" w:fill="auto"/>
          </w:tcPr>
          <w:p w14:paraId="1A15E3F5" w14:textId="77777777" w:rsidR="000778A3" w:rsidRPr="00F84795" w:rsidRDefault="000778A3" w:rsidP="00E27BEC">
            <w:pPr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F84795">
              <w:rPr>
                <w:rFonts w:ascii="Calibri" w:eastAsia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54D6E42D" w14:textId="77777777" w:rsidR="000778A3" w:rsidRPr="00F84795" w:rsidRDefault="000778A3" w:rsidP="00E27BEC">
            <w:pPr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F84795">
              <w:rPr>
                <w:rFonts w:ascii="Calibri" w:eastAsia="Calibri" w:hAnsi="Calibri"/>
                <w:color w:val="000000"/>
                <w:sz w:val="20"/>
                <w:szCs w:val="20"/>
              </w:rPr>
              <w:t>0 (0)</w:t>
            </w:r>
          </w:p>
        </w:tc>
      </w:tr>
      <w:tr w:rsidR="000778A3" w:rsidRPr="00F366BE" w14:paraId="0C205C9F" w14:textId="77777777" w:rsidTr="00E27BEC">
        <w:trPr>
          <w:jc w:val="center"/>
        </w:trPr>
        <w:tc>
          <w:tcPr>
            <w:tcW w:w="2520" w:type="dxa"/>
            <w:shd w:val="clear" w:color="auto" w:fill="auto"/>
          </w:tcPr>
          <w:p w14:paraId="3AAF4983" w14:textId="77777777" w:rsidR="000778A3" w:rsidRPr="003C3FF5" w:rsidRDefault="000778A3" w:rsidP="00E56A67">
            <w:pPr>
              <w:rPr>
                <w:rFonts w:ascii="Calibri" w:eastAsia="Calibri" w:hAnsi="Calibri"/>
                <w:b/>
                <w:color w:val="000000"/>
                <w:sz w:val="20"/>
                <w:szCs w:val="20"/>
                <w:lang w:val="pt-BR"/>
              </w:rPr>
            </w:pPr>
            <w:r w:rsidRPr="003C3FF5">
              <w:rPr>
                <w:rFonts w:ascii="Calibri" w:eastAsia="Calibri" w:hAnsi="Calibri"/>
                <w:b/>
                <w:color w:val="000000"/>
                <w:sz w:val="20"/>
                <w:szCs w:val="20"/>
                <w:lang w:val="pt-BR"/>
              </w:rPr>
              <w:t xml:space="preserve">Influenza A (H1N1)pdm09 </w:t>
            </w:r>
            <w:r w:rsidRPr="003C3FF5">
              <w:rPr>
                <w:rFonts w:ascii="Calibri" w:eastAsia="Calibri" w:hAnsi="Calibri"/>
                <w:b/>
                <w:color w:val="000000"/>
                <w:sz w:val="20"/>
                <w:szCs w:val="20"/>
                <w:vertAlign w:val="superscript"/>
                <w:lang w:val="pt-BR"/>
              </w:rPr>
              <w:t>ii</w:t>
            </w:r>
          </w:p>
        </w:tc>
        <w:tc>
          <w:tcPr>
            <w:tcW w:w="1530" w:type="dxa"/>
            <w:shd w:val="clear" w:color="auto" w:fill="auto"/>
          </w:tcPr>
          <w:p w14:paraId="71A4024D" w14:textId="77777777" w:rsidR="000778A3" w:rsidRPr="00F84795" w:rsidRDefault="000778A3" w:rsidP="00E27BEC">
            <w:pPr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F84795">
              <w:rPr>
                <w:rFonts w:ascii="Calibri" w:eastAsia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78" w:type="dxa"/>
            <w:shd w:val="clear" w:color="auto" w:fill="auto"/>
          </w:tcPr>
          <w:p w14:paraId="3BF92A66" w14:textId="77777777" w:rsidR="000778A3" w:rsidRPr="00F84795" w:rsidRDefault="000778A3" w:rsidP="00E27BEC">
            <w:pPr>
              <w:jc w:val="center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F84795">
              <w:rPr>
                <w:rFonts w:ascii="Calibri" w:eastAsia="Calibri" w:hAnsi="Calibri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16" w:type="dxa"/>
            <w:shd w:val="clear" w:color="auto" w:fill="auto"/>
          </w:tcPr>
          <w:p w14:paraId="60DC7095" w14:textId="77777777" w:rsidR="000778A3" w:rsidRPr="00F84795" w:rsidRDefault="000778A3" w:rsidP="00E27BE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F84795">
              <w:rPr>
                <w:rFonts w:ascii="Calibri" w:eastAsia="Calibri" w:hAnsi="Calibri"/>
                <w:sz w:val="20"/>
                <w:szCs w:val="20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03D7E2B1" w14:textId="77777777" w:rsidR="000778A3" w:rsidRPr="00F84795" w:rsidRDefault="000778A3" w:rsidP="00E27BE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F84795">
              <w:rPr>
                <w:rFonts w:ascii="Calibri" w:eastAsia="Calibri" w:hAnsi="Calibri"/>
                <w:color w:val="000000"/>
                <w:sz w:val="20"/>
                <w:szCs w:val="20"/>
              </w:rPr>
              <w:t>0 (0)</w:t>
            </w:r>
          </w:p>
        </w:tc>
      </w:tr>
    </w:tbl>
    <w:p w14:paraId="508DFBB4" w14:textId="77777777" w:rsidR="00091087" w:rsidRPr="002146C6" w:rsidRDefault="00091087" w:rsidP="00091087">
      <w:pPr>
        <w:ind w:left="540"/>
        <w:rPr>
          <w:rFonts w:ascii="Calibri" w:hAnsi="Calibri"/>
          <w:color w:val="000000"/>
          <w:sz w:val="16"/>
          <w:szCs w:val="16"/>
        </w:rPr>
      </w:pPr>
      <w:r w:rsidRPr="002146C6">
        <w:rPr>
          <w:rFonts w:ascii="Calibri" w:hAnsi="Calibri"/>
          <w:b/>
          <w:color w:val="000000"/>
          <w:sz w:val="16"/>
          <w:szCs w:val="16"/>
          <w:vertAlign w:val="superscript"/>
        </w:rPr>
        <w:t>i</w:t>
      </w:r>
      <w:r w:rsidRPr="002146C6">
        <w:rPr>
          <w:rFonts w:ascii="Calibri" w:hAnsi="Calibri"/>
          <w:color w:val="000000"/>
          <w:sz w:val="16"/>
          <w:szCs w:val="16"/>
        </w:rPr>
        <w:t xml:space="preserve"> Samples teste</w:t>
      </w:r>
      <w:r>
        <w:rPr>
          <w:rFonts w:ascii="Calibri" w:hAnsi="Calibri"/>
          <w:color w:val="000000"/>
          <w:sz w:val="16"/>
          <w:szCs w:val="16"/>
        </w:rPr>
        <w:t xml:space="preserve">d by pyrosequencing at position E119, R292, and N294 </w:t>
      </w:r>
      <w:r w:rsidRPr="002146C6">
        <w:rPr>
          <w:rFonts w:ascii="Calibri" w:hAnsi="Calibri"/>
          <w:color w:val="000000"/>
          <w:sz w:val="16"/>
          <w:szCs w:val="16"/>
        </w:rPr>
        <w:t xml:space="preserve">within the neuraminidase </w:t>
      </w:r>
      <w:r>
        <w:rPr>
          <w:rFonts w:ascii="Calibri" w:hAnsi="Calibri"/>
          <w:color w:val="000000"/>
          <w:sz w:val="16"/>
          <w:szCs w:val="16"/>
        </w:rPr>
        <w:t>(</w:t>
      </w:r>
      <w:proofErr w:type="gramStart"/>
      <w:r>
        <w:rPr>
          <w:rFonts w:ascii="Calibri" w:hAnsi="Calibri"/>
          <w:color w:val="000000"/>
          <w:sz w:val="16"/>
          <w:szCs w:val="16"/>
        </w:rPr>
        <w:t xml:space="preserve">NA)  </w:t>
      </w:r>
      <w:r w:rsidRPr="002146C6">
        <w:rPr>
          <w:rFonts w:ascii="Calibri" w:hAnsi="Calibri"/>
          <w:color w:val="000000"/>
          <w:sz w:val="16"/>
          <w:szCs w:val="16"/>
        </w:rPr>
        <w:t>gene</w:t>
      </w:r>
      <w:proofErr w:type="gramEnd"/>
      <w:r w:rsidRPr="002146C6">
        <w:rPr>
          <w:rFonts w:ascii="Calibri" w:hAnsi="Calibri"/>
          <w:color w:val="000000"/>
          <w:sz w:val="16"/>
          <w:szCs w:val="16"/>
        </w:rPr>
        <w:t>.</w:t>
      </w:r>
    </w:p>
    <w:p w14:paraId="71FE0E37" w14:textId="77777777" w:rsidR="00091087" w:rsidRPr="002146C6" w:rsidRDefault="00091087" w:rsidP="00091087">
      <w:pPr>
        <w:ind w:left="540"/>
        <w:rPr>
          <w:rFonts w:ascii="Calibri" w:hAnsi="Calibri"/>
          <w:color w:val="000000"/>
          <w:sz w:val="16"/>
          <w:szCs w:val="16"/>
        </w:rPr>
      </w:pPr>
      <w:proofErr w:type="gramStart"/>
      <w:r w:rsidRPr="002146C6">
        <w:rPr>
          <w:rFonts w:ascii="Calibri" w:hAnsi="Calibri"/>
          <w:b/>
          <w:color w:val="000000"/>
          <w:sz w:val="16"/>
          <w:szCs w:val="16"/>
          <w:vertAlign w:val="superscript"/>
        </w:rPr>
        <w:t xml:space="preserve">ii  </w:t>
      </w:r>
      <w:r w:rsidRPr="002146C6">
        <w:rPr>
          <w:rFonts w:ascii="Calibri" w:hAnsi="Calibri"/>
          <w:color w:val="000000"/>
          <w:sz w:val="16"/>
          <w:szCs w:val="16"/>
        </w:rPr>
        <w:t>Samples</w:t>
      </w:r>
      <w:proofErr w:type="gramEnd"/>
      <w:r w:rsidRPr="002146C6">
        <w:rPr>
          <w:rFonts w:ascii="Calibri" w:hAnsi="Calibri"/>
          <w:color w:val="000000"/>
          <w:sz w:val="16"/>
          <w:szCs w:val="16"/>
        </w:rPr>
        <w:t xml:space="preserve"> tested by p</w:t>
      </w:r>
      <w:r>
        <w:rPr>
          <w:rFonts w:ascii="Calibri" w:hAnsi="Calibri"/>
          <w:color w:val="000000"/>
          <w:sz w:val="16"/>
          <w:szCs w:val="16"/>
        </w:rPr>
        <w:t xml:space="preserve">yrosequencing at position H275  and I223 within the NA </w:t>
      </w:r>
      <w:r w:rsidRPr="002146C6">
        <w:rPr>
          <w:rFonts w:ascii="Calibri" w:hAnsi="Calibri"/>
          <w:color w:val="000000"/>
          <w:sz w:val="16"/>
          <w:szCs w:val="16"/>
        </w:rPr>
        <w:t>gene.</w:t>
      </w:r>
    </w:p>
    <w:p w14:paraId="3A744E6A" w14:textId="77777777" w:rsidR="00091087" w:rsidRPr="009C5E07" w:rsidRDefault="00091087" w:rsidP="00091087">
      <w:pPr>
        <w:rPr>
          <w:rFonts w:ascii="Calibri" w:hAnsi="Calibri"/>
          <w:color w:val="000000"/>
          <w:sz w:val="12"/>
          <w:szCs w:val="20"/>
        </w:rPr>
      </w:pPr>
    </w:p>
    <w:p w14:paraId="1AF10ADB" w14:textId="77777777" w:rsidR="000C5C38" w:rsidRPr="0043087E" w:rsidRDefault="009C5E07" w:rsidP="009C5E07">
      <w:pPr>
        <w:rPr>
          <w:rFonts w:ascii="Calibri" w:hAnsi="Calibri"/>
          <w:bCs/>
          <w:iCs/>
          <w:sz w:val="20"/>
          <w:szCs w:val="20"/>
        </w:rPr>
      </w:pPr>
      <w:r w:rsidRPr="0043087E">
        <w:rPr>
          <w:rFonts w:ascii="Calibri" w:hAnsi="Calibri"/>
          <w:color w:val="000000"/>
          <w:sz w:val="20"/>
          <w:szCs w:val="20"/>
        </w:rPr>
        <w:t xml:space="preserve">Additional information on national antiviral resistance testing including recommendations for antiviral treatment and chemoprophylaxis of influenza virus infection can be found at </w:t>
      </w:r>
      <w:hyperlink r:id="rId14" w:history="1">
        <w:r w:rsidRPr="0043087E">
          <w:rPr>
            <w:rStyle w:val="Hyperlink"/>
            <w:rFonts w:ascii="Calibri" w:hAnsi="Calibri"/>
            <w:sz w:val="20"/>
            <w:szCs w:val="20"/>
          </w:rPr>
          <w:t>http://www.cdc.gov/flu/weekly/</w:t>
        </w:r>
      </w:hyperlink>
      <w:r w:rsidRPr="0043087E">
        <w:rPr>
          <w:rFonts w:ascii="Calibri" w:hAnsi="Calibri"/>
          <w:color w:val="000000"/>
          <w:sz w:val="20"/>
          <w:szCs w:val="20"/>
        </w:rPr>
        <w:t>.</w:t>
      </w:r>
    </w:p>
    <w:sectPr w:rsidR="000C5C38" w:rsidRPr="0043087E" w:rsidSect="0043087E">
      <w:footerReference w:type="even" r:id="rId15"/>
      <w:footerReference w:type="default" r:id="rId16"/>
      <w:headerReference w:type="first" r:id="rId17"/>
      <w:pgSz w:w="12240" w:h="15840"/>
      <w:pgMar w:top="900" w:right="1152" w:bottom="5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F2AC2" w14:textId="77777777" w:rsidR="00E92658" w:rsidRDefault="00E92658">
      <w:r>
        <w:separator/>
      </w:r>
    </w:p>
  </w:endnote>
  <w:endnote w:type="continuationSeparator" w:id="0">
    <w:p w14:paraId="0FC09966" w14:textId="77777777" w:rsidR="00E92658" w:rsidRDefault="00E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04297" w14:textId="77777777" w:rsidR="00B85E4A" w:rsidRDefault="00B85E4A" w:rsidP="006C2C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B787E0" w14:textId="77777777" w:rsidR="00B85E4A" w:rsidRDefault="00B85E4A" w:rsidP="001D0B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E7ACA" w14:textId="77777777" w:rsidR="00B85E4A" w:rsidRPr="00265B3E" w:rsidRDefault="00B85E4A" w:rsidP="006C2C03">
    <w:pPr>
      <w:pStyle w:val="Footer"/>
      <w:framePr w:wrap="around" w:vAnchor="text" w:hAnchor="margin" w:xAlign="right" w:y="1"/>
      <w:rPr>
        <w:rStyle w:val="PageNumber"/>
        <w:rFonts w:ascii="Calibri" w:hAnsi="Calibri"/>
        <w:sz w:val="20"/>
        <w:szCs w:val="20"/>
      </w:rPr>
    </w:pPr>
    <w:r w:rsidRPr="00265B3E">
      <w:rPr>
        <w:rStyle w:val="PageNumber"/>
        <w:rFonts w:ascii="Calibri" w:hAnsi="Calibri"/>
        <w:sz w:val="20"/>
        <w:szCs w:val="20"/>
      </w:rPr>
      <w:fldChar w:fldCharType="begin"/>
    </w:r>
    <w:r w:rsidRPr="00265B3E">
      <w:rPr>
        <w:rStyle w:val="PageNumber"/>
        <w:rFonts w:ascii="Calibri" w:hAnsi="Calibri"/>
        <w:sz w:val="20"/>
        <w:szCs w:val="20"/>
      </w:rPr>
      <w:instrText xml:space="preserve">PAGE  </w:instrText>
    </w:r>
    <w:r w:rsidRPr="00265B3E">
      <w:rPr>
        <w:rStyle w:val="PageNumber"/>
        <w:rFonts w:ascii="Calibri" w:hAnsi="Calibri"/>
        <w:sz w:val="20"/>
        <w:szCs w:val="20"/>
      </w:rPr>
      <w:fldChar w:fldCharType="separate"/>
    </w:r>
    <w:r w:rsidR="00DB3117">
      <w:rPr>
        <w:rStyle w:val="PageNumber"/>
        <w:rFonts w:ascii="Calibri" w:hAnsi="Calibri"/>
        <w:noProof/>
        <w:sz w:val="20"/>
        <w:szCs w:val="20"/>
      </w:rPr>
      <w:t>4</w:t>
    </w:r>
    <w:r w:rsidRPr="00265B3E">
      <w:rPr>
        <w:rStyle w:val="PageNumber"/>
        <w:rFonts w:ascii="Calibri" w:hAnsi="Calibri"/>
        <w:sz w:val="20"/>
        <w:szCs w:val="20"/>
      </w:rPr>
      <w:fldChar w:fldCharType="end"/>
    </w:r>
  </w:p>
  <w:p w14:paraId="34F986BA" w14:textId="77777777" w:rsidR="00B85E4A" w:rsidRDefault="00B85E4A" w:rsidP="001D0B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A3EF0" w14:textId="77777777" w:rsidR="00E92658" w:rsidRDefault="00E92658">
      <w:r>
        <w:separator/>
      </w:r>
    </w:p>
  </w:footnote>
  <w:footnote w:type="continuationSeparator" w:id="0">
    <w:p w14:paraId="34C3CB10" w14:textId="77777777" w:rsidR="00E92658" w:rsidRDefault="00E92658">
      <w:r>
        <w:continuationSeparator/>
      </w:r>
    </w:p>
  </w:footnote>
  <w:footnote w:id="1">
    <w:p w14:paraId="59A124CA" w14:textId="77777777" w:rsidR="00A773B2" w:rsidRPr="000A3789" w:rsidRDefault="00A773B2">
      <w:pPr>
        <w:pStyle w:val="FootnoteText"/>
        <w:rPr>
          <w:rFonts w:ascii="Calibri" w:hAnsi="Calibri"/>
          <w:sz w:val="18"/>
          <w:szCs w:val="18"/>
        </w:rPr>
      </w:pPr>
      <w:r w:rsidRPr="000A3789">
        <w:rPr>
          <w:rStyle w:val="FootnoteReference"/>
          <w:rFonts w:ascii="Calibri" w:hAnsi="Calibri"/>
          <w:sz w:val="18"/>
          <w:szCs w:val="18"/>
        </w:rPr>
        <w:footnoteRef/>
      </w:r>
      <w:r w:rsidRPr="000A3789">
        <w:rPr>
          <w:rFonts w:ascii="Calibri" w:hAnsi="Calibri"/>
          <w:sz w:val="18"/>
          <w:szCs w:val="18"/>
        </w:rPr>
        <w:t xml:space="preserve"> CDC activity indicator</w:t>
      </w:r>
      <w:r w:rsidR="00B204EC">
        <w:rPr>
          <w:rFonts w:ascii="Calibri" w:hAnsi="Calibri"/>
          <w:sz w:val="18"/>
          <w:szCs w:val="18"/>
        </w:rPr>
        <w:t xml:space="preserve"> </w:t>
      </w:r>
      <w:r w:rsidRPr="000A3789">
        <w:rPr>
          <w:rFonts w:ascii="Calibri" w:hAnsi="Calibri"/>
          <w:sz w:val="18"/>
          <w:szCs w:val="18"/>
        </w:rPr>
        <w:t>– indicates how widespread influenza activity level is in the state.</w:t>
      </w:r>
    </w:p>
  </w:footnote>
  <w:footnote w:id="2">
    <w:p w14:paraId="160D45F5" w14:textId="77777777" w:rsidR="00A773B2" w:rsidRDefault="00A773B2">
      <w:pPr>
        <w:pStyle w:val="FootnoteText"/>
      </w:pPr>
      <w:r w:rsidRPr="000A3789">
        <w:rPr>
          <w:rStyle w:val="FootnoteReference"/>
          <w:rFonts w:ascii="Calibri" w:hAnsi="Calibri"/>
          <w:sz w:val="18"/>
          <w:szCs w:val="18"/>
        </w:rPr>
        <w:footnoteRef/>
      </w:r>
      <w:r w:rsidRPr="000A3789">
        <w:rPr>
          <w:rFonts w:ascii="Calibri" w:hAnsi="Calibri"/>
          <w:sz w:val="18"/>
          <w:szCs w:val="18"/>
        </w:rPr>
        <w:t xml:space="preserve"> CDC </w:t>
      </w:r>
      <w:r w:rsidR="00B204EC">
        <w:rPr>
          <w:rFonts w:ascii="Calibri" w:hAnsi="Calibri"/>
          <w:sz w:val="18"/>
          <w:szCs w:val="18"/>
        </w:rPr>
        <w:t xml:space="preserve">ILI activity indicator </w:t>
      </w:r>
      <w:r w:rsidRPr="000A3789">
        <w:rPr>
          <w:rFonts w:ascii="Calibri" w:hAnsi="Calibri"/>
          <w:sz w:val="18"/>
          <w:szCs w:val="18"/>
        </w:rPr>
        <w:t>– more quantitative indicator of the level of ILI activity across the state.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D3E3F" w14:textId="77777777" w:rsidR="00B85E4A" w:rsidRPr="007E3EC9" w:rsidRDefault="00B85E4A" w:rsidP="00F367A9">
    <w:pPr>
      <w:adjustRightInd w:val="0"/>
      <w:spacing w:before="10" w:after="10"/>
      <w:rPr>
        <w:rFonts w:ascii="Calibri" w:hAnsi="Calibri"/>
        <w:b/>
        <w:bCs/>
        <w:i/>
        <w:iCs/>
        <w:color w:val="000000"/>
        <w:sz w:val="26"/>
        <w:szCs w:val="26"/>
      </w:rPr>
    </w:pPr>
    <w:r w:rsidRPr="007E3EC9">
      <w:rPr>
        <w:rFonts w:ascii="Calibri" w:hAnsi="Calibri"/>
        <w:b/>
        <w:bCs/>
        <w:i/>
        <w:iCs/>
        <w:color w:val="000000"/>
        <w:sz w:val="26"/>
        <w:szCs w:val="26"/>
      </w:rPr>
      <w:pict w14:anchorId="31ECF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70.5pt;height:1in">
          <v:imagedata r:id="rId1" o:title=""/>
        </v:shape>
      </w:pict>
    </w:r>
    <w:r w:rsidRPr="007E3EC9">
      <w:rPr>
        <w:rFonts w:ascii="Calibri" w:hAnsi="Calibri"/>
        <w:b/>
        <w:bCs/>
        <w:i/>
        <w:iCs/>
        <w:color w:val="000000"/>
        <w:sz w:val="26"/>
        <w:szCs w:val="26"/>
      </w:rPr>
      <w:t xml:space="preserve">  </w:t>
    </w:r>
    <w:r>
      <w:rPr>
        <w:rFonts w:ascii="Calibri" w:hAnsi="Calibri"/>
        <w:b/>
        <w:bCs/>
        <w:i/>
        <w:iCs/>
        <w:color w:val="000000"/>
        <w:sz w:val="26"/>
        <w:szCs w:val="26"/>
      </w:rPr>
      <w:tab/>
    </w:r>
    <w:r w:rsidRPr="007E3EC9">
      <w:rPr>
        <w:rFonts w:ascii="Calibri" w:hAnsi="Calibri"/>
        <w:b/>
        <w:bCs/>
        <w:i/>
        <w:iCs/>
        <w:color w:val="000000"/>
        <w:sz w:val="26"/>
        <w:szCs w:val="26"/>
      </w:rPr>
      <w:t xml:space="preserve"> MASSACHUSETTS DEPARTMENT OF PUBLIC HEALTH</w:t>
    </w:r>
  </w:p>
  <w:p w14:paraId="7009E3E8" w14:textId="77777777" w:rsidR="00B85E4A" w:rsidRPr="007E3EC9" w:rsidRDefault="00B85E4A" w:rsidP="00F367A9">
    <w:pPr>
      <w:adjustRightInd w:val="0"/>
      <w:spacing w:before="10" w:after="10"/>
      <w:jc w:val="center"/>
      <w:rPr>
        <w:rFonts w:ascii="Calibri" w:hAnsi="Calibri"/>
        <w:b/>
        <w:bCs/>
        <w:i/>
        <w:iCs/>
        <w:color w:val="000000"/>
        <w:sz w:val="26"/>
        <w:szCs w:val="26"/>
      </w:rPr>
    </w:pPr>
    <w:r w:rsidRPr="007E3EC9">
      <w:rPr>
        <w:rFonts w:ascii="Calibri" w:hAnsi="Calibri"/>
        <w:b/>
        <w:bCs/>
        <w:i/>
        <w:iCs/>
        <w:color w:val="000000"/>
        <w:sz w:val="26"/>
        <w:szCs w:val="26"/>
      </w:rPr>
      <w:t>WEEKLY INFLUENZA UPDATE</w:t>
    </w:r>
  </w:p>
  <w:p w14:paraId="46792022" w14:textId="77777777" w:rsidR="00B85E4A" w:rsidRPr="00D92C71" w:rsidRDefault="0070305E" w:rsidP="008228BA">
    <w:pPr>
      <w:pStyle w:val="Header"/>
      <w:jc w:val="center"/>
      <w:rPr>
        <w:rFonts w:ascii="Calibri" w:hAnsi="Calibri"/>
        <w:b/>
        <w:bCs/>
        <w:i/>
        <w:iCs/>
        <w:sz w:val="26"/>
        <w:szCs w:val="26"/>
      </w:rPr>
    </w:pPr>
    <w:r w:rsidRPr="000939B8">
      <w:rPr>
        <w:rFonts w:ascii="Calibri" w:hAnsi="Calibri"/>
        <w:b/>
        <w:bCs/>
        <w:i/>
        <w:iCs/>
        <w:sz w:val="26"/>
        <w:szCs w:val="26"/>
      </w:rPr>
      <w:t>October</w:t>
    </w:r>
    <w:r w:rsidR="00216654" w:rsidRPr="000939B8">
      <w:rPr>
        <w:rFonts w:ascii="Calibri" w:hAnsi="Calibri"/>
        <w:b/>
        <w:bCs/>
        <w:i/>
        <w:iCs/>
        <w:sz w:val="26"/>
        <w:szCs w:val="26"/>
      </w:rPr>
      <w:t xml:space="preserve"> </w:t>
    </w:r>
    <w:r w:rsidR="000056FE" w:rsidRPr="000939B8">
      <w:rPr>
        <w:rFonts w:ascii="Calibri" w:hAnsi="Calibri"/>
        <w:b/>
        <w:bCs/>
        <w:i/>
        <w:iCs/>
        <w:sz w:val="26"/>
        <w:szCs w:val="26"/>
      </w:rPr>
      <w:t>12</w:t>
    </w:r>
    <w:r w:rsidR="0021080E" w:rsidRPr="000939B8">
      <w:rPr>
        <w:rFonts w:ascii="Calibri" w:hAnsi="Calibri"/>
        <w:b/>
        <w:bCs/>
        <w:i/>
        <w:iCs/>
        <w:sz w:val="26"/>
        <w:szCs w:val="26"/>
      </w:rPr>
      <w:t>, 201</w:t>
    </w:r>
    <w:r w:rsidR="002302A8" w:rsidRPr="000939B8">
      <w:rPr>
        <w:rFonts w:ascii="Calibri" w:hAnsi="Calibri"/>
        <w:b/>
        <w:bCs/>
        <w:i/>
        <w:iCs/>
        <w:sz w:val="26"/>
        <w:szCs w:val="26"/>
      </w:rPr>
      <w:t>8</w:t>
    </w:r>
  </w:p>
  <w:p w14:paraId="2FD2A513" w14:textId="77777777" w:rsidR="00B85E4A" w:rsidRPr="00E12F1D" w:rsidRDefault="00B85E4A" w:rsidP="008228BA">
    <w:pPr>
      <w:pStyle w:val="Header"/>
      <w:jc w:val="center"/>
      <w:rPr>
        <w:rFonts w:ascii="Calibri" w:hAnsi="Calibri"/>
        <w:b/>
        <w:bCs/>
        <w:i/>
        <w:iCs/>
        <w:color w:val="000000"/>
        <w:sz w:val="8"/>
        <w:szCs w:val="26"/>
      </w:rPr>
    </w:pPr>
  </w:p>
  <w:p w14:paraId="3F1392E2" w14:textId="77777777" w:rsidR="00B85E4A" w:rsidRPr="007E3EC9" w:rsidRDefault="00B85E4A" w:rsidP="008228BA">
    <w:pPr>
      <w:adjustRightInd w:val="0"/>
      <w:spacing w:before="10" w:after="10"/>
      <w:jc w:val="center"/>
      <w:rPr>
        <w:rFonts w:ascii="Calibri" w:hAnsi="Calibri"/>
        <w:color w:val="000000"/>
        <w:sz w:val="18"/>
        <w:szCs w:val="18"/>
      </w:rPr>
    </w:pPr>
    <w:r w:rsidRPr="007E3EC9">
      <w:rPr>
        <w:rFonts w:ascii="Calibri" w:hAnsi="Calibri"/>
        <w:color w:val="000000"/>
        <w:sz w:val="18"/>
        <w:szCs w:val="18"/>
      </w:rPr>
      <w:t>All data in this report are preliminary and subject to change as more information is received.</w:t>
    </w:r>
  </w:p>
  <w:p w14:paraId="6CF6BECB" w14:textId="77777777" w:rsidR="00B85E4A" w:rsidRPr="00A773B2" w:rsidRDefault="00B85E4A" w:rsidP="006136F2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2768C"/>
    <w:multiLevelType w:val="hybridMultilevel"/>
    <w:tmpl w:val="B54C995E"/>
    <w:lvl w:ilvl="0" w:tplc="0C7EB3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36F2"/>
    <w:rsid w:val="000044A9"/>
    <w:rsid w:val="000056FE"/>
    <w:rsid w:val="0001507F"/>
    <w:rsid w:val="00017860"/>
    <w:rsid w:val="00020E14"/>
    <w:rsid w:val="000524E5"/>
    <w:rsid w:val="00056063"/>
    <w:rsid w:val="00061FB0"/>
    <w:rsid w:val="00067C71"/>
    <w:rsid w:val="00074A79"/>
    <w:rsid w:val="000778A3"/>
    <w:rsid w:val="00086DD3"/>
    <w:rsid w:val="00091087"/>
    <w:rsid w:val="000939B8"/>
    <w:rsid w:val="00096177"/>
    <w:rsid w:val="000A1269"/>
    <w:rsid w:val="000A3789"/>
    <w:rsid w:val="000C0499"/>
    <w:rsid w:val="000C1233"/>
    <w:rsid w:val="000C5C38"/>
    <w:rsid w:val="000D0C74"/>
    <w:rsid w:val="000D4E74"/>
    <w:rsid w:val="000D6A84"/>
    <w:rsid w:val="000E0303"/>
    <w:rsid w:val="000E13D7"/>
    <w:rsid w:val="000E6A50"/>
    <w:rsid w:val="00103FE9"/>
    <w:rsid w:val="001101F1"/>
    <w:rsid w:val="00126C6C"/>
    <w:rsid w:val="001307DC"/>
    <w:rsid w:val="0013158D"/>
    <w:rsid w:val="0014510B"/>
    <w:rsid w:val="00151E5C"/>
    <w:rsid w:val="00152DCD"/>
    <w:rsid w:val="00160312"/>
    <w:rsid w:val="00160F66"/>
    <w:rsid w:val="00181CCE"/>
    <w:rsid w:val="00183E39"/>
    <w:rsid w:val="00184DE5"/>
    <w:rsid w:val="001A1818"/>
    <w:rsid w:val="001B1D12"/>
    <w:rsid w:val="001C2D39"/>
    <w:rsid w:val="001D0B8F"/>
    <w:rsid w:val="001D53A3"/>
    <w:rsid w:val="001E37C8"/>
    <w:rsid w:val="001F0A23"/>
    <w:rsid w:val="001F18A7"/>
    <w:rsid w:val="00206D99"/>
    <w:rsid w:val="0021080E"/>
    <w:rsid w:val="00210D10"/>
    <w:rsid w:val="00213A46"/>
    <w:rsid w:val="00216654"/>
    <w:rsid w:val="002263FF"/>
    <w:rsid w:val="002302A8"/>
    <w:rsid w:val="00235F4E"/>
    <w:rsid w:val="0024304F"/>
    <w:rsid w:val="0025679E"/>
    <w:rsid w:val="00260BC7"/>
    <w:rsid w:val="00261BF8"/>
    <w:rsid w:val="00264415"/>
    <w:rsid w:val="00265B3E"/>
    <w:rsid w:val="00273706"/>
    <w:rsid w:val="00273ECB"/>
    <w:rsid w:val="00284EC4"/>
    <w:rsid w:val="002872CC"/>
    <w:rsid w:val="0029563E"/>
    <w:rsid w:val="002962A0"/>
    <w:rsid w:val="0029638D"/>
    <w:rsid w:val="002A621A"/>
    <w:rsid w:val="002C00D9"/>
    <w:rsid w:val="002C06C9"/>
    <w:rsid w:val="002C25D8"/>
    <w:rsid w:val="002D3FCC"/>
    <w:rsid w:val="002E224E"/>
    <w:rsid w:val="002E2975"/>
    <w:rsid w:val="002E4102"/>
    <w:rsid w:val="002F4C0C"/>
    <w:rsid w:val="00313D83"/>
    <w:rsid w:val="003261CD"/>
    <w:rsid w:val="00327245"/>
    <w:rsid w:val="003462E4"/>
    <w:rsid w:val="00351463"/>
    <w:rsid w:val="0035752F"/>
    <w:rsid w:val="00370185"/>
    <w:rsid w:val="003800BB"/>
    <w:rsid w:val="00384D67"/>
    <w:rsid w:val="00390054"/>
    <w:rsid w:val="003A7309"/>
    <w:rsid w:val="003A750E"/>
    <w:rsid w:val="003A78C7"/>
    <w:rsid w:val="003B337A"/>
    <w:rsid w:val="003B39B1"/>
    <w:rsid w:val="003B6242"/>
    <w:rsid w:val="003C3FF5"/>
    <w:rsid w:val="003D11DE"/>
    <w:rsid w:val="003E118D"/>
    <w:rsid w:val="003F45A0"/>
    <w:rsid w:val="003F45B5"/>
    <w:rsid w:val="004024D0"/>
    <w:rsid w:val="00405C4D"/>
    <w:rsid w:val="004104FB"/>
    <w:rsid w:val="00411513"/>
    <w:rsid w:val="00415427"/>
    <w:rsid w:val="00417044"/>
    <w:rsid w:val="004202E9"/>
    <w:rsid w:val="00424BD2"/>
    <w:rsid w:val="00430627"/>
    <w:rsid w:val="0043087E"/>
    <w:rsid w:val="00431E57"/>
    <w:rsid w:val="00432AC8"/>
    <w:rsid w:val="00433F23"/>
    <w:rsid w:val="00442281"/>
    <w:rsid w:val="00442BAF"/>
    <w:rsid w:val="004561F4"/>
    <w:rsid w:val="00466AE6"/>
    <w:rsid w:val="00467BAA"/>
    <w:rsid w:val="00477FA7"/>
    <w:rsid w:val="004A0C3C"/>
    <w:rsid w:val="004A4920"/>
    <w:rsid w:val="004A601C"/>
    <w:rsid w:val="004A7C8D"/>
    <w:rsid w:val="004B1304"/>
    <w:rsid w:val="004C4472"/>
    <w:rsid w:val="004D4910"/>
    <w:rsid w:val="004D7599"/>
    <w:rsid w:val="004F3C2D"/>
    <w:rsid w:val="004F6E44"/>
    <w:rsid w:val="00504B3D"/>
    <w:rsid w:val="00525AF7"/>
    <w:rsid w:val="00526595"/>
    <w:rsid w:val="00533F16"/>
    <w:rsid w:val="00540138"/>
    <w:rsid w:val="00542A60"/>
    <w:rsid w:val="00561C24"/>
    <w:rsid w:val="00563B76"/>
    <w:rsid w:val="00563CDA"/>
    <w:rsid w:val="00582A89"/>
    <w:rsid w:val="00582AD9"/>
    <w:rsid w:val="005877AC"/>
    <w:rsid w:val="00587E0D"/>
    <w:rsid w:val="00592408"/>
    <w:rsid w:val="00595906"/>
    <w:rsid w:val="005B5108"/>
    <w:rsid w:val="006136F2"/>
    <w:rsid w:val="00617A51"/>
    <w:rsid w:val="00625C13"/>
    <w:rsid w:val="00626D10"/>
    <w:rsid w:val="0063401B"/>
    <w:rsid w:val="00637BC5"/>
    <w:rsid w:val="0064659A"/>
    <w:rsid w:val="006564B6"/>
    <w:rsid w:val="00667469"/>
    <w:rsid w:val="0068298E"/>
    <w:rsid w:val="006958FD"/>
    <w:rsid w:val="006A59EB"/>
    <w:rsid w:val="006C2C03"/>
    <w:rsid w:val="006C5064"/>
    <w:rsid w:val="006D1E6E"/>
    <w:rsid w:val="006F4CF3"/>
    <w:rsid w:val="006F7463"/>
    <w:rsid w:val="006F7F66"/>
    <w:rsid w:val="0070305E"/>
    <w:rsid w:val="00704A59"/>
    <w:rsid w:val="0071606B"/>
    <w:rsid w:val="00721401"/>
    <w:rsid w:val="00742A79"/>
    <w:rsid w:val="00751719"/>
    <w:rsid w:val="00752D83"/>
    <w:rsid w:val="00756EF9"/>
    <w:rsid w:val="00773F35"/>
    <w:rsid w:val="00786DB2"/>
    <w:rsid w:val="007A6CF7"/>
    <w:rsid w:val="007B77C8"/>
    <w:rsid w:val="007D0BDF"/>
    <w:rsid w:val="007E3EC9"/>
    <w:rsid w:val="007F0FBF"/>
    <w:rsid w:val="007F54B0"/>
    <w:rsid w:val="007F608A"/>
    <w:rsid w:val="008041C2"/>
    <w:rsid w:val="00821D2F"/>
    <w:rsid w:val="008228BA"/>
    <w:rsid w:val="00832380"/>
    <w:rsid w:val="008427C3"/>
    <w:rsid w:val="00850B73"/>
    <w:rsid w:val="00871DCD"/>
    <w:rsid w:val="00871EA0"/>
    <w:rsid w:val="00882265"/>
    <w:rsid w:val="008C2451"/>
    <w:rsid w:val="008D1E64"/>
    <w:rsid w:val="008E0A35"/>
    <w:rsid w:val="008E1594"/>
    <w:rsid w:val="008F0819"/>
    <w:rsid w:val="008F5F57"/>
    <w:rsid w:val="008F693B"/>
    <w:rsid w:val="008F75D7"/>
    <w:rsid w:val="00902A10"/>
    <w:rsid w:val="0090387A"/>
    <w:rsid w:val="009175B1"/>
    <w:rsid w:val="00926DEF"/>
    <w:rsid w:val="00937835"/>
    <w:rsid w:val="00942261"/>
    <w:rsid w:val="00944DF9"/>
    <w:rsid w:val="00994FDD"/>
    <w:rsid w:val="009A0067"/>
    <w:rsid w:val="009A6180"/>
    <w:rsid w:val="009A7A3D"/>
    <w:rsid w:val="009B6F09"/>
    <w:rsid w:val="009C1AEA"/>
    <w:rsid w:val="009C5E07"/>
    <w:rsid w:val="009F604C"/>
    <w:rsid w:val="00A0784C"/>
    <w:rsid w:val="00A160B2"/>
    <w:rsid w:val="00A22A06"/>
    <w:rsid w:val="00A32DB1"/>
    <w:rsid w:val="00A66375"/>
    <w:rsid w:val="00A67B4C"/>
    <w:rsid w:val="00A773B2"/>
    <w:rsid w:val="00A90A47"/>
    <w:rsid w:val="00A9587C"/>
    <w:rsid w:val="00AA15C1"/>
    <w:rsid w:val="00AA58C5"/>
    <w:rsid w:val="00AA68FC"/>
    <w:rsid w:val="00AC47D4"/>
    <w:rsid w:val="00AC65C4"/>
    <w:rsid w:val="00AC6991"/>
    <w:rsid w:val="00AD5FBC"/>
    <w:rsid w:val="00AF39EC"/>
    <w:rsid w:val="00B204EC"/>
    <w:rsid w:val="00B2285D"/>
    <w:rsid w:val="00B4436C"/>
    <w:rsid w:val="00B46B58"/>
    <w:rsid w:val="00B537D0"/>
    <w:rsid w:val="00B544B6"/>
    <w:rsid w:val="00B60355"/>
    <w:rsid w:val="00B64E1D"/>
    <w:rsid w:val="00B74464"/>
    <w:rsid w:val="00B85E4A"/>
    <w:rsid w:val="00B94DA1"/>
    <w:rsid w:val="00BA4806"/>
    <w:rsid w:val="00BB665D"/>
    <w:rsid w:val="00BC3488"/>
    <w:rsid w:val="00BC7D87"/>
    <w:rsid w:val="00BD7364"/>
    <w:rsid w:val="00BD790B"/>
    <w:rsid w:val="00BE1ABA"/>
    <w:rsid w:val="00BE5C26"/>
    <w:rsid w:val="00BF7AA8"/>
    <w:rsid w:val="00C0124E"/>
    <w:rsid w:val="00C1371F"/>
    <w:rsid w:val="00C41932"/>
    <w:rsid w:val="00C41F87"/>
    <w:rsid w:val="00C516A6"/>
    <w:rsid w:val="00C56926"/>
    <w:rsid w:val="00C7696F"/>
    <w:rsid w:val="00C80166"/>
    <w:rsid w:val="00C83FE9"/>
    <w:rsid w:val="00C91A27"/>
    <w:rsid w:val="00CA13A5"/>
    <w:rsid w:val="00CA3504"/>
    <w:rsid w:val="00CC567F"/>
    <w:rsid w:val="00CE40BA"/>
    <w:rsid w:val="00CE7163"/>
    <w:rsid w:val="00CF4B50"/>
    <w:rsid w:val="00D02F77"/>
    <w:rsid w:val="00D0581F"/>
    <w:rsid w:val="00D06CD3"/>
    <w:rsid w:val="00D239EF"/>
    <w:rsid w:val="00D243EF"/>
    <w:rsid w:val="00D3782E"/>
    <w:rsid w:val="00D37BC3"/>
    <w:rsid w:val="00D45402"/>
    <w:rsid w:val="00D54C5E"/>
    <w:rsid w:val="00D56252"/>
    <w:rsid w:val="00D567F2"/>
    <w:rsid w:val="00D60906"/>
    <w:rsid w:val="00D7122B"/>
    <w:rsid w:val="00D72A35"/>
    <w:rsid w:val="00D74A63"/>
    <w:rsid w:val="00D76635"/>
    <w:rsid w:val="00D8722C"/>
    <w:rsid w:val="00D92C71"/>
    <w:rsid w:val="00DB3117"/>
    <w:rsid w:val="00DE08E2"/>
    <w:rsid w:val="00DE7343"/>
    <w:rsid w:val="00DF0EAE"/>
    <w:rsid w:val="00E12F1D"/>
    <w:rsid w:val="00E23502"/>
    <w:rsid w:val="00E27BEC"/>
    <w:rsid w:val="00E310AC"/>
    <w:rsid w:val="00E40F41"/>
    <w:rsid w:val="00E51301"/>
    <w:rsid w:val="00E533CE"/>
    <w:rsid w:val="00E553DA"/>
    <w:rsid w:val="00E56A67"/>
    <w:rsid w:val="00E70482"/>
    <w:rsid w:val="00E72A1B"/>
    <w:rsid w:val="00E75C5A"/>
    <w:rsid w:val="00E764ED"/>
    <w:rsid w:val="00E8562A"/>
    <w:rsid w:val="00E92658"/>
    <w:rsid w:val="00E9667C"/>
    <w:rsid w:val="00EA7B9F"/>
    <w:rsid w:val="00ED08BF"/>
    <w:rsid w:val="00ED6C4E"/>
    <w:rsid w:val="00ED7592"/>
    <w:rsid w:val="00ED7B66"/>
    <w:rsid w:val="00EF67BC"/>
    <w:rsid w:val="00F05615"/>
    <w:rsid w:val="00F067CD"/>
    <w:rsid w:val="00F10870"/>
    <w:rsid w:val="00F15A05"/>
    <w:rsid w:val="00F20254"/>
    <w:rsid w:val="00F251B1"/>
    <w:rsid w:val="00F367A9"/>
    <w:rsid w:val="00F52084"/>
    <w:rsid w:val="00F5722E"/>
    <w:rsid w:val="00F572BE"/>
    <w:rsid w:val="00F60899"/>
    <w:rsid w:val="00F72CD1"/>
    <w:rsid w:val="00F7322B"/>
    <w:rsid w:val="00F7356F"/>
    <w:rsid w:val="00F80269"/>
    <w:rsid w:val="00F84722"/>
    <w:rsid w:val="00F84795"/>
    <w:rsid w:val="00F85F38"/>
    <w:rsid w:val="00F87723"/>
    <w:rsid w:val="00F9023A"/>
    <w:rsid w:val="00F94DA0"/>
    <w:rsid w:val="00FA046C"/>
    <w:rsid w:val="00FB062C"/>
    <w:rsid w:val="00FB3E4B"/>
    <w:rsid w:val="00FB4368"/>
    <w:rsid w:val="00FB47B9"/>
    <w:rsid w:val="00FB5602"/>
    <w:rsid w:val="00FD1351"/>
    <w:rsid w:val="00FE3258"/>
    <w:rsid w:val="00FE4AE0"/>
    <w:rsid w:val="00FF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0F51668"/>
  <w15:chartTrackingRefBased/>
  <w15:docId w15:val="{ABEFA92F-4089-4B2C-BA5F-5B974895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136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36F2"/>
    <w:pPr>
      <w:tabs>
        <w:tab w:val="center" w:pos="4320"/>
        <w:tab w:val="right" w:pos="8640"/>
      </w:tabs>
    </w:pPr>
  </w:style>
  <w:style w:type="character" w:styleId="Hyperlink">
    <w:name w:val="Hyperlink"/>
    <w:rsid w:val="006136F2"/>
    <w:rPr>
      <w:color w:val="0000FF"/>
      <w:u w:val="single"/>
    </w:rPr>
  </w:style>
  <w:style w:type="table" w:styleId="TableGrid">
    <w:name w:val="Table Grid"/>
    <w:basedOn w:val="TableNormal"/>
    <w:rsid w:val="003A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D0B8F"/>
  </w:style>
  <w:style w:type="paragraph" w:styleId="FootnoteText">
    <w:name w:val="footnote text"/>
    <w:basedOn w:val="Normal"/>
    <w:semiHidden/>
    <w:rsid w:val="00A773B2"/>
    <w:rPr>
      <w:sz w:val="20"/>
      <w:szCs w:val="20"/>
    </w:rPr>
  </w:style>
  <w:style w:type="character" w:styleId="FootnoteReference">
    <w:name w:val="footnote reference"/>
    <w:semiHidden/>
    <w:rsid w:val="00A773B2"/>
    <w:rPr>
      <w:vertAlign w:val="superscript"/>
    </w:rPr>
  </w:style>
  <w:style w:type="character" w:styleId="FollowedHyperlink">
    <w:name w:val="FollowedHyperlink"/>
    <w:rsid w:val="00B204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E29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297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D79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79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790B"/>
  </w:style>
  <w:style w:type="paragraph" w:styleId="CommentSubject">
    <w:name w:val="annotation subject"/>
    <w:basedOn w:val="CommentText"/>
    <w:next w:val="CommentText"/>
    <w:link w:val="CommentSubjectChar"/>
    <w:rsid w:val="00BD790B"/>
    <w:rPr>
      <w:b/>
      <w:bCs/>
    </w:rPr>
  </w:style>
  <w:style w:type="character" w:customStyle="1" w:styleId="CommentSubjectChar">
    <w:name w:val="Comment Subject Char"/>
    <w:link w:val="CommentSubject"/>
    <w:rsid w:val="00BD7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flu/weekly/fluactivitysurv.htm" TargetMode="External"/><Relationship Id="rId13" Type="http://schemas.openxmlformats.org/officeDocument/2006/relationships/hyperlink" Target="http://www.cdc.gov/flu/weekly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cdc.gov/flu/weekl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83697-6609-4494-8896-ECB58E07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Sentinel Provider Surveillance: Influenza-like illness activity</vt:lpstr>
    </vt:vector>
  </TitlesOfParts>
  <Company>DPH</Company>
  <LinksUpToDate>false</LinksUpToDate>
  <CharactersWithSpaces>8633</CharactersWithSpaces>
  <SharedDoc>false</SharedDoc>
  <HLinks>
    <vt:vector size="18" baseType="variant">
      <vt:variant>
        <vt:i4>7864430</vt:i4>
      </vt:variant>
      <vt:variant>
        <vt:i4>6</vt:i4>
      </vt:variant>
      <vt:variant>
        <vt:i4>0</vt:i4>
      </vt:variant>
      <vt:variant>
        <vt:i4>5</vt:i4>
      </vt:variant>
      <vt:variant>
        <vt:lpwstr>http://www.cdc.gov/flu/weekly/</vt:lpwstr>
      </vt:variant>
      <vt:variant>
        <vt:lpwstr/>
      </vt:variant>
      <vt:variant>
        <vt:i4>7864430</vt:i4>
      </vt:variant>
      <vt:variant>
        <vt:i4>3</vt:i4>
      </vt:variant>
      <vt:variant>
        <vt:i4>0</vt:i4>
      </vt:variant>
      <vt:variant>
        <vt:i4>5</vt:i4>
      </vt:variant>
      <vt:variant>
        <vt:lpwstr>http://www.cdc.gov/flu/weekly/</vt:lpwstr>
      </vt:variant>
      <vt:variant>
        <vt:lpwstr/>
      </vt:variant>
      <vt:variant>
        <vt:i4>5767180</vt:i4>
      </vt:variant>
      <vt:variant>
        <vt:i4>0</vt:i4>
      </vt:variant>
      <vt:variant>
        <vt:i4>0</vt:i4>
      </vt:variant>
      <vt:variant>
        <vt:i4>5</vt:i4>
      </vt:variant>
      <vt:variant>
        <vt:lpwstr>http://www.cdc.gov/flu/weekly/fluactivitysurv.htm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Sentinel Provider Surveillance: Influenza-like illness activity</dc:title>
  <dc:subject/>
  <dc:creator>DPH</dc:creator>
  <cp:keywords/>
  <cp:lastModifiedBy>Woo, Karl (EHS)</cp:lastModifiedBy>
  <cp:revision>2</cp:revision>
  <cp:lastPrinted>2016-11-18T15:24:00Z</cp:lastPrinted>
  <dcterms:created xsi:type="dcterms:W3CDTF">2022-12-30T12:29:00Z</dcterms:created>
  <dcterms:modified xsi:type="dcterms:W3CDTF">2022-12-30T12:29:00Z</dcterms:modified>
</cp:coreProperties>
</file>