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657" w:rsidRPr="00A97A28" w:rsidRDefault="00155657" w:rsidP="00155657">
      <w:pPr>
        <w:pStyle w:val="Header"/>
        <w:tabs>
          <w:tab w:val="clear" w:pos="4320"/>
          <w:tab w:val="clear" w:pos="8640"/>
        </w:tabs>
        <w:jc w:val="center"/>
        <w:rPr>
          <w:b/>
          <w:bCs/>
          <w:u w:val="single"/>
        </w:rPr>
      </w:pPr>
      <w:r w:rsidRPr="00A97A28">
        <w:rPr>
          <w:b/>
          <w:bCs/>
          <w:u w:val="single"/>
        </w:rPr>
        <w:t>THE OFFICE OF APPEALS AND DISPUTE RESOLUTION</w:t>
      </w:r>
    </w:p>
    <w:p w:rsidR="00155657" w:rsidRPr="00A97A28" w:rsidRDefault="00155657" w:rsidP="00155657">
      <w:pPr>
        <w:pStyle w:val="Header"/>
        <w:tabs>
          <w:tab w:val="clear" w:pos="4320"/>
          <w:tab w:val="clear" w:pos="8640"/>
        </w:tabs>
        <w:jc w:val="center"/>
        <w:rPr>
          <w:b/>
          <w:bCs/>
          <w:u w:val="single"/>
        </w:rPr>
      </w:pPr>
    </w:p>
    <w:p w:rsidR="00155657" w:rsidRPr="00A97A28" w:rsidRDefault="00155657" w:rsidP="00155657">
      <w:pPr>
        <w:pStyle w:val="Header"/>
        <w:tabs>
          <w:tab w:val="clear" w:pos="4320"/>
          <w:tab w:val="clear" w:pos="8640"/>
        </w:tabs>
      </w:pPr>
    </w:p>
    <w:p w:rsidR="00155657" w:rsidRPr="00A97A28" w:rsidRDefault="00155657" w:rsidP="00155657">
      <w:pPr>
        <w:pStyle w:val="Header"/>
        <w:tabs>
          <w:tab w:val="clear" w:pos="4320"/>
          <w:tab w:val="clear" w:pos="8640"/>
        </w:tabs>
        <w:rPr>
          <w:b/>
        </w:rPr>
      </w:pPr>
      <w:r w:rsidRPr="00A97A28">
        <w:tab/>
      </w:r>
      <w:r w:rsidRPr="00A97A28">
        <w:tab/>
      </w:r>
      <w:r w:rsidRPr="00A97A28">
        <w:tab/>
      </w:r>
      <w:r w:rsidRPr="00A97A28">
        <w:tab/>
      </w:r>
      <w:r w:rsidRPr="00A97A28">
        <w:tab/>
      </w:r>
      <w:r w:rsidRPr="00A97A28">
        <w:tab/>
      </w:r>
      <w:r w:rsidRPr="00A97A28">
        <w:tab/>
      </w:r>
      <w:r w:rsidR="00823CF1">
        <w:rPr>
          <w:b/>
        </w:rPr>
        <w:t xml:space="preserve">December </w:t>
      </w:r>
      <w:r w:rsidR="007F3DA4">
        <w:rPr>
          <w:b/>
        </w:rPr>
        <w:t>8</w:t>
      </w:r>
      <w:r w:rsidR="00C31A0D" w:rsidRPr="00A97A28">
        <w:rPr>
          <w:b/>
        </w:rPr>
        <w:t>, 2014</w:t>
      </w:r>
    </w:p>
    <w:p w:rsidR="00155657" w:rsidRPr="00A97A28" w:rsidRDefault="00155657" w:rsidP="00155657"/>
    <w:p w:rsidR="00155657" w:rsidRPr="00A97A28" w:rsidRDefault="00155657" w:rsidP="00155657">
      <w:r w:rsidRPr="00A97A28">
        <w:t>________________________</w:t>
      </w:r>
      <w:r w:rsidRPr="00A97A28">
        <w:tab/>
      </w:r>
    </w:p>
    <w:p w:rsidR="00155657" w:rsidRPr="00A97A28" w:rsidRDefault="00155657" w:rsidP="00155657"/>
    <w:p w:rsidR="00155657" w:rsidRPr="00A97A28" w:rsidRDefault="00155657" w:rsidP="00155657">
      <w:r w:rsidRPr="00A97A28">
        <w:t>In the Matter of</w:t>
      </w:r>
      <w:r w:rsidRPr="00A97A28">
        <w:tab/>
      </w:r>
      <w:r w:rsidRPr="00A97A28">
        <w:tab/>
      </w:r>
      <w:r w:rsidRPr="00A97A28">
        <w:tab/>
      </w:r>
      <w:r w:rsidRPr="00A97A28">
        <w:tab/>
      </w:r>
      <w:r w:rsidRPr="00A97A28">
        <w:tab/>
      </w:r>
      <w:r w:rsidRPr="00A97A28">
        <w:rPr>
          <w:b/>
        </w:rPr>
        <w:t>Docket No. 200</w:t>
      </w:r>
      <w:r w:rsidR="00297686" w:rsidRPr="00A97A28">
        <w:rPr>
          <w:b/>
        </w:rPr>
        <w:t>6</w:t>
      </w:r>
      <w:r w:rsidRPr="00A97A28">
        <w:rPr>
          <w:b/>
        </w:rPr>
        <w:t>-</w:t>
      </w:r>
      <w:r w:rsidR="00297686" w:rsidRPr="00A97A28">
        <w:rPr>
          <w:b/>
        </w:rPr>
        <w:t>154</w:t>
      </w:r>
      <w:r w:rsidRPr="00A97A28">
        <w:t xml:space="preserve"> </w:t>
      </w:r>
    </w:p>
    <w:p w:rsidR="00155657" w:rsidRPr="00A97A28" w:rsidRDefault="00297686" w:rsidP="00155657">
      <w:r w:rsidRPr="00A97A28">
        <w:t xml:space="preserve">Ross &amp; Marilyn </w:t>
      </w:r>
      <w:proofErr w:type="spellStart"/>
      <w:r w:rsidRPr="00A97A28">
        <w:t>Wescott</w:t>
      </w:r>
      <w:proofErr w:type="spellEnd"/>
      <w:r w:rsidR="00155657" w:rsidRPr="00A97A28">
        <w:tab/>
      </w:r>
      <w:r w:rsidR="00155657" w:rsidRPr="00A97A28">
        <w:tab/>
      </w:r>
      <w:r w:rsidR="00155657" w:rsidRPr="00A97A28">
        <w:tab/>
      </w:r>
      <w:r w:rsidR="00155657" w:rsidRPr="00A97A28">
        <w:tab/>
        <w:t xml:space="preserve">DEP File No. </w:t>
      </w:r>
      <w:r w:rsidRPr="00A97A28">
        <w:t>NE-050-826</w:t>
      </w:r>
    </w:p>
    <w:p w:rsidR="00155657" w:rsidRPr="00A97A28" w:rsidRDefault="00155657" w:rsidP="00297686">
      <w:r w:rsidRPr="00A97A28">
        <w:tab/>
      </w:r>
      <w:r w:rsidRPr="00A97A28">
        <w:tab/>
      </w:r>
      <w:r w:rsidRPr="00A97A28">
        <w:tab/>
      </w:r>
      <w:r w:rsidRPr="00A97A28">
        <w:tab/>
      </w:r>
      <w:r w:rsidRPr="00A97A28">
        <w:tab/>
      </w:r>
      <w:r w:rsidRPr="00A97A28">
        <w:tab/>
      </w:r>
      <w:r w:rsidRPr="00A97A28">
        <w:tab/>
      </w:r>
    </w:p>
    <w:p w:rsidR="00155657" w:rsidRPr="00A97A28" w:rsidRDefault="00155657" w:rsidP="00155657">
      <w:pPr>
        <w:autoSpaceDE w:val="0"/>
        <w:autoSpaceDN w:val="0"/>
        <w:adjustRightInd w:val="0"/>
      </w:pPr>
      <w:r w:rsidRPr="00A97A28">
        <w:t>________________________</w:t>
      </w:r>
      <w:r w:rsidRPr="00A97A28">
        <w:tab/>
      </w:r>
      <w:r w:rsidRPr="00A97A28">
        <w:tab/>
      </w:r>
      <w:r w:rsidRPr="00A97A28">
        <w:tab/>
      </w:r>
    </w:p>
    <w:p w:rsidR="00155657" w:rsidRPr="00A97A28" w:rsidRDefault="00155657" w:rsidP="00155657"/>
    <w:p w:rsidR="00155657" w:rsidRPr="00A97A28" w:rsidRDefault="00155657" w:rsidP="00155657"/>
    <w:p w:rsidR="00A71BEB" w:rsidRPr="00A97A28" w:rsidRDefault="00823CF1" w:rsidP="00D10B9F">
      <w:pPr>
        <w:pStyle w:val="Title"/>
        <w:rPr>
          <w:szCs w:val="24"/>
          <w:u w:val="single"/>
        </w:rPr>
      </w:pPr>
      <w:r>
        <w:rPr>
          <w:szCs w:val="24"/>
          <w:u w:val="single"/>
        </w:rPr>
        <w:t>RECOMMENDED FINAL DECISION</w:t>
      </w:r>
    </w:p>
    <w:p w:rsidR="00057929" w:rsidRPr="00A97A28" w:rsidRDefault="00057929" w:rsidP="00155657">
      <w:pPr>
        <w:pStyle w:val="Title"/>
        <w:rPr>
          <w:szCs w:val="24"/>
        </w:rPr>
      </w:pPr>
    </w:p>
    <w:p w:rsidR="00962B2A" w:rsidRDefault="00962B2A" w:rsidP="00962B2A">
      <w:pPr>
        <w:pStyle w:val="Title"/>
        <w:spacing w:line="480" w:lineRule="auto"/>
        <w:ind w:firstLine="720"/>
        <w:jc w:val="left"/>
        <w:rPr>
          <w:b w:val="0"/>
          <w:szCs w:val="24"/>
        </w:rPr>
      </w:pPr>
      <w:r>
        <w:rPr>
          <w:b w:val="0"/>
          <w:bCs/>
          <w:szCs w:val="24"/>
          <w:u w:color="FF0000"/>
        </w:rPr>
        <w:t xml:space="preserve">More than </w:t>
      </w:r>
      <w:r w:rsidR="006D3A70" w:rsidRPr="00A97A28">
        <w:rPr>
          <w:b w:val="0"/>
          <w:bCs/>
          <w:szCs w:val="24"/>
          <w:u w:color="FF0000"/>
        </w:rPr>
        <w:t xml:space="preserve">eight </w:t>
      </w:r>
      <w:r w:rsidR="00DD7F03" w:rsidRPr="00A97A28">
        <w:rPr>
          <w:b w:val="0"/>
          <w:bCs/>
          <w:szCs w:val="24"/>
          <w:u w:color="FF0000"/>
        </w:rPr>
        <w:t>years ago, t</w:t>
      </w:r>
      <w:r w:rsidR="00513F7A" w:rsidRPr="00A97A28">
        <w:rPr>
          <w:b w:val="0"/>
          <w:bCs/>
          <w:szCs w:val="24"/>
          <w:u w:color="FF0000"/>
        </w:rPr>
        <w:t xml:space="preserve">he Petitioners Ross and Marilyn </w:t>
      </w:r>
      <w:proofErr w:type="spellStart"/>
      <w:r w:rsidR="00513F7A" w:rsidRPr="00A97A28">
        <w:rPr>
          <w:b w:val="0"/>
          <w:bCs/>
          <w:szCs w:val="24"/>
          <w:u w:color="FF0000"/>
        </w:rPr>
        <w:t>Wescott</w:t>
      </w:r>
      <w:proofErr w:type="spellEnd"/>
      <w:r w:rsidR="00513F7A" w:rsidRPr="00A97A28">
        <w:rPr>
          <w:b w:val="0"/>
          <w:bCs/>
          <w:szCs w:val="24"/>
          <w:u w:color="FF0000"/>
        </w:rPr>
        <w:t xml:space="preserve"> </w:t>
      </w:r>
      <w:r w:rsidR="00FA19E8" w:rsidRPr="00A97A28">
        <w:rPr>
          <w:b w:val="0"/>
          <w:bCs/>
          <w:szCs w:val="24"/>
          <w:u w:color="FF0000"/>
        </w:rPr>
        <w:t xml:space="preserve">filed </w:t>
      </w:r>
      <w:r w:rsidR="00ED530E" w:rsidRPr="00A97A28">
        <w:rPr>
          <w:b w:val="0"/>
          <w:bCs/>
          <w:szCs w:val="24"/>
          <w:u w:color="FF0000"/>
        </w:rPr>
        <w:t xml:space="preserve">this appeal </w:t>
      </w:r>
      <w:r w:rsidR="00513F7A" w:rsidRPr="00A97A28">
        <w:rPr>
          <w:b w:val="0"/>
          <w:bCs/>
          <w:szCs w:val="24"/>
          <w:u w:color="FF0000"/>
        </w:rPr>
        <w:t>challeng</w:t>
      </w:r>
      <w:r w:rsidR="00ED530E" w:rsidRPr="00A97A28">
        <w:rPr>
          <w:b w:val="0"/>
          <w:bCs/>
          <w:szCs w:val="24"/>
          <w:u w:color="FF0000"/>
        </w:rPr>
        <w:t xml:space="preserve">ing </w:t>
      </w:r>
      <w:r w:rsidR="00513F7A" w:rsidRPr="00A97A28">
        <w:rPr>
          <w:b w:val="0"/>
          <w:bCs/>
          <w:szCs w:val="24"/>
          <w:u w:color="FF0000"/>
        </w:rPr>
        <w:t xml:space="preserve">a </w:t>
      </w:r>
      <w:r w:rsidR="00513F7A" w:rsidRPr="00A97A28">
        <w:rPr>
          <w:b w:val="0"/>
          <w:szCs w:val="24"/>
        </w:rPr>
        <w:t>Superseding Order of Conditions (“SOC”) that the Northeast Regional Office of</w:t>
      </w:r>
      <w:r w:rsidR="00513F7A" w:rsidRPr="00A97A28">
        <w:rPr>
          <w:b w:val="0"/>
          <w:bCs/>
          <w:szCs w:val="24"/>
        </w:rPr>
        <w:t xml:space="preserve"> the Massachusetts Department of Environmental Protection (“</w:t>
      </w:r>
      <w:proofErr w:type="spellStart"/>
      <w:r w:rsidR="00513F7A" w:rsidRPr="00A97A28">
        <w:rPr>
          <w:b w:val="0"/>
          <w:bCs/>
          <w:szCs w:val="24"/>
        </w:rPr>
        <w:t>MassDEP</w:t>
      </w:r>
      <w:proofErr w:type="spellEnd"/>
      <w:r w:rsidR="00513F7A" w:rsidRPr="00A97A28">
        <w:rPr>
          <w:b w:val="0"/>
          <w:bCs/>
          <w:szCs w:val="24"/>
        </w:rPr>
        <w:t xml:space="preserve">” or “the Department”) </w:t>
      </w:r>
      <w:r w:rsidR="00513F7A" w:rsidRPr="00A97A28">
        <w:rPr>
          <w:b w:val="0"/>
          <w:szCs w:val="24"/>
          <w:u w:color="FF0000"/>
        </w:rPr>
        <w:t xml:space="preserve">issued to the Petitioners </w:t>
      </w:r>
      <w:r w:rsidR="00C95A81">
        <w:rPr>
          <w:b w:val="0"/>
          <w:szCs w:val="24"/>
          <w:u w:color="FF0000"/>
        </w:rPr>
        <w:t xml:space="preserve">pursuant to </w:t>
      </w:r>
      <w:r w:rsidR="00513F7A" w:rsidRPr="00A97A28">
        <w:rPr>
          <w:b w:val="0"/>
          <w:szCs w:val="24"/>
        </w:rPr>
        <w:t xml:space="preserve">the Massachusetts Wetlands Protection Act, G.L. c. 131, </w:t>
      </w:r>
    </w:p>
    <w:p w:rsidR="00962B2A" w:rsidRDefault="00513F7A" w:rsidP="00962B2A">
      <w:pPr>
        <w:pStyle w:val="Title"/>
        <w:spacing w:line="480" w:lineRule="auto"/>
        <w:jc w:val="left"/>
        <w:rPr>
          <w:b w:val="0"/>
          <w:szCs w:val="24"/>
        </w:rPr>
      </w:pPr>
      <w:r w:rsidRPr="00A97A28">
        <w:rPr>
          <w:b w:val="0"/>
          <w:szCs w:val="24"/>
        </w:rPr>
        <w:t>§ 40 (“MWPA”), and the Massachusetts Wetlands Regulations, 310 CMR 10.00 et seq.</w:t>
      </w:r>
      <w:r w:rsidR="007F3DA4">
        <w:rPr>
          <w:b w:val="0"/>
          <w:szCs w:val="24"/>
        </w:rPr>
        <w:t>,</w:t>
      </w:r>
      <w:r w:rsidR="00ED530E" w:rsidRPr="00A97A28">
        <w:rPr>
          <w:b w:val="0"/>
          <w:szCs w:val="24"/>
        </w:rPr>
        <w:t xml:space="preserve"> rejecting their </w:t>
      </w:r>
      <w:r w:rsidR="00ED530E" w:rsidRPr="00A97A28">
        <w:rPr>
          <w:b w:val="0"/>
          <w:bCs/>
          <w:szCs w:val="24"/>
        </w:rPr>
        <w:t>proposed</w:t>
      </w:r>
      <w:r w:rsidR="00ED530E" w:rsidRPr="00A97A28">
        <w:rPr>
          <w:b w:val="0"/>
          <w:szCs w:val="24"/>
          <w:u w:color="FF0000"/>
        </w:rPr>
        <w:t xml:space="preserve"> construction of a single-family home (“the proposed Project”) on their real property at 39 Fordham Way in Newbury, Massachusetts (“the Property”).  Department’s Transmittal Letter attached to SOC, at p. 1.</w:t>
      </w:r>
      <w:r w:rsidRPr="00A97A28">
        <w:rPr>
          <w:rStyle w:val="FootnoteReference"/>
          <w:b w:val="0"/>
          <w:szCs w:val="24"/>
        </w:rPr>
        <w:footnoteReference w:id="1"/>
      </w:r>
      <w:r w:rsidRPr="00A97A28">
        <w:rPr>
          <w:b w:val="0"/>
          <w:szCs w:val="24"/>
        </w:rPr>
        <w:t xml:space="preserve">  </w:t>
      </w:r>
      <w:r w:rsidRPr="00A97A28">
        <w:rPr>
          <w:b w:val="0"/>
          <w:szCs w:val="24"/>
          <w:u w:color="FF0000"/>
        </w:rPr>
        <w:t xml:space="preserve">The SOC reversed the Newbury Conservation </w:t>
      </w:r>
      <w:r w:rsidRPr="00A97A28">
        <w:rPr>
          <w:b w:val="0"/>
          <w:szCs w:val="24"/>
          <w:u w:color="FF0000"/>
        </w:rPr>
        <w:lastRenderedPageBreak/>
        <w:t>Commission</w:t>
      </w:r>
      <w:r w:rsidR="00ED530E" w:rsidRPr="00A97A28">
        <w:rPr>
          <w:b w:val="0"/>
          <w:szCs w:val="24"/>
          <w:u w:color="FF0000"/>
        </w:rPr>
        <w:t>’s</w:t>
      </w:r>
      <w:r w:rsidRPr="00A97A28">
        <w:rPr>
          <w:b w:val="0"/>
          <w:szCs w:val="24"/>
          <w:u w:color="FF0000"/>
        </w:rPr>
        <w:t xml:space="preserve"> (“N</w:t>
      </w:r>
      <w:r w:rsidRPr="00A97A28">
        <w:rPr>
          <w:b w:val="0"/>
          <w:szCs w:val="24"/>
        </w:rPr>
        <w:t xml:space="preserve">CC”) </w:t>
      </w:r>
      <w:r w:rsidR="00ED530E" w:rsidRPr="00A97A28">
        <w:rPr>
          <w:b w:val="0"/>
          <w:szCs w:val="24"/>
        </w:rPr>
        <w:t xml:space="preserve">earlier decision </w:t>
      </w:r>
      <w:r w:rsidRPr="00A97A28">
        <w:rPr>
          <w:b w:val="0"/>
          <w:szCs w:val="24"/>
        </w:rPr>
        <w:t xml:space="preserve">approving the proposed Project </w:t>
      </w:r>
      <w:r w:rsidR="00C95A81">
        <w:rPr>
          <w:b w:val="0"/>
          <w:szCs w:val="24"/>
        </w:rPr>
        <w:t xml:space="preserve">pursuant to </w:t>
      </w:r>
      <w:r w:rsidRPr="00A97A28">
        <w:rPr>
          <w:b w:val="0"/>
          <w:szCs w:val="24"/>
        </w:rPr>
        <w:t xml:space="preserve">the MWPA and the Wetlands Regulations.  </w:t>
      </w:r>
      <w:r w:rsidRPr="00A97A28">
        <w:rPr>
          <w:b w:val="0"/>
          <w:szCs w:val="24"/>
          <w:u w:val="single"/>
        </w:rPr>
        <w:t>Id</w:t>
      </w:r>
      <w:r w:rsidRPr="00A97A28">
        <w:rPr>
          <w:b w:val="0"/>
          <w:szCs w:val="24"/>
        </w:rPr>
        <w:t xml:space="preserve">.  </w:t>
      </w:r>
    </w:p>
    <w:p w:rsidR="00D7787E" w:rsidRPr="00A97A28" w:rsidRDefault="00513F7A" w:rsidP="00962B2A">
      <w:pPr>
        <w:pStyle w:val="Title"/>
        <w:spacing w:line="480" w:lineRule="auto"/>
        <w:ind w:firstLine="720"/>
        <w:jc w:val="left"/>
        <w:rPr>
          <w:b w:val="0"/>
          <w:szCs w:val="24"/>
          <w:u w:color="FF0000"/>
        </w:rPr>
      </w:pPr>
      <w:r w:rsidRPr="00A97A28">
        <w:rPr>
          <w:b w:val="0"/>
          <w:szCs w:val="24"/>
        </w:rPr>
        <w:t xml:space="preserve">The Department rejected the proposed Project because it </w:t>
      </w:r>
      <w:r w:rsidR="00962B2A">
        <w:rPr>
          <w:b w:val="0"/>
          <w:szCs w:val="24"/>
        </w:rPr>
        <w:t xml:space="preserve">would </w:t>
      </w:r>
      <w:r w:rsidRPr="00A97A28">
        <w:rPr>
          <w:b w:val="0"/>
          <w:szCs w:val="24"/>
        </w:rPr>
        <w:t>be located within a Coastal Dune of a Barrier Beach</w:t>
      </w:r>
      <w:r w:rsidR="00B63A83" w:rsidRPr="00A97A28">
        <w:rPr>
          <w:b w:val="0"/>
          <w:szCs w:val="24"/>
        </w:rPr>
        <w:t xml:space="preserve"> (Plum Island)</w:t>
      </w:r>
      <w:r w:rsidRPr="00A97A28">
        <w:rPr>
          <w:b w:val="0"/>
          <w:szCs w:val="24"/>
        </w:rPr>
        <w:t xml:space="preserve">, both protected wetlands areas, and </w:t>
      </w:r>
      <w:r w:rsidR="00FB6298" w:rsidRPr="00A97A28">
        <w:rPr>
          <w:b w:val="0"/>
          <w:szCs w:val="24"/>
        </w:rPr>
        <w:t xml:space="preserve">purportedly </w:t>
      </w:r>
      <w:r w:rsidR="00962B2A">
        <w:rPr>
          <w:b w:val="0"/>
          <w:szCs w:val="24"/>
        </w:rPr>
        <w:t xml:space="preserve">would </w:t>
      </w:r>
      <w:r w:rsidRPr="00A97A28">
        <w:rPr>
          <w:b w:val="0"/>
          <w:szCs w:val="24"/>
          <w:u w:color="FF0000"/>
        </w:rPr>
        <w:t>not satisfy the Performance Standards for work in those areas under 310 CMR 10.28(3) and 10.29(3) respectively.</w:t>
      </w:r>
      <w:r w:rsidRPr="00A97A28">
        <w:rPr>
          <w:rStyle w:val="FootnoteReference"/>
          <w:b w:val="0"/>
          <w:szCs w:val="24"/>
        </w:rPr>
        <w:footnoteReference w:id="2"/>
      </w:r>
      <w:r w:rsidRPr="00A97A28">
        <w:rPr>
          <w:b w:val="0"/>
          <w:szCs w:val="24"/>
          <w:u w:color="FF0000"/>
        </w:rPr>
        <w:t xml:space="preserve">  </w:t>
      </w:r>
      <w:r w:rsidRPr="00A97A28">
        <w:rPr>
          <w:b w:val="0"/>
          <w:szCs w:val="24"/>
          <w:u w:val="single"/>
        </w:rPr>
        <w:t>Id</w:t>
      </w:r>
      <w:r w:rsidRPr="00A97A28">
        <w:rPr>
          <w:b w:val="0"/>
          <w:szCs w:val="24"/>
          <w:u w:color="FF0000"/>
        </w:rPr>
        <w:t>.</w:t>
      </w:r>
      <w:r w:rsidR="007F3DA4">
        <w:rPr>
          <w:b w:val="0"/>
          <w:szCs w:val="24"/>
          <w:u w:color="FF0000"/>
        </w:rPr>
        <w:t xml:space="preserve">, </w:t>
      </w:r>
      <w:r w:rsidR="00FB6298" w:rsidRPr="00A97A28">
        <w:rPr>
          <w:b w:val="0"/>
          <w:szCs w:val="24"/>
          <w:u w:color="FF0000"/>
        </w:rPr>
        <w:t xml:space="preserve">at p. 3; </w:t>
      </w:r>
      <w:r w:rsidRPr="00A97A28">
        <w:rPr>
          <w:b w:val="0"/>
          <w:szCs w:val="24"/>
          <w:u w:color="FF0000"/>
        </w:rPr>
        <w:t xml:space="preserve">Order Staying Proceedings and Ruling on Motion to Correct Administrative Record and to Correct Conference Report, January 24, 2007 (“January 2007 Stay Order”), at p. 1; Department’s [Pre-Hearing] Conference Memorandum, January 21, 2014 (“Department’s PHG </w:t>
      </w:r>
      <w:proofErr w:type="spellStart"/>
      <w:r w:rsidRPr="00A97A28">
        <w:rPr>
          <w:b w:val="0"/>
          <w:szCs w:val="24"/>
          <w:u w:color="FF0000"/>
        </w:rPr>
        <w:t>Mem</w:t>
      </w:r>
      <w:proofErr w:type="spellEnd"/>
      <w:r w:rsidRPr="00A97A28">
        <w:rPr>
          <w:b w:val="0"/>
          <w:szCs w:val="24"/>
          <w:u w:color="FF0000"/>
        </w:rPr>
        <w:t>.”), at p. 1</w:t>
      </w:r>
      <w:r w:rsidR="004423AD" w:rsidRPr="00A97A28">
        <w:rPr>
          <w:b w:val="0"/>
          <w:szCs w:val="24"/>
          <w:u w:color="FF0000"/>
        </w:rPr>
        <w:t>; Pre-Hearing Conference Report and Second Order Staying Proceedings, January 24, 2014 (“January 2014 Stay Order”), at pp. 1-2</w:t>
      </w:r>
      <w:r w:rsidR="006D3A70" w:rsidRPr="00A97A28">
        <w:rPr>
          <w:b w:val="0"/>
          <w:szCs w:val="24"/>
          <w:u w:color="FF0000"/>
        </w:rPr>
        <w:t>; Order Directing Petitioners to File Proper Plan of Record, July 10, 2014 (“July 2014 POR Order”), at p. 2</w:t>
      </w:r>
      <w:r w:rsidRPr="00A97A28">
        <w:rPr>
          <w:b w:val="0"/>
          <w:szCs w:val="24"/>
          <w:u w:color="FF0000"/>
        </w:rPr>
        <w:t>.</w:t>
      </w:r>
      <w:r w:rsidR="00D7787E" w:rsidRPr="00A97A28">
        <w:rPr>
          <w:b w:val="0"/>
          <w:szCs w:val="24"/>
          <w:u w:color="FF0000"/>
        </w:rPr>
        <w:t xml:space="preserve">  Jayne </w:t>
      </w:r>
      <w:proofErr w:type="spellStart"/>
      <w:r w:rsidR="00D7787E" w:rsidRPr="00A97A28">
        <w:rPr>
          <w:b w:val="0"/>
          <w:szCs w:val="24"/>
          <w:u w:color="FF0000"/>
        </w:rPr>
        <w:t>Cecere</w:t>
      </w:r>
      <w:proofErr w:type="spellEnd"/>
      <w:r w:rsidR="00D7787E" w:rsidRPr="00A97A28">
        <w:rPr>
          <w:b w:val="0"/>
          <w:szCs w:val="24"/>
          <w:u w:color="FF0000"/>
        </w:rPr>
        <w:t xml:space="preserve">-Peng and David Peng (“the </w:t>
      </w:r>
      <w:proofErr w:type="spellStart"/>
      <w:r w:rsidR="00D7787E" w:rsidRPr="00A97A28">
        <w:rPr>
          <w:b w:val="0"/>
          <w:szCs w:val="24"/>
          <w:u w:color="FF0000"/>
        </w:rPr>
        <w:t>Pengs</w:t>
      </w:r>
      <w:proofErr w:type="spellEnd"/>
      <w:r w:rsidR="00D7787E" w:rsidRPr="00A97A28">
        <w:rPr>
          <w:b w:val="0"/>
          <w:szCs w:val="24"/>
          <w:u w:color="FF0000"/>
        </w:rPr>
        <w:t>”), who</w:t>
      </w:r>
      <w:r w:rsidR="00962B2A">
        <w:rPr>
          <w:b w:val="0"/>
          <w:szCs w:val="24"/>
          <w:u w:color="FF0000"/>
        </w:rPr>
        <w:t xml:space="preserve"> own a </w:t>
      </w:r>
      <w:r w:rsidR="00D7787E" w:rsidRPr="00A97A28">
        <w:rPr>
          <w:b w:val="0"/>
          <w:szCs w:val="24"/>
          <w:u w:color="FF0000"/>
        </w:rPr>
        <w:t>home abut</w:t>
      </w:r>
      <w:r w:rsidR="00962B2A">
        <w:rPr>
          <w:b w:val="0"/>
          <w:szCs w:val="24"/>
          <w:u w:color="FF0000"/>
        </w:rPr>
        <w:t xml:space="preserve">ting </w:t>
      </w:r>
      <w:r w:rsidR="00D7787E" w:rsidRPr="00A97A28">
        <w:rPr>
          <w:b w:val="0"/>
          <w:szCs w:val="24"/>
          <w:u w:color="FF0000"/>
        </w:rPr>
        <w:t xml:space="preserve">the proposed Project </w:t>
      </w:r>
      <w:r w:rsidR="00962B2A">
        <w:rPr>
          <w:b w:val="0"/>
          <w:szCs w:val="24"/>
          <w:u w:color="FF0000"/>
        </w:rPr>
        <w:t>location, also oppose</w:t>
      </w:r>
      <w:r w:rsidR="004B5C78">
        <w:rPr>
          <w:b w:val="0"/>
          <w:szCs w:val="24"/>
          <w:u w:color="FF0000"/>
        </w:rPr>
        <w:t>d</w:t>
      </w:r>
      <w:r w:rsidR="00962B2A">
        <w:rPr>
          <w:b w:val="0"/>
          <w:szCs w:val="24"/>
          <w:u w:color="FF0000"/>
        </w:rPr>
        <w:t xml:space="preserve"> the proposed Project contending that it </w:t>
      </w:r>
      <w:r w:rsidR="004B5C78">
        <w:rPr>
          <w:b w:val="0"/>
          <w:szCs w:val="24"/>
          <w:u w:color="FF0000"/>
        </w:rPr>
        <w:t xml:space="preserve">would </w:t>
      </w:r>
      <w:r w:rsidR="00962B2A">
        <w:rPr>
          <w:b w:val="0"/>
          <w:szCs w:val="24"/>
          <w:u w:color="FF0000"/>
        </w:rPr>
        <w:t>be detrimental to wetlands and their home</w:t>
      </w:r>
      <w:r w:rsidR="00D7787E" w:rsidRPr="00A97A28">
        <w:rPr>
          <w:b w:val="0"/>
          <w:szCs w:val="24"/>
          <w:u w:color="FF0000"/>
        </w:rPr>
        <w:t xml:space="preserve">.  </w:t>
      </w:r>
      <w:proofErr w:type="spellStart"/>
      <w:r w:rsidR="00D7787E" w:rsidRPr="00A97A28">
        <w:rPr>
          <w:b w:val="0"/>
          <w:szCs w:val="24"/>
          <w:u w:color="FF0000"/>
        </w:rPr>
        <w:t>Pengs</w:t>
      </w:r>
      <w:proofErr w:type="spellEnd"/>
      <w:r w:rsidR="00D7787E" w:rsidRPr="00A97A28">
        <w:rPr>
          <w:b w:val="0"/>
          <w:szCs w:val="24"/>
          <w:u w:color="FF0000"/>
        </w:rPr>
        <w:t xml:space="preserve">’ Pre-Hearing Statement, September 16, 2014, at p. 2.  </w:t>
      </w:r>
    </w:p>
    <w:p w:rsidR="004B5C78" w:rsidRDefault="00962B2A" w:rsidP="008F1402">
      <w:pPr>
        <w:pStyle w:val="Title"/>
        <w:spacing w:line="480" w:lineRule="auto"/>
        <w:ind w:firstLine="720"/>
        <w:jc w:val="left"/>
        <w:rPr>
          <w:b w:val="0"/>
          <w:szCs w:val="24"/>
        </w:rPr>
      </w:pPr>
      <w:r>
        <w:rPr>
          <w:b w:val="0"/>
          <w:szCs w:val="24"/>
          <w:u w:color="FF0000"/>
        </w:rPr>
        <w:t xml:space="preserve">Resolution of this appeal has been significantly delayed due to: </w:t>
      </w:r>
      <w:r w:rsidR="00D12876" w:rsidRPr="00A97A28">
        <w:rPr>
          <w:b w:val="0"/>
          <w:szCs w:val="24"/>
          <w:u w:color="FF0000"/>
        </w:rPr>
        <w:t xml:space="preserve">(1) the </w:t>
      </w:r>
      <w:r w:rsidR="007B15CD" w:rsidRPr="00A97A28">
        <w:rPr>
          <w:b w:val="0"/>
          <w:szCs w:val="24"/>
          <w:u w:color="FF0000"/>
        </w:rPr>
        <w:t xml:space="preserve">Petitioners’ seven year delay in obtaining required </w:t>
      </w:r>
      <w:r w:rsidR="004B5C78">
        <w:rPr>
          <w:b w:val="0"/>
          <w:szCs w:val="24"/>
          <w:u w:color="FF0000"/>
        </w:rPr>
        <w:t xml:space="preserve">MEPA </w:t>
      </w:r>
      <w:r w:rsidR="007B15CD" w:rsidRPr="00A97A28">
        <w:rPr>
          <w:b w:val="0"/>
          <w:szCs w:val="24"/>
          <w:u w:color="FF0000"/>
        </w:rPr>
        <w:t>review of their proposed Project</w:t>
      </w:r>
      <w:r>
        <w:rPr>
          <w:b w:val="0"/>
          <w:szCs w:val="24"/>
        </w:rPr>
        <w:t>;</w:t>
      </w:r>
      <w:r w:rsidR="007B15CD" w:rsidRPr="00A97A28">
        <w:rPr>
          <w:rStyle w:val="FootnoteReference"/>
          <w:b w:val="0"/>
          <w:szCs w:val="24"/>
        </w:rPr>
        <w:footnoteReference w:id="3"/>
      </w:r>
      <w:r>
        <w:rPr>
          <w:b w:val="0"/>
          <w:szCs w:val="24"/>
        </w:rPr>
        <w:t xml:space="preserve"> (2) the Petitioners’ </w:t>
      </w:r>
      <w:r>
        <w:rPr>
          <w:b w:val="0"/>
          <w:szCs w:val="24"/>
        </w:rPr>
        <w:lastRenderedPageBreak/>
        <w:t xml:space="preserve">five month delay </w:t>
      </w:r>
      <w:r w:rsidRPr="00A97A28">
        <w:rPr>
          <w:b w:val="0"/>
          <w:szCs w:val="24"/>
        </w:rPr>
        <w:t>in filing a proper Plan of Record (“POR”)</w:t>
      </w:r>
      <w:r>
        <w:rPr>
          <w:b w:val="0"/>
          <w:szCs w:val="24"/>
        </w:rPr>
        <w:t xml:space="preserve"> following completion of MEPA review in March 2014; </w:t>
      </w:r>
      <w:r w:rsidR="004B5C78">
        <w:rPr>
          <w:b w:val="0"/>
          <w:szCs w:val="24"/>
        </w:rPr>
        <w:t xml:space="preserve">and </w:t>
      </w:r>
      <w:r>
        <w:rPr>
          <w:b w:val="0"/>
          <w:szCs w:val="24"/>
        </w:rPr>
        <w:t xml:space="preserve">(3) the Petitioners’ recent failure to file </w:t>
      </w:r>
      <w:r w:rsidRPr="00962B2A">
        <w:rPr>
          <w:b w:val="0"/>
        </w:rPr>
        <w:t xml:space="preserve">to file sworn Pre-filed Testimony (“PFT”) of witnesses supporting their </w:t>
      </w:r>
      <w:r>
        <w:rPr>
          <w:b w:val="0"/>
        </w:rPr>
        <w:t xml:space="preserve">claims </w:t>
      </w:r>
      <w:r w:rsidR="00692E16">
        <w:rPr>
          <w:b w:val="0"/>
        </w:rPr>
        <w:t xml:space="preserve">prior </w:t>
      </w:r>
      <w:r w:rsidRPr="00962B2A">
        <w:rPr>
          <w:b w:val="0"/>
        </w:rPr>
        <w:t>to the scheduled Adjudicatory Hearing (“Hearing”)</w:t>
      </w:r>
      <w:r w:rsidR="00692E16">
        <w:rPr>
          <w:b w:val="0"/>
        </w:rPr>
        <w:t xml:space="preserve">, pursuant to the schedule that I established at the Pre-Hearing Conference (“PHC”) that I conducted with the parties on September 17, 2014.  </w:t>
      </w:r>
      <w:r w:rsidR="007B15CD" w:rsidRPr="00962B2A">
        <w:rPr>
          <w:b w:val="0"/>
          <w:szCs w:val="24"/>
        </w:rPr>
        <w:t>July 2014</w:t>
      </w:r>
      <w:r w:rsidR="007B15CD" w:rsidRPr="00A97A28">
        <w:rPr>
          <w:b w:val="0"/>
          <w:szCs w:val="24"/>
        </w:rPr>
        <w:t xml:space="preserve"> POR Order, at </w:t>
      </w:r>
    </w:p>
    <w:p w:rsidR="00D12876" w:rsidRPr="00A97A28" w:rsidRDefault="007B15CD" w:rsidP="004B5C78">
      <w:pPr>
        <w:pStyle w:val="Title"/>
        <w:spacing w:line="480" w:lineRule="auto"/>
        <w:jc w:val="left"/>
        <w:rPr>
          <w:b w:val="0"/>
          <w:szCs w:val="24"/>
        </w:rPr>
      </w:pPr>
      <w:r w:rsidRPr="00A97A28">
        <w:rPr>
          <w:b w:val="0"/>
          <w:szCs w:val="24"/>
        </w:rPr>
        <w:t>pp. 1-15</w:t>
      </w:r>
      <w:r w:rsidR="00692E16">
        <w:rPr>
          <w:b w:val="0"/>
          <w:szCs w:val="24"/>
        </w:rPr>
        <w:t xml:space="preserve">; </w:t>
      </w:r>
      <w:r w:rsidR="00D12876" w:rsidRPr="00A97A28">
        <w:rPr>
          <w:b w:val="0"/>
          <w:szCs w:val="24"/>
        </w:rPr>
        <w:t>Petitioners’ Filing of Plan of Record, August 11, 2014</w:t>
      </w:r>
      <w:r w:rsidR="00692E16">
        <w:rPr>
          <w:b w:val="0"/>
          <w:szCs w:val="24"/>
        </w:rPr>
        <w:t xml:space="preserve">; </w:t>
      </w:r>
      <w:r w:rsidR="00C95A81" w:rsidRPr="00A97A28">
        <w:rPr>
          <w:b w:val="0"/>
          <w:szCs w:val="24"/>
        </w:rPr>
        <w:t>Second Scheduling Order, and Order Vacating Second Order Staying Proceedings, August 18, 2014 (“Second Scheduling Order”)</w:t>
      </w:r>
      <w:r w:rsidR="00692E16">
        <w:rPr>
          <w:b w:val="0"/>
          <w:szCs w:val="24"/>
        </w:rPr>
        <w:t xml:space="preserve">; </w:t>
      </w:r>
      <w:r w:rsidR="007F6971" w:rsidRPr="00A97A28">
        <w:rPr>
          <w:b w:val="0"/>
          <w:szCs w:val="24"/>
        </w:rPr>
        <w:t xml:space="preserve"> </w:t>
      </w:r>
      <w:r w:rsidR="00823CF1">
        <w:rPr>
          <w:b w:val="0"/>
          <w:szCs w:val="24"/>
        </w:rPr>
        <w:t>Second PHC Rept. &amp; Order.</w:t>
      </w:r>
      <w:r w:rsidR="007F6971" w:rsidRPr="00A97A28">
        <w:rPr>
          <w:b w:val="0"/>
          <w:szCs w:val="24"/>
        </w:rPr>
        <w:t xml:space="preserve">  </w:t>
      </w:r>
    </w:p>
    <w:p w:rsidR="00692E16" w:rsidRDefault="00692E16" w:rsidP="00692E16">
      <w:pPr>
        <w:spacing w:line="480" w:lineRule="auto"/>
        <w:ind w:firstLine="720"/>
      </w:pPr>
      <w:r w:rsidRPr="00692E16">
        <w:rPr>
          <w:bCs/>
        </w:rPr>
        <w:t xml:space="preserve">Under the schedule that I established at </w:t>
      </w:r>
      <w:r w:rsidR="007F3DA4">
        <w:rPr>
          <w:bCs/>
        </w:rPr>
        <w:t xml:space="preserve">the </w:t>
      </w:r>
      <w:r w:rsidRPr="00692E16">
        <w:rPr>
          <w:bCs/>
        </w:rPr>
        <w:t>PHC, the Hearing was scheduled for January 21, 2015;</w:t>
      </w:r>
      <w:r>
        <w:rPr>
          <w:b/>
          <w:bCs/>
        </w:rPr>
        <w:t xml:space="preserve"> </w:t>
      </w:r>
      <w:r>
        <w:t xml:space="preserve">the Petitioners, the parties with the burden of proof, were required to file the PFT of their witnesses first: by October 15, 2014; the </w:t>
      </w:r>
      <w:proofErr w:type="spellStart"/>
      <w:r>
        <w:t>Pengs</w:t>
      </w:r>
      <w:proofErr w:type="spellEnd"/>
      <w:r>
        <w:t xml:space="preserve"> were required to file the PFT of their witnesses by November 12, 2014; </w:t>
      </w:r>
      <w:r w:rsidR="004B5C78">
        <w:t xml:space="preserve">and </w:t>
      </w:r>
      <w:r>
        <w:t xml:space="preserve">the Department was required to file the PFT of its witnesses by December 10, 2014.  </w:t>
      </w:r>
      <w:r w:rsidRPr="00692E16">
        <w:t>Second PHC Rept. &amp; Order</w:t>
      </w:r>
      <w:r>
        <w:t xml:space="preserve">, 13-15.  </w:t>
      </w:r>
      <w:r w:rsidR="004B5C78">
        <w:t>A</w:t>
      </w:r>
      <w:r>
        <w:t xml:space="preserve">t the PHC and in my </w:t>
      </w:r>
      <w:r>
        <w:lastRenderedPageBreak/>
        <w:t>subsequent September 29</w:t>
      </w:r>
      <w:r w:rsidRPr="00A9759A">
        <w:rPr>
          <w:vertAlign w:val="superscript"/>
        </w:rPr>
        <w:t>th</w:t>
      </w:r>
      <w:r>
        <w:t xml:space="preserve"> Order</w:t>
      </w:r>
      <w:r w:rsidR="004B5C78">
        <w:t>, I made the parties aware</w:t>
      </w:r>
      <w:r>
        <w:t xml:space="preserve"> that under Adjudicatory Proceeding Rule 310 CMR 1.01(12</w:t>
      </w:r>
      <w:proofErr w:type="gramStart"/>
      <w:r>
        <w:t>)(</w:t>
      </w:r>
      <w:proofErr w:type="gramEnd"/>
      <w:r>
        <w:t>f), a party’s “[f]</w:t>
      </w:r>
      <w:proofErr w:type="spellStart"/>
      <w:r>
        <w:t>ailure</w:t>
      </w:r>
      <w:proofErr w:type="spellEnd"/>
      <w:r>
        <w:t xml:space="preserve"> to file pre-filed direct testimony within the established time, without good cause shown,” is a serious infraction requiring “summary dismissal of the party and the appeal if the party being summarily dismissed is the petitioner.”  </w:t>
      </w:r>
      <w:r w:rsidRPr="00A9759A">
        <w:rPr>
          <w:u w:val="single"/>
        </w:rPr>
        <w:t>Id</w:t>
      </w:r>
      <w:r>
        <w:t xml:space="preserve">., at pp. 9, 13-14.      </w:t>
      </w:r>
    </w:p>
    <w:p w:rsidR="00474D06" w:rsidRDefault="00474D06" w:rsidP="00474D06">
      <w:pPr>
        <w:pStyle w:val="Title"/>
        <w:spacing w:line="480" w:lineRule="auto"/>
        <w:ind w:firstLine="720"/>
        <w:jc w:val="left"/>
        <w:rPr>
          <w:b w:val="0"/>
          <w:szCs w:val="24"/>
          <w:u w:color="FF0000"/>
        </w:rPr>
      </w:pPr>
      <w:r>
        <w:rPr>
          <w:b w:val="0"/>
          <w:bCs/>
          <w:szCs w:val="24"/>
          <w:u w:color="FF0000"/>
        </w:rPr>
        <w:t>On October 2, 2014, t</w:t>
      </w:r>
      <w:r w:rsidRPr="00A97A28">
        <w:rPr>
          <w:b w:val="0"/>
          <w:bCs/>
          <w:szCs w:val="24"/>
          <w:u w:color="FF0000"/>
        </w:rPr>
        <w:t xml:space="preserve">he Petitioners </w:t>
      </w:r>
      <w:r>
        <w:rPr>
          <w:b w:val="0"/>
          <w:bCs/>
          <w:szCs w:val="24"/>
          <w:u w:color="FF0000"/>
        </w:rPr>
        <w:t xml:space="preserve">filed an </w:t>
      </w:r>
      <w:r w:rsidR="000C434F">
        <w:rPr>
          <w:b w:val="0"/>
          <w:bCs/>
          <w:szCs w:val="24"/>
          <w:u w:color="FF0000"/>
        </w:rPr>
        <w:t xml:space="preserve">assented to Motion to amend the PFT </w:t>
      </w:r>
      <w:r w:rsidR="004B5C78">
        <w:rPr>
          <w:b w:val="0"/>
          <w:bCs/>
          <w:szCs w:val="24"/>
          <w:u w:color="FF0000"/>
        </w:rPr>
        <w:t xml:space="preserve">filing </w:t>
      </w:r>
      <w:r w:rsidR="000C434F">
        <w:rPr>
          <w:b w:val="0"/>
          <w:bCs/>
          <w:szCs w:val="24"/>
          <w:u w:color="FF0000"/>
        </w:rPr>
        <w:t xml:space="preserve">and Hearing schedule </w:t>
      </w:r>
      <w:r>
        <w:rPr>
          <w:b w:val="0"/>
          <w:bCs/>
          <w:szCs w:val="24"/>
          <w:u w:color="FF0000"/>
        </w:rPr>
        <w:t xml:space="preserve">that I </w:t>
      </w:r>
      <w:r w:rsidR="000C434F">
        <w:rPr>
          <w:b w:val="0"/>
          <w:bCs/>
          <w:szCs w:val="24"/>
          <w:u w:color="FF0000"/>
        </w:rPr>
        <w:t xml:space="preserve">had </w:t>
      </w:r>
      <w:r>
        <w:rPr>
          <w:b w:val="0"/>
          <w:bCs/>
          <w:szCs w:val="24"/>
          <w:u w:color="FF0000"/>
        </w:rPr>
        <w:t xml:space="preserve">established at the September 17, 2014 </w:t>
      </w:r>
      <w:r w:rsidR="000C434F">
        <w:rPr>
          <w:b w:val="0"/>
          <w:bCs/>
          <w:szCs w:val="24"/>
          <w:u w:color="FF0000"/>
        </w:rPr>
        <w:t xml:space="preserve">PHC </w:t>
      </w:r>
      <w:r>
        <w:rPr>
          <w:b w:val="0"/>
          <w:bCs/>
          <w:szCs w:val="24"/>
          <w:u w:color="FF0000"/>
        </w:rPr>
        <w:t xml:space="preserve">because they had purportedly reached a settlement in principle with the </w:t>
      </w:r>
      <w:proofErr w:type="spellStart"/>
      <w:r>
        <w:rPr>
          <w:b w:val="0"/>
          <w:bCs/>
          <w:szCs w:val="24"/>
          <w:u w:color="FF0000"/>
        </w:rPr>
        <w:t>Pengs</w:t>
      </w:r>
      <w:proofErr w:type="spellEnd"/>
      <w:r>
        <w:rPr>
          <w:b w:val="0"/>
          <w:bCs/>
          <w:szCs w:val="24"/>
          <w:u w:color="FF0000"/>
        </w:rPr>
        <w:t xml:space="preserve">, whereby the </w:t>
      </w:r>
      <w:proofErr w:type="spellStart"/>
      <w:r>
        <w:rPr>
          <w:b w:val="0"/>
          <w:bCs/>
          <w:szCs w:val="24"/>
          <w:u w:color="FF0000"/>
        </w:rPr>
        <w:t>Pengs</w:t>
      </w:r>
      <w:proofErr w:type="spellEnd"/>
      <w:r>
        <w:rPr>
          <w:b w:val="0"/>
          <w:bCs/>
          <w:szCs w:val="24"/>
          <w:u w:color="FF0000"/>
        </w:rPr>
        <w:t xml:space="preserve"> would purchase the Property from the Petitioners.  Order Granting Petitioners’ Assented to Motion to Amend Litigation Schedule, October 30, 2014 (“October 2014 Order”).  </w:t>
      </w:r>
      <w:r>
        <w:rPr>
          <w:b w:val="0"/>
          <w:szCs w:val="24"/>
          <w:u w:color="FF0000"/>
        </w:rPr>
        <w:t xml:space="preserve">The Petitioners represented that they and the </w:t>
      </w:r>
      <w:proofErr w:type="spellStart"/>
      <w:r>
        <w:rPr>
          <w:b w:val="0"/>
          <w:szCs w:val="24"/>
          <w:u w:color="FF0000"/>
        </w:rPr>
        <w:t>Pengs</w:t>
      </w:r>
      <w:proofErr w:type="spellEnd"/>
      <w:r>
        <w:rPr>
          <w:b w:val="0"/>
          <w:szCs w:val="24"/>
          <w:u w:color="FF0000"/>
        </w:rPr>
        <w:t xml:space="preserve"> were in the process of negotiating a purchase and sale agreement for the Property and hoped to finalize their settlement agreement in the near future.  </w:t>
      </w:r>
      <w:r w:rsidRPr="00474D06">
        <w:rPr>
          <w:b w:val="0"/>
          <w:szCs w:val="24"/>
          <w:u w:val="single"/>
        </w:rPr>
        <w:t>Id</w:t>
      </w:r>
      <w:r>
        <w:rPr>
          <w:b w:val="0"/>
          <w:szCs w:val="24"/>
          <w:u w:color="FF0000"/>
        </w:rPr>
        <w:t xml:space="preserve">.  </w:t>
      </w:r>
    </w:p>
    <w:p w:rsidR="004B5C78" w:rsidRDefault="000C434F" w:rsidP="004B5C78">
      <w:pPr>
        <w:pStyle w:val="Title"/>
        <w:spacing w:line="480" w:lineRule="auto"/>
        <w:ind w:firstLine="720"/>
        <w:jc w:val="left"/>
        <w:rPr>
          <w:b w:val="0"/>
        </w:rPr>
      </w:pPr>
      <w:r>
        <w:rPr>
          <w:b w:val="0"/>
          <w:szCs w:val="24"/>
          <w:u w:color="FF0000"/>
        </w:rPr>
        <w:t xml:space="preserve">I granted the Petitioners’ assented to Motion and issued an Amended </w:t>
      </w:r>
      <w:r w:rsidR="004B5C78">
        <w:rPr>
          <w:b w:val="0"/>
          <w:szCs w:val="24"/>
          <w:u w:color="FF0000"/>
        </w:rPr>
        <w:t xml:space="preserve">PFT filing and Hearing schedule that re-scheduled the Hearing from </w:t>
      </w:r>
      <w:r w:rsidR="004B5C78" w:rsidRPr="00474D06">
        <w:rPr>
          <w:b w:val="0"/>
        </w:rPr>
        <w:t>January 21, 2015</w:t>
      </w:r>
      <w:r w:rsidR="004B5C78">
        <w:rPr>
          <w:b w:val="0"/>
        </w:rPr>
        <w:t xml:space="preserve"> to February 18, 2015, and established the parties’ respective PFT filing deadlines as follows:</w:t>
      </w:r>
    </w:p>
    <w:p w:rsidR="004B5C78" w:rsidRDefault="004B5C78" w:rsidP="004B5C78">
      <w:pPr>
        <w:pStyle w:val="BodyTextIndent"/>
        <w:ind w:left="720"/>
        <w:rPr>
          <w:sz w:val="24"/>
        </w:rPr>
      </w:pPr>
      <w:r>
        <w:rPr>
          <w:sz w:val="24"/>
        </w:rPr>
        <w:t>(1)</w:t>
      </w:r>
      <w:r>
        <w:rPr>
          <w:sz w:val="24"/>
        </w:rPr>
        <w:tab/>
      </w:r>
      <w:r w:rsidRPr="00A97A28">
        <w:rPr>
          <w:sz w:val="24"/>
        </w:rPr>
        <w:t>Petitioners</w:t>
      </w:r>
      <w:r>
        <w:rPr>
          <w:sz w:val="24"/>
        </w:rPr>
        <w:t>:</w:t>
      </w:r>
      <w:r>
        <w:rPr>
          <w:sz w:val="24"/>
        </w:rPr>
        <w:tab/>
      </w:r>
      <w:r w:rsidRPr="00410168">
        <w:rPr>
          <w:sz w:val="24"/>
        </w:rPr>
        <w:t>November 10, 2014</w:t>
      </w:r>
      <w:r w:rsidRPr="00410168">
        <w:rPr>
          <w:rStyle w:val="FootnoteReference"/>
          <w:sz w:val="24"/>
        </w:rPr>
        <w:footnoteReference w:id="4"/>
      </w:r>
      <w:r w:rsidRPr="00410168">
        <w:rPr>
          <w:sz w:val="24"/>
        </w:rPr>
        <w:t>;</w:t>
      </w:r>
    </w:p>
    <w:p w:rsidR="004B5C78" w:rsidRDefault="004B5C78" w:rsidP="004B5C78">
      <w:pPr>
        <w:pStyle w:val="BodyTextIndent"/>
        <w:ind w:left="720"/>
        <w:rPr>
          <w:sz w:val="24"/>
        </w:rPr>
      </w:pPr>
    </w:p>
    <w:p w:rsidR="004B5C78" w:rsidRDefault="004B5C78" w:rsidP="004B5C78">
      <w:pPr>
        <w:pStyle w:val="BodyTextIndent"/>
        <w:ind w:left="720"/>
        <w:rPr>
          <w:sz w:val="24"/>
        </w:rPr>
      </w:pPr>
      <w:r>
        <w:rPr>
          <w:sz w:val="24"/>
        </w:rPr>
        <w:t>(2)</w:t>
      </w:r>
      <w:r>
        <w:rPr>
          <w:sz w:val="24"/>
        </w:rPr>
        <w:tab/>
      </w:r>
      <w:proofErr w:type="spellStart"/>
      <w:r w:rsidRPr="00410168">
        <w:rPr>
          <w:sz w:val="24"/>
        </w:rPr>
        <w:t>Pengs</w:t>
      </w:r>
      <w:proofErr w:type="spellEnd"/>
      <w:r>
        <w:rPr>
          <w:sz w:val="24"/>
        </w:rPr>
        <w:t>:</w:t>
      </w:r>
      <w:r>
        <w:rPr>
          <w:sz w:val="24"/>
        </w:rPr>
        <w:tab/>
      </w:r>
      <w:r>
        <w:rPr>
          <w:sz w:val="24"/>
        </w:rPr>
        <w:tab/>
      </w:r>
      <w:r w:rsidRPr="00410168">
        <w:rPr>
          <w:sz w:val="24"/>
        </w:rPr>
        <w:t>December 8, 2014;</w:t>
      </w:r>
      <w:r>
        <w:rPr>
          <w:sz w:val="24"/>
        </w:rPr>
        <w:t xml:space="preserve"> and</w:t>
      </w:r>
    </w:p>
    <w:p w:rsidR="004B5C78" w:rsidRDefault="004B5C78" w:rsidP="004B5C78">
      <w:pPr>
        <w:pStyle w:val="BodyTextIndent"/>
        <w:ind w:left="720"/>
        <w:rPr>
          <w:sz w:val="24"/>
        </w:rPr>
      </w:pPr>
    </w:p>
    <w:p w:rsidR="004B5C78" w:rsidRDefault="004B5C78" w:rsidP="004B5C78">
      <w:pPr>
        <w:pStyle w:val="BodyTextIndent"/>
        <w:ind w:left="720"/>
        <w:rPr>
          <w:b/>
          <w:sz w:val="24"/>
        </w:rPr>
      </w:pPr>
      <w:r>
        <w:rPr>
          <w:sz w:val="24"/>
        </w:rPr>
        <w:t>(3)</w:t>
      </w:r>
      <w:r>
        <w:rPr>
          <w:sz w:val="24"/>
        </w:rPr>
        <w:tab/>
        <w:t>Department:</w:t>
      </w:r>
      <w:r>
        <w:rPr>
          <w:sz w:val="24"/>
        </w:rPr>
        <w:tab/>
      </w:r>
      <w:r w:rsidRPr="00410168">
        <w:rPr>
          <w:sz w:val="24"/>
        </w:rPr>
        <w:t>January 5, 2015</w:t>
      </w:r>
      <w:r>
        <w:rPr>
          <w:b/>
          <w:sz w:val="24"/>
        </w:rPr>
        <w:t xml:space="preserve">. </w:t>
      </w:r>
    </w:p>
    <w:p w:rsidR="009A405D" w:rsidRDefault="009A405D" w:rsidP="004B5C78">
      <w:pPr>
        <w:pStyle w:val="BodyTextIndent"/>
        <w:ind w:left="720"/>
        <w:rPr>
          <w:b/>
          <w:sz w:val="24"/>
        </w:rPr>
      </w:pPr>
    </w:p>
    <w:p w:rsidR="00474D06" w:rsidRDefault="009A405D" w:rsidP="00474D06">
      <w:pPr>
        <w:pStyle w:val="Title"/>
        <w:spacing w:line="480" w:lineRule="auto"/>
        <w:jc w:val="left"/>
        <w:rPr>
          <w:b w:val="0"/>
          <w:szCs w:val="24"/>
          <w:u w:color="FF0000"/>
        </w:rPr>
      </w:pPr>
      <w:r>
        <w:rPr>
          <w:b w:val="0"/>
          <w:szCs w:val="24"/>
          <w:u w:color="FF0000"/>
        </w:rPr>
        <w:t xml:space="preserve">October 2014 Order, </w:t>
      </w:r>
      <w:r w:rsidR="00474D06">
        <w:rPr>
          <w:b w:val="0"/>
          <w:szCs w:val="24"/>
          <w:u w:color="FF0000"/>
        </w:rPr>
        <w:t xml:space="preserve">at pp. 2-4.  </w:t>
      </w:r>
    </w:p>
    <w:p w:rsidR="00EF2D8C" w:rsidRDefault="00410168" w:rsidP="00474D06">
      <w:pPr>
        <w:pStyle w:val="Title"/>
        <w:spacing w:line="480" w:lineRule="auto"/>
        <w:jc w:val="left"/>
        <w:rPr>
          <w:b w:val="0"/>
          <w:szCs w:val="24"/>
          <w:u w:color="FF0000"/>
        </w:rPr>
      </w:pPr>
      <w:r>
        <w:rPr>
          <w:b w:val="0"/>
          <w:szCs w:val="24"/>
          <w:u w:color="FF0000"/>
        </w:rPr>
        <w:tab/>
        <w:t>To date, nearly 30 days after expiration of their November 10</w:t>
      </w:r>
      <w:r w:rsidRPr="00410168">
        <w:rPr>
          <w:b w:val="0"/>
          <w:szCs w:val="24"/>
          <w:u w:color="FF0000"/>
          <w:vertAlign w:val="superscript"/>
        </w:rPr>
        <w:t>th</w:t>
      </w:r>
      <w:r>
        <w:rPr>
          <w:b w:val="0"/>
          <w:szCs w:val="24"/>
          <w:u w:color="FF0000"/>
        </w:rPr>
        <w:t xml:space="preserve"> deadline to file the PFT of their witnesses, the Petitioners have not filed the PFT of their witnesses nor sought an extension </w:t>
      </w:r>
      <w:r>
        <w:rPr>
          <w:b w:val="0"/>
          <w:szCs w:val="24"/>
          <w:u w:color="FF0000"/>
        </w:rPr>
        <w:lastRenderedPageBreak/>
        <w:t xml:space="preserve">of the deadline.  The Department has moved to dismiss the Petitioners’ appeal for failure to file the PFT of their witnesses.  </w:t>
      </w:r>
      <w:r w:rsidR="00EF2D8C">
        <w:rPr>
          <w:b w:val="0"/>
          <w:szCs w:val="24"/>
          <w:u w:color="FF0000"/>
        </w:rPr>
        <w:t xml:space="preserve">The seven (7) business day period </w:t>
      </w:r>
      <w:r w:rsidR="000C434F">
        <w:rPr>
          <w:b w:val="0"/>
          <w:szCs w:val="24"/>
          <w:u w:color="FF0000"/>
        </w:rPr>
        <w:t>under 310 CMR 1.01(11</w:t>
      </w:r>
      <w:proofErr w:type="gramStart"/>
      <w:r w:rsidR="000C434F">
        <w:rPr>
          <w:b w:val="0"/>
          <w:szCs w:val="24"/>
          <w:u w:color="FF0000"/>
        </w:rPr>
        <w:t>)(</w:t>
      </w:r>
      <w:proofErr w:type="gramEnd"/>
      <w:r w:rsidR="00EE51D0">
        <w:rPr>
          <w:b w:val="0"/>
          <w:szCs w:val="24"/>
          <w:u w:color="FF0000"/>
        </w:rPr>
        <w:t xml:space="preserve">a) </w:t>
      </w:r>
      <w:r w:rsidR="00EF2D8C">
        <w:rPr>
          <w:b w:val="0"/>
          <w:szCs w:val="24"/>
          <w:u w:color="FF0000"/>
        </w:rPr>
        <w:t>for the Petitioners to respond to the motion has expired and they have not responded to the motion.</w:t>
      </w:r>
    </w:p>
    <w:p w:rsidR="00F80853" w:rsidRPr="00F80853" w:rsidRDefault="00F80853" w:rsidP="00F80853">
      <w:pPr>
        <w:spacing w:line="480" w:lineRule="auto"/>
        <w:ind w:firstLine="720"/>
        <w:rPr>
          <w:b/>
        </w:rPr>
      </w:pPr>
      <w:r w:rsidRPr="00F80853">
        <w:t>Under 310 CMR 1.01(12</w:t>
      </w:r>
      <w:proofErr w:type="gramStart"/>
      <w:r w:rsidRPr="00F80853">
        <w:t>)(</w:t>
      </w:r>
      <w:proofErr w:type="gramEnd"/>
      <w:r w:rsidRPr="00F80853">
        <w:t>f), a party’s “[f]</w:t>
      </w:r>
      <w:proofErr w:type="spellStart"/>
      <w:r w:rsidRPr="00F80853">
        <w:t>ailure</w:t>
      </w:r>
      <w:proofErr w:type="spellEnd"/>
      <w:r w:rsidRPr="00F80853">
        <w:t xml:space="preserve"> to file pre-filed direct testimony within</w:t>
      </w:r>
    </w:p>
    <w:p w:rsidR="00F80853" w:rsidRDefault="00F80853" w:rsidP="00F80853">
      <w:pPr>
        <w:pStyle w:val="BodyTextIndent"/>
        <w:spacing w:line="480" w:lineRule="auto"/>
        <w:ind w:firstLine="0"/>
        <w:rPr>
          <w:sz w:val="24"/>
        </w:rPr>
      </w:pPr>
      <w:proofErr w:type="gramStart"/>
      <w:r w:rsidRPr="00F80853">
        <w:rPr>
          <w:sz w:val="24"/>
        </w:rPr>
        <w:t>the</w:t>
      </w:r>
      <w:proofErr w:type="gramEnd"/>
      <w:r w:rsidRPr="00F80853">
        <w:rPr>
          <w:sz w:val="24"/>
        </w:rPr>
        <w:t xml:space="preserve"> established time, without good cause shown, [will] result in summary dismissal of the party and the appeal if the party being summarily dismissed is the petitioner.”  </w:t>
      </w:r>
      <w:r w:rsidRPr="00F80853">
        <w:rPr>
          <w:sz w:val="24"/>
          <w:u w:val="single"/>
        </w:rPr>
        <w:t xml:space="preserve">In the Matter of </w:t>
      </w:r>
      <w:proofErr w:type="spellStart"/>
      <w:r w:rsidRPr="00F80853">
        <w:rPr>
          <w:sz w:val="24"/>
          <w:u w:val="single"/>
        </w:rPr>
        <w:t>Autobody</w:t>
      </w:r>
      <w:proofErr w:type="spellEnd"/>
      <w:r w:rsidRPr="00F80853">
        <w:rPr>
          <w:sz w:val="24"/>
          <w:u w:val="single"/>
        </w:rPr>
        <w:t xml:space="preserve"> Solvent Recovery Corp.</w:t>
      </w:r>
      <w:r w:rsidRPr="00F80853">
        <w:rPr>
          <w:sz w:val="24"/>
        </w:rPr>
        <w:t xml:space="preserve">, OADR Docket No. 2013-046, Recommended Final Decision (May 29, 2014), 2014 MA ENV LEXIS 39, at 8, adopted as Final Decision (June 2, 2014), 2014 MA ENV LEXIS 41; </w:t>
      </w:r>
      <w:r w:rsidRPr="00F80853">
        <w:rPr>
          <w:sz w:val="24"/>
          <w:u w:val="single"/>
        </w:rPr>
        <w:t xml:space="preserve">In the Matter of Stephen W. </w:t>
      </w:r>
      <w:proofErr w:type="spellStart"/>
      <w:r w:rsidRPr="00F80853">
        <w:rPr>
          <w:sz w:val="24"/>
          <w:u w:val="single"/>
        </w:rPr>
        <w:t>Seney</w:t>
      </w:r>
      <w:proofErr w:type="spellEnd"/>
      <w:r w:rsidRPr="00F80853">
        <w:rPr>
          <w:sz w:val="24"/>
        </w:rPr>
        <w:t xml:space="preserve">, OADR Docket No. 2012-019, Recommended Final Decision (March 25, 2013), 2013 MA ENV LEXIS 27, at 19, adopted as Final Decision (April 2, 2013), 2013 MA ENV LEXIS 26.  Indeed, “a petitioner’s failure to file written direct testimony is a serious default,” and “the equivalent of failing to appear at a [judicial proceeding] where the testimony is to be presented live.”  </w:t>
      </w:r>
      <w:r w:rsidRPr="00F80853">
        <w:rPr>
          <w:sz w:val="24"/>
          <w:u w:val="single"/>
        </w:rPr>
        <w:t>Id</w:t>
      </w:r>
      <w:r w:rsidRPr="00F80853">
        <w:rPr>
          <w:sz w:val="24"/>
        </w:rPr>
        <w:t xml:space="preserve">., </w:t>
      </w:r>
      <w:r w:rsidRPr="00F80853">
        <w:rPr>
          <w:sz w:val="24"/>
          <w:u w:val="single"/>
        </w:rPr>
        <w:t>citing</w:t>
      </w:r>
      <w:r w:rsidRPr="00F80853">
        <w:rPr>
          <w:sz w:val="24"/>
        </w:rPr>
        <w:t xml:space="preserve"> </w:t>
      </w:r>
      <w:r w:rsidRPr="00F80853">
        <w:rPr>
          <w:sz w:val="24"/>
          <w:u w:val="single"/>
        </w:rPr>
        <w:t>In the Matter of Gerry Graves</w:t>
      </w:r>
      <w:r w:rsidRPr="00F80853">
        <w:rPr>
          <w:sz w:val="24"/>
        </w:rPr>
        <w:t xml:space="preserve">, OADR Docket No. 2007-149, Recommended Final Decision, 2007 MA ENV LEXIS 66, at pp. 2-3 (November 26, 2007), adopted as Final Decision (February 22, 2008).  Under 310 CMR 1.01(10) a party’s failure to file proper Direct Examination or Rebuttal Testimony is subject to sanctions for “failure to file documents as required, . . . comply with orders issued and schedules established in orders[,] . . . [or] comply with any of the requirements set forth in 310 CMR 1.01.”  </w:t>
      </w:r>
      <w:proofErr w:type="spellStart"/>
      <w:r w:rsidRPr="00F80853">
        <w:rPr>
          <w:sz w:val="24"/>
          <w:u w:val="single"/>
        </w:rPr>
        <w:t>Autobody</w:t>
      </w:r>
      <w:proofErr w:type="spellEnd"/>
      <w:r w:rsidRPr="00F80853">
        <w:rPr>
          <w:sz w:val="24"/>
        </w:rPr>
        <w:t xml:space="preserve">, </w:t>
      </w:r>
      <w:r w:rsidRPr="00F80853">
        <w:rPr>
          <w:sz w:val="24"/>
          <w:u w:val="single"/>
        </w:rPr>
        <w:t>supra</w:t>
      </w:r>
      <w:r w:rsidRPr="00F80853">
        <w:rPr>
          <w:sz w:val="24"/>
        </w:rPr>
        <w:t>, 2014 MA ENV LEXIS 39, at 8-9.  Under 310 CMR 1.01(10), the Presiding Officer may “</w:t>
      </w:r>
      <w:proofErr w:type="spellStart"/>
      <w:r w:rsidRPr="00F80853">
        <w:rPr>
          <w:sz w:val="24"/>
        </w:rPr>
        <w:t>issu</w:t>
      </w:r>
      <w:proofErr w:type="spellEnd"/>
      <w:r w:rsidRPr="00F80853">
        <w:rPr>
          <w:sz w:val="24"/>
        </w:rPr>
        <w:t xml:space="preserve">[e] a final decision against the party being sanctioned, including dismissal of the appeal if the party is the petitioner.”  </w:t>
      </w:r>
      <w:r w:rsidRPr="00F80853">
        <w:rPr>
          <w:sz w:val="24"/>
          <w:u w:val="single"/>
        </w:rPr>
        <w:t>Id</w:t>
      </w:r>
      <w:r w:rsidRPr="00F80853">
        <w:rPr>
          <w:sz w:val="24"/>
        </w:rPr>
        <w:t>.</w:t>
      </w:r>
    </w:p>
    <w:p w:rsidR="0041171C" w:rsidRPr="00F80853" w:rsidRDefault="0041171C" w:rsidP="00F80853">
      <w:pPr>
        <w:pStyle w:val="BodyTextIndent"/>
        <w:spacing w:line="480" w:lineRule="auto"/>
        <w:ind w:firstLine="0"/>
        <w:rPr>
          <w:sz w:val="24"/>
        </w:rPr>
      </w:pPr>
      <w:r>
        <w:rPr>
          <w:sz w:val="24"/>
        </w:rPr>
        <w:tab/>
      </w:r>
      <w:r w:rsidRPr="00D43F06">
        <w:rPr>
          <w:sz w:val="24"/>
        </w:rPr>
        <w:t>Here, as discussed above</w:t>
      </w:r>
      <w:r>
        <w:rPr>
          <w:sz w:val="24"/>
        </w:rPr>
        <w:t xml:space="preserve">, the Petitioners’ initial deadline </w:t>
      </w:r>
      <w:r w:rsidRPr="00D43F06">
        <w:rPr>
          <w:sz w:val="24"/>
        </w:rPr>
        <w:t xml:space="preserve">to file the PFT of </w:t>
      </w:r>
      <w:r>
        <w:rPr>
          <w:sz w:val="24"/>
        </w:rPr>
        <w:t>their</w:t>
      </w:r>
    </w:p>
    <w:p w:rsidR="00F80853" w:rsidRPr="00D43F06" w:rsidRDefault="00F80853" w:rsidP="0041171C">
      <w:pPr>
        <w:pStyle w:val="FootnoteText"/>
        <w:spacing w:line="480" w:lineRule="auto"/>
        <w:rPr>
          <w:sz w:val="24"/>
          <w:szCs w:val="24"/>
        </w:rPr>
      </w:pPr>
      <w:proofErr w:type="gramStart"/>
      <w:r w:rsidRPr="00D43F06">
        <w:rPr>
          <w:sz w:val="24"/>
          <w:szCs w:val="24"/>
        </w:rPr>
        <w:lastRenderedPageBreak/>
        <w:t>witnesses</w:t>
      </w:r>
      <w:proofErr w:type="gramEnd"/>
      <w:r w:rsidRPr="00D43F06">
        <w:rPr>
          <w:sz w:val="24"/>
          <w:szCs w:val="24"/>
        </w:rPr>
        <w:t xml:space="preserve"> </w:t>
      </w:r>
      <w:r>
        <w:rPr>
          <w:sz w:val="24"/>
          <w:szCs w:val="24"/>
        </w:rPr>
        <w:t xml:space="preserve">was October 15, 2014 and </w:t>
      </w:r>
      <w:r w:rsidR="0041171C">
        <w:rPr>
          <w:sz w:val="24"/>
          <w:szCs w:val="24"/>
        </w:rPr>
        <w:t xml:space="preserve">the </w:t>
      </w:r>
      <w:r>
        <w:rPr>
          <w:sz w:val="24"/>
          <w:szCs w:val="24"/>
        </w:rPr>
        <w:t xml:space="preserve">deadline was later extended per their request to November 10, 2014.  </w:t>
      </w:r>
      <w:r w:rsidRPr="00D43F06">
        <w:rPr>
          <w:sz w:val="24"/>
          <w:szCs w:val="24"/>
        </w:rPr>
        <w:t xml:space="preserve">It is undisputable that </w:t>
      </w:r>
      <w:r>
        <w:rPr>
          <w:sz w:val="24"/>
          <w:szCs w:val="24"/>
        </w:rPr>
        <w:t>the Petitioners h</w:t>
      </w:r>
      <w:r w:rsidRPr="00D43F06">
        <w:rPr>
          <w:sz w:val="24"/>
          <w:szCs w:val="24"/>
        </w:rPr>
        <w:t>a</w:t>
      </w:r>
      <w:r>
        <w:rPr>
          <w:sz w:val="24"/>
          <w:szCs w:val="24"/>
        </w:rPr>
        <w:t xml:space="preserve">ve </w:t>
      </w:r>
      <w:r w:rsidRPr="00D43F06">
        <w:rPr>
          <w:sz w:val="24"/>
          <w:szCs w:val="24"/>
        </w:rPr>
        <w:t xml:space="preserve">not filed the PFT of any witnesses in support of </w:t>
      </w:r>
      <w:r>
        <w:rPr>
          <w:sz w:val="24"/>
          <w:szCs w:val="24"/>
        </w:rPr>
        <w:t xml:space="preserve">their </w:t>
      </w:r>
      <w:r w:rsidRPr="00D43F06">
        <w:rPr>
          <w:sz w:val="24"/>
          <w:szCs w:val="24"/>
        </w:rPr>
        <w:t>claims in the case</w:t>
      </w:r>
      <w:r w:rsidR="000B48D2">
        <w:rPr>
          <w:sz w:val="24"/>
          <w:szCs w:val="24"/>
        </w:rPr>
        <w:t xml:space="preserve"> and have offered no explanation for their failure to file the PFT</w:t>
      </w:r>
      <w:r w:rsidRPr="00D43F06">
        <w:rPr>
          <w:sz w:val="24"/>
          <w:szCs w:val="24"/>
        </w:rPr>
        <w:t xml:space="preserve">.  </w:t>
      </w:r>
    </w:p>
    <w:p w:rsidR="000B48D2" w:rsidRDefault="00F80853" w:rsidP="005D7331">
      <w:pPr>
        <w:pStyle w:val="FootnoteText"/>
        <w:spacing w:line="480" w:lineRule="auto"/>
        <w:ind w:firstLine="720"/>
        <w:rPr>
          <w:sz w:val="24"/>
          <w:szCs w:val="24"/>
        </w:rPr>
      </w:pPr>
      <w:r w:rsidRPr="00816EC4">
        <w:rPr>
          <w:sz w:val="24"/>
          <w:szCs w:val="24"/>
        </w:rPr>
        <w:t xml:space="preserve">In sum, </w:t>
      </w:r>
      <w:r w:rsidR="000B48D2">
        <w:rPr>
          <w:sz w:val="24"/>
          <w:szCs w:val="24"/>
        </w:rPr>
        <w:t xml:space="preserve">I recommend that the Department’s Commissioner issue </w:t>
      </w:r>
      <w:r w:rsidR="007D1BCC">
        <w:rPr>
          <w:sz w:val="24"/>
          <w:szCs w:val="24"/>
        </w:rPr>
        <w:t xml:space="preserve">a </w:t>
      </w:r>
      <w:r w:rsidR="000B48D2">
        <w:rPr>
          <w:sz w:val="24"/>
          <w:szCs w:val="24"/>
        </w:rPr>
        <w:t xml:space="preserve">Final Decision </w:t>
      </w:r>
      <w:r w:rsidRPr="00816EC4">
        <w:rPr>
          <w:sz w:val="24"/>
          <w:szCs w:val="24"/>
        </w:rPr>
        <w:t>dismiss</w:t>
      </w:r>
      <w:r w:rsidR="000B48D2">
        <w:rPr>
          <w:sz w:val="24"/>
          <w:szCs w:val="24"/>
        </w:rPr>
        <w:t xml:space="preserve">ing </w:t>
      </w:r>
      <w:r>
        <w:rPr>
          <w:sz w:val="24"/>
          <w:szCs w:val="24"/>
        </w:rPr>
        <w:t xml:space="preserve">the Petitioners’ </w:t>
      </w:r>
      <w:r w:rsidRPr="00816EC4">
        <w:rPr>
          <w:sz w:val="24"/>
          <w:szCs w:val="24"/>
        </w:rPr>
        <w:t>appeal</w:t>
      </w:r>
      <w:r>
        <w:rPr>
          <w:sz w:val="24"/>
          <w:szCs w:val="24"/>
        </w:rPr>
        <w:t xml:space="preserve"> </w:t>
      </w:r>
      <w:r w:rsidRPr="00816EC4">
        <w:rPr>
          <w:sz w:val="24"/>
          <w:szCs w:val="24"/>
        </w:rPr>
        <w:t>and affirm</w:t>
      </w:r>
      <w:r w:rsidR="000B48D2">
        <w:rPr>
          <w:sz w:val="24"/>
          <w:szCs w:val="24"/>
        </w:rPr>
        <w:t xml:space="preserve">ing </w:t>
      </w:r>
      <w:r w:rsidRPr="00816EC4">
        <w:rPr>
          <w:sz w:val="24"/>
          <w:szCs w:val="24"/>
        </w:rPr>
        <w:t xml:space="preserve">the </w:t>
      </w:r>
      <w:r>
        <w:rPr>
          <w:sz w:val="24"/>
          <w:szCs w:val="24"/>
        </w:rPr>
        <w:t xml:space="preserve">SOC </w:t>
      </w:r>
      <w:r w:rsidRPr="00816EC4">
        <w:rPr>
          <w:sz w:val="24"/>
          <w:szCs w:val="24"/>
        </w:rPr>
        <w:t xml:space="preserve">due to </w:t>
      </w:r>
      <w:r>
        <w:rPr>
          <w:sz w:val="24"/>
          <w:szCs w:val="24"/>
        </w:rPr>
        <w:t>the</w:t>
      </w:r>
      <w:r w:rsidR="000B48D2">
        <w:rPr>
          <w:sz w:val="24"/>
          <w:szCs w:val="24"/>
        </w:rPr>
        <w:t xml:space="preserve"> Petitioners’ </w:t>
      </w:r>
      <w:r>
        <w:rPr>
          <w:sz w:val="24"/>
          <w:szCs w:val="24"/>
        </w:rPr>
        <w:t>u</w:t>
      </w:r>
      <w:r w:rsidRPr="00816EC4">
        <w:rPr>
          <w:sz w:val="24"/>
          <w:szCs w:val="24"/>
        </w:rPr>
        <w:t xml:space="preserve">nexcused failure to file the PFT of witnesses supporting </w:t>
      </w:r>
      <w:r>
        <w:rPr>
          <w:sz w:val="24"/>
          <w:szCs w:val="24"/>
        </w:rPr>
        <w:t xml:space="preserve">their </w:t>
      </w:r>
      <w:r w:rsidRPr="00816EC4">
        <w:rPr>
          <w:sz w:val="24"/>
          <w:szCs w:val="24"/>
        </w:rPr>
        <w:t>claims</w:t>
      </w:r>
      <w:r w:rsidR="000B48D2">
        <w:rPr>
          <w:sz w:val="24"/>
          <w:szCs w:val="24"/>
        </w:rPr>
        <w:t>.</w:t>
      </w:r>
    </w:p>
    <w:p w:rsidR="005D7331" w:rsidRPr="00C420BA" w:rsidRDefault="005D7331" w:rsidP="005D7331">
      <w:pPr>
        <w:contextualSpacing/>
        <w:jc w:val="center"/>
        <w:rPr>
          <w:b/>
          <w:u w:val="single"/>
        </w:rPr>
      </w:pPr>
      <w:r w:rsidRPr="00C420BA">
        <w:rPr>
          <w:b/>
          <w:u w:val="single"/>
        </w:rPr>
        <w:t>NOTICE-RECOMMENDED FINAL DECISION</w:t>
      </w:r>
    </w:p>
    <w:p w:rsidR="005D7331" w:rsidRPr="00C420BA" w:rsidRDefault="005D7331" w:rsidP="005D7331">
      <w:pPr>
        <w:contextualSpacing/>
        <w:jc w:val="center"/>
      </w:pPr>
    </w:p>
    <w:p w:rsidR="005D7331" w:rsidRPr="00C420BA" w:rsidRDefault="005D7331" w:rsidP="005D7331">
      <w:pPr>
        <w:pStyle w:val="BodyTextIndent2"/>
        <w:ind w:left="0"/>
        <w:contextualSpacing/>
        <w:rPr>
          <w:szCs w:val="24"/>
          <w:u w:val="single"/>
        </w:rPr>
      </w:pPr>
      <w:r w:rsidRPr="00C420BA">
        <w:rPr>
          <w:szCs w:val="24"/>
        </w:rPr>
        <w:t>This decision is a Recommended Final Decision of the Presiding Officer.  It has been transmi</w:t>
      </w:r>
      <w:r>
        <w:rPr>
          <w:szCs w:val="24"/>
        </w:rPr>
        <w:t>tted to the Commissioner for his</w:t>
      </w:r>
      <w:r w:rsidRPr="00C420BA">
        <w:rPr>
          <w:szCs w:val="24"/>
        </w:rPr>
        <w:t xml:space="preserve"> Final Decision in this matter.  This decision is therefore not a Final Decision subject to reconsideration under 310 CMR 1.01(14</w:t>
      </w:r>
      <w:proofErr w:type="gramStart"/>
      <w:r w:rsidRPr="00C420BA">
        <w:rPr>
          <w:szCs w:val="24"/>
        </w:rPr>
        <w:t>)(</w:t>
      </w:r>
      <w:proofErr w:type="gramEnd"/>
      <w:r w:rsidRPr="00C420BA">
        <w:rPr>
          <w:szCs w:val="24"/>
        </w:rPr>
        <w:t>d), and may not be appealed to Superior Court pursuant to G.L. c. 30A.  The Commissioner’s Final Decision is subject to rights of reconsideration and court appeal and will contain notice to that effect.  Once the Final Decision is issued “a party may file a motion for reconsideration setting forth specifically the grounds relied on to sustain the motion” if “a finding of fact or ruling of law on which a final decision is based is clearly erroneous.”  310 CMR 1.01(14</w:t>
      </w:r>
      <w:proofErr w:type="gramStart"/>
      <w:r w:rsidRPr="00C420BA">
        <w:rPr>
          <w:szCs w:val="24"/>
        </w:rPr>
        <w:t>)(</w:t>
      </w:r>
      <w:proofErr w:type="gramEnd"/>
      <w:r w:rsidRPr="00C420BA">
        <w:rPr>
          <w:szCs w:val="24"/>
        </w:rPr>
        <w:t xml:space="preserve">d).  “Where the motion repeats matters adequately considered in the final </w:t>
      </w:r>
      <w:proofErr w:type="gramStart"/>
      <w:r w:rsidRPr="00C420BA">
        <w:rPr>
          <w:szCs w:val="24"/>
        </w:rPr>
        <w:t>decision,</w:t>
      </w:r>
      <w:proofErr w:type="gramEnd"/>
      <w:r w:rsidRPr="00C420BA">
        <w:rPr>
          <w:szCs w:val="24"/>
        </w:rPr>
        <w:t xml:space="preserve"> renews claims or arguments that were previously raised, considered and denied, or where it attempts to raise new claims or arguments, it may be summarily denied. . . .  The filing of a motion for reconsideration is not required to exhaust administrative remedies.”  </w:t>
      </w:r>
      <w:smartTag w:uri="urn:schemas-microsoft-com:office:smarttags" w:element="place">
        <w:smartTag w:uri="urn:schemas-microsoft-com:office:smarttags" w:element="State">
          <w:r w:rsidRPr="00C420BA">
            <w:rPr>
              <w:szCs w:val="24"/>
              <w:u w:val="single"/>
            </w:rPr>
            <w:t>Id.</w:t>
          </w:r>
        </w:smartTag>
      </w:smartTag>
    </w:p>
    <w:p w:rsidR="005D7331" w:rsidRPr="00C420BA" w:rsidRDefault="005D7331" w:rsidP="005D7331">
      <w:pPr>
        <w:spacing w:line="480" w:lineRule="auto"/>
        <w:contextualSpacing/>
      </w:pPr>
      <w:r w:rsidRPr="00C420BA">
        <w:tab/>
        <w:t xml:space="preserve">Because this matter has now been transmitted to the Commissioner, no party shall file a motion to renew or reargue this Recommended Final Decision or any part of it, and no party </w:t>
      </w:r>
      <w:r w:rsidRPr="00C420BA">
        <w:lastRenderedPageBreak/>
        <w:t>shall communicate with the Commissioner’s office regarding this decision</w:t>
      </w:r>
      <w:r>
        <w:t xml:space="preserve"> unless the Commissioner, in his</w:t>
      </w:r>
      <w:r w:rsidRPr="00C420BA">
        <w:t xml:space="preserve"> sole discretion, directs otherwise.  </w:t>
      </w:r>
    </w:p>
    <w:p w:rsidR="005D7331" w:rsidRDefault="005D7331" w:rsidP="005D7331"/>
    <w:p w:rsidR="005D7331" w:rsidRDefault="005D7331" w:rsidP="005D7331"/>
    <w:p w:rsidR="00B86B83" w:rsidRPr="00A97A28" w:rsidRDefault="00B86B83" w:rsidP="005D7331">
      <w:r w:rsidRPr="00A97A28">
        <w:t>Date: __________</w:t>
      </w:r>
      <w:r w:rsidRPr="00A97A28">
        <w:tab/>
      </w:r>
      <w:r w:rsidRPr="00A97A28">
        <w:tab/>
      </w:r>
      <w:r w:rsidRPr="00A97A28">
        <w:tab/>
      </w:r>
      <w:r w:rsidRPr="00A97A28">
        <w:tab/>
      </w:r>
      <w:r w:rsidRPr="00A97A28">
        <w:tab/>
        <w:t>__________________________</w:t>
      </w:r>
    </w:p>
    <w:p w:rsidR="00B86B83" w:rsidRPr="00A97A28" w:rsidRDefault="00B86B83" w:rsidP="00B86B83">
      <w:pPr>
        <w:pStyle w:val="BodyTextIndent"/>
        <w:ind w:firstLine="0"/>
        <w:rPr>
          <w:sz w:val="24"/>
        </w:rPr>
      </w:pPr>
      <w:r w:rsidRPr="00A97A28">
        <w:rPr>
          <w:sz w:val="24"/>
        </w:rPr>
        <w:tab/>
      </w:r>
      <w:r w:rsidRPr="00A97A28">
        <w:rPr>
          <w:sz w:val="24"/>
        </w:rPr>
        <w:tab/>
      </w:r>
      <w:r w:rsidRPr="00A97A28">
        <w:rPr>
          <w:sz w:val="24"/>
        </w:rPr>
        <w:tab/>
      </w:r>
      <w:r w:rsidRPr="00A97A28">
        <w:rPr>
          <w:sz w:val="24"/>
        </w:rPr>
        <w:tab/>
      </w:r>
      <w:r w:rsidRPr="00A97A28">
        <w:rPr>
          <w:sz w:val="24"/>
        </w:rPr>
        <w:tab/>
      </w:r>
      <w:r w:rsidRPr="00A97A28">
        <w:rPr>
          <w:sz w:val="24"/>
        </w:rPr>
        <w:tab/>
      </w:r>
      <w:r w:rsidRPr="00A97A28">
        <w:rPr>
          <w:sz w:val="24"/>
        </w:rPr>
        <w:tab/>
        <w:t xml:space="preserve">Salvatore M. Giorlandino </w:t>
      </w:r>
    </w:p>
    <w:p w:rsidR="00B86B83" w:rsidRPr="00A97A28" w:rsidRDefault="00B86B83" w:rsidP="00B86B83">
      <w:pPr>
        <w:pStyle w:val="BodyTextIndent2"/>
        <w:ind w:left="4320"/>
        <w:rPr>
          <w:szCs w:val="24"/>
        </w:rPr>
      </w:pPr>
      <w:r w:rsidRPr="00A97A28">
        <w:rPr>
          <w:szCs w:val="24"/>
        </w:rPr>
        <w:t>Chief Presiding Officer</w:t>
      </w:r>
    </w:p>
    <w:p w:rsidR="005D7331" w:rsidRDefault="005D7331">
      <w:pPr>
        <w:spacing w:after="200" w:line="276" w:lineRule="auto"/>
        <w:rPr>
          <w:b/>
          <w:bCs/>
          <w:u w:val="single"/>
        </w:rPr>
      </w:pPr>
      <w:r>
        <w:rPr>
          <w:b/>
          <w:bCs/>
          <w:u w:val="single"/>
        </w:rPr>
        <w:br w:type="page"/>
      </w:r>
    </w:p>
    <w:p w:rsidR="00155657" w:rsidRPr="00A97A28" w:rsidRDefault="00155657" w:rsidP="00C64050">
      <w:pPr>
        <w:spacing w:after="200" w:line="276" w:lineRule="auto"/>
        <w:jc w:val="center"/>
        <w:rPr>
          <w:b/>
          <w:bCs/>
          <w:u w:val="single"/>
        </w:rPr>
      </w:pPr>
      <w:r w:rsidRPr="00A97A28">
        <w:rPr>
          <w:b/>
          <w:bCs/>
          <w:u w:val="single"/>
        </w:rPr>
        <w:lastRenderedPageBreak/>
        <w:t>SERVICE LIST</w:t>
      </w:r>
    </w:p>
    <w:p w:rsidR="00155657" w:rsidRPr="00A97A28" w:rsidRDefault="00155657" w:rsidP="00155657">
      <w:pPr>
        <w:jc w:val="center"/>
      </w:pPr>
    </w:p>
    <w:p w:rsidR="00297686" w:rsidRPr="00A97A28" w:rsidRDefault="00297686" w:rsidP="00297686">
      <w:r w:rsidRPr="00A97A28">
        <w:t>In the Matter of</w:t>
      </w:r>
      <w:r w:rsidRPr="00A97A28">
        <w:tab/>
      </w:r>
      <w:r w:rsidRPr="00A97A28">
        <w:tab/>
      </w:r>
      <w:r w:rsidRPr="00A97A28">
        <w:tab/>
      </w:r>
      <w:r w:rsidRPr="00A97A28">
        <w:tab/>
      </w:r>
      <w:r w:rsidRPr="00A97A28">
        <w:tab/>
      </w:r>
      <w:r w:rsidRPr="00A97A28">
        <w:rPr>
          <w:b/>
        </w:rPr>
        <w:t>Docket No. 2006-154</w:t>
      </w:r>
      <w:r w:rsidRPr="00A97A28">
        <w:t xml:space="preserve"> </w:t>
      </w:r>
    </w:p>
    <w:p w:rsidR="00297686" w:rsidRPr="00A97A28" w:rsidRDefault="00297686" w:rsidP="00297686">
      <w:r w:rsidRPr="00A97A28">
        <w:t xml:space="preserve">Ross &amp; Marilyn </w:t>
      </w:r>
      <w:proofErr w:type="spellStart"/>
      <w:r w:rsidRPr="00A97A28">
        <w:t>Wescott</w:t>
      </w:r>
      <w:proofErr w:type="spellEnd"/>
      <w:r w:rsidRPr="00A97A28">
        <w:tab/>
      </w:r>
      <w:r w:rsidRPr="00A97A28">
        <w:tab/>
      </w:r>
      <w:r w:rsidRPr="00A97A28">
        <w:tab/>
      </w:r>
      <w:r w:rsidRPr="00A97A28">
        <w:tab/>
        <w:t>DEP File No. NE-050-826</w:t>
      </w:r>
    </w:p>
    <w:p w:rsidR="00155657" w:rsidRPr="00A97A28" w:rsidRDefault="00155657" w:rsidP="00155657">
      <w:r w:rsidRPr="00A97A28">
        <w:tab/>
      </w:r>
    </w:p>
    <w:p w:rsidR="00155657" w:rsidRPr="00A97A28" w:rsidRDefault="00155657" w:rsidP="00155657"/>
    <w:tbl>
      <w:tblPr>
        <w:tblW w:w="0" w:type="auto"/>
        <w:tblLayout w:type="fixed"/>
        <w:tblLook w:val="0000"/>
      </w:tblPr>
      <w:tblGrid>
        <w:gridCol w:w="4428"/>
        <w:gridCol w:w="4428"/>
      </w:tblGrid>
      <w:tr w:rsidR="00155657" w:rsidRPr="00A97A28" w:rsidTr="001D6FDA">
        <w:tc>
          <w:tcPr>
            <w:tcW w:w="4428" w:type="dxa"/>
          </w:tcPr>
          <w:p w:rsidR="00155657" w:rsidRPr="00A97A28" w:rsidRDefault="00155657" w:rsidP="001D6FDA">
            <w:pPr>
              <w:rPr>
                <w:b/>
                <w:u w:val="single"/>
              </w:rPr>
            </w:pPr>
            <w:r w:rsidRPr="00A97A28">
              <w:rPr>
                <w:b/>
                <w:u w:val="single"/>
              </w:rPr>
              <w:t>Representative</w:t>
            </w:r>
          </w:p>
        </w:tc>
        <w:tc>
          <w:tcPr>
            <w:tcW w:w="4428" w:type="dxa"/>
          </w:tcPr>
          <w:p w:rsidR="00155657" w:rsidRPr="00A97A28" w:rsidRDefault="00155657" w:rsidP="001D6FDA">
            <w:pPr>
              <w:pStyle w:val="Heading1"/>
            </w:pPr>
            <w:r w:rsidRPr="00A97A28">
              <w:t>Party</w:t>
            </w:r>
          </w:p>
        </w:tc>
      </w:tr>
      <w:tr w:rsidR="00155657" w:rsidRPr="00A97A28" w:rsidTr="001D6FDA">
        <w:tc>
          <w:tcPr>
            <w:tcW w:w="4428" w:type="dxa"/>
          </w:tcPr>
          <w:p w:rsidR="00155657" w:rsidRPr="00A97A28" w:rsidRDefault="00155657" w:rsidP="001D6FDA"/>
        </w:tc>
        <w:tc>
          <w:tcPr>
            <w:tcW w:w="4428" w:type="dxa"/>
          </w:tcPr>
          <w:p w:rsidR="00155657" w:rsidRPr="00A97A28" w:rsidRDefault="00155657" w:rsidP="001D6FDA"/>
        </w:tc>
      </w:tr>
      <w:tr w:rsidR="00155657" w:rsidRPr="00A97A28" w:rsidTr="001D6FDA">
        <w:tc>
          <w:tcPr>
            <w:tcW w:w="4428" w:type="dxa"/>
          </w:tcPr>
          <w:p w:rsidR="00155657" w:rsidRPr="00A97A28" w:rsidRDefault="00297686" w:rsidP="001D6FDA">
            <w:r w:rsidRPr="00A97A28">
              <w:t>Gary L. Gill-</w:t>
            </w:r>
            <w:r w:rsidR="00840A57" w:rsidRPr="00A97A28">
              <w:t>Austern</w:t>
            </w:r>
            <w:r w:rsidR="00155657" w:rsidRPr="00A97A28">
              <w:t>, Esq.</w:t>
            </w:r>
          </w:p>
          <w:p w:rsidR="00155657" w:rsidRPr="00A97A28" w:rsidRDefault="00840A57" w:rsidP="001D6FDA">
            <w:r w:rsidRPr="00A97A28">
              <w:t xml:space="preserve">Nutter, </w:t>
            </w:r>
            <w:proofErr w:type="spellStart"/>
            <w:r w:rsidRPr="00A97A28">
              <w:t>McClennen</w:t>
            </w:r>
            <w:proofErr w:type="spellEnd"/>
            <w:r w:rsidRPr="00A97A28">
              <w:t>, &amp; Fish, LLP</w:t>
            </w:r>
          </w:p>
          <w:p w:rsidR="00155657" w:rsidRPr="00A97A28" w:rsidRDefault="00840A57" w:rsidP="001D6FDA">
            <w:r w:rsidRPr="00A97A28">
              <w:t>155 Seaport Boulevard</w:t>
            </w:r>
          </w:p>
          <w:p w:rsidR="00155657" w:rsidRPr="00A97A28" w:rsidRDefault="00840A57" w:rsidP="001D6FDA">
            <w:r w:rsidRPr="00A97A28">
              <w:t>Boston</w:t>
            </w:r>
            <w:r w:rsidR="00155657" w:rsidRPr="00A97A28">
              <w:t>, MA 0</w:t>
            </w:r>
            <w:r w:rsidRPr="00A97A28">
              <w:t>22</w:t>
            </w:r>
            <w:r w:rsidR="00155657" w:rsidRPr="00A97A28">
              <w:t>1</w:t>
            </w:r>
            <w:r w:rsidRPr="00A97A28">
              <w:t>0</w:t>
            </w:r>
          </w:p>
          <w:p w:rsidR="00155657" w:rsidRPr="00A97A28" w:rsidRDefault="00155657" w:rsidP="001D6FDA">
            <w:pPr>
              <w:pStyle w:val="NormalWeb"/>
              <w:spacing w:before="0" w:beforeAutospacing="0" w:after="0" w:afterAutospacing="0"/>
              <w:ind w:right="180"/>
              <w:rPr>
                <w:rFonts w:ascii="Times New Roman" w:hAnsi="Times New Roman" w:cs="Times New Roman"/>
              </w:rPr>
            </w:pPr>
            <w:r w:rsidRPr="00A97A28">
              <w:rPr>
                <w:rFonts w:ascii="Times New Roman" w:hAnsi="Times New Roman" w:cs="Times New Roman"/>
                <w:b/>
              </w:rPr>
              <w:t>e-mail:</w:t>
            </w:r>
            <w:r w:rsidRPr="00A97A28">
              <w:rPr>
                <w:rFonts w:ascii="Times New Roman" w:hAnsi="Times New Roman" w:cs="Times New Roman"/>
              </w:rPr>
              <w:t xml:space="preserve"> </w:t>
            </w:r>
            <w:r w:rsidR="00432CA7" w:rsidRPr="00A97A28">
              <w:rPr>
                <w:rFonts w:ascii="Times New Roman" w:hAnsi="Times New Roman" w:cs="Times New Roman"/>
              </w:rPr>
              <w:t>ggill-austern@nutter.com</w:t>
            </w:r>
          </w:p>
        </w:tc>
        <w:tc>
          <w:tcPr>
            <w:tcW w:w="4428" w:type="dxa"/>
          </w:tcPr>
          <w:p w:rsidR="00155657" w:rsidRPr="00A97A28" w:rsidRDefault="00155657" w:rsidP="001D6FDA">
            <w:pPr>
              <w:rPr>
                <w:b/>
              </w:rPr>
            </w:pPr>
            <w:r w:rsidRPr="00A97A28">
              <w:rPr>
                <w:b/>
              </w:rPr>
              <w:t>PETITIONER</w:t>
            </w:r>
            <w:r w:rsidR="00840A57" w:rsidRPr="00A97A28">
              <w:rPr>
                <w:b/>
              </w:rPr>
              <w:t>S</w:t>
            </w:r>
            <w:r w:rsidRPr="00A97A28">
              <w:rPr>
                <w:b/>
              </w:rPr>
              <w:t>’ REPRESENTATIVE</w:t>
            </w:r>
          </w:p>
          <w:p w:rsidR="00155657" w:rsidRPr="00A97A28" w:rsidRDefault="00155657" w:rsidP="001D6FDA"/>
          <w:p w:rsidR="00155657" w:rsidRPr="00A97A28" w:rsidRDefault="00155657" w:rsidP="001D6FDA"/>
          <w:p w:rsidR="00155657" w:rsidRPr="00A97A28" w:rsidRDefault="00155657" w:rsidP="001D6FDA"/>
          <w:p w:rsidR="00155657" w:rsidRPr="00A97A28" w:rsidRDefault="00155657" w:rsidP="001D6FDA"/>
        </w:tc>
      </w:tr>
      <w:tr w:rsidR="00155657" w:rsidRPr="00A97A28" w:rsidTr="001D6FDA">
        <w:tc>
          <w:tcPr>
            <w:tcW w:w="4428" w:type="dxa"/>
          </w:tcPr>
          <w:p w:rsidR="00155657" w:rsidRPr="00A97A28" w:rsidRDefault="00155657" w:rsidP="001D6FDA"/>
        </w:tc>
        <w:tc>
          <w:tcPr>
            <w:tcW w:w="4428" w:type="dxa"/>
          </w:tcPr>
          <w:p w:rsidR="00155657" w:rsidRPr="00A97A28" w:rsidRDefault="00155657" w:rsidP="001D6FDA"/>
        </w:tc>
      </w:tr>
      <w:tr w:rsidR="00155657" w:rsidRPr="00A97A28" w:rsidTr="001D6FDA">
        <w:tc>
          <w:tcPr>
            <w:tcW w:w="4428" w:type="dxa"/>
          </w:tcPr>
          <w:p w:rsidR="00155657" w:rsidRPr="00A97A28" w:rsidRDefault="00432CA7" w:rsidP="001D6FDA">
            <w:pPr>
              <w:pStyle w:val="Title"/>
              <w:jc w:val="left"/>
              <w:rPr>
                <w:b w:val="0"/>
                <w:bCs/>
                <w:szCs w:val="24"/>
              </w:rPr>
            </w:pPr>
            <w:r w:rsidRPr="00A97A28">
              <w:rPr>
                <w:b w:val="0"/>
                <w:bCs/>
                <w:szCs w:val="24"/>
              </w:rPr>
              <w:t>Elizabeth Kimball</w:t>
            </w:r>
            <w:r w:rsidR="00155657" w:rsidRPr="00A97A28">
              <w:rPr>
                <w:b w:val="0"/>
                <w:bCs/>
                <w:szCs w:val="24"/>
              </w:rPr>
              <w:t xml:space="preserve">, </w:t>
            </w:r>
            <w:r w:rsidRPr="00A97A28">
              <w:rPr>
                <w:b w:val="0"/>
                <w:bCs/>
                <w:szCs w:val="24"/>
              </w:rPr>
              <w:t xml:space="preserve">Senior </w:t>
            </w:r>
            <w:r w:rsidR="00155657" w:rsidRPr="00A97A28">
              <w:rPr>
                <w:b w:val="0"/>
                <w:bCs/>
                <w:szCs w:val="24"/>
              </w:rPr>
              <w:t xml:space="preserve">Counsel </w:t>
            </w:r>
          </w:p>
          <w:p w:rsidR="00155657" w:rsidRPr="00A97A28" w:rsidRDefault="00155657" w:rsidP="001D6FDA">
            <w:pPr>
              <w:pStyle w:val="Title"/>
              <w:jc w:val="left"/>
              <w:rPr>
                <w:b w:val="0"/>
                <w:bCs/>
                <w:szCs w:val="24"/>
              </w:rPr>
            </w:pPr>
            <w:proofErr w:type="spellStart"/>
            <w:r w:rsidRPr="00A97A28">
              <w:rPr>
                <w:b w:val="0"/>
                <w:bCs/>
                <w:szCs w:val="24"/>
              </w:rPr>
              <w:t>MassDEP</w:t>
            </w:r>
            <w:proofErr w:type="spellEnd"/>
            <w:r w:rsidRPr="00A97A28">
              <w:rPr>
                <w:b w:val="0"/>
                <w:bCs/>
                <w:szCs w:val="24"/>
              </w:rPr>
              <w:t>/Office of General Counsel</w:t>
            </w:r>
          </w:p>
          <w:p w:rsidR="00155657" w:rsidRPr="00A97A28" w:rsidRDefault="00155657" w:rsidP="001D6FDA">
            <w:r w:rsidRPr="00A97A28">
              <w:t>One Winter Street</w:t>
            </w:r>
            <w:r w:rsidR="00432CA7" w:rsidRPr="00A97A28">
              <w:t>, 3</w:t>
            </w:r>
            <w:r w:rsidR="00432CA7" w:rsidRPr="00A97A28">
              <w:rPr>
                <w:vertAlign w:val="superscript"/>
              </w:rPr>
              <w:t>rd</w:t>
            </w:r>
            <w:r w:rsidR="00432CA7" w:rsidRPr="00A97A28">
              <w:t xml:space="preserve"> Floor</w:t>
            </w:r>
          </w:p>
          <w:p w:rsidR="00155657" w:rsidRPr="00A97A28" w:rsidRDefault="00155657" w:rsidP="001D6FDA">
            <w:r w:rsidRPr="00A97A28">
              <w:t>Boston, MA 02108</w:t>
            </w:r>
          </w:p>
          <w:p w:rsidR="00155657" w:rsidRPr="00A97A28" w:rsidRDefault="00155657" w:rsidP="00432CA7">
            <w:r w:rsidRPr="00A97A28">
              <w:rPr>
                <w:b/>
              </w:rPr>
              <w:t>e-mail:</w:t>
            </w:r>
            <w:r w:rsidRPr="00A97A28">
              <w:t xml:space="preserve"> </w:t>
            </w:r>
            <w:r w:rsidR="00432CA7" w:rsidRPr="00A97A28">
              <w:t>Elizabeth.Kimball</w:t>
            </w:r>
            <w:r w:rsidRPr="00A97A28">
              <w:t>@state.ma.us</w:t>
            </w:r>
          </w:p>
        </w:tc>
        <w:tc>
          <w:tcPr>
            <w:tcW w:w="4428" w:type="dxa"/>
          </w:tcPr>
          <w:p w:rsidR="00155657" w:rsidRPr="00A97A28" w:rsidRDefault="00155657" w:rsidP="001D6FDA">
            <w:pPr>
              <w:rPr>
                <w:b/>
              </w:rPr>
            </w:pPr>
            <w:r w:rsidRPr="00A97A28">
              <w:rPr>
                <w:b/>
              </w:rPr>
              <w:t>DEPARTMENT’S REPRESENTATIVE</w:t>
            </w:r>
          </w:p>
          <w:p w:rsidR="00155657" w:rsidRPr="00A97A28" w:rsidRDefault="00155657" w:rsidP="001D6FDA">
            <w:r w:rsidRPr="00A97A28">
              <w:t xml:space="preserve"> </w:t>
            </w:r>
          </w:p>
        </w:tc>
      </w:tr>
      <w:tr w:rsidR="00155657" w:rsidRPr="00A97A28" w:rsidTr="001D6FDA">
        <w:tc>
          <w:tcPr>
            <w:tcW w:w="4428" w:type="dxa"/>
          </w:tcPr>
          <w:p w:rsidR="00155657" w:rsidRPr="00A97A28" w:rsidRDefault="00155657" w:rsidP="001D6FDA"/>
        </w:tc>
        <w:tc>
          <w:tcPr>
            <w:tcW w:w="4428" w:type="dxa"/>
          </w:tcPr>
          <w:p w:rsidR="00155657" w:rsidRPr="00A97A28" w:rsidRDefault="00155657" w:rsidP="001D6FDA"/>
        </w:tc>
      </w:tr>
      <w:tr w:rsidR="00155657" w:rsidRPr="00A97A28" w:rsidTr="001D6FDA">
        <w:tc>
          <w:tcPr>
            <w:tcW w:w="4428" w:type="dxa"/>
          </w:tcPr>
          <w:p w:rsidR="00155657" w:rsidRPr="00A97A28" w:rsidRDefault="00432CA7" w:rsidP="001D6FDA">
            <w:pPr>
              <w:pStyle w:val="Title"/>
              <w:jc w:val="left"/>
              <w:rPr>
                <w:b w:val="0"/>
                <w:bCs/>
                <w:szCs w:val="24"/>
              </w:rPr>
            </w:pPr>
            <w:r w:rsidRPr="00A97A28">
              <w:rPr>
                <w:b w:val="0"/>
                <w:bCs/>
                <w:szCs w:val="24"/>
              </w:rPr>
              <w:t>Michael Abell</w:t>
            </w:r>
            <w:r w:rsidR="00155657" w:rsidRPr="00A97A28">
              <w:rPr>
                <w:b w:val="0"/>
                <w:bCs/>
                <w:szCs w:val="24"/>
              </w:rPr>
              <w:t xml:space="preserve">, Environmental </w:t>
            </w:r>
            <w:r w:rsidRPr="00A97A28">
              <w:rPr>
                <w:b w:val="0"/>
                <w:bCs/>
                <w:szCs w:val="24"/>
              </w:rPr>
              <w:t>Analyst</w:t>
            </w:r>
          </w:p>
          <w:p w:rsidR="00155657" w:rsidRPr="00A97A28" w:rsidRDefault="00155657" w:rsidP="001D6FDA">
            <w:pPr>
              <w:pStyle w:val="Title"/>
              <w:jc w:val="left"/>
              <w:rPr>
                <w:b w:val="0"/>
                <w:bCs/>
                <w:szCs w:val="24"/>
              </w:rPr>
            </w:pPr>
            <w:r w:rsidRPr="00A97A28">
              <w:rPr>
                <w:b w:val="0"/>
                <w:bCs/>
                <w:szCs w:val="24"/>
              </w:rPr>
              <w:t>Bureau of Resource Protection</w:t>
            </w:r>
          </w:p>
          <w:p w:rsidR="00155657" w:rsidRPr="00A97A28" w:rsidRDefault="00155657" w:rsidP="001D6FDA">
            <w:pPr>
              <w:pStyle w:val="Title"/>
              <w:jc w:val="left"/>
              <w:rPr>
                <w:b w:val="0"/>
                <w:bCs/>
                <w:szCs w:val="24"/>
              </w:rPr>
            </w:pPr>
            <w:proofErr w:type="spellStart"/>
            <w:r w:rsidRPr="00A97A28">
              <w:rPr>
                <w:b w:val="0"/>
                <w:bCs/>
                <w:szCs w:val="24"/>
              </w:rPr>
              <w:t>MassDEP</w:t>
            </w:r>
            <w:proofErr w:type="spellEnd"/>
            <w:r w:rsidRPr="00A97A28">
              <w:rPr>
                <w:b w:val="0"/>
                <w:bCs/>
                <w:szCs w:val="24"/>
              </w:rPr>
              <w:t>/</w:t>
            </w:r>
            <w:r w:rsidR="00432CA7" w:rsidRPr="00A97A28">
              <w:rPr>
                <w:b w:val="0"/>
                <w:bCs/>
                <w:szCs w:val="24"/>
              </w:rPr>
              <w:t xml:space="preserve">Northeast </w:t>
            </w:r>
            <w:r w:rsidRPr="00A97A28">
              <w:rPr>
                <w:b w:val="0"/>
                <w:bCs/>
                <w:szCs w:val="24"/>
              </w:rPr>
              <w:t xml:space="preserve">Regional Office </w:t>
            </w:r>
          </w:p>
          <w:p w:rsidR="00155657" w:rsidRPr="00A97A28" w:rsidRDefault="00432CA7" w:rsidP="001D6FDA">
            <w:r w:rsidRPr="00A97A28">
              <w:t xml:space="preserve">205B Lowell </w:t>
            </w:r>
            <w:r w:rsidR="00155657" w:rsidRPr="00A97A28">
              <w:t>Street</w:t>
            </w:r>
          </w:p>
          <w:p w:rsidR="00155657" w:rsidRPr="00A97A28" w:rsidRDefault="00155657" w:rsidP="001D6FDA">
            <w:r w:rsidRPr="00A97A28">
              <w:t>W</w:t>
            </w:r>
            <w:r w:rsidR="00432CA7" w:rsidRPr="00A97A28">
              <w:t>ilmington, MA 01887</w:t>
            </w:r>
          </w:p>
          <w:p w:rsidR="00155657" w:rsidRPr="00A97A28" w:rsidRDefault="00155657" w:rsidP="001D6FDA">
            <w:pPr>
              <w:pStyle w:val="Title"/>
              <w:jc w:val="left"/>
              <w:rPr>
                <w:b w:val="0"/>
                <w:szCs w:val="24"/>
              </w:rPr>
            </w:pPr>
            <w:proofErr w:type="gramStart"/>
            <w:r w:rsidRPr="00A97A28">
              <w:rPr>
                <w:szCs w:val="24"/>
              </w:rPr>
              <w:t>e-mail</w:t>
            </w:r>
            <w:proofErr w:type="gramEnd"/>
            <w:r w:rsidRPr="00A97A28">
              <w:rPr>
                <w:szCs w:val="24"/>
              </w:rPr>
              <w:t>:</w:t>
            </w:r>
            <w:r w:rsidRPr="00A97A28">
              <w:rPr>
                <w:b w:val="0"/>
                <w:szCs w:val="24"/>
              </w:rPr>
              <w:t xml:space="preserve"> </w:t>
            </w:r>
            <w:r w:rsidR="00432CA7" w:rsidRPr="00A97A28">
              <w:rPr>
                <w:b w:val="0"/>
                <w:szCs w:val="24"/>
              </w:rPr>
              <w:t>Michael.Abell</w:t>
            </w:r>
            <w:r w:rsidRPr="00A97A28">
              <w:rPr>
                <w:b w:val="0"/>
                <w:szCs w:val="24"/>
              </w:rPr>
              <w:t>@state.ma.us</w:t>
            </w:r>
          </w:p>
          <w:p w:rsidR="00155657" w:rsidRPr="00A97A28" w:rsidRDefault="00155657" w:rsidP="001D6FDA">
            <w:pPr>
              <w:pStyle w:val="Header"/>
              <w:tabs>
                <w:tab w:val="clear" w:pos="4320"/>
                <w:tab w:val="clear" w:pos="8640"/>
              </w:tabs>
              <w:rPr>
                <w:u w:color="FF0000"/>
              </w:rPr>
            </w:pPr>
          </w:p>
        </w:tc>
        <w:tc>
          <w:tcPr>
            <w:tcW w:w="4428" w:type="dxa"/>
          </w:tcPr>
          <w:p w:rsidR="00432CA7" w:rsidRPr="00A97A28" w:rsidRDefault="00432CA7" w:rsidP="00432CA7">
            <w:pPr>
              <w:rPr>
                <w:b/>
              </w:rPr>
            </w:pPr>
            <w:r w:rsidRPr="00A97A28">
              <w:rPr>
                <w:b/>
              </w:rPr>
              <w:t>DEPARTMENT</w:t>
            </w:r>
          </w:p>
          <w:p w:rsidR="00155657" w:rsidRPr="00A97A28" w:rsidRDefault="00155657" w:rsidP="00432CA7"/>
          <w:p w:rsidR="00432CA7" w:rsidRPr="00A97A28" w:rsidRDefault="00432CA7" w:rsidP="00432CA7"/>
        </w:tc>
      </w:tr>
      <w:tr w:rsidR="00155657" w:rsidRPr="00A97A28" w:rsidTr="001D6FDA">
        <w:tc>
          <w:tcPr>
            <w:tcW w:w="4428" w:type="dxa"/>
          </w:tcPr>
          <w:p w:rsidR="00155657" w:rsidRPr="00A97A28" w:rsidRDefault="00432CA7" w:rsidP="001D6FDA">
            <w:pPr>
              <w:pStyle w:val="Header"/>
              <w:tabs>
                <w:tab w:val="clear" w:pos="4320"/>
                <w:tab w:val="clear" w:pos="8640"/>
              </w:tabs>
              <w:rPr>
                <w:u w:color="FF0000"/>
              </w:rPr>
            </w:pPr>
            <w:r w:rsidRPr="00A97A28">
              <w:rPr>
                <w:u w:color="FF0000"/>
              </w:rPr>
              <w:t>Newbury Conservation Commission</w:t>
            </w:r>
          </w:p>
          <w:p w:rsidR="00432CA7" w:rsidRPr="00A97A28" w:rsidRDefault="00432CA7" w:rsidP="001D6FDA">
            <w:pPr>
              <w:pStyle w:val="Header"/>
              <w:tabs>
                <w:tab w:val="clear" w:pos="4320"/>
                <w:tab w:val="clear" w:pos="8640"/>
              </w:tabs>
              <w:rPr>
                <w:u w:color="FF0000"/>
              </w:rPr>
            </w:pPr>
            <w:r w:rsidRPr="00A97A28">
              <w:rPr>
                <w:u w:color="FF0000"/>
              </w:rPr>
              <w:t>Newbury Town Hall</w:t>
            </w:r>
          </w:p>
          <w:p w:rsidR="00432CA7" w:rsidRPr="00A97A28" w:rsidRDefault="00432CA7" w:rsidP="001D6FDA">
            <w:pPr>
              <w:pStyle w:val="Header"/>
              <w:tabs>
                <w:tab w:val="clear" w:pos="4320"/>
                <w:tab w:val="clear" w:pos="8640"/>
              </w:tabs>
              <w:rPr>
                <w:u w:color="FF0000"/>
              </w:rPr>
            </w:pPr>
            <w:r w:rsidRPr="00A97A28">
              <w:rPr>
                <w:u w:color="FF0000"/>
              </w:rPr>
              <w:t>25 High Road</w:t>
            </w:r>
          </w:p>
          <w:p w:rsidR="00432CA7" w:rsidRPr="00A97A28" w:rsidRDefault="00432CA7" w:rsidP="001D6FDA">
            <w:pPr>
              <w:pStyle w:val="Header"/>
              <w:tabs>
                <w:tab w:val="clear" w:pos="4320"/>
                <w:tab w:val="clear" w:pos="8640"/>
              </w:tabs>
              <w:rPr>
                <w:u w:color="FF0000"/>
              </w:rPr>
            </w:pPr>
            <w:r w:rsidRPr="00A97A28">
              <w:rPr>
                <w:u w:color="FF0000"/>
              </w:rPr>
              <w:t>Newbury, MA 01951</w:t>
            </w:r>
          </w:p>
          <w:p w:rsidR="00432CA7" w:rsidRPr="00A97A28" w:rsidRDefault="00432CA7" w:rsidP="001D6FDA">
            <w:pPr>
              <w:pStyle w:val="Header"/>
              <w:tabs>
                <w:tab w:val="clear" w:pos="4320"/>
                <w:tab w:val="clear" w:pos="8640"/>
              </w:tabs>
              <w:rPr>
                <w:u w:color="FF0000"/>
              </w:rPr>
            </w:pPr>
          </w:p>
          <w:p w:rsidR="00432CA7" w:rsidRPr="00A97A28" w:rsidRDefault="00432CA7" w:rsidP="001D6FDA">
            <w:pPr>
              <w:pStyle w:val="Header"/>
              <w:tabs>
                <w:tab w:val="clear" w:pos="4320"/>
                <w:tab w:val="clear" w:pos="8640"/>
              </w:tabs>
              <w:rPr>
                <w:u w:color="FF0000"/>
              </w:rPr>
            </w:pPr>
            <w:r w:rsidRPr="00A97A28">
              <w:rPr>
                <w:u w:color="FF0000"/>
              </w:rPr>
              <w:t xml:space="preserve">Jayne </w:t>
            </w:r>
            <w:proofErr w:type="spellStart"/>
            <w:r w:rsidRPr="00A97A28">
              <w:rPr>
                <w:u w:color="FF0000"/>
              </w:rPr>
              <w:t>Cecere</w:t>
            </w:r>
            <w:proofErr w:type="spellEnd"/>
            <w:r w:rsidRPr="00A97A28">
              <w:rPr>
                <w:u w:color="FF0000"/>
              </w:rPr>
              <w:t>-Peng and David Peng</w:t>
            </w:r>
          </w:p>
          <w:p w:rsidR="00D40C36" w:rsidRPr="00A97A28" w:rsidRDefault="00D40C36" w:rsidP="001D6FDA">
            <w:pPr>
              <w:pStyle w:val="Header"/>
              <w:tabs>
                <w:tab w:val="clear" w:pos="4320"/>
                <w:tab w:val="clear" w:pos="8640"/>
              </w:tabs>
              <w:rPr>
                <w:u w:color="FF0000"/>
              </w:rPr>
            </w:pPr>
            <w:r w:rsidRPr="00A97A28">
              <w:rPr>
                <w:u w:color="FF0000"/>
              </w:rPr>
              <w:t>Legal Representative:</w:t>
            </w:r>
          </w:p>
          <w:p w:rsidR="00432CA7" w:rsidRPr="00A97A28" w:rsidRDefault="00D40C36" w:rsidP="001D6FDA">
            <w:pPr>
              <w:pStyle w:val="Header"/>
              <w:tabs>
                <w:tab w:val="clear" w:pos="4320"/>
                <w:tab w:val="clear" w:pos="8640"/>
              </w:tabs>
              <w:rPr>
                <w:u w:color="FF0000"/>
              </w:rPr>
            </w:pPr>
            <w:r w:rsidRPr="00A97A28">
              <w:rPr>
                <w:u w:color="FF0000"/>
              </w:rPr>
              <w:t>George F. Hailer, Esq.</w:t>
            </w:r>
          </w:p>
          <w:p w:rsidR="00D40C36" w:rsidRPr="00A97A28" w:rsidRDefault="00D40C36" w:rsidP="001D6FDA">
            <w:pPr>
              <w:pStyle w:val="Header"/>
              <w:tabs>
                <w:tab w:val="clear" w:pos="4320"/>
                <w:tab w:val="clear" w:pos="8640"/>
              </w:tabs>
              <w:rPr>
                <w:u w:color="FF0000"/>
              </w:rPr>
            </w:pPr>
            <w:r w:rsidRPr="00A97A28">
              <w:rPr>
                <w:u w:color="FF0000"/>
              </w:rPr>
              <w:t xml:space="preserve">Lawson &amp; </w:t>
            </w:r>
            <w:proofErr w:type="spellStart"/>
            <w:r w:rsidRPr="00A97A28">
              <w:rPr>
                <w:u w:color="FF0000"/>
              </w:rPr>
              <w:t>Weitzen</w:t>
            </w:r>
            <w:proofErr w:type="spellEnd"/>
            <w:r w:rsidRPr="00A97A28">
              <w:rPr>
                <w:u w:color="FF0000"/>
              </w:rPr>
              <w:t>, LLP</w:t>
            </w:r>
          </w:p>
          <w:p w:rsidR="00D40C36" w:rsidRPr="00A97A28" w:rsidRDefault="00D40C36" w:rsidP="001D6FDA">
            <w:pPr>
              <w:pStyle w:val="Header"/>
              <w:tabs>
                <w:tab w:val="clear" w:pos="4320"/>
                <w:tab w:val="clear" w:pos="8640"/>
              </w:tabs>
              <w:rPr>
                <w:u w:color="FF0000"/>
              </w:rPr>
            </w:pPr>
            <w:r w:rsidRPr="00A97A28">
              <w:rPr>
                <w:u w:color="FF0000"/>
              </w:rPr>
              <w:t>88 Black Falcon Avenue</w:t>
            </w:r>
          </w:p>
          <w:p w:rsidR="00432CA7" w:rsidRPr="00A97A28" w:rsidRDefault="00D40C36" w:rsidP="001D6FDA">
            <w:pPr>
              <w:pStyle w:val="Header"/>
              <w:tabs>
                <w:tab w:val="clear" w:pos="4320"/>
                <w:tab w:val="clear" w:pos="8640"/>
              </w:tabs>
              <w:rPr>
                <w:u w:color="FF0000"/>
              </w:rPr>
            </w:pPr>
            <w:r w:rsidRPr="00A97A28">
              <w:rPr>
                <w:u w:color="FF0000"/>
              </w:rPr>
              <w:t>Boston</w:t>
            </w:r>
            <w:r w:rsidR="00432CA7" w:rsidRPr="00A97A28">
              <w:rPr>
                <w:u w:color="FF0000"/>
              </w:rPr>
              <w:t>, MA 0</w:t>
            </w:r>
            <w:r w:rsidRPr="00A97A28">
              <w:rPr>
                <w:u w:color="FF0000"/>
              </w:rPr>
              <w:t>22</w:t>
            </w:r>
            <w:r w:rsidR="00432CA7" w:rsidRPr="00A97A28">
              <w:rPr>
                <w:u w:color="FF0000"/>
              </w:rPr>
              <w:t>1</w:t>
            </w:r>
            <w:r w:rsidRPr="00A97A28">
              <w:rPr>
                <w:u w:color="FF0000"/>
              </w:rPr>
              <w:t>0</w:t>
            </w:r>
          </w:p>
          <w:p w:rsidR="00A51916" w:rsidRPr="00A97A28" w:rsidRDefault="00A51916" w:rsidP="001D6FDA">
            <w:pPr>
              <w:pStyle w:val="Header"/>
              <w:tabs>
                <w:tab w:val="clear" w:pos="4320"/>
                <w:tab w:val="clear" w:pos="8640"/>
              </w:tabs>
              <w:rPr>
                <w:u w:color="FF0000"/>
              </w:rPr>
            </w:pPr>
            <w:r w:rsidRPr="00A97A28">
              <w:rPr>
                <w:b/>
                <w:u w:color="FF0000"/>
              </w:rPr>
              <w:t>e-mail:</w:t>
            </w:r>
            <w:r w:rsidRPr="00A97A28">
              <w:rPr>
                <w:u w:color="FF0000"/>
              </w:rPr>
              <w:t xml:space="preserve"> </w:t>
            </w:r>
            <w:r w:rsidR="00D40C36" w:rsidRPr="00A97A28">
              <w:rPr>
                <w:u w:color="FF0000"/>
              </w:rPr>
              <w:t>ghailer</w:t>
            </w:r>
            <w:r w:rsidRPr="00A97A28">
              <w:rPr>
                <w:u w:color="FF0000"/>
              </w:rPr>
              <w:t>@</w:t>
            </w:r>
            <w:r w:rsidR="00D40C36" w:rsidRPr="00A97A28">
              <w:rPr>
                <w:u w:color="FF0000"/>
              </w:rPr>
              <w:t>lawson</w:t>
            </w:r>
            <w:r w:rsidRPr="00A97A28">
              <w:rPr>
                <w:u w:color="FF0000"/>
              </w:rPr>
              <w:t>-</w:t>
            </w:r>
            <w:r w:rsidR="00D40C36" w:rsidRPr="00A97A28">
              <w:rPr>
                <w:u w:color="FF0000"/>
              </w:rPr>
              <w:t>weitzen</w:t>
            </w:r>
            <w:r w:rsidRPr="00A97A28">
              <w:rPr>
                <w:u w:color="FF0000"/>
              </w:rPr>
              <w:t>.com</w:t>
            </w:r>
          </w:p>
          <w:p w:rsidR="00432CA7" w:rsidRPr="00A97A28" w:rsidRDefault="00432CA7" w:rsidP="001D6FDA">
            <w:pPr>
              <w:pStyle w:val="Header"/>
              <w:tabs>
                <w:tab w:val="clear" w:pos="4320"/>
                <w:tab w:val="clear" w:pos="8640"/>
              </w:tabs>
              <w:rPr>
                <w:u w:color="FF0000"/>
              </w:rPr>
            </w:pPr>
          </w:p>
        </w:tc>
        <w:tc>
          <w:tcPr>
            <w:tcW w:w="4428" w:type="dxa"/>
          </w:tcPr>
          <w:p w:rsidR="00155657" w:rsidRPr="00A97A28" w:rsidRDefault="00432CA7" w:rsidP="001D6FDA">
            <w:pPr>
              <w:rPr>
                <w:b/>
              </w:rPr>
            </w:pPr>
            <w:r w:rsidRPr="00A97A28">
              <w:rPr>
                <w:b/>
              </w:rPr>
              <w:t>LOCAL CONSERVATION</w:t>
            </w:r>
          </w:p>
          <w:p w:rsidR="00432CA7" w:rsidRPr="00A97A28" w:rsidRDefault="00432CA7" w:rsidP="001D6FDA">
            <w:pPr>
              <w:rPr>
                <w:b/>
              </w:rPr>
            </w:pPr>
            <w:r w:rsidRPr="00A97A28">
              <w:rPr>
                <w:b/>
              </w:rPr>
              <w:t>COMMISSION</w:t>
            </w:r>
          </w:p>
          <w:p w:rsidR="00432CA7" w:rsidRPr="00A97A28" w:rsidRDefault="00432CA7" w:rsidP="001D6FDA">
            <w:pPr>
              <w:rPr>
                <w:b/>
              </w:rPr>
            </w:pPr>
          </w:p>
          <w:p w:rsidR="00432CA7" w:rsidRPr="00A97A28" w:rsidRDefault="00432CA7" w:rsidP="001D6FDA">
            <w:pPr>
              <w:rPr>
                <w:b/>
              </w:rPr>
            </w:pPr>
          </w:p>
          <w:p w:rsidR="00432CA7" w:rsidRPr="00A97A28" w:rsidRDefault="00432CA7" w:rsidP="001D6FDA">
            <w:pPr>
              <w:rPr>
                <w:b/>
              </w:rPr>
            </w:pPr>
          </w:p>
          <w:p w:rsidR="00432CA7" w:rsidRPr="00A97A28" w:rsidRDefault="00802EEA" w:rsidP="001D6FDA">
            <w:pPr>
              <w:rPr>
                <w:b/>
              </w:rPr>
            </w:pPr>
            <w:r w:rsidRPr="00A97A28">
              <w:rPr>
                <w:b/>
              </w:rPr>
              <w:t>AGGRIEVED PARTIES</w:t>
            </w:r>
          </w:p>
        </w:tc>
      </w:tr>
      <w:tr w:rsidR="00155657" w:rsidRPr="00A97A28" w:rsidTr="001D6FDA">
        <w:tc>
          <w:tcPr>
            <w:tcW w:w="4428" w:type="dxa"/>
          </w:tcPr>
          <w:p w:rsidR="00155657" w:rsidRPr="00A97A28" w:rsidRDefault="00155657" w:rsidP="001D6FDA"/>
        </w:tc>
        <w:tc>
          <w:tcPr>
            <w:tcW w:w="4428" w:type="dxa"/>
          </w:tcPr>
          <w:p w:rsidR="00155657" w:rsidRPr="00A97A28" w:rsidRDefault="00155657" w:rsidP="001D6FDA"/>
        </w:tc>
      </w:tr>
      <w:tr w:rsidR="00155657" w:rsidRPr="00A97A28" w:rsidTr="009556DC">
        <w:trPr>
          <w:trHeight w:val="80"/>
        </w:trPr>
        <w:tc>
          <w:tcPr>
            <w:tcW w:w="4428" w:type="dxa"/>
          </w:tcPr>
          <w:p w:rsidR="00155657" w:rsidRPr="00A97A28" w:rsidRDefault="00155657" w:rsidP="001D6FDA">
            <w:pPr>
              <w:pStyle w:val="Header"/>
              <w:tabs>
                <w:tab w:val="clear" w:pos="4320"/>
                <w:tab w:val="clear" w:pos="8640"/>
              </w:tabs>
            </w:pPr>
          </w:p>
        </w:tc>
        <w:tc>
          <w:tcPr>
            <w:tcW w:w="4428" w:type="dxa"/>
          </w:tcPr>
          <w:p w:rsidR="00155657" w:rsidRPr="00A97A28" w:rsidRDefault="00155657" w:rsidP="001D6FDA"/>
        </w:tc>
      </w:tr>
    </w:tbl>
    <w:p w:rsidR="00130699" w:rsidRPr="00A97A28" w:rsidRDefault="00130699" w:rsidP="009556DC"/>
    <w:sectPr w:rsidR="00130699" w:rsidRPr="00A97A28" w:rsidSect="00BF1801">
      <w:footerReference w:type="default" r:id="rId7"/>
      <w:headerReference w:type="first" r:id="rId8"/>
      <w:footerReference w:type="first" r:id="rId9"/>
      <w:pgSz w:w="12240" w:h="15840" w:code="1"/>
      <w:pgMar w:top="1440" w:right="1440" w:bottom="1440" w:left="1440" w:header="720" w:footer="14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90F" w:rsidRDefault="0029590F" w:rsidP="00155657">
      <w:r>
        <w:separator/>
      </w:r>
    </w:p>
  </w:endnote>
  <w:endnote w:type="continuationSeparator" w:id="0">
    <w:p w:rsidR="0029590F" w:rsidRDefault="0029590F" w:rsidP="001556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RDIS B+ 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90F" w:rsidRDefault="0029590F">
    <w:pPr>
      <w:pStyle w:val="FootnoteText"/>
      <w:rPr>
        <w:szCs w:val="24"/>
      </w:rPr>
    </w:pPr>
  </w:p>
  <w:p w:rsidR="0029590F" w:rsidRPr="001726F4" w:rsidRDefault="0029590F">
    <w:pPr>
      <w:rPr>
        <w:b/>
        <w:sz w:val="20"/>
      </w:rPr>
    </w:pPr>
    <w:r w:rsidRPr="001726F4">
      <w:rPr>
        <w:b/>
        <w:sz w:val="20"/>
      </w:rPr>
      <w:t xml:space="preserve">In the Matter of </w:t>
    </w:r>
    <w:r>
      <w:rPr>
        <w:b/>
        <w:sz w:val="20"/>
      </w:rPr>
      <w:t xml:space="preserve">Ross &amp; Marilyn </w:t>
    </w:r>
    <w:proofErr w:type="spellStart"/>
    <w:r>
      <w:rPr>
        <w:b/>
        <w:sz w:val="20"/>
      </w:rPr>
      <w:t>Wescott</w:t>
    </w:r>
    <w:proofErr w:type="spellEnd"/>
  </w:p>
  <w:p w:rsidR="0029590F" w:rsidRDefault="0029590F">
    <w:pPr>
      <w:rPr>
        <w:sz w:val="20"/>
      </w:rPr>
    </w:pPr>
    <w:r>
      <w:rPr>
        <w:sz w:val="20"/>
      </w:rPr>
      <w:t>Docket No. 2006-154</w:t>
    </w:r>
  </w:p>
  <w:p w:rsidR="0029590F" w:rsidRDefault="00823CF1">
    <w:pPr>
      <w:rPr>
        <w:sz w:val="20"/>
      </w:rPr>
    </w:pPr>
    <w:r>
      <w:rPr>
        <w:sz w:val="20"/>
      </w:rPr>
      <w:t>Recommended Final Decision</w:t>
    </w:r>
  </w:p>
  <w:p w:rsidR="0029590F" w:rsidRDefault="0029590F">
    <w:pPr>
      <w:rPr>
        <w:sz w:val="20"/>
      </w:rPr>
    </w:pPr>
  </w:p>
  <w:p w:rsidR="0029590F" w:rsidRDefault="0029590F">
    <w:pPr>
      <w:rPr>
        <w:rStyle w:val="PageNumber"/>
        <w:sz w:val="20"/>
      </w:rPr>
    </w:pPr>
    <w:r>
      <w:rPr>
        <w:rStyle w:val="PageNumber"/>
        <w:sz w:val="20"/>
      </w:rPr>
      <w:t xml:space="preserve">Page </w:t>
    </w:r>
    <w:r w:rsidR="00F82D15">
      <w:rPr>
        <w:rStyle w:val="PageNumber"/>
        <w:sz w:val="20"/>
      </w:rPr>
      <w:fldChar w:fldCharType="begin"/>
    </w:r>
    <w:r>
      <w:rPr>
        <w:rStyle w:val="PageNumber"/>
        <w:sz w:val="20"/>
      </w:rPr>
      <w:instrText xml:space="preserve"> PAGE </w:instrText>
    </w:r>
    <w:r w:rsidR="00F82D15">
      <w:rPr>
        <w:rStyle w:val="PageNumber"/>
        <w:sz w:val="20"/>
      </w:rPr>
      <w:fldChar w:fldCharType="separate"/>
    </w:r>
    <w:r w:rsidR="00803A4A">
      <w:rPr>
        <w:rStyle w:val="PageNumber"/>
        <w:noProof/>
        <w:sz w:val="20"/>
      </w:rPr>
      <w:t>8</w:t>
    </w:r>
    <w:r w:rsidR="00F82D15">
      <w:rPr>
        <w:rStyle w:val="PageNumber"/>
        <w:sz w:val="20"/>
      </w:rPr>
      <w:fldChar w:fldCharType="end"/>
    </w:r>
    <w:r>
      <w:rPr>
        <w:rStyle w:val="PageNumber"/>
        <w:sz w:val="20"/>
      </w:rPr>
      <w:t xml:space="preserve"> of </w:t>
    </w:r>
    <w:r w:rsidR="00F82D15">
      <w:rPr>
        <w:rStyle w:val="PageNumber"/>
        <w:sz w:val="20"/>
      </w:rPr>
      <w:fldChar w:fldCharType="begin"/>
    </w:r>
    <w:r>
      <w:rPr>
        <w:rStyle w:val="PageNumber"/>
        <w:sz w:val="20"/>
      </w:rPr>
      <w:instrText xml:space="preserve"> NUMPAGES </w:instrText>
    </w:r>
    <w:r w:rsidR="00F82D15">
      <w:rPr>
        <w:rStyle w:val="PageNumber"/>
        <w:sz w:val="20"/>
      </w:rPr>
      <w:fldChar w:fldCharType="separate"/>
    </w:r>
    <w:r w:rsidR="00803A4A">
      <w:rPr>
        <w:rStyle w:val="PageNumber"/>
        <w:noProof/>
        <w:sz w:val="20"/>
      </w:rPr>
      <w:t>8</w:t>
    </w:r>
    <w:r w:rsidR="00F82D15">
      <w:rPr>
        <w:rStyle w:val="PageNumber"/>
        <w:sz w:val="20"/>
      </w:rPr>
      <w:fldChar w:fldCharType="end"/>
    </w:r>
  </w:p>
  <w:p w:rsidR="0029590F" w:rsidRDefault="0029590F">
    <w:pPr>
      <w:rPr>
        <w:sz w:val="20"/>
      </w:rPr>
    </w:pPr>
  </w:p>
  <w:p w:rsidR="0029590F" w:rsidRDefault="002959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520" w:type="dxa"/>
      <w:jc w:val="center"/>
      <w:tblInd w:w="90" w:type="dxa"/>
      <w:tblLayout w:type="fixed"/>
      <w:tblLook w:val="0000"/>
    </w:tblPr>
    <w:tblGrid>
      <w:gridCol w:w="11520"/>
    </w:tblGrid>
    <w:tr w:rsidR="0029590F" w:rsidRPr="000C3209" w:rsidTr="00C95A81">
      <w:trPr>
        <w:trHeight w:val="363"/>
        <w:jc w:val="center"/>
      </w:trPr>
      <w:tc>
        <w:tcPr>
          <w:tcW w:w="11520" w:type="dxa"/>
          <w:vAlign w:val="bottom"/>
        </w:tcPr>
        <w:p w:rsidR="0029590F" w:rsidRDefault="0029590F" w:rsidP="00C95A81">
          <w:pPr>
            <w:ind w:left="72" w:right="162"/>
            <w:jc w:val="center"/>
            <w:rPr>
              <w:rFonts w:ascii="Arial" w:hAnsi="Arial"/>
              <w:b/>
              <w:color w:val="008000"/>
              <w:sz w:val="14"/>
            </w:rPr>
          </w:pPr>
          <w:r w:rsidRPr="000C3209">
            <w:rPr>
              <w:rFonts w:ascii="Arial" w:hAnsi="Arial"/>
              <w:b/>
              <w:color w:val="008000"/>
              <w:sz w:val="14"/>
            </w:rPr>
            <w:t>This information is available in alternate format. Call Michelle Waters-Ekanem,</w:t>
          </w:r>
          <w:r>
            <w:rPr>
              <w:rFonts w:ascii="Arial" w:hAnsi="Arial"/>
              <w:b/>
              <w:color w:val="008000"/>
              <w:sz w:val="14"/>
            </w:rPr>
            <w:t xml:space="preserve"> </w:t>
          </w:r>
          <w:r w:rsidRPr="000C3209">
            <w:rPr>
              <w:rFonts w:ascii="Arial" w:hAnsi="Arial"/>
              <w:b/>
              <w:color w:val="008000"/>
              <w:sz w:val="14"/>
            </w:rPr>
            <w:t>Diversity Director</w:t>
          </w:r>
          <w:r>
            <w:rPr>
              <w:rFonts w:ascii="Arial" w:hAnsi="Arial"/>
              <w:b/>
              <w:color w:val="008000"/>
              <w:sz w:val="14"/>
            </w:rPr>
            <w:t>,</w:t>
          </w:r>
          <w:r w:rsidRPr="000C3209">
            <w:rPr>
              <w:rFonts w:ascii="Arial" w:hAnsi="Arial"/>
              <w:b/>
              <w:color w:val="008000"/>
              <w:sz w:val="14"/>
            </w:rPr>
            <w:t xml:space="preserve"> at 617-292-5751. TDD# 1</w:t>
          </w:r>
          <w:r>
            <w:rPr>
              <w:rFonts w:ascii="Arial" w:hAnsi="Arial"/>
              <w:b/>
              <w:color w:val="008000"/>
              <w:sz w:val="14"/>
            </w:rPr>
            <w:t>-866-539-7622 or 1-617-574-6868</w:t>
          </w:r>
        </w:p>
        <w:p w:rsidR="0029590F" w:rsidRPr="000C3209" w:rsidRDefault="0029590F" w:rsidP="00C95A81">
          <w:pPr>
            <w:ind w:left="-18" w:right="-252"/>
            <w:jc w:val="center"/>
            <w:rPr>
              <w:color w:val="008000"/>
            </w:rPr>
          </w:pPr>
          <w:proofErr w:type="spellStart"/>
          <w:r w:rsidRPr="000C3209">
            <w:rPr>
              <w:rFonts w:ascii="Arial" w:hAnsi="Arial"/>
              <w:color w:val="008000"/>
              <w:sz w:val="14"/>
            </w:rPr>
            <w:t>MassDEP</w:t>
          </w:r>
          <w:proofErr w:type="spellEnd"/>
          <w:r w:rsidRPr="000C3209">
            <w:rPr>
              <w:rFonts w:ascii="Arial" w:hAnsi="Arial"/>
              <w:color w:val="008000"/>
              <w:sz w:val="14"/>
            </w:rPr>
            <w:t xml:space="preserve"> Web</w:t>
          </w:r>
          <w:r>
            <w:rPr>
              <w:rFonts w:ascii="Arial" w:hAnsi="Arial"/>
              <w:color w:val="008000"/>
              <w:sz w:val="14"/>
            </w:rPr>
            <w:t>site</w:t>
          </w:r>
          <w:r w:rsidRPr="000C3209">
            <w:rPr>
              <w:rFonts w:ascii="Arial" w:hAnsi="Arial"/>
              <w:color w:val="008000"/>
              <w:sz w:val="14"/>
            </w:rPr>
            <w:t xml:space="preserve">: </w:t>
          </w:r>
          <w:r>
            <w:rPr>
              <w:rFonts w:ascii="Arial" w:hAnsi="Arial"/>
              <w:color w:val="008000"/>
              <w:sz w:val="14"/>
            </w:rPr>
            <w:t>www.</w:t>
          </w:r>
          <w:r w:rsidRPr="000C3209">
            <w:rPr>
              <w:rFonts w:ascii="Arial" w:hAnsi="Arial"/>
              <w:color w:val="008000"/>
              <w:sz w:val="14"/>
            </w:rPr>
            <w:t>mass.gov/dep</w:t>
          </w:r>
        </w:p>
      </w:tc>
    </w:tr>
    <w:tr w:rsidR="0029590F" w:rsidRPr="000C3209" w:rsidTr="00C95A81">
      <w:trPr>
        <w:trHeight w:val="296"/>
        <w:jc w:val="center"/>
      </w:trPr>
      <w:tc>
        <w:tcPr>
          <w:tcW w:w="11520" w:type="dxa"/>
          <w:vAlign w:val="bottom"/>
        </w:tcPr>
        <w:p w:rsidR="0029590F" w:rsidRPr="000C3209" w:rsidRDefault="0029590F" w:rsidP="00C95A81">
          <w:pPr>
            <w:ind w:left="-18"/>
            <w:jc w:val="center"/>
            <w:rPr>
              <w:color w:val="008000"/>
            </w:rPr>
          </w:pPr>
          <w:r w:rsidRPr="000C3209">
            <w:rPr>
              <w:rFonts w:ascii="Arial" w:hAnsi="Arial"/>
              <w:color w:val="008000"/>
              <w:position w:val="8"/>
              <w:sz w:val="14"/>
            </w:rPr>
            <w:t>Printed on Recycled Paper</w:t>
          </w:r>
        </w:p>
      </w:tc>
    </w:tr>
  </w:tbl>
  <w:p w:rsidR="0029590F" w:rsidRDefault="002959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90F" w:rsidRDefault="0029590F" w:rsidP="00155657">
      <w:r>
        <w:separator/>
      </w:r>
    </w:p>
  </w:footnote>
  <w:footnote w:type="continuationSeparator" w:id="0">
    <w:p w:rsidR="0029590F" w:rsidRDefault="0029590F" w:rsidP="00155657">
      <w:r>
        <w:continuationSeparator/>
      </w:r>
    </w:p>
  </w:footnote>
  <w:footnote w:id="1">
    <w:p w:rsidR="0029590F" w:rsidRDefault="0029590F" w:rsidP="00513F7A">
      <w:pPr>
        <w:pStyle w:val="FootnoteText"/>
      </w:pPr>
      <w:r>
        <w:rPr>
          <w:rStyle w:val="FootnoteReference"/>
        </w:rPr>
        <w:footnoteRef/>
      </w:r>
      <w:r>
        <w:t xml:space="preserve">  This appeal was filed in October 2006, one year prior to the Department’s adoption of Wetlands Permit Appeal Regulations  at 310 CMR 10.05(7)(j) requiring resolution of Wetlands Permit Appeals within six months after their filing or seven months if the case is “major or complex.”  As discussed above, the age of this case is due </w:t>
      </w:r>
      <w:r w:rsidR="005702FE">
        <w:t xml:space="preserve">in large part </w:t>
      </w:r>
      <w:bookmarkStart w:id="0" w:name="_GoBack"/>
      <w:bookmarkEnd w:id="0"/>
      <w:r>
        <w:t>to the proceedings in the case having been stayed twice for extended periods of time</w:t>
      </w:r>
      <w:r w:rsidR="004B5C78">
        <w:t xml:space="preserve"> so that the Petitioners could fulfill their obligations to obtain required review of their proposed Project pursuant to the Massachusetts Environmental Policy Act (“MEPA”), G.L. c. 30, §§ 61-62H</w:t>
      </w:r>
      <w:r>
        <w:t>.</w:t>
      </w:r>
    </w:p>
    <w:p w:rsidR="0029590F" w:rsidRDefault="0029590F" w:rsidP="00513F7A">
      <w:pPr>
        <w:pStyle w:val="FootnoteText"/>
      </w:pPr>
    </w:p>
  </w:footnote>
  <w:footnote w:id="2">
    <w:p w:rsidR="0029590F" w:rsidRPr="00BC2443" w:rsidRDefault="0029590F" w:rsidP="00513F7A">
      <w:pPr>
        <w:rPr>
          <w:color w:val="000000"/>
          <w:sz w:val="20"/>
          <w:szCs w:val="20"/>
        </w:rPr>
      </w:pPr>
      <w:r w:rsidRPr="00463370">
        <w:rPr>
          <w:rStyle w:val="FootnoteReference"/>
          <w:sz w:val="20"/>
          <w:szCs w:val="20"/>
        </w:rPr>
        <w:footnoteRef/>
      </w:r>
      <w:r w:rsidRPr="00463370">
        <w:rPr>
          <w:sz w:val="20"/>
          <w:szCs w:val="20"/>
        </w:rPr>
        <w:t xml:space="preserve"> </w:t>
      </w:r>
      <w:r>
        <w:t xml:space="preserve"> </w:t>
      </w:r>
      <w:r w:rsidRPr="00BC2443">
        <w:rPr>
          <w:color w:val="000000"/>
          <w:sz w:val="20"/>
          <w:szCs w:val="20"/>
        </w:rPr>
        <w:t>“Performance Standards” are “</w:t>
      </w:r>
      <w:proofErr w:type="spellStart"/>
      <w:proofErr w:type="gramStart"/>
      <w:r w:rsidRPr="00BC2443">
        <w:rPr>
          <w:color w:val="000000"/>
          <w:sz w:val="20"/>
          <w:szCs w:val="20"/>
        </w:rPr>
        <w:t>th</w:t>
      </w:r>
      <w:proofErr w:type="spellEnd"/>
      <w:r w:rsidRPr="00BC2443">
        <w:rPr>
          <w:color w:val="000000"/>
          <w:sz w:val="20"/>
          <w:szCs w:val="20"/>
        </w:rPr>
        <w:t>[</w:t>
      </w:r>
      <w:proofErr w:type="gramEnd"/>
      <w:r w:rsidRPr="00BC2443">
        <w:rPr>
          <w:color w:val="000000"/>
          <w:sz w:val="20"/>
          <w:szCs w:val="20"/>
        </w:rPr>
        <w:t xml:space="preserve">e] requirements established by [the Wetlands Regulations] for activities in or affecting [specific wetlands areas protected by MWPA].”  </w:t>
      </w:r>
      <w:proofErr w:type="gramStart"/>
      <w:r w:rsidRPr="00BC2443">
        <w:rPr>
          <w:color w:val="000000"/>
          <w:sz w:val="20"/>
          <w:szCs w:val="20"/>
        </w:rPr>
        <w:t>310 CMR 10.04.</w:t>
      </w:r>
      <w:proofErr w:type="gramEnd"/>
      <w:r w:rsidRPr="00BC2443">
        <w:rPr>
          <w:color w:val="000000"/>
          <w:sz w:val="20"/>
          <w:szCs w:val="20"/>
        </w:rPr>
        <w:t xml:space="preserve">  The Performance Standards appear at 310 CMR 10.25 through 10.35 and 10.37, and 310 CMR 10.54 through 10.60.  </w:t>
      </w:r>
      <w:r w:rsidRPr="00BC2443">
        <w:rPr>
          <w:color w:val="000000"/>
          <w:sz w:val="20"/>
          <w:szCs w:val="20"/>
          <w:u w:val="single"/>
        </w:rPr>
        <w:t>Id</w:t>
      </w:r>
      <w:r w:rsidRPr="00BC2443">
        <w:rPr>
          <w:color w:val="000000"/>
          <w:sz w:val="20"/>
          <w:szCs w:val="20"/>
        </w:rPr>
        <w:t>.</w:t>
      </w:r>
      <w:r>
        <w:rPr>
          <w:color w:val="000000"/>
          <w:sz w:val="20"/>
          <w:szCs w:val="20"/>
        </w:rPr>
        <w:t xml:space="preserve">  </w:t>
      </w:r>
    </w:p>
    <w:p w:rsidR="0029590F" w:rsidRDefault="0029590F" w:rsidP="00513F7A">
      <w:pPr>
        <w:pStyle w:val="FootnoteText"/>
      </w:pPr>
    </w:p>
  </w:footnote>
  <w:footnote w:id="3">
    <w:p w:rsidR="0029590F" w:rsidRDefault="0029590F" w:rsidP="007B15CD">
      <w:pPr>
        <w:rPr>
          <w:sz w:val="20"/>
          <w:szCs w:val="20"/>
        </w:rPr>
      </w:pPr>
      <w:r w:rsidRPr="00C31A0D">
        <w:rPr>
          <w:rStyle w:val="FootnoteReference"/>
          <w:sz w:val="20"/>
          <w:szCs w:val="20"/>
        </w:rPr>
        <w:footnoteRef/>
      </w:r>
      <w:r w:rsidRPr="00C31A0D">
        <w:rPr>
          <w:sz w:val="20"/>
          <w:szCs w:val="20"/>
        </w:rPr>
        <w:t xml:space="preserve"> The Adjudicatory Proceeding Rules that govern resolution of this administrative appeal, specifically 310 CMR 1.01(6</w:t>
      </w:r>
      <w:proofErr w:type="gramStart"/>
      <w:r w:rsidRPr="00C31A0D">
        <w:rPr>
          <w:sz w:val="20"/>
          <w:szCs w:val="20"/>
        </w:rPr>
        <w:t>)(</w:t>
      </w:r>
      <w:proofErr w:type="gramEnd"/>
      <w:r w:rsidRPr="00C31A0D">
        <w:rPr>
          <w:sz w:val="20"/>
          <w:szCs w:val="20"/>
        </w:rPr>
        <w:t>h) provide that “the Presiding Officer shall stay administratively</w:t>
      </w:r>
      <w:r>
        <w:rPr>
          <w:sz w:val="20"/>
          <w:szCs w:val="20"/>
        </w:rPr>
        <w:t xml:space="preserve"> </w:t>
      </w:r>
      <w:r w:rsidRPr="00C31A0D">
        <w:rPr>
          <w:sz w:val="20"/>
          <w:szCs w:val="20"/>
        </w:rPr>
        <w:t>an appeal when an applicant is required to comply with [(MEPA)] . . . .”</w:t>
      </w:r>
      <w:r>
        <w:rPr>
          <w:sz w:val="20"/>
          <w:szCs w:val="20"/>
        </w:rPr>
        <w:t xml:space="preserve">  </w:t>
      </w:r>
      <w:r w:rsidRPr="00325FDA">
        <w:rPr>
          <w:sz w:val="20"/>
          <w:szCs w:val="20"/>
        </w:rPr>
        <w:t>MEPA “sets forth a broad policy of environmental protection in this Commonwealth by directing ‘[a]</w:t>
      </w:r>
      <w:proofErr w:type="spellStart"/>
      <w:r w:rsidRPr="00325FDA">
        <w:rPr>
          <w:sz w:val="20"/>
          <w:szCs w:val="20"/>
        </w:rPr>
        <w:t>ll</w:t>
      </w:r>
      <w:proofErr w:type="spellEnd"/>
      <w:r w:rsidRPr="00325FDA">
        <w:rPr>
          <w:sz w:val="20"/>
          <w:szCs w:val="20"/>
        </w:rPr>
        <w:t xml:space="preserve"> agencies, departments, boards, commissions and authorities’ to ‘review, evaluate, and determine the impact on the natural environment of all works, projects or activities conducted by them and . . . use all practicable means and measures to minimize damage to the environment.’”  </w:t>
      </w:r>
      <w:proofErr w:type="gramStart"/>
      <w:r w:rsidRPr="00325FDA">
        <w:rPr>
          <w:sz w:val="20"/>
          <w:szCs w:val="20"/>
          <w:u w:val="single"/>
        </w:rPr>
        <w:t>Allen v. Boston Redevelopment Authority</w:t>
      </w:r>
      <w:r w:rsidRPr="00325FDA">
        <w:rPr>
          <w:sz w:val="20"/>
          <w:szCs w:val="20"/>
        </w:rPr>
        <w:t xml:space="preserve">, 450 Mass. 242, 245 (2007); </w:t>
      </w:r>
      <w:r w:rsidRPr="00325FDA">
        <w:rPr>
          <w:sz w:val="20"/>
          <w:szCs w:val="20"/>
          <w:u w:val="single"/>
        </w:rPr>
        <w:t xml:space="preserve">Ten Persons of the Commonwealth v. </w:t>
      </w:r>
      <w:proofErr w:type="spellStart"/>
      <w:r w:rsidRPr="00325FDA">
        <w:rPr>
          <w:sz w:val="20"/>
          <w:szCs w:val="20"/>
          <w:u w:val="single"/>
        </w:rPr>
        <w:t>Fellsway</w:t>
      </w:r>
      <w:proofErr w:type="spellEnd"/>
      <w:r w:rsidRPr="00325FDA">
        <w:rPr>
          <w:sz w:val="20"/>
          <w:szCs w:val="20"/>
          <w:u w:val="single"/>
        </w:rPr>
        <w:t xml:space="preserve"> Development</w:t>
      </w:r>
      <w:r w:rsidRPr="00325FDA">
        <w:rPr>
          <w:sz w:val="20"/>
          <w:szCs w:val="20"/>
        </w:rPr>
        <w:t>, LLC, 460 Mass. 366, 368 (2011).</w:t>
      </w:r>
      <w:proofErr w:type="gramEnd"/>
      <w:r w:rsidRPr="00325FDA">
        <w:rPr>
          <w:sz w:val="20"/>
          <w:szCs w:val="20"/>
        </w:rPr>
        <w:t xml:space="preserve">  </w:t>
      </w:r>
      <w:r>
        <w:rPr>
          <w:sz w:val="20"/>
          <w:szCs w:val="20"/>
        </w:rPr>
        <w:t>“[P]</w:t>
      </w:r>
      <w:proofErr w:type="spellStart"/>
      <w:r w:rsidRPr="00325FDA">
        <w:rPr>
          <w:sz w:val="20"/>
          <w:szCs w:val="20"/>
        </w:rPr>
        <w:t>rivate</w:t>
      </w:r>
      <w:proofErr w:type="spellEnd"/>
      <w:r w:rsidRPr="00325FDA">
        <w:rPr>
          <w:sz w:val="20"/>
          <w:szCs w:val="20"/>
        </w:rPr>
        <w:t xml:space="preserve"> development ‘[p]</w:t>
      </w:r>
      <w:proofErr w:type="spellStart"/>
      <w:r w:rsidRPr="00325FDA">
        <w:rPr>
          <w:sz w:val="20"/>
          <w:szCs w:val="20"/>
        </w:rPr>
        <w:t>roject</w:t>
      </w:r>
      <w:proofErr w:type="spellEnd"/>
      <w:r w:rsidRPr="00325FDA">
        <w:rPr>
          <w:sz w:val="20"/>
          <w:szCs w:val="20"/>
        </w:rPr>
        <w:t xml:space="preserve">[s]’ that fall within the scope of </w:t>
      </w:r>
      <w:r w:rsidRPr="00325FDA">
        <w:rPr>
          <w:rStyle w:val="term1"/>
          <w:b w:val="0"/>
          <w:sz w:val="20"/>
          <w:szCs w:val="20"/>
        </w:rPr>
        <w:t>MEPA’s</w:t>
      </w:r>
      <w:r w:rsidRPr="00325FDA">
        <w:rPr>
          <w:sz w:val="20"/>
          <w:szCs w:val="20"/>
        </w:rPr>
        <w:t xml:space="preserve"> jurisdiction [include those that] . . . require[s] the issuance of a permit by [a] [State] agency.”  </w:t>
      </w:r>
      <w:proofErr w:type="spellStart"/>
      <w:proofErr w:type="gramStart"/>
      <w:r w:rsidRPr="00325FDA">
        <w:rPr>
          <w:sz w:val="20"/>
          <w:szCs w:val="20"/>
          <w:u w:val="single"/>
        </w:rPr>
        <w:t>Fellsway</w:t>
      </w:r>
      <w:proofErr w:type="spellEnd"/>
      <w:r w:rsidRPr="00325FDA">
        <w:rPr>
          <w:sz w:val="20"/>
          <w:szCs w:val="20"/>
          <w:u w:val="single"/>
        </w:rPr>
        <w:t xml:space="preserve"> Development</w:t>
      </w:r>
      <w:r w:rsidRPr="00325FDA">
        <w:rPr>
          <w:sz w:val="20"/>
          <w:szCs w:val="20"/>
        </w:rPr>
        <w:t xml:space="preserve">, 460 Mass. at 369, </w:t>
      </w:r>
      <w:r w:rsidRPr="00325FDA">
        <w:rPr>
          <w:sz w:val="20"/>
          <w:szCs w:val="20"/>
          <w:u w:val="single"/>
        </w:rPr>
        <w:t>citing</w:t>
      </w:r>
      <w:r w:rsidRPr="00325FDA">
        <w:rPr>
          <w:sz w:val="20"/>
          <w:szCs w:val="20"/>
        </w:rPr>
        <w:t xml:space="preserve">, </w:t>
      </w:r>
      <w:hyperlink r:id="rId1" w:history="1">
        <w:r w:rsidRPr="003A609B">
          <w:rPr>
            <w:rStyle w:val="Hyperlink"/>
            <w:color w:val="auto"/>
            <w:sz w:val="20"/>
            <w:szCs w:val="20"/>
            <w:u w:val="none"/>
          </w:rPr>
          <w:t>G. L. c. 30, § 62</w:t>
        </w:r>
      </w:hyperlink>
      <w:r w:rsidRPr="00325FDA">
        <w:rPr>
          <w:sz w:val="20"/>
          <w:szCs w:val="20"/>
        </w:rPr>
        <w:t>.</w:t>
      </w:r>
      <w:proofErr w:type="gramEnd"/>
    </w:p>
    <w:p w:rsidR="0029590F" w:rsidRDefault="0029590F" w:rsidP="007B15CD">
      <w:pPr>
        <w:rPr>
          <w:sz w:val="20"/>
          <w:szCs w:val="20"/>
        </w:rPr>
      </w:pPr>
    </w:p>
    <w:p w:rsidR="0029590F" w:rsidRPr="00325FDA" w:rsidRDefault="0029590F" w:rsidP="007B15CD">
      <w:pPr>
        <w:rPr>
          <w:sz w:val="20"/>
          <w:szCs w:val="20"/>
        </w:rPr>
      </w:pPr>
      <w:r w:rsidRPr="00325FDA">
        <w:rPr>
          <w:sz w:val="20"/>
          <w:szCs w:val="20"/>
        </w:rPr>
        <w:t xml:space="preserve">   “[MEPA] establishes a process, supervised by the Secretary [of the Massachusetts Executive Office of Energy and Environmental Affairs (“EEA”)], for thorough consideration of the potential environmental impact of certain projects through preparation of draft and final environmental impact reports (EIRs) . . . .”  </w:t>
      </w:r>
      <w:proofErr w:type="gramStart"/>
      <w:r w:rsidRPr="00325FDA">
        <w:rPr>
          <w:sz w:val="20"/>
          <w:szCs w:val="20"/>
          <w:u w:val="single"/>
        </w:rPr>
        <w:t>Allen</w:t>
      </w:r>
      <w:r w:rsidRPr="00325FDA">
        <w:rPr>
          <w:sz w:val="20"/>
          <w:szCs w:val="20"/>
        </w:rPr>
        <w:t xml:space="preserve">, 450 Mass. at 245-46; </w:t>
      </w:r>
      <w:proofErr w:type="spellStart"/>
      <w:r w:rsidRPr="00325FDA">
        <w:rPr>
          <w:sz w:val="20"/>
          <w:szCs w:val="20"/>
          <w:u w:val="single"/>
        </w:rPr>
        <w:t>Fellsway</w:t>
      </w:r>
      <w:proofErr w:type="spellEnd"/>
      <w:r w:rsidRPr="00325FDA">
        <w:rPr>
          <w:sz w:val="20"/>
          <w:szCs w:val="20"/>
          <w:u w:val="single"/>
        </w:rPr>
        <w:t xml:space="preserve"> Development</w:t>
      </w:r>
      <w:r w:rsidRPr="00325FDA">
        <w:rPr>
          <w:sz w:val="20"/>
          <w:szCs w:val="20"/>
        </w:rPr>
        <w:t>, 460 Mass. at 368-69.</w:t>
      </w:r>
      <w:proofErr w:type="gramEnd"/>
      <w:r w:rsidRPr="00325FDA">
        <w:rPr>
          <w:sz w:val="20"/>
          <w:szCs w:val="20"/>
        </w:rPr>
        <w:t xml:space="preserve">  “An EIR must ‘contain statements describing the nature and extent of the proposed project and its environmental impact; all measures being utilized to minimize environmental damage; any adverse short-term and  long-term environmental consequences which cannot be avoided should the project be undertaken; and reasonable alternatives to the proposed project and their environmental consequences.’”  </w:t>
      </w:r>
      <w:proofErr w:type="spellStart"/>
      <w:proofErr w:type="gramStart"/>
      <w:r w:rsidRPr="00325FDA">
        <w:rPr>
          <w:sz w:val="20"/>
          <w:szCs w:val="20"/>
          <w:u w:val="single"/>
        </w:rPr>
        <w:t>Fellsway</w:t>
      </w:r>
      <w:proofErr w:type="spellEnd"/>
      <w:r w:rsidRPr="00325FDA">
        <w:rPr>
          <w:sz w:val="20"/>
          <w:szCs w:val="20"/>
          <w:u w:val="single"/>
        </w:rPr>
        <w:t xml:space="preserve"> Development</w:t>
      </w:r>
      <w:r w:rsidRPr="00325FDA">
        <w:rPr>
          <w:sz w:val="20"/>
          <w:szCs w:val="20"/>
        </w:rPr>
        <w:t>, 460 Mass. at 368, citing, G. L. c. 30, § 62B.</w:t>
      </w:r>
      <w:proofErr w:type="gramEnd"/>
      <w:r w:rsidRPr="00325FDA">
        <w:rPr>
          <w:sz w:val="20"/>
          <w:szCs w:val="20"/>
        </w:rPr>
        <w:t xml:space="preserve"> “After a public comment period, the [EEA] Secretary issues a written certificate indicating whether the EIR ‘adequately and properly complies’ with the provisions of </w:t>
      </w:r>
      <w:r w:rsidRPr="00325FDA">
        <w:rPr>
          <w:rStyle w:val="term1"/>
          <w:b w:val="0"/>
          <w:sz w:val="20"/>
          <w:szCs w:val="20"/>
        </w:rPr>
        <w:t>MEPA</w:t>
      </w:r>
      <w:r>
        <w:rPr>
          <w:rStyle w:val="term1"/>
          <w:b w:val="0"/>
          <w:sz w:val="20"/>
          <w:szCs w:val="20"/>
        </w:rPr>
        <w:t>.</w:t>
      </w:r>
      <w:r w:rsidRPr="00325FDA">
        <w:rPr>
          <w:rStyle w:val="term1"/>
          <w:b w:val="0"/>
          <w:sz w:val="20"/>
          <w:szCs w:val="20"/>
        </w:rPr>
        <w:t xml:space="preserve">”  </w:t>
      </w:r>
      <w:proofErr w:type="gramStart"/>
      <w:r w:rsidRPr="00325FDA">
        <w:rPr>
          <w:rStyle w:val="term1"/>
          <w:b w:val="0"/>
          <w:sz w:val="20"/>
          <w:szCs w:val="20"/>
          <w:u w:val="single"/>
        </w:rPr>
        <w:t>Id</w:t>
      </w:r>
      <w:r w:rsidRPr="00325FDA">
        <w:rPr>
          <w:rStyle w:val="term1"/>
          <w:b w:val="0"/>
          <w:sz w:val="20"/>
          <w:szCs w:val="20"/>
        </w:rPr>
        <w:t xml:space="preserve">., </w:t>
      </w:r>
      <w:r w:rsidRPr="00325FDA">
        <w:rPr>
          <w:rStyle w:val="term1"/>
          <w:b w:val="0"/>
          <w:sz w:val="20"/>
          <w:szCs w:val="20"/>
          <w:u w:val="single"/>
        </w:rPr>
        <w:t>citing</w:t>
      </w:r>
      <w:r w:rsidRPr="00325FDA">
        <w:rPr>
          <w:rStyle w:val="term1"/>
          <w:b w:val="0"/>
          <w:sz w:val="20"/>
          <w:szCs w:val="20"/>
        </w:rPr>
        <w:t xml:space="preserve">, </w:t>
      </w:r>
      <w:r w:rsidRPr="00325FDA">
        <w:rPr>
          <w:sz w:val="20"/>
          <w:szCs w:val="20"/>
        </w:rPr>
        <w:t xml:space="preserve">G. L. c. 30, § 62C; </w:t>
      </w:r>
      <w:hyperlink r:id="rId2" w:history="1">
        <w:r w:rsidRPr="003A609B">
          <w:rPr>
            <w:rStyle w:val="Hyperlink"/>
            <w:color w:val="auto"/>
            <w:sz w:val="20"/>
            <w:szCs w:val="20"/>
            <w:u w:val="none"/>
          </w:rPr>
          <w:t>301 CMR § 11.08(8)</w:t>
        </w:r>
      </w:hyperlink>
      <w:r w:rsidRPr="003A609B">
        <w:rPr>
          <w:sz w:val="20"/>
          <w:szCs w:val="20"/>
        </w:rPr>
        <w:t>.</w:t>
      </w:r>
      <w:proofErr w:type="gramEnd"/>
      <w:r w:rsidRPr="00325FDA">
        <w:rPr>
          <w:sz w:val="20"/>
          <w:szCs w:val="20"/>
        </w:rPr>
        <w:t xml:space="preserve">  “It is well settled that [the] EEA [Secretary’s] approval of an [EIR] does not mean that a proposed project meets applicable permitting standards.”  </w:t>
      </w:r>
      <w:r w:rsidRPr="00325FDA">
        <w:rPr>
          <w:sz w:val="20"/>
          <w:szCs w:val="20"/>
          <w:u w:val="single"/>
        </w:rPr>
        <w:t>In the Matter of Stephen D. Peabody</w:t>
      </w:r>
      <w:r w:rsidRPr="00325FDA">
        <w:rPr>
          <w:sz w:val="20"/>
          <w:szCs w:val="20"/>
        </w:rPr>
        <w:t xml:space="preserve">, Final Decision on Reconsideration (December 27, 2011), 2011 MA ENV LEXIS 141, at 47-48.  “Instead, it only means that the project’s proponent has adequately described the environmental impacts and addressed mitigation.”  </w:t>
      </w:r>
      <w:r w:rsidRPr="00325FDA">
        <w:rPr>
          <w:sz w:val="20"/>
          <w:szCs w:val="20"/>
          <w:u w:val="single"/>
        </w:rPr>
        <w:t>Id</w:t>
      </w:r>
      <w:r w:rsidRPr="00325FDA">
        <w:rPr>
          <w:sz w:val="20"/>
          <w:szCs w:val="20"/>
        </w:rPr>
        <w:t>.  The permitting agency “retains [its] authority to fulfill its statutory and regulatory obligations in permitting or reviewing [the] Project that is subject to MEPA review . . . .”  301 CMR 11.01(1</w:t>
      </w:r>
      <w:proofErr w:type="gramStart"/>
      <w:r w:rsidRPr="00325FDA">
        <w:rPr>
          <w:sz w:val="20"/>
          <w:szCs w:val="20"/>
        </w:rPr>
        <w:t>)(</w:t>
      </w:r>
      <w:proofErr w:type="gramEnd"/>
      <w:r w:rsidRPr="00325FDA">
        <w:rPr>
          <w:sz w:val="20"/>
          <w:szCs w:val="20"/>
        </w:rPr>
        <w:t>b).</w:t>
      </w:r>
    </w:p>
    <w:p w:rsidR="0029590F" w:rsidRDefault="0029590F" w:rsidP="007B15CD"/>
  </w:footnote>
  <w:footnote w:id="4">
    <w:p w:rsidR="004B5C78" w:rsidRDefault="004B5C78" w:rsidP="004B5C78">
      <w:pPr>
        <w:pStyle w:val="FootnoteText"/>
      </w:pPr>
      <w:r>
        <w:rPr>
          <w:rStyle w:val="FootnoteReference"/>
        </w:rPr>
        <w:footnoteRef/>
      </w:r>
      <w:r>
        <w:t xml:space="preserve"> November 10, 2014 is the end date that the Petitioners requested in their Assented to Motion to amend the </w:t>
      </w:r>
      <w:r w:rsidR="009A405D">
        <w:t>PFT filing and Hearing schedule</w:t>
      </w:r>
      <w:r>
        <w:t>.</w:t>
      </w:r>
    </w:p>
    <w:p w:rsidR="004B5C78" w:rsidRDefault="004B5C78" w:rsidP="004B5C78">
      <w:pPr>
        <w:pStyle w:val="FootnoteText"/>
      </w:pP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0BF"/>
    </w:tblPr>
    <w:tblGrid>
      <w:gridCol w:w="1620"/>
      <w:gridCol w:w="9200"/>
    </w:tblGrid>
    <w:tr w:rsidR="0029590F" w:rsidTr="00C95A81">
      <w:trPr>
        <w:trHeight w:hRule="exact" w:val="1380"/>
        <w:jc w:val="center"/>
      </w:trPr>
      <w:tc>
        <w:tcPr>
          <w:tcW w:w="1620" w:type="dxa"/>
          <w:vMerge w:val="restart"/>
          <w:tcBorders>
            <w:top w:val="nil"/>
            <w:left w:val="nil"/>
            <w:right w:val="nil"/>
          </w:tcBorders>
        </w:tcPr>
        <w:p w:rsidR="0029590F" w:rsidRDefault="0029590F" w:rsidP="00BF1801">
          <w:pPr>
            <w:pStyle w:val="Header"/>
            <w:jc w:val="both"/>
          </w:pPr>
          <w:r>
            <w:rPr>
              <w:noProof/>
            </w:rPr>
            <w:drawing>
              <wp:inline distT="0" distB="0" distL="0" distR="0">
                <wp:extent cx="862965" cy="1111885"/>
                <wp:effectExtent l="19050" t="0" r="0" b="0"/>
                <wp:docPr id="8"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srcRect/>
                        <a:stretch>
                          <a:fillRect/>
                        </a:stretch>
                      </pic:blipFill>
                      <pic:spPr bwMode="auto">
                        <a:xfrm>
                          <a:off x="0" y="0"/>
                          <a:ext cx="862965" cy="1111885"/>
                        </a:xfrm>
                        <a:prstGeom prst="rect">
                          <a:avLst/>
                        </a:prstGeom>
                        <a:noFill/>
                        <a:ln w="9525">
                          <a:noFill/>
                          <a:miter lim="800000"/>
                          <a:headEnd/>
                          <a:tailEnd/>
                        </a:ln>
                      </pic:spPr>
                    </pic:pic>
                  </a:graphicData>
                </a:graphic>
              </wp:inline>
            </w:drawing>
          </w:r>
        </w:p>
      </w:tc>
      <w:tc>
        <w:tcPr>
          <w:tcW w:w="9200" w:type="dxa"/>
          <w:tcBorders>
            <w:top w:val="nil"/>
            <w:left w:val="nil"/>
            <w:bottom w:val="nil"/>
            <w:right w:val="nil"/>
          </w:tcBorders>
          <w:tcMar>
            <w:left w:w="0" w:type="dxa"/>
          </w:tcMar>
        </w:tcPr>
        <w:p w:rsidR="0029590F" w:rsidRDefault="0029590F" w:rsidP="00BF1801">
          <w:pPr>
            <w:pStyle w:val="Header"/>
          </w:pPr>
          <w:r>
            <w:rPr>
              <w:noProof/>
            </w:rPr>
            <w:drawing>
              <wp:inline distT="0" distB="0" distL="0" distR="0">
                <wp:extent cx="5837555" cy="855980"/>
                <wp:effectExtent l="19050" t="0" r="0" b="0"/>
                <wp:docPr id="9" name="Picture 10" descr="P:\P Documents\logo10\letterhead\BMP\header_tex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P Documents\logo10\letterhead\BMP\header_text.bmp"/>
                        <pic:cNvPicPr>
                          <a:picLocks noChangeAspect="1" noChangeArrowheads="1"/>
                        </pic:cNvPicPr>
                      </pic:nvPicPr>
                      <pic:blipFill>
                        <a:blip r:embed="rId2"/>
                        <a:srcRect/>
                        <a:stretch>
                          <a:fillRect/>
                        </a:stretch>
                      </pic:blipFill>
                      <pic:spPr bwMode="auto">
                        <a:xfrm>
                          <a:off x="0" y="0"/>
                          <a:ext cx="5837555" cy="855980"/>
                        </a:xfrm>
                        <a:prstGeom prst="rect">
                          <a:avLst/>
                        </a:prstGeom>
                        <a:noFill/>
                        <a:ln w="9525">
                          <a:noFill/>
                          <a:miter lim="800000"/>
                          <a:headEnd/>
                          <a:tailEnd/>
                        </a:ln>
                      </pic:spPr>
                    </pic:pic>
                  </a:graphicData>
                </a:graphic>
              </wp:inline>
            </w:drawing>
          </w:r>
        </w:p>
        <w:p w:rsidR="0029590F" w:rsidRDefault="0029590F" w:rsidP="00BF1801">
          <w:pPr>
            <w:pStyle w:val="Header"/>
          </w:pPr>
        </w:p>
        <w:p w:rsidR="0029590F" w:rsidRDefault="0029590F" w:rsidP="00BF1801"/>
        <w:p w:rsidR="0029590F" w:rsidRPr="001A50BD" w:rsidRDefault="0029590F" w:rsidP="00BF1801">
          <w:pPr>
            <w:tabs>
              <w:tab w:val="left" w:pos="1868"/>
            </w:tabs>
          </w:pPr>
        </w:p>
      </w:tc>
    </w:tr>
    <w:tr w:rsidR="0029590F" w:rsidTr="00C95A81">
      <w:trPr>
        <w:trHeight w:hRule="exact" w:val="600"/>
        <w:jc w:val="center"/>
      </w:trPr>
      <w:tc>
        <w:tcPr>
          <w:tcW w:w="1620" w:type="dxa"/>
          <w:vMerge/>
          <w:tcBorders>
            <w:left w:val="nil"/>
            <w:bottom w:val="nil"/>
            <w:right w:val="nil"/>
          </w:tcBorders>
        </w:tcPr>
        <w:p w:rsidR="0029590F" w:rsidRDefault="0029590F" w:rsidP="00BF1801">
          <w:pPr>
            <w:pStyle w:val="Header"/>
            <w:jc w:val="both"/>
          </w:pPr>
        </w:p>
      </w:tc>
      <w:tc>
        <w:tcPr>
          <w:tcW w:w="9200" w:type="dxa"/>
          <w:tcBorders>
            <w:top w:val="nil"/>
            <w:left w:val="nil"/>
            <w:bottom w:val="nil"/>
            <w:right w:val="nil"/>
          </w:tcBorders>
          <w:tcMar>
            <w:left w:w="140" w:type="dxa"/>
          </w:tcMar>
        </w:tcPr>
        <w:p w:rsidR="0029590F" w:rsidRDefault="0029590F" w:rsidP="00BF1801">
          <w:pPr>
            <w:pStyle w:val="Header"/>
            <w:ind w:left="-120"/>
          </w:pPr>
          <w:bookmarkStart w:id="1" w:name="Office"/>
          <w:bookmarkEnd w:id="1"/>
          <w:r>
            <w:rPr>
              <w:noProof/>
            </w:rPr>
            <w:drawing>
              <wp:inline distT="0" distB="0" distL="0" distR="0">
                <wp:extent cx="3380105" cy="170815"/>
                <wp:effectExtent l="19050" t="0" r="0" b="0"/>
                <wp:docPr id="1" name="Picture 4" descr="Y:\Web_Share\Letterhead 10\boston_addres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Web_Share\Letterhead 10\boston_address.bmp"/>
                        <pic:cNvPicPr>
                          <a:picLocks noChangeAspect="1" noChangeArrowheads="1"/>
                        </pic:cNvPicPr>
                      </pic:nvPicPr>
                      <pic:blipFill>
                        <a:blip r:embed="rId3"/>
                        <a:srcRect/>
                        <a:stretch>
                          <a:fillRect/>
                        </a:stretch>
                      </pic:blipFill>
                      <pic:spPr bwMode="auto">
                        <a:xfrm>
                          <a:off x="0" y="0"/>
                          <a:ext cx="3380105" cy="170815"/>
                        </a:xfrm>
                        <a:prstGeom prst="rect">
                          <a:avLst/>
                        </a:prstGeom>
                        <a:noFill/>
                        <a:ln w="9525">
                          <a:noFill/>
                          <a:miter lim="800000"/>
                          <a:headEnd/>
                          <a:tailEnd/>
                        </a:ln>
                      </pic:spPr>
                    </pic:pic>
                  </a:graphicData>
                </a:graphic>
              </wp:inline>
            </w:drawing>
          </w:r>
        </w:p>
      </w:tc>
    </w:tr>
    <w:tr w:rsidR="0029590F" w:rsidTr="00C95A81">
      <w:trPr>
        <w:trHeight w:val="600"/>
        <w:jc w:val="center"/>
      </w:trPr>
      <w:tc>
        <w:tcPr>
          <w:tcW w:w="1620" w:type="dxa"/>
          <w:tcBorders>
            <w:top w:val="nil"/>
            <w:left w:val="nil"/>
            <w:bottom w:val="nil"/>
            <w:right w:val="nil"/>
          </w:tcBorders>
        </w:tcPr>
        <w:p w:rsidR="0029590F" w:rsidRDefault="0029590F" w:rsidP="00BF1801">
          <w:pPr>
            <w:pStyle w:val="Header"/>
          </w:pPr>
          <w:r>
            <w:rPr>
              <w:noProof/>
            </w:rPr>
            <w:drawing>
              <wp:inline distT="0" distB="0" distL="0" distR="0">
                <wp:extent cx="804545" cy="229870"/>
                <wp:effectExtent l="19050" t="0" r="0" b="0"/>
                <wp:docPr id="10" name="Picture 1" descr="C:\Users\tcorcoran\AppData\Local\Microsoft\Windows\Temporary Internet Files\Content.Outlook\G7NEE1OX\govern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corcoran\AppData\Local\Microsoft\Windows\Temporary Internet Files\Content.Outlook\G7NEE1OX\governor.png"/>
                        <pic:cNvPicPr>
                          <a:picLocks noChangeAspect="1" noChangeArrowheads="1"/>
                        </pic:cNvPicPr>
                      </pic:nvPicPr>
                      <pic:blipFill>
                        <a:blip r:embed="rId4"/>
                        <a:srcRect/>
                        <a:stretch>
                          <a:fillRect/>
                        </a:stretch>
                      </pic:blipFill>
                      <pic:spPr bwMode="auto">
                        <a:xfrm>
                          <a:off x="0" y="0"/>
                          <a:ext cx="804545" cy="229870"/>
                        </a:xfrm>
                        <a:prstGeom prst="rect">
                          <a:avLst/>
                        </a:prstGeom>
                        <a:noFill/>
                        <a:ln w="9525">
                          <a:noFill/>
                          <a:miter lim="800000"/>
                          <a:headEnd/>
                          <a:tailEnd/>
                        </a:ln>
                      </pic:spPr>
                    </pic:pic>
                  </a:graphicData>
                </a:graphic>
              </wp:inline>
            </w:drawing>
          </w:r>
        </w:p>
      </w:tc>
      <w:tc>
        <w:tcPr>
          <w:tcW w:w="9200" w:type="dxa"/>
          <w:tcBorders>
            <w:top w:val="nil"/>
            <w:left w:val="nil"/>
            <w:bottom w:val="nil"/>
            <w:right w:val="nil"/>
          </w:tcBorders>
        </w:tcPr>
        <w:p w:rsidR="0029590F" w:rsidRDefault="0029590F" w:rsidP="00BF1801">
          <w:pPr>
            <w:pStyle w:val="Header"/>
            <w:ind w:right="10"/>
            <w:jc w:val="right"/>
          </w:pPr>
          <w:r>
            <w:rPr>
              <w:noProof/>
            </w:rPr>
            <w:drawing>
              <wp:inline distT="0" distB="0" distL="0" distR="0">
                <wp:extent cx="1201420" cy="229870"/>
                <wp:effectExtent l="19050" t="0" r="0" b="0"/>
                <wp:docPr id="11" name="Picture 2" descr="C:\Users\tcorcoran\AppData\Local\Microsoft\Windows\Temporary Internet Files\Content.Outlook\G7NEE1OX\secret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corcoran\AppData\Local\Microsoft\Windows\Temporary Internet Files\Content.Outlook\G7NEE1OX\secretary.png"/>
                        <pic:cNvPicPr>
                          <a:picLocks noChangeAspect="1" noChangeArrowheads="1"/>
                        </pic:cNvPicPr>
                      </pic:nvPicPr>
                      <pic:blipFill>
                        <a:blip r:embed="rId5"/>
                        <a:srcRect/>
                        <a:stretch>
                          <a:fillRect/>
                        </a:stretch>
                      </pic:blipFill>
                      <pic:spPr bwMode="auto">
                        <a:xfrm>
                          <a:off x="0" y="0"/>
                          <a:ext cx="1201420" cy="229870"/>
                        </a:xfrm>
                        <a:prstGeom prst="rect">
                          <a:avLst/>
                        </a:prstGeom>
                        <a:noFill/>
                        <a:ln w="9525">
                          <a:noFill/>
                          <a:miter lim="800000"/>
                          <a:headEnd/>
                          <a:tailEnd/>
                        </a:ln>
                      </pic:spPr>
                    </pic:pic>
                  </a:graphicData>
                </a:graphic>
              </wp:inline>
            </w:drawing>
          </w:r>
        </w:p>
      </w:tc>
    </w:tr>
    <w:tr w:rsidR="0029590F" w:rsidTr="00C95A81">
      <w:trPr>
        <w:trHeight w:val="608"/>
        <w:jc w:val="center"/>
      </w:trPr>
      <w:tc>
        <w:tcPr>
          <w:tcW w:w="1620" w:type="dxa"/>
          <w:tcBorders>
            <w:top w:val="nil"/>
            <w:left w:val="nil"/>
            <w:bottom w:val="nil"/>
            <w:right w:val="nil"/>
          </w:tcBorders>
        </w:tcPr>
        <w:p w:rsidR="0029590F" w:rsidRDefault="0029590F" w:rsidP="00BF1801">
          <w:pPr>
            <w:pStyle w:val="Header"/>
          </w:pPr>
        </w:p>
      </w:tc>
      <w:tc>
        <w:tcPr>
          <w:tcW w:w="9200" w:type="dxa"/>
          <w:tcBorders>
            <w:top w:val="nil"/>
            <w:left w:val="nil"/>
            <w:bottom w:val="nil"/>
            <w:right w:val="nil"/>
          </w:tcBorders>
        </w:tcPr>
        <w:p w:rsidR="0029590F" w:rsidRDefault="0029590F" w:rsidP="00BF1801">
          <w:pPr>
            <w:pStyle w:val="Header"/>
            <w:ind w:right="10"/>
            <w:jc w:val="right"/>
          </w:pPr>
          <w:r>
            <w:rPr>
              <w:noProof/>
            </w:rPr>
            <w:drawing>
              <wp:inline distT="0" distB="0" distL="0" distR="0">
                <wp:extent cx="708660" cy="229870"/>
                <wp:effectExtent l="19050" t="0" r="0" b="0"/>
                <wp:docPr id="12" name="Picture 3" descr="C:\Users\tcorcoran\AppData\Local\Microsoft\Windows\Temporary Internet Files\Content.Outlook\G7NEE1OX\commissio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corcoran\AppData\Local\Microsoft\Windows\Temporary Internet Files\Content.Outlook\G7NEE1OX\commissioner.png"/>
                        <pic:cNvPicPr>
                          <a:picLocks noChangeAspect="1" noChangeArrowheads="1"/>
                        </pic:cNvPicPr>
                      </pic:nvPicPr>
                      <pic:blipFill>
                        <a:blip r:embed="rId6"/>
                        <a:srcRect/>
                        <a:stretch>
                          <a:fillRect/>
                        </a:stretch>
                      </pic:blipFill>
                      <pic:spPr bwMode="auto">
                        <a:xfrm>
                          <a:off x="0" y="0"/>
                          <a:ext cx="708660" cy="229870"/>
                        </a:xfrm>
                        <a:prstGeom prst="rect">
                          <a:avLst/>
                        </a:prstGeom>
                        <a:noFill/>
                        <a:ln w="9525">
                          <a:noFill/>
                          <a:miter lim="800000"/>
                          <a:headEnd/>
                          <a:tailEnd/>
                        </a:ln>
                      </pic:spPr>
                    </pic:pic>
                  </a:graphicData>
                </a:graphic>
              </wp:inline>
            </w:drawing>
          </w:r>
        </w:p>
      </w:tc>
    </w:tr>
  </w:tbl>
  <w:p w:rsidR="0029590F" w:rsidRDefault="0029590F" w:rsidP="00BF1801">
    <w:pPr>
      <w:pStyle w:val="Header"/>
    </w:pPr>
  </w:p>
  <w:p w:rsidR="0029590F" w:rsidRDefault="0029590F" w:rsidP="00BF1801">
    <w:pPr>
      <w:pStyle w:val="Header"/>
    </w:pPr>
  </w:p>
  <w:p w:rsidR="0029590F" w:rsidRDefault="0029590F" w:rsidP="00BF180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55657"/>
    <w:rsid w:val="00003B5F"/>
    <w:rsid w:val="00007724"/>
    <w:rsid w:val="00032858"/>
    <w:rsid w:val="00036ACD"/>
    <w:rsid w:val="00037A3C"/>
    <w:rsid w:val="00042F7D"/>
    <w:rsid w:val="00057929"/>
    <w:rsid w:val="00067CA2"/>
    <w:rsid w:val="0008536B"/>
    <w:rsid w:val="00086CAA"/>
    <w:rsid w:val="00096D85"/>
    <w:rsid w:val="000A282A"/>
    <w:rsid w:val="000A596E"/>
    <w:rsid w:val="000B012C"/>
    <w:rsid w:val="000B48D2"/>
    <w:rsid w:val="000C1034"/>
    <w:rsid w:val="000C434F"/>
    <w:rsid w:val="000D2666"/>
    <w:rsid w:val="000E7783"/>
    <w:rsid w:val="000F783A"/>
    <w:rsid w:val="00102934"/>
    <w:rsid w:val="00130699"/>
    <w:rsid w:val="00130C82"/>
    <w:rsid w:val="00153243"/>
    <w:rsid w:val="00155657"/>
    <w:rsid w:val="00162344"/>
    <w:rsid w:val="00180A69"/>
    <w:rsid w:val="00182ED6"/>
    <w:rsid w:val="001873F8"/>
    <w:rsid w:val="001B3022"/>
    <w:rsid w:val="001B4D90"/>
    <w:rsid w:val="001C12FC"/>
    <w:rsid w:val="001C4F77"/>
    <w:rsid w:val="001D08F8"/>
    <w:rsid w:val="001D32A7"/>
    <w:rsid w:val="001D6FDA"/>
    <w:rsid w:val="001E045B"/>
    <w:rsid w:val="001E42FE"/>
    <w:rsid w:val="001F5B24"/>
    <w:rsid w:val="00204471"/>
    <w:rsid w:val="002127B1"/>
    <w:rsid w:val="002243DD"/>
    <w:rsid w:val="00230A5D"/>
    <w:rsid w:val="00236401"/>
    <w:rsid w:val="00244E98"/>
    <w:rsid w:val="00255015"/>
    <w:rsid w:val="00265718"/>
    <w:rsid w:val="00281CED"/>
    <w:rsid w:val="0029590F"/>
    <w:rsid w:val="00297686"/>
    <w:rsid w:val="002A4981"/>
    <w:rsid w:val="002C085C"/>
    <w:rsid w:val="002D004E"/>
    <w:rsid w:val="002E1917"/>
    <w:rsid w:val="002E6F51"/>
    <w:rsid w:val="00323123"/>
    <w:rsid w:val="00345954"/>
    <w:rsid w:val="00360058"/>
    <w:rsid w:val="003620D1"/>
    <w:rsid w:val="00362B6A"/>
    <w:rsid w:val="00363A70"/>
    <w:rsid w:val="00370DFB"/>
    <w:rsid w:val="00385F2A"/>
    <w:rsid w:val="00396C64"/>
    <w:rsid w:val="00396C99"/>
    <w:rsid w:val="003A609B"/>
    <w:rsid w:val="003B051F"/>
    <w:rsid w:val="003D0442"/>
    <w:rsid w:val="003D235C"/>
    <w:rsid w:val="003E46B2"/>
    <w:rsid w:val="003E598A"/>
    <w:rsid w:val="00403873"/>
    <w:rsid w:val="00404879"/>
    <w:rsid w:val="00410168"/>
    <w:rsid w:val="0041144E"/>
    <w:rsid w:val="0041171C"/>
    <w:rsid w:val="0041234C"/>
    <w:rsid w:val="00425C5E"/>
    <w:rsid w:val="00432CA7"/>
    <w:rsid w:val="004364D0"/>
    <w:rsid w:val="004423AD"/>
    <w:rsid w:val="004551D4"/>
    <w:rsid w:val="00460E91"/>
    <w:rsid w:val="00467980"/>
    <w:rsid w:val="00474D06"/>
    <w:rsid w:val="004811DB"/>
    <w:rsid w:val="004A4DF6"/>
    <w:rsid w:val="004B0ABB"/>
    <w:rsid w:val="004B5C78"/>
    <w:rsid w:val="004B7214"/>
    <w:rsid w:val="004C1C9D"/>
    <w:rsid w:val="004C77C5"/>
    <w:rsid w:val="004E77C5"/>
    <w:rsid w:val="00511ED2"/>
    <w:rsid w:val="005132F4"/>
    <w:rsid w:val="00513F7A"/>
    <w:rsid w:val="0051729E"/>
    <w:rsid w:val="0052519F"/>
    <w:rsid w:val="00526B3C"/>
    <w:rsid w:val="00557D8A"/>
    <w:rsid w:val="00561702"/>
    <w:rsid w:val="00562C60"/>
    <w:rsid w:val="005702FE"/>
    <w:rsid w:val="00570705"/>
    <w:rsid w:val="00577487"/>
    <w:rsid w:val="005A264E"/>
    <w:rsid w:val="005A694B"/>
    <w:rsid w:val="005B1FE9"/>
    <w:rsid w:val="005B3A09"/>
    <w:rsid w:val="005D1BEA"/>
    <w:rsid w:val="005D7331"/>
    <w:rsid w:val="005F06B0"/>
    <w:rsid w:val="00603095"/>
    <w:rsid w:val="00611F42"/>
    <w:rsid w:val="00614B29"/>
    <w:rsid w:val="006213E3"/>
    <w:rsid w:val="00637058"/>
    <w:rsid w:val="00643EC7"/>
    <w:rsid w:val="006521C3"/>
    <w:rsid w:val="00661C21"/>
    <w:rsid w:val="00677519"/>
    <w:rsid w:val="00692E16"/>
    <w:rsid w:val="006944F3"/>
    <w:rsid w:val="006B3E1C"/>
    <w:rsid w:val="006D09B5"/>
    <w:rsid w:val="006D3A70"/>
    <w:rsid w:val="006E7602"/>
    <w:rsid w:val="006F7184"/>
    <w:rsid w:val="00704256"/>
    <w:rsid w:val="0071426D"/>
    <w:rsid w:val="00714B2D"/>
    <w:rsid w:val="00715317"/>
    <w:rsid w:val="007163EF"/>
    <w:rsid w:val="00743AAE"/>
    <w:rsid w:val="007476BE"/>
    <w:rsid w:val="007638B8"/>
    <w:rsid w:val="007654BA"/>
    <w:rsid w:val="007707B1"/>
    <w:rsid w:val="00780D15"/>
    <w:rsid w:val="00783BD3"/>
    <w:rsid w:val="007B0E80"/>
    <w:rsid w:val="007B15CD"/>
    <w:rsid w:val="007B633A"/>
    <w:rsid w:val="007D1BCC"/>
    <w:rsid w:val="007F3DA4"/>
    <w:rsid w:val="007F6971"/>
    <w:rsid w:val="007F78CF"/>
    <w:rsid w:val="00801FAD"/>
    <w:rsid w:val="00802EEA"/>
    <w:rsid w:val="00803A4A"/>
    <w:rsid w:val="00823CF1"/>
    <w:rsid w:val="00823F1D"/>
    <w:rsid w:val="0083067B"/>
    <w:rsid w:val="00840A57"/>
    <w:rsid w:val="008427E7"/>
    <w:rsid w:val="0084779A"/>
    <w:rsid w:val="008519AA"/>
    <w:rsid w:val="00876C09"/>
    <w:rsid w:val="0088746C"/>
    <w:rsid w:val="008A2642"/>
    <w:rsid w:val="008B496C"/>
    <w:rsid w:val="008C4B7A"/>
    <w:rsid w:val="008D5F18"/>
    <w:rsid w:val="008E6B5A"/>
    <w:rsid w:val="008F1402"/>
    <w:rsid w:val="009029D1"/>
    <w:rsid w:val="00910EF8"/>
    <w:rsid w:val="00912F99"/>
    <w:rsid w:val="009167AA"/>
    <w:rsid w:val="0092422F"/>
    <w:rsid w:val="009307BB"/>
    <w:rsid w:val="009425AD"/>
    <w:rsid w:val="00945378"/>
    <w:rsid w:val="00947C56"/>
    <w:rsid w:val="009556DC"/>
    <w:rsid w:val="00962B2A"/>
    <w:rsid w:val="00964DFB"/>
    <w:rsid w:val="009966FE"/>
    <w:rsid w:val="009A405D"/>
    <w:rsid w:val="009B0962"/>
    <w:rsid w:val="009B4A0B"/>
    <w:rsid w:val="009D04AF"/>
    <w:rsid w:val="009D0699"/>
    <w:rsid w:val="00A006D1"/>
    <w:rsid w:val="00A05796"/>
    <w:rsid w:val="00A34223"/>
    <w:rsid w:val="00A51916"/>
    <w:rsid w:val="00A601F7"/>
    <w:rsid w:val="00A7098B"/>
    <w:rsid w:val="00A71BEB"/>
    <w:rsid w:val="00A9759A"/>
    <w:rsid w:val="00A97A28"/>
    <w:rsid w:val="00AA206D"/>
    <w:rsid w:val="00AB15BA"/>
    <w:rsid w:val="00AB3389"/>
    <w:rsid w:val="00AD119E"/>
    <w:rsid w:val="00AD3007"/>
    <w:rsid w:val="00AD7F97"/>
    <w:rsid w:val="00AE6950"/>
    <w:rsid w:val="00AF7EC4"/>
    <w:rsid w:val="00B04084"/>
    <w:rsid w:val="00B41AD6"/>
    <w:rsid w:val="00B52A6A"/>
    <w:rsid w:val="00B63A83"/>
    <w:rsid w:val="00B64986"/>
    <w:rsid w:val="00B65A95"/>
    <w:rsid w:val="00B83858"/>
    <w:rsid w:val="00B86B83"/>
    <w:rsid w:val="00B944B6"/>
    <w:rsid w:val="00B97B5E"/>
    <w:rsid w:val="00BA1D2D"/>
    <w:rsid w:val="00BA5217"/>
    <w:rsid w:val="00BC4FE4"/>
    <w:rsid w:val="00BE1025"/>
    <w:rsid w:val="00BF0A51"/>
    <w:rsid w:val="00BF1801"/>
    <w:rsid w:val="00C10633"/>
    <w:rsid w:val="00C13183"/>
    <w:rsid w:val="00C13677"/>
    <w:rsid w:val="00C16832"/>
    <w:rsid w:val="00C1727B"/>
    <w:rsid w:val="00C23B5B"/>
    <w:rsid w:val="00C2716B"/>
    <w:rsid w:val="00C31A0D"/>
    <w:rsid w:val="00C320F9"/>
    <w:rsid w:val="00C40155"/>
    <w:rsid w:val="00C52A6A"/>
    <w:rsid w:val="00C54298"/>
    <w:rsid w:val="00C64050"/>
    <w:rsid w:val="00C65EDE"/>
    <w:rsid w:val="00C772A6"/>
    <w:rsid w:val="00C85676"/>
    <w:rsid w:val="00C874A8"/>
    <w:rsid w:val="00C95A81"/>
    <w:rsid w:val="00CA062D"/>
    <w:rsid w:val="00CA2A00"/>
    <w:rsid w:val="00CA490D"/>
    <w:rsid w:val="00CB5889"/>
    <w:rsid w:val="00CC0BEF"/>
    <w:rsid w:val="00CC6899"/>
    <w:rsid w:val="00CD16EA"/>
    <w:rsid w:val="00CD2DA2"/>
    <w:rsid w:val="00CF72DD"/>
    <w:rsid w:val="00D10B9F"/>
    <w:rsid w:val="00D12876"/>
    <w:rsid w:val="00D40C36"/>
    <w:rsid w:val="00D7787E"/>
    <w:rsid w:val="00D85319"/>
    <w:rsid w:val="00D94D7B"/>
    <w:rsid w:val="00DA3357"/>
    <w:rsid w:val="00DC6652"/>
    <w:rsid w:val="00DD0EB2"/>
    <w:rsid w:val="00DD6210"/>
    <w:rsid w:val="00DD7F03"/>
    <w:rsid w:val="00DE204F"/>
    <w:rsid w:val="00DE529D"/>
    <w:rsid w:val="00E0250F"/>
    <w:rsid w:val="00E02E41"/>
    <w:rsid w:val="00E06646"/>
    <w:rsid w:val="00E07398"/>
    <w:rsid w:val="00E22894"/>
    <w:rsid w:val="00E242D4"/>
    <w:rsid w:val="00E30DFA"/>
    <w:rsid w:val="00E33B27"/>
    <w:rsid w:val="00E35551"/>
    <w:rsid w:val="00E35F33"/>
    <w:rsid w:val="00E36B52"/>
    <w:rsid w:val="00E374C9"/>
    <w:rsid w:val="00E51CB9"/>
    <w:rsid w:val="00E8051D"/>
    <w:rsid w:val="00E90038"/>
    <w:rsid w:val="00E9696A"/>
    <w:rsid w:val="00EA2C14"/>
    <w:rsid w:val="00EC3DE9"/>
    <w:rsid w:val="00EC4517"/>
    <w:rsid w:val="00EC62D6"/>
    <w:rsid w:val="00ED0CC3"/>
    <w:rsid w:val="00ED530E"/>
    <w:rsid w:val="00EE4465"/>
    <w:rsid w:val="00EE51D0"/>
    <w:rsid w:val="00EF0A03"/>
    <w:rsid w:val="00EF2D8C"/>
    <w:rsid w:val="00F3524C"/>
    <w:rsid w:val="00F3530A"/>
    <w:rsid w:val="00F4346B"/>
    <w:rsid w:val="00F47F24"/>
    <w:rsid w:val="00F622EC"/>
    <w:rsid w:val="00F80853"/>
    <w:rsid w:val="00F8086D"/>
    <w:rsid w:val="00F82D15"/>
    <w:rsid w:val="00F9492A"/>
    <w:rsid w:val="00F94DE7"/>
    <w:rsid w:val="00FA19E8"/>
    <w:rsid w:val="00FA2F45"/>
    <w:rsid w:val="00FB6298"/>
    <w:rsid w:val="00FD7EC0"/>
    <w:rsid w:val="00FE18E1"/>
    <w:rsid w:val="00FE3F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65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55657"/>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657"/>
    <w:rPr>
      <w:rFonts w:ascii="Times New Roman" w:eastAsia="Times New Roman" w:hAnsi="Times New Roman" w:cs="Times New Roman"/>
      <w:b/>
      <w:bCs/>
      <w:sz w:val="24"/>
      <w:szCs w:val="24"/>
      <w:u w:val="single"/>
    </w:rPr>
  </w:style>
  <w:style w:type="paragraph" w:styleId="Header">
    <w:name w:val="header"/>
    <w:basedOn w:val="Normal"/>
    <w:link w:val="HeaderChar"/>
    <w:uiPriority w:val="99"/>
    <w:rsid w:val="00155657"/>
    <w:pPr>
      <w:tabs>
        <w:tab w:val="center" w:pos="4320"/>
        <w:tab w:val="right" w:pos="8640"/>
      </w:tabs>
    </w:pPr>
  </w:style>
  <w:style w:type="character" w:customStyle="1" w:styleId="HeaderChar">
    <w:name w:val="Header Char"/>
    <w:basedOn w:val="DefaultParagraphFont"/>
    <w:link w:val="Header"/>
    <w:uiPriority w:val="99"/>
    <w:rsid w:val="00155657"/>
    <w:rPr>
      <w:rFonts w:ascii="Times New Roman" w:eastAsia="Times New Roman" w:hAnsi="Times New Roman" w:cs="Times New Roman"/>
      <w:sz w:val="24"/>
      <w:szCs w:val="24"/>
    </w:rPr>
  </w:style>
  <w:style w:type="paragraph" w:styleId="Footer">
    <w:name w:val="footer"/>
    <w:basedOn w:val="Normal"/>
    <w:link w:val="FooterChar"/>
    <w:rsid w:val="00155657"/>
    <w:pPr>
      <w:tabs>
        <w:tab w:val="center" w:pos="4320"/>
        <w:tab w:val="right" w:pos="8640"/>
      </w:tabs>
    </w:pPr>
  </w:style>
  <w:style w:type="character" w:customStyle="1" w:styleId="FooterChar">
    <w:name w:val="Footer Char"/>
    <w:basedOn w:val="DefaultParagraphFont"/>
    <w:link w:val="Footer"/>
    <w:rsid w:val="00155657"/>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155657"/>
    <w:rPr>
      <w:sz w:val="20"/>
      <w:szCs w:val="20"/>
    </w:rPr>
  </w:style>
  <w:style w:type="character" w:customStyle="1" w:styleId="FootnoteTextChar">
    <w:name w:val="Footnote Text Char"/>
    <w:basedOn w:val="DefaultParagraphFont"/>
    <w:link w:val="FootnoteText"/>
    <w:uiPriority w:val="99"/>
    <w:rsid w:val="00155657"/>
    <w:rPr>
      <w:rFonts w:ascii="Times New Roman" w:eastAsia="Times New Roman" w:hAnsi="Times New Roman" w:cs="Times New Roman"/>
      <w:sz w:val="20"/>
      <w:szCs w:val="20"/>
    </w:rPr>
  </w:style>
  <w:style w:type="character" w:styleId="FootnoteReference">
    <w:name w:val="footnote reference"/>
    <w:basedOn w:val="DefaultParagraphFont"/>
    <w:rsid w:val="00155657"/>
    <w:rPr>
      <w:vertAlign w:val="superscript"/>
    </w:rPr>
  </w:style>
  <w:style w:type="paragraph" w:styleId="BodyTextIndent">
    <w:name w:val="Body Text Indent"/>
    <w:basedOn w:val="Normal"/>
    <w:link w:val="BodyTextIndentChar"/>
    <w:rsid w:val="00155657"/>
    <w:pPr>
      <w:ind w:firstLine="720"/>
    </w:pPr>
    <w:rPr>
      <w:sz w:val="20"/>
    </w:rPr>
  </w:style>
  <w:style w:type="character" w:customStyle="1" w:styleId="BodyTextIndentChar">
    <w:name w:val="Body Text Indent Char"/>
    <w:basedOn w:val="DefaultParagraphFont"/>
    <w:link w:val="BodyTextIndent"/>
    <w:rsid w:val="00155657"/>
    <w:rPr>
      <w:rFonts w:ascii="Times New Roman" w:eastAsia="Times New Roman" w:hAnsi="Times New Roman" w:cs="Times New Roman"/>
      <w:sz w:val="20"/>
      <w:szCs w:val="24"/>
    </w:rPr>
  </w:style>
  <w:style w:type="character" w:styleId="PageNumber">
    <w:name w:val="page number"/>
    <w:basedOn w:val="DefaultParagraphFont"/>
    <w:rsid w:val="00155657"/>
  </w:style>
  <w:style w:type="paragraph" w:styleId="BodyTextIndent2">
    <w:name w:val="Body Text Indent 2"/>
    <w:basedOn w:val="Normal"/>
    <w:link w:val="BodyTextIndent2Char"/>
    <w:rsid w:val="00155657"/>
    <w:pPr>
      <w:spacing w:line="480" w:lineRule="auto"/>
      <w:ind w:left="720" w:firstLine="720"/>
    </w:pPr>
    <w:rPr>
      <w:szCs w:val="20"/>
    </w:rPr>
  </w:style>
  <w:style w:type="character" w:customStyle="1" w:styleId="BodyTextIndent2Char">
    <w:name w:val="Body Text Indent 2 Char"/>
    <w:basedOn w:val="DefaultParagraphFont"/>
    <w:link w:val="BodyTextIndent2"/>
    <w:rsid w:val="00155657"/>
    <w:rPr>
      <w:rFonts w:ascii="Times New Roman" w:eastAsia="Times New Roman" w:hAnsi="Times New Roman" w:cs="Times New Roman"/>
      <w:sz w:val="24"/>
      <w:szCs w:val="20"/>
    </w:rPr>
  </w:style>
  <w:style w:type="paragraph" w:styleId="Title">
    <w:name w:val="Title"/>
    <w:basedOn w:val="Normal"/>
    <w:link w:val="TitleChar"/>
    <w:qFormat/>
    <w:rsid w:val="00155657"/>
    <w:pPr>
      <w:jc w:val="center"/>
    </w:pPr>
    <w:rPr>
      <w:b/>
      <w:szCs w:val="20"/>
    </w:rPr>
  </w:style>
  <w:style w:type="character" w:customStyle="1" w:styleId="TitleChar">
    <w:name w:val="Title Char"/>
    <w:basedOn w:val="DefaultParagraphFont"/>
    <w:link w:val="Title"/>
    <w:rsid w:val="00155657"/>
    <w:rPr>
      <w:rFonts w:ascii="Times New Roman" w:eastAsia="Times New Roman" w:hAnsi="Times New Roman" w:cs="Times New Roman"/>
      <w:b/>
      <w:sz w:val="24"/>
      <w:szCs w:val="20"/>
    </w:rPr>
  </w:style>
  <w:style w:type="paragraph" w:styleId="NormalWeb">
    <w:name w:val="Normal (Web)"/>
    <w:basedOn w:val="Normal"/>
    <w:rsid w:val="00155657"/>
    <w:pPr>
      <w:spacing w:before="100" w:beforeAutospacing="1" w:after="100" w:afterAutospacing="1"/>
    </w:pPr>
    <w:rPr>
      <w:rFonts w:ascii="Arial Unicode MS" w:eastAsia="Arial Unicode MS" w:hAnsi="Arial Unicode MS" w:cs="Arial Unicode MS"/>
    </w:rPr>
  </w:style>
  <w:style w:type="paragraph" w:customStyle="1" w:styleId="Default">
    <w:name w:val="Default"/>
    <w:rsid w:val="00155657"/>
    <w:pPr>
      <w:autoSpaceDE w:val="0"/>
      <w:autoSpaceDN w:val="0"/>
      <w:adjustRightInd w:val="0"/>
      <w:spacing w:after="0" w:line="240" w:lineRule="auto"/>
    </w:pPr>
    <w:rPr>
      <w:rFonts w:ascii="WRDIS B+ Times New" w:eastAsia="Times New Roman" w:hAnsi="WRDIS B+ Times New" w:cs="Times New Roman"/>
      <w:color w:val="000000"/>
      <w:sz w:val="24"/>
      <w:szCs w:val="24"/>
    </w:rPr>
  </w:style>
  <w:style w:type="paragraph" w:styleId="BalloonText">
    <w:name w:val="Balloon Text"/>
    <w:basedOn w:val="Normal"/>
    <w:link w:val="BalloonTextChar"/>
    <w:uiPriority w:val="99"/>
    <w:semiHidden/>
    <w:unhideWhenUsed/>
    <w:rsid w:val="00155657"/>
    <w:rPr>
      <w:rFonts w:ascii="Tahoma" w:hAnsi="Tahoma" w:cs="Tahoma"/>
      <w:sz w:val="16"/>
      <w:szCs w:val="16"/>
    </w:rPr>
  </w:style>
  <w:style w:type="character" w:customStyle="1" w:styleId="BalloonTextChar">
    <w:name w:val="Balloon Text Char"/>
    <w:basedOn w:val="DefaultParagraphFont"/>
    <w:link w:val="BalloonText"/>
    <w:uiPriority w:val="99"/>
    <w:semiHidden/>
    <w:rsid w:val="00155657"/>
    <w:rPr>
      <w:rFonts w:ascii="Tahoma" w:eastAsia="Times New Roman" w:hAnsi="Tahoma" w:cs="Tahoma"/>
      <w:sz w:val="16"/>
      <w:szCs w:val="16"/>
    </w:rPr>
  </w:style>
  <w:style w:type="character" w:styleId="Hyperlink">
    <w:name w:val="Hyperlink"/>
    <w:rsid w:val="0052519F"/>
    <w:rPr>
      <w:color w:val="0000FF"/>
      <w:u w:val="single"/>
    </w:rPr>
  </w:style>
  <w:style w:type="character" w:customStyle="1" w:styleId="term1">
    <w:name w:val="term1"/>
    <w:rsid w:val="0052519F"/>
    <w:rPr>
      <w:b/>
      <w:bCs/>
    </w:rPr>
  </w:style>
  <w:style w:type="character" w:customStyle="1" w:styleId="pmterms11">
    <w:name w:val="pmterms11"/>
    <w:basedOn w:val="DefaultParagraphFont"/>
    <w:rsid w:val="00E0250F"/>
    <w:rPr>
      <w:b/>
      <w:bCs/>
      <w:i w:val="0"/>
      <w:iCs w:val="0"/>
      <w:color w:val="000000"/>
    </w:rPr>
  </w:style>
  <w:style w:type="paragraph" w:styleId="BodyText2">
    <w:name w:val="Body Text 2"/>
    <w:basedOn w:val="Normal"/>
    <w:link w:val="BodyText2Char"/>
    <w:uiPriority w:val="99"/>
    <w:semiHidden/>
    <w:unhideWhenUsed/>
    <w:rsid w:val="00A05796"/>
    <w:pPr>
      <w:spacing w:after="120" w:line="480" w:lineRule="auto"/>
    </w:pPr>
  </w:style>
  <w:style w:type="character" w:customStyle="1" w:styleId="BodyText2Char">
    <w:name w:val="Body Text 2 Char"/>
    <w:basedOn w:val="DefaultParagraphFont"/>
    <w:link w:val="BodyText2"/>
    <w:uiPriority w:val="99"/>
    <w:semiHidden/>
    <w:rsid w:val="00A05796"/>
    <w:rPr>
      <w:rFonts w:ascii="Times New Roman" w:eastAsia="Times New Roman" w:hAnsi="Times New Roman" w:cs="Times New Roman"/>
      <w:sz w:val="24"/>
      <w:szCs w:val="24"/>
    </w:rPr>
  </w:style>
  <w:style w:type="character" w:customStyle="1" w:styleId="term">
    <w:name w:val="term"/>
    <w:rsid w:val="005A694B"/>
  </w:style>
  <w:style w:type="character" w:styleId="Emphasis">
    <w:name w:val="Emphasis"/>
    <w:uiPriority w:val="20"/>
    <w:qFormat/>
    <w:rsid w:val="005A694B"/>
    <w:rPr>
      <w:i/>
      <w:iCs/>
    </w:rPr>
  </w:style>
  <w:style w:type="paragraph" w:styleId="BodyTextIndent3">
    <w:name w:val="Body Text Indent 3"/>
    <w:basedOn w:val="Normal"/>
    <w:link w:val="BodyTextIndent3Char"/>
    <w:uiPriority w:val="99"/>
    <w:semiHidden/>
    <w:unhideWhenUsed/>
    <w:rsid w:val="005F06B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F06B0"/>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4751975">
      <w:bodyDiv w:val="1"/>
      <w:marLeft w:val="0"/>
      <w:marRight w:val="0"/>
      <w:marTop w:val="0"/>
      <w:marBottom w:val="0"/>
      <w:divBdr>
        <w:top w:val="none" w:sz="0" w:space="0" w:color="auto"/>
        <w:left w:val="none" w:sz="0" w:space="0" w:color="auto"/>
        <w:bottom w:val="none" w:sz="0" w:space="0" w:color="auto"/>
        <w:right w:val="none" w:sz="0" w:space="0" w:color="auto"/>
      </w:divBdr>
      <w:divsChild>
        <w:div w:id="822813238">
          <w:marLeft w:val="0"/>
          <w:marRight w:val="0"/>
          <w:marTop w:val="0"/>
          <w:marBottom w:val="0"/>
          <w:divBdr>
            <w:top w:val="none" w:sz="0" w:space="0" w:color="auto"/>
            <w:left w:val="none" w:sz="0" w:space="0" w:color="auto"/>
            <w:bottom w:val="none" w:sz="0" w:space="0" w:color="auto"/>
            <w:right w:val="none" w:sz="0" w:space="0" w:color="auto"/>
          </w:divBdr>
          <w:divsChild>
            <w:div w:id="1456027710">
              <w:marLeft w:val="0"/>
              <w:marRight w:val="0"/>
              <w:marTop w:val="0"/>
              <w:marBottom w:val="0"/>
              <w:divBdr>
                <w:top w:val="none" w:sz="0" w:space="0" w:color="auto"/>
                <w:left w:val="none" w:sz="0" w:space="0" w:color="auto"/>
                <w:bottom w:val="none" w:sz="0" w:space="0" w:color="auto"/>
                <w:right w:val="none" w:sz="0" w:space="0" w:color="auto"/>
              </w:divBdr>
              <w:divsChild>
                <w:div w:id="16740612">
                  <w:marLeft w:val="0"/>
                  <w:marRight w:val="0"/>
                  <w:marTop w:val="0"/>
                  <w:marBottom w:val="0"/>
                  <w:divBdr>
                    <w:top w:val="none" w:sz="0" w:space="0" w:color="auto"/>
                    <w:left w:val="none" w:sz="0" w:space="0" w:color="auto"/>
                    <w:bottom w:val="none" w:sz="0" w:space="0" w:color="auto"/>
                    <w:right w:val="none" w:sz="0" w:space="0" w:color="auto"/>
                  </w:divBdr>
                  <w:divsChild>
                    <w:div w:id="21158188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12" Type="http://schemas.microsoft.com/office/2007/relationships/stylesWithEffects" Target="stylesWithEffects.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footer" Target="footer2.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lexis.com/research/buttonTFLink?_m=0e0c3d5735841283f8fb94a50832f30c&amp;_xfercite=%3ccite%20cc%3d%22USA%22%3e%3c%21%5bCDATA%5b460%20Mass.%20366%5d%5d%3e%3c%2fcite%3e&amp;_butType=4&amp;_butStat=0&amp;_butNum=140&amp;_butInline=1&amp;_butinfo=MASS.%20ANN.%20LAWS%2030%2062&amp;_fmtstr=FULL&amp;docnum=3&amp;_startdoc=1&amp;wchp=dGLzVzB-zSkAb&amp;_md5=2e8f33e76552f1ec2293ddd8e22fc71b"/>
  <Relationship Id="rId2" Type="http://schemas.openxmlformats.org/officeDocument/2006/relationships/hyperlink" TargetMode="External" Target="http://www.lexis.com/research/buttonTFLink?_m=0e0c3d5735841283f8fb94a50832f30c&amp;_xfercite=%3ccite%20cc%3d%22USA%22%3e%3c%21%5bCDATA%5b460%20Mass.%20366%5d%5d%3e%3c%2fcite%3e&amp;_butType=4&amp;_butStat=0&amp;_butNum=133&amp;_butInline=1&amp;_butinfo=301%20CODE%20MASS%20REGS%2011.08%288%29&amp;_fmtstr=FULL&amp;docnum=3&amp;_startdoc=1&amp;wchp=dGLzVzB-zSkAb&amp;_md5=e7d28255e843a28c0daaf656eb44f58d"/>
</Relationships>

</file>

<file path=word/_rels/header1.xml.rels><?xml version="1.0" encoding="UTF-8"?>

<Relationships xmlns="http://schemas.openxmlformats.org/package/2006/relationships">
  <Relationship Id="rId1" Type="http://schemas.openxmlformats.org/officeDocument/2006/relationships/image" Target="media/image1.png"/>
  <Relationship Id="rId2" Type="http://schemas.openxmlformats.org/officeDocument/2006/relationships/image" Target="media/image2.png"/>
  <Relationship Id="rId3" Type="http://schemas.openxmlformats.org/officeDocument/2006/relationships/image" Target="media/image3.png"/>
  <Relationship Id="rId4" Type="http://schemas.openxmlformats.org/officeDocument/2006/relationships/image" Target="media/image4.png"/>
  <Relationship Id="rId5" Type="http://schemas.openxmlformats.org/officeDocument/2006/relationships/image" Target="media/image5.png"/>
  <Relationship Id="rId6"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5199F4-92B3-444A-81FB-BD00B6365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1520</Words>
  <Characters>8665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Environmental Protection</Company>
  <LinksUpToDate>false</LinksUpToDate>
  <CharactersWithSpaces>10165</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2015-01-05T15:53:00Z</dcterms:created>
  <dc:creator>sgiorlandino</dc:creator>
  <lastModifiedBy>bmunster</lastModifiedBy>
  <lastPrinted>2014-12-09T16:48:00Z</lastPrinted>
  <dcterms:modified xsi:type="dcterms:W3CDTF">2015-01-05T15:53:00Z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677386713</vt:i4>
  </property>
  <property fmtid="{D5CDD505-2E9C-101B-9397-08002B2CF9AE}" pid="3" name="_NewReviewCycle">
    <vt:lpwstr/>
  </property>
  <property fmtid="{D5CDD505-2E9C-101B-9397-08002B2CF9AE}" pid="4" name="_EmailSubject">
    <vt:lpwstr/>
  </property>
  <property fmtid="{D5CDD505-2E9C-101B-9397-08002B2CF9AE}" pid="5" name="_AuthorEmail">
    <vt:lpwstr>Sal.Giorlandino@MassMail.State.MA.US</vt:lpwstr>
  </property>
  <property fmtid="{D5CDD505-2E9C-101B-9397-08002B2CF9AE}" pid="6" name="_AuthorEmailDisplayName">
    <vt:lpwstr>Giorlandino, Salvatore (DEP)</vt:lpwstr>
  </property>
  <property fmtid="{D5CDD505-2E9C-101B-9397-08002B2CF9AE}" pid="7" name="_ReviewingToolsShownOnce">
    <vt:lpwstr/>
  </property>
</Properties>
</file>