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A9DFD" w14:textId="77777777" w:rsidR="00321C89" w:rsidRPr="00B94BEF" w:rsidRDefault="00B94BEF" w:rsidP="00CB04F9">
      <w:pPr>
        <w:jc w:val="center"/>
        <w:rPr>
          <w:b/>
          <w:sz w:val="32"/>
          <w:szCs w:val="32"/>
        </w:rPr>
      </w:pPr>
      <w:r>
        <w:rPr>
          <w:b/>
          <w:sz w:val="32"/>
          <w:szCs w:val="32"/>
        </w:rPr>
        <w:t xml:space="preserve">WHAT’S </w:t>
      </w:r>
      <w:r w:rsidR="00B934C6" w:rsidRPr="00B94BEF">
        <w:rPr>
          <w:b/>
          <w:sz w:val="32"/>
          <w:szCs w:val="32"/>
        </w:rPr>
        <w:t>NEW FOR FY202</w:t>
      </w:r>
      <w:r w:rsidR="00335132">
        <w:rPr>
          <w:b/>
          <w:sz w:val="32"/>
          <w:szCs w:val="32"/>
        </w:rPr>
        <w:t>1</w:t>
      </w:r>
    </w:p>
    <w:p w14:paraId="0163F333" w14:textId="72759CC1" w:rsidR="00455BA2" w:rsidRDefault="00455BA2" w:rsidP="00C1011D">
      <w:pPr>
        <w:rPr>
          <w:sz w:val="24"/>
          <w:szCs w:val="24"/>
        </w:rPr>
      </w:pPr>
    </w:p>
    <w:p w14:paraId="250B7EEB" w14:textId="4510C47A" w:rsidR="00455BA2" w:rsidRDefault="00455BA2" w:rsidP="00C1011D">
      <w:pPr>
        <w:rPr>
          <w:sz w:val="24"/>
          <w:szCs w:val="24"/>
        </w:rPr>
      </w:pPr>
    </w:p>
    <w:p w14:paraId="6D76FB9B" w14:textId="77777777" w:rsidR="00455BA2" w:rsidRPr="00641589" w:rsidRDefault="00455BA2" w:rsidP="00455BA2">
      <w:pPr>
        <w:overflowPunct/>
        <w:autoSpaceDE/>
        <w:autoSpaceDN/>
        <w:adjustRightInd/>
        <w:ind w:firstLine="522"/>
        <w:textAlignment w:val="auto"/>
        <w:rPr>
          <w:b/>
          <w:sz w:val="24"/>
          <w:szCs w:val="24"/>
        </w:rPr>
      </w:pPr>
      <w:r w:rsidRPr="00641589">
        <w:rPr>
          <w:b/>
          <w:sz w:val="24"/>
          <w:szCs w:val="24"/>
        </w:rPr>
        <w:t>OVERVIEW</w:t>
      </w:r>
    </w:p>
    <w:p w14:paraId="089F4CF8" w14:textId="77777777" w:rsidR="00455BA2" w:rsidRDefault="00455BA2" w:rsidP="00455BA2">
      <w:pPr>
        <w:overflowPunct/>
        <w:autoSpaceDE/>
        <w:autoSpaceDN/>
        <w:adjustRightInd/>
        <w:ind w:left="522"/>
        <w:textAlignment w:val="auto"/>
        <w:rPr>
          <w:sz w:val="24"/>
          <w:szCs w:val="24"/>
        </w:rPr>
      </w:pPr>
      <w:r>
        <w:rPr>
          <w:sz w:val="24"/>
          <w:szCs w:val="24"/>
        </w:rPr>
        <w:t xml:space="preserve">As of July 1, 2018, all Department of Development Services (DDS) programs that fall under rate regulations are being </w:t>
      </w:r>
      <w:r w:rsidRPr="00C01871">
        <w:rPr>
          <w:sz w:val="24"/>
          <w:szCs w:val="24"/>
        </w:rPr>
        <w:t xml:space="preserve">reimbursed </w:t>
      </w:r>
      <w:r>
        <w:rPr>
          <w:sz w:val="24"/>
          <w:szCs w:val="24"/>
        </w:rPr>
        <w:t>according to</w:t>
      </w:r>
      <w:r w:rsidRPr="00C01871">
        <w:rPr>
          <w:sz w:val="24"/>
          <w:szCs w:val="24"/>
        </w:rPr>
        <w:t xml:space="preserve"> regulated rates </w:t>
      </w:r>
      <w:r>
        <w:rPr>
          <w:sz w:val="24"/>
          <w:szCs w:val="24"/>
        </w:rPr>
        <w:t>under the provisions of M.G.L. c 118E, 13C, also known as C</w:t>
      </w:r>
      <w:r w:rsidRPr="00C01871">
        <w:rPr>
          <w:sz w:val="24"/>
          <w:szCs w:val="24"/>
        </w:rPr>
        <w:t xml:space="preserve">hapter 257. </w:t>
      </w:r>
      <w:r>
        <w:rPr>
          <w:sz w:val="24"/>
          <w:szCs w:val="24"/>
        </w:rPr>
        <w:t xml:space="preserve"> While the vast majority of Department services are paid regulated rates, a limited number of programs still utilize individually negotiated rate contracts</w:t>
      </w:r>
      <w:r w:rsidRPr="00C01871">
        <w:rPr>
          <w:sz w:val="24"/>
          <w:szCs w:val="24"/>
        </w:rPr>
        <w:t xml:space="preserve"> </w:t>
      </w:r>
      <w:r>
        <w:rPr>
          <w:sz w:val="24"/>
          <w:szCs w:val="24"/>
        </w:rPr>
        <w:t xml:space="preserve">and/or cost reimbursement/maximum obligation </w:t>
      </w:r>
      <w:r w:rsidRPr="00C01871">
        <w:rPr>
          <w:sz w:val="24"/>
          <w:szCs w:val="24"/>
        </w:rPr>
        <w:t>contracts</w:t>
      </w:r>
      <w:r>
        <w:rPr>
          <w:sz w:val="24"/>
          <w:szCs w:val="24"/>
        </w:rPr>
        <w:t xml:space="preserve">. </w:t>
      </w:r>
    </w:p>
    <w:p w14:paraId="625869AF" w14:textId="77777777" w:rsidR="00455BA2" w:rsidRDefault="00455BA2" w:rsidP="00455BA2">
      <w:pPr>
        <w:overflowPunct/>
        <w:autoSpaceDE/>
        <w:autoSpaceDN/>
        <w:adjustRightInd/>
        <w:ind w:left="522"/>
        <w:textAlignment w:val="auto"/>
        <w:rPr>
          <w:sz w:val="24"/>
          <w:szCs w:val="24"/>
        </w:rPr>
      </w:pPr>
    </w:p>
    <w:p w14:paraId="74DB4320" w14:textId="2BDF270C" w:rsidR="00455BA2" w:rsidRDefault="00455BA2" w:rsidP="00455BA2">
      <w:pPr>
        <w:overflowPunct/>
        <w:autoSpaceDE/>
        <w:autoSpaceDN/>
        <w:adjustRightInd/>
        <w:ind w:left="522"/>
        <w:textAlignment w:val="auto"/>
        <w:rPr>
          <w:sz w:val="24"/>
          <w:szCs w:val="24"/>
        </w:rPr>
      </w:pPr>
      <w:r>
        <w:rPr>
          <w:sz w:val="24"/>
          <w:szCs w:val="24"/>
        </w:rPr>
        <w:t xml:space="preserve">Rate regulated services continue to be managed through the Service Summary Form (SSF). Providers only sign the Standard Contract Form when the initial Master Agreement contract is </w:t>
      </w:r>
      <w:r w:rsidR="00511289">
        <w:rPr>
          <w:sz w:val="24"/>
          <w:szCs w:val="24"/>
        </w:rPr>
        <w:t>awarded,</w:t>
      </w:r>
      <w:r>
        <w:rPr>
          <w:sz w:val="24"/>
          <w:szCs w:val="24"/>
        </w:rPr>
        <w:t xml:space="preserve"> or the Master Agreement contract is amended to add new services. Once the Master Agreement is signed, the SSF is used to maintain a record of the estimated units to be purchased and the agreed upon rate of payment. Units and rates are tallied to calculate the estimated expenditure amount, which is the amount that DDS anticipates will be expended during the year if all units noted in the SSF are provided.</w:t>
      </w:r>
    </w:p>
    <w:p w14:paraId="1AAB19B0" w14:textId="77777777" w:rsidR="00455BA2" w:rsidRDefault="00455BA2" w:rsidP="00455BA2">
      <w:pPr>
        <w:overflowPunct/>
        <w:autoSpaceDE/>
        <w:autoSpaceDN/>
        <w:adjustRightInd/>
        <w:ind w:left="522"/>
        <w:textAlignment w:val="auto"/>
        <w:rPr>
          <w:sz w:val="24"/>
          <w:szCs w:val="24"/>
        </w:rPr>
      </w:pPr>
    </w:p>
    <w:p w14:paraId="3105408B" w14:textId="55D9967D" w:rsidR="00455BA2" w:rsidRDefault="00455BA2" w:rsidP="00455BA2">
      <w:pPr>
        <w:overflowPunct/>
        <w:autoSpaceDE/>
        <w:autoSpaceDN/>
        <w:adjustRightInd/>
        <w:ind w:left="522"/>
        <w:textAlignment w:val="auto"/>
        <w:rPr>
          <w:sz w:val="24"/>
          <w:szCs w:val="24"/>
        </w:rPr>
      </w:pPr>
      <w:r>
        <w:rPr>
          <w:sz w:val="24"/>
          <w:szCs w:val="24"/>
        </w:rPr>
        <w:t xml:space="preserve">Cost </w:t>
      </w:r>
      <w:r w:rsidR="00CB04F9">
        <w:rPr>
          <w:sz w:val="24"/>
          <w:szCs w:val="24"/>
        </w:rPr>
        <w:t>R</w:t>
      </w:r>
      <w:r>
        <w:rPr>
          <w:sz w:val="24"/>
          <w:szCs w:val="24"/>
        </w:rPr>
        <w:t xml:space="preserve">eimbursement </w:t>
      </w:r>
      <w:r w:rsidR="00CB04F9">
        <w:rPr>
          <w:sz w:val="24"/>
          <w:szCs w:val="24"/>
        </w:rPr>
        <w:t xml:space="preserve">and Negotiated Unit Rate </w:t>
      </w:r>
      <w:r>
        <w:rPr>
          <w:sz w:val="24"/>
          <w:szCs w:val="24"/>
        </w:rPr>
        <w:t>contracts will be processed using the Standard Contract For</w:t>
      </w:r>
      <w:r w:rsidRPr="00B934C6">
        <w:rPr>
          <w:sz w:val="24"/>
          <w:szCs w:val="24"/>
        </w:rPr>
        <w:t>m</w:t>
      </w:r>
      <w:r>
        <w:rPr>
          <w:sz w:val="24"/>
          <w:szCs w:val="24"/>
        </w:rPr>
        <w:t xml:space="preserve"> and POS attachments</w:t>
      </w:r>
      <w:r w:rsidRPr="00B934C6">
        <w:rPr>
          <w:sz w:val="24"/>
          <w:szCs w:val="24"/>
        </w:rPr>
        <w:t>.</w:t>
      </w:r>
      <w:r>
        <w:rPr>
          <w:sz w:val="24"/>
          <w:szCs w:val="24"/>
        </w:rPr>
        <w:t xml:space="preserve">  </w:t>
      </w:r>
    </w:p>
    <w:p w14:paraId="3189D28A" w14:textId="77777777" w:rsidR="00455BA2" w:rsidRDefault="00455BA2" w:rsidP="00455BA2">
      <w:pPr>
        <w:pStyle w:val="Header"/>
        <w:tabs>
          <w:tab w:val="clear" w:pos="4680"/>
          <w:tab w:val="clear" w:pos="9360"/>
          <w:tab w:val="left" w:pos="720"/>
          <w:tab w:val="center" w:pos="4320"/>
          <w:tab w:val="right" w:pos="8640"/>
        </w:tabs>
        <w:overflowPunct/>
        <w:autoSpaceDE/>
        <w:autoSpaceDN/>
        <w:adjustRightInd/>
        <w:ind w:left="576"/>
        <w:textAlignment w:val="auto"/>
        <w:rPr>
          <w:b/>
          <w:sz w:val="24"/>
          <w:szCs w:val="24"/>
          <w:u w:val="single"/>
        </w:rPr>
      </w:pPr>
    </w:p>
    <w:p w14:paraId="0F5EBAE6" w14:textId="77777777" w:rsidR="00455BA2" w:rsidRPr="00641589" w:rsidRDefault="00455BA2" w:rsidP="00455BA2">
      <w:pPr>
        <w:pStyle w:val="Header"/>
        <w:tabs>
          <w:tab w:val="clear" w:pos="4680"/>
          <w:tab w:val="clear" w:pos="9360"/>
          <w:tab w:val="left" w:pos="720"/>
          <w:tab w:val="center" w:pos="4320"/>
          <w:tab w:val="right" w:pos="8640"/>
        </w:tabs>
        <w:overflowPunct/>
        <w:autoSpaceDE/>
        <w:autoSpaceDN/>
        <w:adjustRightInd/>
        <w:ind w:left="576"/>
        <w:textAlignment w:val="auto"/>
        <w:rPr>
          <w:sz w:val="24"/>
          <w:szCs w:val="24"/>
        </w:rPr>
      </w:pPr>
      <w:r w:rsidRPr="00641589">
        <w:rPr>
          <w:b/>
          <w:sz w:val="24"/>
          <w:szCs w:val="24"/>
        </w:rPr>
        <w:t>NEW CONTRACTS: EMERGENCY RESIDENTIAL STABILIZATION RFR</w:t>
      </w:r>
    </w:p>
    <w:p w14:paraId="415BD80E" w14:textId="1A119DA2" w:rsidR="00455BA2" w:rsidRDefault="00511289" w:rsidP="00455BA2">
      <w:pPr>
        <w:pStyle w:val="Header"/>
        <w:tabs>
          <w:tab w:val="left" w:pos="720"/>
        </w:tabs>
        <w:ind w:left="576"/>
        <w:rPr>
          <w:sz w:val="24"/>
          <w:szCs w:val="24"/>
        </w:rPr>
      </w:pPr>
      <w:r>
        <w:rPr>
          <w:sz w:val="24"/>
          <w:szCs w:val="24"/>
        </w:rPr>
        <w:t>Master Agreement c</w:t>
      </w:r>
      <w:r w:rsidR="00455BA2">
        <w:rPr>
          <w:sz w:val="24"/>
          <w:szCs w:val="24"/>
        </w:rPr>
        <w:t xml:space="preserve">ontracts issued as a result of EmerStab-21have been awarded for a July 1, 2020 start date. The intent of this RFR was to </w:t>
      </w:r>
      <w:r>
        <w:rPr>
          <w:sz w:val="24"/>
          <w:szCs w:val="24"/>
        </w:rPr>
        <w:t xml:space="preserve">transition </w:t>
      </w:r>
      <w:r w:rsidR="00455BA2">
        <w:rPr>
          <w:sz w:val="24"/>
          <w:szCs w:val="24"/>
        </w:rPr>
        <w:t>Emergency Residential Stabilization contracts to the same procurement schedule as Adult Long Term Residential Services which will be rebid in FY</w:t>
      </w:r>
      <w:r w:rsidR="00CB04F9">
        <w:rPr>
          <w:sz w:val="24"/>
          <w:szCs w:val="24"/>
        </w:rPr>
        <w:t>20</w:t>
      </w:r>
      <w:r w:rsidR="00455BA2">
        <w:rPr>
          <w:sz w:val="24"/>
          <w:szCs w:val="24"/>
        </w:rPr>
        <w:t xml:space="preserve">23. </w:t>
      </w:r>
    </w:p>
    <w:p w14:paraId="7B7C5F02" w14:textId="77777777" w:rsidR="00455BA2" w:rsidRDefault="00455BA2" w:rsidP="00455BA2">
      <w:pPr>
        <w:pStyle w:val="Header"/>
        <w:tabs>
          <w:tab w:val="left" w:pos="720"/>
        </w:tabs>
        <w:ind w:left="576"/>
        <w:rPr>
          <w:sz w:val="24"/>
          <w:szCs w:val="24"/>
        </w:rPr>
      </w:pPr>
    </w:p>
    <w:p w14:paraId="6D55CC54" w14:textId="77777777" w:rsidR="00455BA2" w:rsidRPr="00641589" w:rsidRDefault="00455BA2" w:rsidP="00455BA2">
      <w:pPr>
        <w:pStyle w:val="Header"/>
        <w:tabs>
          <w:tab w:val="left" w:pos="720"/>
        </w:tabs>
        <w:ind w:left="576"/>
        <w:rPr>
          <w:b/>
          <w:bCs/>
          <w:sz w:val="24"/>
          <w:szCs w:val="24"/>
        </w:rPr>
      </w:pPr>
      <w:r w:rsidRPr="00641589">
        <w:rPr>
          <w:b/>
          <w:bCs/>
          <w:sz w:val="24"/>
          <w:szCs w:val="24"/>
        </w:rPr>
        <w:t>INTERIM CONTRACTS</w:t>
      </w:r>
    </w:p>
    <w:p w14:paraId="0F8CB56B" w14:textId="1FFD1624" w:rsidR="00455BA2" w:rsidRDefault="00455BA2" w:rsidP="00455BA2">
      <w:pPr>
        <w:pStyle w:val="Header"/>
        <w:tabs>
          <w:tab w:val="left" w:pos="720"/>
        </w:tabs>
        <w:ind w:left="560"/>
        <w:rPr>
          <w:sz w:val="24"/>
          <w:szCs w:val="24"/>
        </w:rPr>
      </w:pPr>
      <w:r>
        <w:rPr>
          <w:sz w:val="24"/>
          <w:szCs w:val="24"/>
        </w:rPr>
        <w:t xml:space="preserve">As a result of the public health emergency, the Department was unable to complete BIDS/RFR posted on COMMBUYS for Family Support Services </w:t>
      </w:r>
      <w:r w:rsidR="00CB04F9">
        <w:rPr>
          <w:sz w:val="24"/>
          <w:szCs w:val="24"/>
        </w:rPr>
        <w:t>and</w:t>
      </w:r>
      <w:r>
        <w:rPr>
          <w:sz w:val="24"/>
          <w:szCs w:val="24"/>
        </w:rPr>
        <w:t xml:space="preserve"> Autism Coaching Services. The contracts referencing FSS-10 and CoachAut-17 were extended as interim for six months to allow the Department to reissue BIDS on COMMBUY in late August/early September. </w:t>
      </w:r>
      <w:r w:rsidR="00CB04F9">
        <w:rPr>
          <w:sz w:val="24"/>
          <w:szCs w:val="24"/>
        </w:rPr>
        <w:t xml:space="preserve"> The intent is that new contracts awarded as a result of the rebid will start</w:t>
      </w:r>
      <w:r>
        <w:rPr>
          <w:sz w:val="24"/>
          <w:szCs w:val="24"/>
        </w:rPr>
        <w:t xml:space="preserve"> January 1, 2021.</w:t>
      </w:r>
    </w:p>
    <w:p w14:paraId="241889F0" w14:textId="77777777" w:rsidR="00455BA2" w:rsidRPr="00B934C6" w:rsidRDefault="00455BA2" w:rsidP="00455BA2">
      <w:pPr>
        <w:pStyle w:val="Header"/>
        <w:tabs>
          <w:tab w:val="left" w:pos="720"/>
        </w:tabs>
        <w:ind w:left="576"/>
        <w:rPr>
          <w:sz w:val="24"/>
          <w:szCs w:val="24"/>
          <w:u w:val="single"/>
        </w:rPr>
      </w:pPr>
    </w:p>
    <w:p w14:paraId="5C707B47" w14:textId="77777777" w:rsidR="00455BA2" w:rsidRPr="00455BA2" w:rsidRDefault="00455BA2" w:rsidP="00455BA2">
      <w:pPr>
        <w:pStyle w:val="Header"/>
        <w:tabs>
          <w:tab w:val="left" w:pos="720"/>
        </w:tabs>
        <w:ind w:left="576"/>
        <w:rPr>
          <w:b/>
          <w:bCs/>
          <w:sz w:val="24"/>
          <w:szCs w:val="24"/>
        </w:rPr>
      </w:pPr>
      <w:r w:rsidRPr="00455BA2">
        <w:rPr>
          <w:b/>
          <w:bCs/>
          <w:sz w:val="24"/>
          <w:szCs w:val="24"/>
        </w:rPr>
        <w:t>FY2021 CONTRACTS</w:t>
      </w:r>
    </w:p>
    <w:p w14:paraId="3ECF5729" w14:textId="5C81D2CB" w:rsidR="00455BA2" w:rsidRPr="00455BA2" w:rsidRDefault="00455BA2" w:rsidP="002A7499">
      <w:pPr>
        <w:ind w:left="576"/>
        <w:rPr>
          <w:sz w:val="24"/>
          <w:szCs w:val="24"/>
        </w:rPr>
      </w:pPr>
      <w:r w:rsidRPr="00455BA2">
        <w:rPr>
          <w:sz w:val="24"/>
          <w:szCs w:val="24"/>
        </w:rPr>
        <w:t xml:space="preserve">Due to the substantial uncertainty in program operations created by the COVID-19 outbreak, inaction on the Governor’s FY21 budget in the Legislature, as well as considerations regarding the limitations of remote working, the Department of Developmental Services (DDS) </w:t>
      </w:r>
      <w:bookmarkStart w:id="0" w:name="_Hlk41923485"/>
      <w:r w:rsidRPr="00455BA2">
        <w:rPr>
          <w:sz w:val="24"/>
          <w:szCs w:val="24"/>
        </w:rPr>
        <w:t>did not engage in normal contract negotiations</w:t>
      </w:r>
      <w:r w:rsidR="00CB04F9">
        <w:rPr>
          <w:sz w:val="24"/>
          <w:szCs w:val="24"/>
        </w:rPr>
        <w:t xml:space="preserve"> in the spring</w:t>
      </w:r>
      <w:r w:rsidRPr="00455BA2">
        <w:rPr>
          <w:sz w:val="24"/>
          <w:szCs w:val="24"/>
        </w:rPr>
        <w:t>. Instead, contracting processes were simplified and consist</w:t>
      </w:r>
      <w:r w:rsidR="00511289">
        <w:rPr>
          <w:sz w:val="24"/>
          <w:szCs w:val="24"/>
        </w:rPr>
        <w:t>ed</w:t>
      </w:r>
      <w:r w:rsidRPr="00455BA2">
        <w:rPr>
          <w:sz w:val="24"/>
          <w:szCs w:val="24"/>
        </w:rPr>
        <w:t xml:space="preserve"> of an agreement on rates of payment and establishment of placeholder encumbrances that </w:t>
      </w:r>
      <w:r w:rsidR="00CB04F9">
        <w:rPr>
          <w:sz w:val="24"/>
          <w:szCs w:val="24"/>
        </w:rPr>
        <w:t>allowed p</w:t>
      </w:r>
      <w:r w:rsidRPr="00455BA2">
        <w:rPr>
          <w:sz w:val="24"/>
          <w:szCs w:val="24"/>
        </w:rPr>
        <w:t xml:space="preserve">roviders to continue to bill during the first two quarters of FY21. </w:t>
      </w:r>
      <w:r w:rsidR="00CB04F9">
        <w:rPr>
          <w:sz w:val="24"/>
          <w:szCs w:val="24"/>
        </w:rPr>
        <w:t xml:space="preserve"> </w:t>
      </w:r>
      <w:r w:rsidRPr="00455BA2">
        <w:rPr>
          <w:sz w:val="24"/>
          <w:szCs w:val="24"/>
        </w:rPr>
        <w:t>All contracts and Service Summary Forms were written for six months</w:t>
      </w:r>
      <w:r w:rsidR="00511289">
        <w:rPr>
          <w:sz w:val="24"/>
          <w:szCs w:val="24"/>
        </w:rPr>
        <w:t xml:space="preserve"> at </w:t>
      </w:r>
      <w:r w:rsidRPr="00455BA2">
        <w:rPr>
          <w:sz w:val="24"/>
          <w:szCs w:val="24"/>
        </w:rPr>
        <w:t>50% of FY20 fundin</w:t>
      </w:r>
      <w:r w:rsidR="00511289">
        <w:rPr>
          <w:sz w:val="24"/>
          <w:szCs w:val="24"/>
        </w:rPr>
        <w:t xml:space="preserve">g </w:t>
      </w:r>
      <w:r w:rsidR="00CB04F9">
        <w:rPr>
          <w:sz w:val="24"/>
          <w:szCs w:val="24"/>
        </w:rPr>
        <w:t>which will</w:t>
      </w:r>
      <w:r w:rsidR="00511289">
        <w:rPr>
          <w:sz w:val="24"/>
          <w:szCs w:val="24"/>
        </w:rPr>
        <w:t xml:space="preserve"> cover anticipated expenditures </w:t>
      </w:r>
      <w:r w:rsidRPr="00455BA2">
        <w:rPr>
          <w:sz w:val="24"/>
          <w:szCs w:val="24"/>
        </w:rPr>
        <w:t xml:space="preserve">from July 1, 2020 through December 31, 2020. </w:t>
      </w:r>
      <w:r w:rsidR="00511289">
        <w:rPr>
          <w:sz w:val="24"/>
          <w:szCs w:val="24"/>
        </w:rPr>
        <w:t xml:space="preserve"> </w:t>
      </w:r>
      <w:r w:rsidRPr="00455BA2">
        <w:rPr>
          <w:sz w:val="24"/>
          <w:szCs w:val="24"/>
        </w:rPr>
        <w:t>In the second quarter of FY2021, the department will work with providers to negotiate</w:t>
      </w:r>
      <w:r w:rsidR="00CB04F9">
        <w:rPr>
          <w:sz w:val="24"/>
          <w:szCs w:val="24"/>
        </w:rPr>
        <w:t xml:space="preserve"> units of service, etc.,</w:t>
      </w:r>
      <w:r w:rsidRPr="00455BA2">
        <w:rPr>
          <w:sz w:val="24"/>
          <w:szCs w:val="24"/>
        </w:rPr>
        <w:t xml:space="preserve"> for </w:t>
      </w:r>
      <w:r w:rsidR="00CB04F9">
        <w:rPr>
          <w:sz w:val="24"/>
          <w:szCs w:val="24"/>
        </w:rPr>
        <w:t>the second</w:t>
      </w:r>
      <w:r w:rsidRPr="00455BA2">
        <w:rPr>
          <w:sz w:val="24"/>
          <w:szCs w:val="24"/>
        </w:rPr>
        <w:t xml:space="preserve"> half of FY20</w:t>
      </w:r>
      <w:bookmarkStart w:id="1" w:name="_GoBack"/>
      <w:bookmarkEnd w:id="1"/>
    </w:p>
    <w:bookmarkEnd w:id="0"/>
    <w:sectPr w:rsidR="00455BA2" w:rsidRPr="00455BA2" w:rsidSect="001E1BBA">
      <w:footerReference w:type="default" r:id="rId8"/>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0071" w14:textId="77777777" w:rsidR="00AE01B3" w:rsidRDefault="0064510F">
      <w:r>
        <w:separator/>
      </w:r>
    </w:p>
  </w:endnote>
  <w:endnote w:type="continuationSeparator" w:id="0">
    <w:p w14:paraId="1BEFE7DD" w14:textId="77777777" w:rsidR="00AE01B3" w:rsidRDefault="0064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362492"/>
      <w:docPartObj>
        <w:docPartGallery w:val="Page Numbers (Bottom of Page)"/>
        <w:docPartUnique/>
      </w:docPartObj>
    </w:sdtPr>
    <w:sdtEndPr>
      <w:rPr>
        <w:noProof/>
      </w:rPr>
    </w:sdtEndPr>
    <w:sdtContent>
      <w:p w14:paraId="323A22C8" w14:textId="77777777" w:rsidR="00076F80" w:rsidRDefault="00076F80">
        <w:pPr>
          <w:pStyle w:val="Footer"/>
          <w:jc w:val="center"/>
        </w:pPr>
        <w:r>
          <w:fldChar w:fldCharType="begin"/>
        </w:r>
        <w:r>
          <w:instrText xml:space="preserve"> PAGE   \* MERGEFORMAT </w:instrText>
        </w:r>
        <w:r>
          <w:fldChar w:fldCharType="separate"/>
        </w:r>
        <w:r w:rsidR="00D70481">
          <w:rPr>
            <w:noProof/>
          </w:rPr>
          <w:t>1</w:t>
        </w:r>
        <w:r>
          <w:rPr>
            <w:noProof/>
          </w:rPr>
          <w:fldChar w:fldCharType="end"/>
        </w:r>
      </w:p>
    </w:sdtContent>
  </w:sdt>
  <w:p w14:paraId="7B552D3E" w14:textId="77777777" w:rsidR="00B61308" w:rsidRDefault="002A7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B1D9E" w14:textId="77777777" w:rsidR="00AE01B3" w:rsidRDefault="0064510F">
      <w:r>
        <w:separator/>
      </w:r>
    </w:p>
  </w:footnote>
  <w:footnote w:type="continuationSeparator" w:id="0">
    <w:p w14:paraId="4A61941D" w14:textId="77777777" w:rsidR="00AE01B3" w:rsidRDefault="0064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3B3"/>
    <w:multiLevelType w:val="hybridMultilevel"/>
    <w:tmpl w:val="7D92DEFE"/>
    <w:lvl w:ilvl="0" w:tplc="DD685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20D9B"/>
    <w:multiLevelType w:val="hybridMultilevel"/>
    <w:tmpl w:val="40DE0678"/>
    <w:lvl w:ilvl="0" w:tplc="64B87568">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841786E"/>
    <w:multiLevelType w:val="hybridMultilevel"/>
    <w:tmpl w:val="DAEC4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C636C5"/>
    <w:multiLevelType w:val="hybridMultilevel"/>
    <w:tmpl w:val="DF125A4E"/>
    <w:lvl w:ilvl="0" w:tplc="D1205762">
      <w:start w:val="1"/>
      <w:numFmt w:val="upperRoman"/>
      <w:lvlText w:val="%1."/>
      <w:lvlJc w:val="left"/>
      <w:pPr>
        <w:ind w:left="900" w:hanging="72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DCA7D73"/>
    <w:multiLevelType w:val="hybridMultilevel"/>
    <w:tmpl w:val="EFA419FC"/>
    <w:lvl w:ilvl="0" w:tplc="1BF4E9FC">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02E2F4B"/>
    <w:multiLevelType w:val="hybridMultilevel"/>
    <w:tmpl w:val="38C43442"/>
    <w:lvl w:ilvl="0" w:tplc="3FA28820">
      <w:start w:val="1"/>
      <w:numFmt w:val="upperLetter"/>
      <w:lvlText w:val="%1."/>
      <w:lvlJc w:val="left"/>
      <w:pPr>
        <w:ind w:left="420" w:hanging="360"/>
      </w:pPr>
      <w:rPr>
        <w:rFonts w:ascii="Times New Roman" w:hAnsi="Times New Roman" w:cs="Times New Roman"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77F6ECB"/>
    <w:multiLevelType w:val="hybridMultilevel"/>
    <w:tmpl w:val="B00C6BD8"/>
    <w:lvl w:ilvl="0" w:tplc="3DF652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D136DDC"/>
    <w:multiLevelType w:val="hybridMultilevel"/>
    <w:tmpl w:val="010C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0D11DD"/>
    <w:multiLevelType w:val="hybridMultilevel"/>
    <w:tmpl w:val="63B0C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A78FD"/>
    <w:multiLevelType w:val="hybridMultilevel"/>
    <w:tmpl w:val="A3128CFE"/>
    <w:lvl w:ilvl="0" w:tplc="578AB1E6">
      <w:start w:val="1"/>
      <w:numFmt w:val="upperLetter"/>
      <w:lvlText w:val="%1."/>
      <w:lvlJc w:val="left"/>
      <w:pPr>
        <w:ind w:left="1020" w:hanging="360"/>
      </w:pPr>
      <w:rPr>
        <w:sz w:val="24"/>
        <w:szCs w:val="24"/>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0" w15:restartNumberingAfterBreak="0">
    <w:nsid w:val="682F2A4B"/>
    <w:multiLevelType w:val="hybridMultilevel"/>
    <w:tmpl w:val="47E441F8"/>
    <w:lvl w:ilvl="0" w:tplc="A49C78B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3"/>
  </w:num>
  <w:num w:numId="3">
    <w:abstractNumId w:val="5"/>
  </w:num>
  <w:num w:numId="4">
    <w:abstractNumId w:val="0"/>
  </w:num>
  <w:num w:numId="5">
    <w:abstractNumId w:val="8"/>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5B"/>
    <w:rsid w:val="00004D2B"/>
    <w:rsid w:val="00016689"/>
    <w:rsid w:val="00026B6E"/>
    <w:rsid w:val="00031317"/>
    <w:rsid w:val="00076F80"/>
    <w:rsid w:val="00096AE0"/>
    <w:rsid w:val="000A0830"/>
    <w:rsid w:val="000D2B77"/>
    <w:rsid w:val="000D6161"/>
    <w:rsid w:val="000E4C80"/>
    <w:rsid w:val="000F7005"/>
    <w:rsid w:val="00112A94"/>
    <w:rsid w:val="001766E8"/>
    <w:rsid w:val="001E1BBA"/>
    <w:rsid w:val="001E5FED"/>
    <w:rsid w:val="00220AF1"/>
    <w:rsid w:val="0022659F"/>
    <w:rsid w:val="00251B4C"/>
    <w:rsid w:val="00285541"/>
    <w:rsid w:val="00286F7C"/>
    <w:rsid w:val="002A7499"/>
    <w:rsid w:val="002A7A3C"/>
    <w:rsid w:val="002D53A8"/>
    <w:rsid w:val="00321C89"/>
    <w:rsid w:val="0032429A"/>
    <w:rsid w:val="00335132"/>
    <w:rsid w:val="003525DE"/>
    <w:rsid w:val="00371B8C"/>
    <w:rsid w:val="00397C9F"/>
    <w:rsid w:val="003E2668"/>
    <w:rsid w:val="004041F5"/>
    <w:rsid w:val="00406828"/>
    <w:rsid w:val="00435261"/>
    <w:rsid w:val="004435E6"/>
    <w:rsid w:val="00444D52"/>
    <w:rsid w:val="00455BA2"/>
    <w:rsid w:val="00466595"/>
    <w:rsid w:val="00473C62"/>
    <w:rsid w:val="004855F9"/>
    <w:rsid w:val="004A4BC4"/>
    <w:rsid w:val="004E74F5"/>
    <w:rsid w:val="00511289"/>
    <w:rsid w:val="00512D39"/>
    <w:rsid w:val="005B6A4C"/>
    <w:rsid w:val="005E019F"/>
    <w:rsid w:val="005E33F0"/>
    <w:rsid w:val="006071CC"/>
    <w:rsid w:val="00607803"/>
    <w:rsid w:val="00612175"/>
    <w:rsid w:val="00640718"/>
    <w:rsid w:val="00641589"/>
    <w:rsid w:val="0064510F"/>
    <w:rsid w:val="006546DD"/>
    <w:rsid w:val="0065705B"/>
    <w:rsid w:val="006912DD"/>
    <w:rsid w:val="006B4E38"/>
    <w:rsid w:val="006C2FA8"/>
    <w:rsid w:val="006D0532"/>
    <w:rsid w:val="006D60BA"/>
    <w:rsid w:val="006F160E"/>
    <w:rsid w:val="00705907"/>
    <w:rsid w:val="00752E3C"/>
    <w:rsid w:val="00754162"/>
    <w:rsid w:val="007B7A81"/>
    <w:rsid w:val="00813937"/>
    <w:rsid w:val="00813F08"/>
    <w:rsid w:val="00897B4A"/>
    <w:rsid w:val="008D6EDD"/>
    <w:rsid w:val="008E4D8D"/>
    <w:rsid w:val="008E5F3C"/>
    <w:rsid w:val="00936724"/>
    <w:rsid w:val="00963C8E"/>
    <w:rsid w:val="009836B8"/>
    <w:rsid w:val="00985563"/>
    <w:rsid w:val="009E7A77"/>
    <w:rsid w:val="00A016B0"/>
    <w:rsid w:val="00A2598E"/>
    <w:rsid w:val="00A460C1"/>
    <w:rsid w:val="00A46E97"/>
    <w:rsid w:val="00A477AB"/>
    <w:rsid w:val="00A80537"/>
    <w:rsid w:val="00A92238"/>
    <w:rsid w:val="00AA60D1"/>
    <w:rsid w:val="00AD4078"/>
    <w:rsid w:val="00AE01B3"/>
    <w:rsid w:val="00B03263"/>
    <w:rsid w:val="00B1041C"/>
    <w:rsid w:val="00B256AD"/>
    <w:rsid w:val="00B5516C"/>
    <w:rsid w:val="00B8216F"/>
    <w:rsid w:val="00B934C6"/>
    <w:rsid w:val="00B94BEF"/>
    <w:rsid w:val="00BA345D"/>
    <w:rsid w:val="00BD3835"/>
    <w:rsid w:val="00BE3318"/>
    <w:rsid w:val="00C00516"/>
    <w:rsid w:val="00C01871"/>
    <w:rsid w:val="00C1011D"/>
    <w:rsid w:val="00C14C20"/>
    <w:rsid w:val="00C4073C"/>
    <w:rsid w:val="00C439C1"/>
    <w:rsid w:val="00CB04F9"/>
    <w:rsid w:val="00CB1E2F"/>
    <w:rsid w:val="00CF4C55"/>
    <w:rsid w:val="00CF7863"/>
    <w:rsid w:val="00D247F4"/>
    <w:rsid w:val="00D66A16"/>
    <w:rsid w:val="00D70481"/>
    <w:rsid w:val="00D92230"/>
    <w:rsid w:val="00DE3186"/>
    <w:rsid w:val="00E14685"/>
    <w:rsid w:val="00E27C7C"/>
    <w:rsid w:val="00E84598"/>
    <w:rsid w:val="00EA6054"/>
    <w:rsid w:val="00EC1DA9"/>
    <w:rsid w:val="00ED1CBC"/>
    <w:rsid w:val="00F03296"/>
    <w:rsid w:val="00F119E2"/>
    <w:rsid w:val="00F16D6D"/>
    <w:rsid w:val="00F22923"/>
    <w:rsid w:val="00F5025F"/>
    <w:rsid w:val="00F7764F"/>
    <w:rsid w:val="00F77B06"/>
    <w:rsid w:val="00F8407A"/>
    <w:rsid w:val="00F851A4"/>
    <w:rsid w:val="00FA1065"/>
    <w:rsid w:val="00FB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2513"/>
  <w15:docId w15:val="{0C6D425C-2E21-49C2-B446-E0873E8A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5BA2"/>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3">
    <w:name w:val="heading 3"/>
    <w:aliases w:val="H3"/>
    <w:basedOn w:val="Normal"/>
    <w:next w:val="Normal"/>
    <w:link w:val="Heading3Char"/>
    <w:qFormat/>
    <w:rsid w:val="00ED1CBC"/>
    <w:pPr>
      <w:keepNext/>
      <w:overflowPunct/>
      <w:autoSpaceDE/>
      <w:autoSpaceDN/>
      <w:adjustRightInd/>
      <w:textAlignment w:val="auto"/>
      <w:outlineLvl w:val="2"/>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05B"/>
    <w:pPr>
      <w:ind w:left="720"/>
      <w:contextualSpacing/>
    </w:pPr>
  </w:style>
  <w:style w:type="paragraph" w:styleId="Footer">
    <w:name w:val="footer"/>
    <w:basedOn w:val="Normal"/>
    <w:link w:val="FooterChar"/>
    <w:uiPriority w:val="99"/>
    <w:rsid w:val="0065705B"/>
    <w:pPr>
      <w:tabs>
        <w:tab w:val="center" w:pos="4320"/>
        <w:tab w:val="right" w:pos="8640"/>
      </w:tabs>
      <w:overflowPunct/>
      <w:autoSpaceDE/>
      <w:autoSpaceDN/>
      <w:adjustRightInd/>
      <w:textAlignment w:val="auto"/>
    </w:pPr>
    <w:rPr>
      <w:rFonts w:ascii="Courier New" w:eastAsia="Malgun Gothic" w:hAnsi="Courier New" w:cs="Courier New"/>
      <w:sz w:val="24"/>
      <w:szCs w:val="24"/>
    </w:rPr>
  </w:style>
  <w:style w:type="character" w:customStyle="1" w:styleId="FooterChar">
    <w:name w:val="Footer Char"/>
    <w:basedOn w:val="DefaultParagraphFont"/>
    <w:link w:val="Footer"/>
    <w:uiPriority w:val="99"/>
    <w:rsid w:val="0065705B"/>
    <w:rPr>
      <w:rFonts w:ascii="Courier New" w:eastAsia="Malgun Gothic" w:hAnsi="Courier New" w:cs="Courier New"/>
      <w:sz w:val="24"/>
      <w:szCs w:val="24"/>
    </w:rPr>
  </w:style>
  <w:style w:type="paragraph" w:styleId="BodyTextIndent2">
    <w:name w:val="Body Text Indent 2"/>
    <w:basedOn w:val="Normal"/>
    <w:link w:val="BodyTextIndent2Char"/>
    <w:uiPriority w:val="99"/>
    <w:unhideWhenUsed/>
    <w:rsid w:val="00963C8E"/>
    <w:pPr>
      <w:overflowPunct/>
      <w:autoSpaceDE/>
      <w:autoSpaceDN/>
      <w:adjustRightInd/>
      <w:ind w:left="1440"/>
      <w:textAlignment w:val="auto"/>
    </w:pPr>
    <w:rPr>
      <w:szCs w:val="24"/>
    </w:rPr>
  </w:style>
  <w:style w:type="character" w:customStyle="1" w:styleId="BodyTextIndent2Char">
    <w:name w:val="Body Text Indent 2 Char"/>
    <w:basedOn w:val="DefaultParagraphFont"/>
    <w:link w:val="BodyTextIndent2"/>
    <w:uiPriority w:val="99"/>
    <w:rsid w:val="00963C8E"/>
    <w:rPr>
      <w:rFonts w:ascii="Times New Roman" w:eastAsia="Times New Roman" w:hAnsi="Times New Roman" w:cs="Times New Roman"/>
      <w:sz w:val="20"/>
      <w:szCs w:val="24"/>
    </w:rPr>
  </w:style>
  <w:style w:type="character" w:customStyle="1" w:styleId="Heading3Char">
    <w:name w:val="Heading 3 Char"/>
    <w:aliases w:val="H3 Char"/>
    <w:basedOn w:val="DefaultParagraphFont"/>
    <w:link w:val="Heading3"/>
    <w:rsid w:val="00ED1CBC"/>
    <w:rPr>
      <w:rFonts w:ascii="Times New Roman" w:eastAsia="Times New Roman" w:hAnsi="Times New Roman" w:cs="Times New Roman"/>
      <w:b/>
      <w:sz w:val="24"/>
      <w:szCs w:val="24"/>
      <w:u w:val="single"/>
    </w:rPr>
  </w:style>
  <w:style w:type="character" w:styleId="Hyperlink">
    <w:name w:val="Hyperlink"/>
    <w:uiPriority w:val="99"/>
    <w:semiHidden/>
    <w:unhideWhenUsed/>
    <w:rsid w:val="00251B4C"/>
    <w:rPr>
      <w:color w:val="0000FF"/>
      <w:u w:val="single"/>
    </w:rPr>
  </w:style>
  <w:style w:type="paragraph" w:styleId="Header">
    <w:name w:val="header"/>
    <w:basedOn w:val="Normal"/>
    <w:link w:val="HeaderChar"/>
    <w:uiPriority w:val="99"/>
    <w:unhideWhenUsed/>
    <w:rsid w:val="00076F80"/>
    <w:pPr>
      <w:tabs>
        <w:tab w:val="center" w:pos="4680"/>
        <w:tab w:val="right" w:pos="9360"/>
      </w:tabs>
    </w:pPr>
  </w:style>
  <w:style w:type="character" w:customStyle="1" w:styleId="HeaderChar">
    <w:name w:val="Header Char"/>
    <w:basedOn w:val="DefaultParagraphFont"/>
    <w:link w:val="Header"/>
    <w:uiPriority w:val="99"/>
    <w:rsid w:val="00076F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7C7C"/>
    <w:rPr>
      <w:rFonts w:ascii="Tahoma" w:hAnsi="Tahoma" w:cs="Tahoma"/>
      <w:sz w:val="16"/>
      <w:szCs w:val="16"/>
    </w:rPr>
  </w:style>
  <w:style w:type="character" w:customStyle="1" w:styleId="BalloonTextChar">
    <w:name w:val="Balloon Text Char"/>
    <w:basedOn w:val="DefaultParagraphFont"/>
    <w:link w:val="BalloonText"/>
    <w:uiPriority w:val="99"/>
    <w:semiHidden/>
    <w:rsid w:val="00E27C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9691">
      <w:bodyDiv w:val="1"/>
      <w:marLeft w:val="0"/>
      <w:marRight w:val="0"/>
      <w:marTop w:val="0"/>
      <w:marBottom w:val="0"/>
      <w:divBdr>
        <w:top w:val="none" w:sz="0" w:space="0" w:color="auto"/>
        <w:left w:val="none" w:sz="0" w:space="0" w:color="auto"/>
        <w:bottom w:val="none" w:sz="0" w:space="0" w:color="auto"/>
        <w:right w:val="none" w:sz="0" w:space="0" w:color="auto"/>
      </w:divBdr>
    </w:div>
    <w:div w:id="512376056">
      <w:bodyDiv w:val="1"/>
      <w:marLeft w:val="0"/>
      <w:marRight w:val="0"/>
      <w:marTop w:val="0"/>
      <w:marBottom w:val="0"/>
      <w:divBdr>
        <w:top w:val="none" w:sz="0" w:space="0" w:color="auto"/>
        <w:left w:val="none" w:sz="0" w:space="0" w:color="auto"/>
        <w:bottom w:val="none" w:sz="0" w:space="0" w:color="auto"/>
        <w:right w:val="none" w:sz="0" w:space="0" w:color="auto"/>
      </w:divBdr>
    </w:div>
    <w:div w:id="626274950">
      <w:bodyDiv w:val="1"/>
      <w:marLeft w:val="0"/>
      <w:marRight w:val="0"/>
      <w:marTop w:val="0"/>
      <w:marBottom w:val="0"/>
      <w:divBdr>
        <w:top w:val="none" w:sz="0" w:space="0" w:color="auto"/>
        <w:left w:val="none" w:sz="0" w:space="0" w:color="auto"/>
        <w:bottom w:val="none" w:sz="0" w:space="0" w:color="auto"/>
        <w:right w:val="none" w:sz="0" w:space="0" w:color="auto"/>
      </w:divBdr>
    </w:div>
    <w:div w:id="628898849">
      <w:bodyDiv w:val="1"/>
      <w:marLeft w:val="0"/>
      <w:marRight w:val="0"/>
      <w:marTop w:val="0"/>
      <w:marBottom w:val="0"/>
      <w:divBdr>
        <w:top w:val="none" w:sz="0" w:space="0" w:color="auto"/>
        <w:left w:val="none" w:sz="0" w:space="0" w:color="auto"/>
        <w:bottom w:val="none" w:sz="0" w:space="0" w:color="auto"/>
        <w:right w:val="none" w:sz="0" w:space="0" w:color="auto"/>
      </w:divBdr>
    </w:div>
    <w:div w:id="637347486">
      <w:bodyDiv w:val="1"/>
      <w:marLeft w:val="0"/>
      <w:marRight w:val="0"/>
      <w:marTop w:val="0"/>
      <w:marBottom w:val="0"/>
      <w:divBdr>
        <w:top w:val="none" w:sz="0" w:space="0" w:color="auto"/>
        <w:left w:val="none" w:sz="0" w:space="0" w:color="auto"/>
        <w:bottom w:val="none" w:sz="0" w:space="0" w:color="auto"/>
        <w:right w:val="none" w:sz="0" w:space="0" w:color="auto"/>
      </w:divBdr>
    </w:div>
    <w:div w:id="916401298">
      <w:bodyDiv w:val="1"/>
      <w:marLeft w:val="0"/>
      <w:marRight w:val="0"/>
      <w:marTop w:val="0"/>
      <w:marBottom w:val="0"/>
      <w:divBdr>
        <w:top w:val="none" w:sz="0" w:space="0" w:color="auto"/>
        <w:left w:val="none" w:sz="0" w:space="0" w:color="auto"/>
        <w:bottom w:val="none" w:sz="0" w:space="0" w:color="auto"/>
        <w:right w:val="none" w:sz="0" w:space="0" w:color="auto"/>
      </w:divBdr>
    </w:div>
    <w:div w:id="926694827">
      <w:bodyDiv w:val="1"/>
      <w:marLeft w:val="0"/>
      <w:marRight w:val="0"/>
      <w:marTop w:val="0"/>
      <w:marBottom w:val="0"/>
      <w:divBdr>
        <w:top w:val="none" w:sz="0" w:space="0" w:color="auto"/>
        <w:left w:val="none" w:sz="0" w:space="0" w:color="auto"/>
        <w:bottom w:val="none" w:sz="0" w:space="0" w:color="auto"/>
        <w:right w:val="none" w:sz="0" w:space="0" w:color="auto"/>
      </w:divBdr>
    </w:div>
    <w:div w:id="1145781165">
      <w:bodyDiv w:val="1"/>
      <w:marLeft w:val="0"/>
      <w:marRight w:val="0"/>
      <w:marTop w:val="0"/>
      <w:marBottom w:val="0"/>
      <w:divBdr>
        <w:top w:val="none" w:sz="0" w:space="0" w:color="auto"/>
        <w:left w:val="none" w:sz="0" w:space="0" w:color="auto"/>
        <w:bottom w:val="none" w:sz="0" w:space="0" w:color="auto"/>
        <w:right w:val="none" w:sz="0" w:space="0" w:color="auto"/>
      </w:divBdr>
    </w:div>
    <w:div w:id="1339043397">
      <w:bodyDiv w:val="1"/>
      <w:marLeft w:val="0"/>
      <w:marRight w:val="0"/>
      <w:marTop w:val="0"/>
      <w:marBottom w:val="0"/>
      <w:divBdr>
        <w:top w:val="none" w:sz="0" w:space="0" w:color="auto"/>
        <w:left w:val="none" w:sz="0" w:space="0" w:color="auto"/>
        <w:bottom w:val="none" w:sz="0" w:space="0" w:color="auto"/>
        <w:right w:val="none" w:sz="0" w:space="0" w:color="auto"/>
      </w:divBdr>
    </w:div>
    <w:div w:id="1625577084">
      <w:bodyDiv w:val="1"/>
      <w:marLeft w:val="0"/>
      <w:marRight w:val="0"/>
      <w:marTop w:val="0"/>
      <w:marBottom w:val="0"/>
      <w:divBdr>
        <w:top w:val="none" w:sz="0" w:space="0" w:color="auto"/>
        <w:left w:val="none" w:sz="0" w:space="0" w:color="auto"/>
        <w:bottom w:val="none" w:sz="0" w:space="0" w:color="auto"/>
        <w:right w:val="none" w:sz="0" w:space="0" w:color="auto"/>
      </w:divBdr>
    </w:div>
    <w:div w:id="1934779221">
      <w:bodyDiv w:val="1"/>
      <w:marLeft w:val="0"/>
      <w:marRight w:val="0"/>
      <w:marTop w:val="0"/>
      <w:marBottom w:val="0"/>
      <w:divBdr>
        <w:top w:val="none" w:sz="0" w:space="0" w:color="auto"/>
        <w:left w:val="none" w:sz="0" w:space="0" w:color="auto"/>
        <w:bottom w:val="none" w:sz="0" w:space="0" w:color="auto"/>
        <w:right w:val="none" w:sz="0" w:space="0" w:color="auto"/>
      </w:divBdr>
    </w:div>
    <w:div w:id="1969581133">
      <w:bodyDiv w:val="1"/>
      <w:marLeft w:val="0"/>
      <w:marRight w:val="0"/>
      <w:marTop w:val="0"/>
      <w:marBottom w:val="0"/>
      <w:divBdr>
        <w:top w:val="none" w:sz="0" w:space="0" w:color="auto"/>
        <w:left w:val="none" w:sz="0" w:space="0" w:color="auto"/>
        <w:bottom w:val="none" w:sz="0" w:space="0" w:color="auto"/>
        <w:right w:val="none" w:sz="0" w:space="0" w:color="auto"/>
      </w:divBdr>
    </w:div>
    <w:div w:id="20652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9C39-8E00-4523-AA44-56779029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Paul (DDS)</dc:creator>
  <cp:lastModifiedBy>Gustus, Toni (DDS)</cp:lastModifiedBy>
  <cp:revision>7</cp:revision>
  <cp:lastPrinted>2019-05-06T21:45:00Z</cp:lastPrinted>
  <dcterms:created xsi:type="dcterms:W3CDTF">2020-06-26T17:56:00Z</dcterms:created>
  <dcterms:modified xsi:type="dcterms:W3CDTF">2020-07-13T18:53:00Z</dcterms:modified>
</cp:coreProperties>
</file>