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9" w:rsidRPr="00E87C42" w:rsidRDefault="001461F9">
      <w:pPr>
        <w:pStyle w:val="BodyText"/>
        <w:ind w:firstLine="720"/>
        <w:rPr>
          <w:rFonts w:ascii="Arial" w:hAnsi="Arial"/>
          <w:b/>
        </w:rPr>
      </w:pPr>
      <w:r w:rsidRPr="00E87C42">
        <w:rPr>
          <w:rFonts w:ascii="Arial" w:hAnsi="Arial"/>
          <w:b/>
        </w:rPr>
        <w:t>OCTOBER IS WHITE CANE AWARENESS MONTH</w:t>
      </w:r>
    </w:p>
    <w:p w:rsidR="001461F9" w:rsidRPr="008059EB" w:rsidRDefault="001461F9">
      <w:pPr>
        <w:pStyle w:val="BodyText"/>
        <w:ind w:firstLine="720"/>
        <w:jc w:val="left"/>
        <w:rPr>
          <w:rFonts w:ascii="Arial" w:hAnsi="Arial"/>
          <w:sz w:val="16"/>
          <w:szCs w:val="16"/>
        </w:rPr>
      </w:pPr>
    </w:p>
    <w:p w:rsidR="001461F9" w:rsidRDefault="001461F9">
      <w:pPr>
        <w:pStyle w:val="BodyText"/>
        <w:ind w:firstLine="720"/>
        <w:jc w:val="left"/>
        <w:rPr>
          <w:rFonts w:ascii="Arial" w:hAnsi="Arial"/>
        </w:rPr>
      </w:pPr>
      <w:r>
        <w:rPr>
          <w:rFonts w:ascii="Arial" w:hAnsi="Arial"/>
        </w:rPr>
        <w:t xml:space="preserve">The white cane is a symbol of </w:t>
      </w:r>
      <w:r w:rsidR="00471F9C">
        <w:rPr>
          <w:rFonts w:ascii="Arial" w:hAnsi="Arial"/>
        </w:rPr>
        <w:t>independence and blindness</w:t>
      </w:r>
      <w:r>
        <w:rPr>
          <w:rFonts w:ascii="Arial" w:hAnsi="Arial"/>
        </w:rPr>
        <w:t>.</w:t>
      </w:r>
      <w:r w:rsidR="00471F9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471F9C">
        <w:rPr>
          <w:rFonts w:ascii="Arial" w:hAnsi="Arial"/>
        </w:rPr>
        <w:t xml:space="preserve">The white cane </w:t>
      </w:r>
      <w:r>
        <w:rPr>
          <w:rFonts w:ascii="Arial" w:hAnsi="Arial"/>
        </w:rPr>
        <w:t>allows a</w:t>
      </w:r>
      <w:r w:rsidR="00736C6F">
        <w:rPr>
          <w:rFonts w:ascii="Arial" w:hAnsi="Arial"/>
        </w:rPr>
        <w:t>n Individual who is</w:t>
      </w:r>
      <w:r>
        <w:rPr>
          <w:rFonts w:ascii="Arial" w:hAnsi="Arial"/>
        </w:rPr>
        <w:t xml:space="preserve"> legally blind to travel independently.  </w:t>
      </w:r>
      <w:r w:rsidR="00471F9C">
        <w:rPr>
          <w:rFonts w:ascii="Arial" w:hAnsi="Arial"/>
        </w:rPr>
        <w:t xml:space="preserve">In 1931, the Lions Club began </w:t>
      </w:r>
      <w:r>
        <w:rPr>
          <w:rFonts w:ascii="Arial" w:hAnsi="Arial"/>
        </w:rPr>
        <w:t xml:space="preserve">promoting the use of white canes for people who are blind as a national </w:t>
      </w:r>
      <w:r w:rsidR="00471F9C">
        <w:rPr>
          <w:rFonts w:ascii="Arial" w:hAnsi="Arial"/>
        </w:rPr>
        <w:t xml:space="preserve">identification </w:t>
      </w:r>
      <w:r>
        <w:rPr>
          <w:rFonts w:ascii="Arial" w:hAnsi="Arial"/>
        </w:rPr>
        <w:t>program.</w:t>
      </w:r>
    </w:p>
    <w:p w:rsidR="001461F9" w:rsidRPr="008059EB" w:rsidRDefault="001461F9">
      <w:pPr>
        <w:pStyle w:val="BodyText"/>
        <w:ind w:firstLine="720"/>
        <w:jc w:val="left"/>
        <w:rPr>
          <w:rFonts w:ascii="Arial" w:hAnsi="Arial"/>
          <w:sz w:val="16"/>
          <w:szCs w:val="16"/>
        </w:rPr>
      </w:pPr>
    </w:p>
    <w:p w:rsidR="001461F9" w:rsidRDefault="001461F9">
      <w:pPr>
        <w:pStyle w:val="BodyText"/>
        <w:ind w:firstLine="720"/>
        <w:jc w:val="left"/>
        <w:rPr>
          <w:rFonts w:ascii="Arial" w:hAnsi="Arial"/>
        </w:rPr>
      </w:pPr>
      <w:r>
        <w:rPr>
          <w:rFonts w:ascii="Arial" w:hAnsi="Arial"/>
        </w:rPr>
        <w:t xml:space="preserve">International </w:t>
      </w:r>
      <w:r w:rsidRPr="00B52098">
        <w:rPr>
          <w:rFonts w:ascii="Arial" w:hAnsi="Arial"/>
          <w:b/>
        </w:rPr>
        <w:t>White Cane Day is October 15</w:t>
      </w:r>
      <w:r>
        <w:rPr>
          <w:rFonts w:ascii="Arial" w:hAnsi="Arial"/>
        </w:rPr>
        <w:t>.  All states and many other count</w:t>
      </w:r>
      <w:r w:rsidR="000D73B3">
        <w:rPr>
          <w:rFonts w:ascii="Arial" w:hAnsi="Arial"/>
        </w:rPr>
        <w:t>r</w:t>
      </w:r>
      <w:r>
        <w:rPr>
          <w:rFonts w:ascii="Arial" w:hAnsi="Arial"/>
        </w:rPr>
        <w:t xml:space="preserve">ies have White Cane laws, which allow </w:t>
      </w:r>
      <w:r w:rsidR="00471F9C">
        <w:rPr>
          <w:rFonts w:ascii="Arial" w:hAnsi="Arial"/>
        </w:rPr>
        <w:t>pedestrians,</w:t>
      </w:r>
      <w:r w:rsidR="00B52098">
        <w:rPr>
          <w:rFonts w:ascii="Arial" w:hAnsi="Arial"/>
        </w:rPr>
        <w:t xml:space="preserve"> who are legally blind, </w:t>
      </w:r>
      <w:r>
        <w:rPr>
          <w:rFonts w:ascii="Arial" w:hAnsi="Arial"/>
        </w:rPr>
        <w:t xml:space="preserve">the right of way at street crossings.  </w:t>
      </w:r>
      <w:r w:rsidR="00EE4DC6">
        <w:rPr>
          <w:rFonts w:ascii="Arial" w:hAnsi="Arial"/>
        </w:rPr>
        <w:t xml:space="preserve">Most people who are legally blind have some usable vision. </w:t>
      </w:r>
    </w:p>
    <w:p w:rsidR="00EE4DC6" w:rsidRPr="008059EB" w:rsidRDefault="00EE4DC6">
      <w:pPr>
        <w:pStyle w:val="BodyText"/>
        <w:ind w:firstLine="720"/>
        <w:jc w:val="left"/>
        <w:rPr>
          <w:rFonts w:ascii="Arial" w:hAnsi="Arial"/>
          <w:sz w:val="16"/>
          <w:szCs w:val="16"/>
        </w:rPr>
      </w:pPr>
    </w:p>
    <w:p w:rsidR="001461F9" w:rsidRDefault="001461F9">
      <w:pPr>
        <w:pStyle w:val="BodyText"/>
        <w:ind w:firstLine="720"/>
        <w:jc w:val="left"/>
        <w:rPr>
          <w:rFonts w:ascii="Arial" w:hAnsi="Arial"/>
        </w:rPr>
      </w:pPr>
      <w:r>
        <w:rPr>
          <w:rFonts w:ascii="Arial" w:hAnsi="Arial"/>
        </w:rPr>
        <w:t xml:space="preserve">When in doubt, ask if the person needs assistance. </w:t>
      </w:r>
    </w:p>
    <w:p w:rsidR="001461F9" w:rsidRDefault="001461F9">
      <w:pPr>
        <w:pStyle w:val="BodyText"/>
        <w:ind w:firstLine="720"/>
        <w:jc w:val="left"/>
        <w:rPr>
          <w:rFonts w:ascii="Arial" w:hAnsi="Arial"/>
        </w:rPr>
      </w:pPr>
      <w:r>
        <w:rPr>
          <w:rFonts w:ascii="Arial" w:hAnsi="Arial"/>
        </w:rPr>
        <w:t>Do not grab the person, cane or guide</w:t>
      </w:r>
      <w:r w:rsidR="00692022">
        <w:rPr>
          <w:rFonts w:ascii="Arial" w:hAnsi="Arial"/>
        </w:rPr>
        <w:t xml:space="preserve"> dog</w:t>
      </w:r>
      <w:r>
        <w:rPr>
          <w:rFonts w:ascii="Arial" w:hAnsi="Arial"/>
        </w:rPr>
        <w:t xml:space="preserve">!  </w:t>
      </w:r>
    </w:p>
    <w:p w:rsidR="001461F9" w:rsidRDefault="008059EB" w:rsidP="00692022">
      <w:pPr>
        <w:pStyle w:val="BodyText"/>
        <w:ind w:left="720"/>
        <w:jc w:val="left"/>
        <w:rPr>
          <w:rFonts w:ascii="Arial" w:hAnsi="Arial"/>
        </w:rPr>
      </w:pPr>
      <w:r>
        <w:rPr>
          <w:rFonts w:ascii="Arial" w:hAnsi="Arial"/>
        </w:rPr>
        <w:t>Do n</w:t>
      </w:r>
      <w:r w:rsidR="00692022">
        <w:rPr>
          <w:rFonts w:ascii="Arial" w:hAnsi="Arial"/>
        </w:rPr>
        <w:t xml:space="preserve">ot distract or pet a </w:t>
      </w:r>
      <w:r w:rsidR="00EE4DC6">
        <w:rPr>
          <w:rFonts w:ascii="Arial" w:hAnsi="Arial"/>
        </w:rPr>
        <w:t>guide</w:t>
      </w:r>
      <w:r w:rsidR="00692022">
        <w:rPr>
          <w:rFonts w:ascii="Arial" w:hAnsi="Arial"/>
        </w:rPr>
        <w:t xml:space="preserve"> dog.</w:t>
      </w:r>
    </w:p>
    <w:p w:rsidR="001461F9" w:rsidRPr="008059EB" w:rsidRDefault="001461F9">
      <w:pPr>
        <w:pStyle w:val="BodyText"/>
        <w:ind w:firstLine="720"/>
        <w:jc w:val="left"/>
        <w:rPr>
          <w:rFonts w:ascii="Arial" w:hAnsi="Arial"/>
          <w:sz w:val="16"/>
          <w:szCs w:val="16"/>
        </w:rPr>
      </w:pPr>
    </w:p>
    <w:p w:rsidR="001461F9" w:rsidRDefault="001461F9">
      <w:pPr>
        <w:pStyle w:val="BodyText"/>
        <w:ind w:firstLine="72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Massachusetts White Cane Law states that </w:t>
      </w:r>
      <w:r>
        <w:rPr>
          <w:rFonts w:ascii="Arial" w:hAnsi="Arial"/>
        </w:rPr>
        <w:t xml:space="preserve">All motorists, when they </w:t>
      </w:r>
      <w:r w:rsidR="00692022">
        <w:rPr>
          <w:rFonts w:ascii="Arial" w:hAnsi="Arial"/>
        </w:rPr>
        <w:t xml:space="preserve">see a pedestrian who uses a </w:t>
      </w:r>
      <w:r>
        <w:rPr>
          <w:rFonts w:ascii="Arial" w:hAnsi="Arial"/>
        </w:rPr>
        <w:t>guide</w:t>
      </w:r>
      <w:r w:rsidR="00692022">
        <w:rPr>
          <w:rFonts w:ascii="Arial" w:hAnsi="Arial"/>
        </w:rPr>
        <w:t xml:space="preserve"> dog</w:t>
      </w:r>
      <w:r>
        <w:rPr>
          <w:rFonts w:ascii="Arial" w:hAnsi="Arial"/>
        </w:rPr>
        <w:t xml:space="preserve"> or </w:t>
      </w:r>
      <w:r w:rsidR="000D73B3">
        <w:rPr>
          <w:rFonts w:ascii="Arial" w:hAnsi="Arial"/>
        </w:rPr>
        <w:t xml:space="preserve">a </w:t>
      </w:r>
      <w:r>
        <w:rPr>
          <w:rFonts w:ascii="Arial" w:hAnsi="Arial"/>
        </w:rPr>
        <w:t xml:space="preserve">white cane at a street crossing, </w:t>
      </w:r>
      <w:r>
        <w:rPr>
          <w:rFonts w:ascii="Arial" w:hAnsi="Arial"/>
          <w:b/>
        </w:rPr>
        <w:t xml:space="preserve">must come </w:t>
      </w:r>
      <w:r w:rsidR="00B52098">
        <w:rPr>
          <w:rFonts w:ascii="Arial" w:hAnsi="Arial"/>
          <w:b/>
        </w:rPr>
        <w:t>to a complete stop.</w:t>
      </w:r>
    </w:p>
    <w:p w:rsidR="00806ECC" w:rsidRPr="008059EB" w:rsidRDefault="00806ECC">
      <w:pPr>
        <w:pStyle w:val="BodyText"/>
        <w:ind w:firstLine="720"/>
        <w:jc w:val="left"/>
        <w:rPr>
          <w:rFonts w:ascii="Arial" w:hAnsi="Arial"/>
          <w:b/>
          <w:sz w:val="16"/>
          <w:szCs w:val="16"/>
        </w:rPr>
      </w:pPr>
    </w:p>
    <w:p w:rsidR="00806ECC" w:rsidRDefault="008059EB" w:rsidP="00806ECC">
      <w:pPr>
        <w:pStyle w:val="BodyText"/>
        <w:ind w:firstLine="720"/>
        <w:rPr>
          <w:rFonts w:ascii="Arial" w:hAnsi="Arial"/>
          <w:b/>
        </w:rPr>
      </w:pPr>
      <w:bookmarkStart w:id="0" w:name="_Hlk523833439"/>
      <w:r>
        <w:rPr>
          <w:noProof/>
        </w:rPr>
        <w:drawing>
          <wp:inline distT="0" distB="0" distL="0" distR="0">
            <wp:extent cx="3303905" cy="3303905"/>
            <wp:effectExtent l="0" t="0" r="0" b="0"/>
            <wp:docPr id="1" name="Picture 1" descr="lowVision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wVision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3E5" w:rsidRDefault="001461F9" w:rsidP="008059EB">
      <w:pPr>
        <w:pStyle w:val="BodyText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sz w:val="24"/>
        </w:rPr>
        <w:lastRenderedPageBreak/>
        <w:t xml:space="preserve">Top Ten List of </w:t>
      </w:r>
      <w:r>
        <w:rPr>
          <w:rFonts w:ascii="Arial" w:hAnsi="Arial"/>
          <w:b/>
          <w:sz w:val="24"/>
        </w:rPr>
        <w:t>DON'Ts</w:t>
      </w:r>
    </w:p>
    <w:p w:rsidR="00CD53E5" w:rsidRDefault="001461F9" w:rsidP="00CD53E5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Motorists When They See a Pedestrian</w:t>
      </w:r>
      <w:r w:rsidR="00CD53E5">
        <w:rPr>
          <w:rFonts w:ascii="Arial" w:hAnsi="Arial"/>
          <w:sz w:val="24"/>
        </w:rPr>
        <w:t xml:space="preserve"> </w:t>
      </w:r>
    </w:p>
    <w:p w:rsidR="001461F9" w:rsidRDefault="001461F9" w:rsidP="00CD53E5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Using a White Cane o</w:t>
      </w:r>
      <w:r w:rsidR="00692022">
        <w:rPr>
          <w:rFonts w:ascii="Arial" w:hAnsi="Arial"/>
          <w:sz w:val="24"/>
        </w:rPr>
        <w:t xml:space="preserve">r </w:t>
      </w:r>
      <w:r w:rsidR="0080434B">
        <w:rPr>
          <w:rFonts w:ascii="Arial" w:hAnsi="Arial"/>
          <w:sz w:val="24"/>
        </w:rPr>
        <w:t>Guide</w:t>
      </w:r>
      <w:r w:rsidR="00692022">
        <w:rPr>
          <w:rFonts w:ascii="Arial" w:hAnsi="Arial"/>
          <w:sz w:val="24"/>
        </w:rPr>
        <w:t xml:space="preserve"> Dog</w:t>
      </w:r>
      <w:r w:rsidR="0080434B">
        <w:rPr>
          <w:rFonts w:ascii="Arial" w:hAnsi="Arial"/>
          <w:sz w:val="24"/>
        </w:rPr>
        <w:t xml:space="preserve"> at </w:t>
      </w:r>
      <w:r w:rsidR="00CD53E5">
        <w:rPr>
          <w:rFonts w:ascii="Arial" w:hAnsi="Arial"/>
          <w:sz w:val="24"/>
        </w:rPr>
        <w:t xml:space="preserve">a </w:t>
      </w:r>
      <w:r w:rsidR="0080434B">
        <w:rPr>
          <w:rFonts w:ascii="Arial" w:hAnsi="Arial"/>
          <w:sz w:val="24"/>
        </w:rPr>
        <w:t>Street Crossing</w:t>
      </w:r>
    </w:p>
    <w:p w:rsidR="00831D49" w:rsidRDefault="00831D49" w:rsidP="00CD53E5">
      <w:pPr>
        <w:autoSpaceDE w:val="0"/>
        <w:autoSpaceDN w:val="0"/>
        <w:adjustRightInd w:val="0"/>
        <w:jc w:val="center"/>
      </w:pPr>
    </w:p>
    <w:p w:rsidR="001461F9" w:rsidRPr="005164E3" w:rsidRDefault="005164E3" w:rsidP="005164E3">
      <w:pPr>
        <w:autoSpaceDE w:val="0"/>
        <w:autoSpaceDN w:val="0"/>
        <w:adjustRightInd w:val="0"/>
        <w:rPr>
          <w:rFonts w:ascii="Arial" w:hAnsi="Arial" w:cs="Arial"/>
        </w:rPr>
      </w:pPr>
      <w:r>
        <w:t>(</w:t>
      </w:r>
      <w:r w:rsidRPr="005164E3">
        <w:rPr>
          <w:rFonts w:ascii="Arial" w:hAnsi="Arial" w:cs="Arial"/>
        </w:rPr>
        <w:t xml:space="preserve">Adapted from </w:t>
      </w:r>
      <w:r w:rsidRPr="005164E3">
        <w:rPr>
          <w:rFonts w:ascii="Arial" w:hAnsi="Arial" w:cs="Arial"/>
          <w:b/>
          <w:i/>
        </w:rPr>
        <w:t>“The Ten List of What Motorists Shouldn’t Do When They See A Blind Person</w:t>
      </w:r>
      <w:r w:rsidRPr="0080434B">
        <w:rPr>
          <w:rFonts w:ascii="Arial" w:hAnsi="Arial" w:cs="Arial"/>
          <w:b/>
          <w:i/>
        </w:rPr>
        <w:t>”</w:t>
      </w:r>
      <w:r w:rsidR="00831D49">
        <w:rPr>
          <w:rFonts w:ascii="Arial" w:hAnsi="Arial" w:cs="Arial"/>
        </w:rPr>
        <w:t xml:space="preserve"> </w:t>
      </w:r>
      <w:r w:rsidRPr="005164E3">
        <w:rPr>
          <w:rFonts w:ascii="Arial" w:hAnsi="Arial" w:cs="Arial"/>
        </w:rPr>
        <w:t>Hazard</w:t>
      </w:r>
      <w:r w:rsidR="00831D49">
        <w:rPr>
          <w:rFonts w:ascii="Arial" w:hAnsi="Arial" w:cs="Arial"/>
        </w:rPr>
        <w:t xml:space="preserve">/Zelaya </w:t>
      </w:r>
      <w:r w:rsidR="00927C82">
        <w:rPr>
          <w:rFonts w:ascii="Arial" w:hAnsi="Arial" w:cs="Arial"/>
        </w:rPr>
        <w:t>1</w:t>
      </w:r>
      <w:r w:rsidRPr="005164E3">
        <w:rPr>
          <w:rFonts w:ascii="Arial" w:hAnsi="Arial" w:cs="Arial"/>
        </w:rPr>
        <w:t>998</w:t>
      </w:r>
      <w:r>
        <w:rPr>
          <w:rFonts w:ascii="Arial" w:hAnsi="Arial" w:cs="Arial"/>
        </w:rPr>
        <w:t>)</w:t>
      </w:r>
    </w:p>
    <w:p w:rsidR="001461F9" w:rsidRDefault="001461F9">
      <w:pPr>
        <w:pStyle w:val="BodyText"/>
        <w:rPr>
          <w:rFonts w:ascii="Arial" w:hAnsi="Arial"/>
        </w:rPr>
      </w:pPr>
    </w:p>
    <w:p w:rsidR="001461F9" w:rsidRDefault="001461F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10. </w:t>
      </w:r>
      <w:r>
        <w:rPr>
          <w:rFonts w:ascii="Arial" w:hAnsi="Arial"/>
          <w:b/>
          <w:sz w:val="28"/>
        </w:rPr>
        <w:t xml:space="preserve">Don’t </w:t>
      </w:r>
      <w:r w:rsidR="00927C82">
        <w:rPr>
          <w:rFonts w:ascii="Arial" w:hAnsi="Arial"/>
          <w:sz w:val="28"/>
        </w:rPr>
        <w:t xml:space="preserve">stop your </w:t>
      </w:r>
      <w:r w:rsidR="00564FA7">
        <w:rPr>
          <w:rFonts w:ascii="Arial" w:hAnsi="Arial"/>
          <w:sz w:val="28"/>
        </w:rPr>
        <w:t xml:space="preserve">vehicle </w:t>
      </w:r>
      <w:r w:rsidR="00927C82">
        <w:rPr>
          <w:rFonts w:ascii="Arial" w:hAnsi="Arial"/>
          <w:sz w:val="28"/>
        </w:rPr>
        <w:t>more tha</w:t>
      </w:r>
      <w:r>
        <w:rPr>
          <w:rFonts w:ascii="Arial" w:hAnsi="Arial"/>
          <w:sz w:val="28"/>
        </w:rPr>
        <w:t>n five feet from the crosswalk line.</w:t>
      </w:r>
    </w:p>
    <w:p w:rsidR="001461F9" w:rsidRDefault="001461F9">
      <w:pPr>
        <w:rPr>
          <w:rFonts w:ascii="Arial" w:hAnsi="Arial"/>
          <w:sz w:val="28"/>
        </w:rPr>
      </w:pPr>
    </w:p>
    <w:p w:rsidR="001461F9" w:rsidRDefault="001461F9">
      <w:pPr>
        <w:numPr>
          <w:ilvl w:val="0"/>
          <w:numId w:val="10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Don’t</w:t>
      </w:r>
      <w:r w:rsidR="00472ADC">
        <w:rPr>
          <w:rFonts w:ascii="Arial" w:hAnsi="Arial"/>
          <w:sz w:val="28"/>
        </w:rPr>
        <w:t xml:space="preserve"> yell out “I</w:t>
      </w:r>
      <w:r w:rsidR="00927C82">
        <w:rPr>
          <w:rFonts w:ascii="Arial" w:hAnsi="Arial"/>
          <w:sz w:val="28"/>
        </w:rPr>
        <w:t>t’s OK</w:t>
      </w:r>
      <w:r>
        <w:rPr>
          <w:rFonts w:ascii="Arial" w:hAnsi="Arial"/>
          <w:sz w:val="28"/>
        </w:rPr>
        <w:t xml:space="preserve"> to cross”.</w:t>
      </w:r>
    </w:p>
    <w:p w:rsidR="001461F9" w:rsidRDefault="001461F9">
      <w:pPr>
        <w:ind w:left="75"/>
        <w:rPr>
          <w:rFonts w:ascii="Arial" w:hAnsi="Arial"/>
          <w:sz w:val="28"/>
        </w:rPr>
      </w:pPr>
    </w:p>
    <w:p w:rsidR="001461F9" w:rsidRDefault="001461F9">
      <w:pPr>
        <w:numPr>
          <w:ilvl w:val="0"/>
          <w:numId w:val="11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Don’t </w:t>
      </w:r>
      <w:r>
        <w:rPr>
          <w:rFonts w:ascii="Arial" w:hAnsi="Arial"/>
          <w:sz w:val="28"/>
        </w:rPr>
        <w:t xml:space="preserve">get impatient when waiting for pedestrian who is visually impaired to cross.  If the pedestrian places the long cane into the street, it usually indicates </w:t>
      </w:r>
      <w:r w:rsidR="008E4FE7">
        <w:rPr>
          <w:rFonts w:ascii="Arial" w:hAnsi="Arial"/>
          <w:sz w:val="28"/>
        </w:rPr>
        <w:t xml:space="preserve">a street crossing will begin. </w:t>
      </w:r>
      <w:r>
        <w:rPr>
          <w:rFonts w:ascii="Arial" w:hAnsi="Arial"/>
          <w:sz w:val="28"/>
        </w:rPr>
        <w:t xml:space="preserve">If the cane </w:t>
      </w:r>
      <w:r w:rsidR="008E4FE7">
        <w:rPr>
          <w:rFonts w:ascii="Arial" w:hAnsi="Arial"/>
          <w:sz w:val="28"/>
        </w:rPr>
        <w:t xml:space="preserve">user </w:t>
      </w:r>
      <w:r>
        <w:rPr>
          <w:rFonts w:ascii="Arial" w:hAnsi="Arial"/>
          <w:sz w:val="28"/>
        </w:rPr>
        <w:t>takes a step back &amp; pulls back the cane from the curb, it usually indicates the pe</w:t>
      </w:r>
      <w:r w:rsidR="008E4FE7">
        <w:rPr>
          <w:rFonts w:ascii="Arial" w:hAnsi="Arial"/>
          <w:sz w:val="28"/>
        </w:rPr>
        <w:t xml:space="preserve">destrian </w:t>
      </w:r>
      <w:r w:rsidR="00831D49" w:rsidRPr="00831D49">
        <w:rPr>
          <w:rFonts w:ascii="Arial" w:hAnsi="Arial"/>
          <w:sz w:val="28"/>
          <w:u w:val="single"/>
        </w:rPr>
        <w:t>may</w:t>
      </w:r>
      <w:r>
        <w:rPr>
          <w:rFonts w:ascii="Arial" w:hAnsi="Arial"/>
          <w:sz w:val="28"/>
          <w:u w:val="single"/>
        </w:rPr>
        <w:t xml:space="preserve"> not</w:t>
      </w:r>
      <w:r>
        <w:rPr>
          <w:rFonts w:ascii="Arial" w:hAnsi="Arial"/>
          <w:sz w:val="28"/>
        </w:rPr>
        <w:t xml:space="preserve"> be crossing at that time.  </w:t>
      </w:r>
    </w:p>
    <w:p w:rsidR="001461F9" w:rsidRDefault="001461F9">
      <w:pPr>
        <w:rPr>
          <w:rFonts w:ascii="Arial" w:hAnsi="Arial"/>
          <w:sz w:val="28"/>
        </w:rPr>
      </w:pPr>
    </w:p>
    <w:p w:rsidR="001461F9" w:rsidRDefault="001461F9">
      <w:pPr>
        <w:ind w:left="360" w:hanging="28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7. </w:t>
      </w:r>
      <w:r>
        <w:rPr>
          <w:rFonts w:ascii="Arial" w:hAnsi="Arial"/>
          <w:b/>
          <w:sz w:val="28"/>
        </w:rPr>
        <w:t xml:space="preserve">Don’t </w:t>
      </w:r>
      <w:r w:rsidR="00D35581">
        <w:rPr>
          <w:rFonts w:ascii="Arial" w:hAnsi="Arial"/>
          <w:sz w:val="28"/>
        </w:rPr>
        <w:t>consider a “rolling”</w:t>
      </w:r>
      <w:r>
        <w:rPr>
          <w:rFonts w:ascii="Arial" w:hAnsi="Arial"/>
          <w:sz w:val="28"/>
        </w:rPr>
        <w:t xml:space="preserve"> stop as a complete stop.  A stop sign means STOP!  </w:t>
      </w:r>
    </w:p>
    <w:p w:rsidR="001461F9" w:rsidRDefault="001461F9">
      <w:pPr>
        <w:rPr>
          <w:rFonts w:ascii="Arial" w:hAnsi="Arial"/>
          <w:sz w:val="28"/>
        </w:rPr>
      </w:pPr>
    </w:p>
    <w:p w:rsidR="001461F9" w:rsidRDefault="001461F9">
      <w:pPr>
        <w:numPr>
          <w:ilvl w:val="0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Don’t</w:t>
      </w:r>
      <w:r>
        <w:rPr>
          <w:rFonts w:ascii="Arial" w:hAnsi="Arial"/>
          <w:sz w:val="28"/>
        </w:rPr>
        <w:t xml:space="preserve"> turn right on red without coming to a full stop and looking for pedestrians</w:t>
      </w:r>
      <w:r w:rsidR="00356634">
        <w:rPr>
          <w:rFonts w:ascii="Arial" w:hAnsi="Arial"/>
          <w:sz w:val="28"/>
        </w:rPr>
        <w:t xml:space="preserve"> on </w:t>
      </w:r>
      <w:r w:rsidR="00472ADC">
        <w:rPr>
          <w:rFonts w:ascii="Arial" w:hAnsi="Arial"/>
          <w:sz w:val="28"/>
        </w:rPr>
        <w:t>left and right</w:t>
      </w:r>
      <w:r>
        <w:rPr>
          <w:rFonts w:ascii="Arial" w:hAnsi="Arial"/>
          <w:sz w:val="28"/>
        </w:rPr>
        <w:t xml:space="preserve">.  The Right on Red Law requires drivers to come to a </w:t>
      </w:r>
      <w:r w:rsidRPr="00D35581">
        <w:rPr>
          <w:rFonts w:ascii="Arial" w:hAnsi="Arial"/>
          <w:b/>
          <w:sz w:val="28"/>
        </w:rPr>
        <w:t>complete stop</w:t>
      </w:r>
      <w:r>
        <w:rPr>
          <w:rFonts w:ascii="Arial" w:hAnsi="Arial"/>
          <w:sz w:val="28"/>
        </w:rPr>
        <w:t xml:space="preserve"> prior to making right turn. </w:t>
      </w:r>
    </w:p>
    <w:p w:rsidR="001461F9" w:rsidRDefault="001461F9">
      <w:pPr>
        <w:rPr>
          <w:rFonts w:ascii="Arial" w:hAnsi="Arial"/>
          <w:b/>
          <w:sz w:val="28"/>
        </w:rPr>
      </w:pPr>
    </w:p>
    <w:p w:rsidR="001461F9" w:rsidRDefault="001461F9">
      <w:pPr>
        <w:numPr>
          <w:ilvl w:val="0"/>
          <w:numId w:val="13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Don’t </w:t>
      </w:r>
      <w:r>
        <w:rPr>
          <w:rFonts w:ascii="Arial" w:hAnsi="Arial"/>
          <w:sz w:val="28"/>
        </w:rPr>
        <w:t>fail to stop for pedestrians at all cross</w:t>
      </w:r>
      <w:r w:rsidR="00472ADC">
        <w:rPr>
          <w:rFonts w:ascii="Arial" w:hAnsi="Arial"/>
          <w:sz w:val="28"/>
        </w:rPr>
        <w:t>walks.</w:t>
      </w:r>
      <w:r>
        <w:rPr>
          <w:rFonts w:ascii="Arial" w:hAnsi="Arial"/>
          <w:sz w:val="28"/>
        </w:rPr>
        <w:t xml:space="preserve">  Come to a full </w:t>
      </w:r>
      <w:r w:rsidR="00564FA7">
        <w:rPr>
          <w:rFonts w:ascii="Arial" w:hAnsi="Arial"/>
          <w:sz w:val="28"/>
        </w:rPr>
        <w:t>STOP!</w:t>
      </w:r>
      <w:r>
        <w:rPr>
          <w:rFonts w:ascii="Arial" w:hAnsi="Arial"/>
          <w:sz w:val="28"/>
        </w:rPr>
        <w:t xml:space="preserve"> </w:t>
      </w:r>
    </w:p>
    <w:p w:rsidR="001461F9" w:rsidRDefault="001461F9">
      <w:pPr>
        <w:rPr>
          <w:rFonts w:ascii="Arial" w:hAnsi="Arial"/>
          <w:sz w:val="28"/>
        </w:rPr>
      </w:pPr>
    </w:p>
    <w:p w:rsidR="001461F9" w:rsidRDefault="001461F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4.  </w:t>
      </w:r>
      <w:r>
        <w:rPr>
          <w:rFonts w:ascii="Arial" w:hAnsi="Arial"/>
          <w:b/>
          <w:sz w:val="28"/>
        </w:rPr>
        <w:t>Don’t</w:t>
      </w:r>
      <w:r w:rsidR="00472ADC">
        <w:rPr>
          <w:rFonts w:ascii="Arial" w:hAnsi="Arial"/>
          <w:sz w:val="28"/>
        </w:rPr>
        <w:t xml:space="preserve"> stop vehicle in the middle of a </w:t>
      </w:r>
      <w:r>
        <w:rPr>
          <w:rFonts w:ascii="Arial" w:hAnsi="Arial"/>
          <w:sz w:val="28"/>
        </w:rPr>
        <w:t>crosswalk.</w:t>
      </w:r>
    </w:p>
    <w:p w:rsidR="001461F9" w:rsidRDefault="001461F9">
      <w:pPr>
        <w:rPr>
          <w:rFonts w:ascii="Arial" w:hAnsi="Arial"/>
          <w:sz w:val="28"/>
        </w:rPr>
      </w:pPr>
    </w:p>
    <w:p w:rsidR="001461F9" w:rsidRDefault="001461F9" w:rsidP="00D35581">
      <w:pPr>
        <w:numPr>
          <w:ilvl w:val="0"/>
          <w:numId w:val="14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Don’t</w:t>
      </w:r>
      <w:r>
        <w:rPr>
          <w:rFonts w:ascii="Arial" w:hAnsi="Arial"/>
          <w:sz w:val="28"/>
        </w:rPr>
        <w:t xml:space="preserve"> pass another </w:t>
      </w:r>
      <w:r w:rsidR="00472ADC">
        <w:rPr>
          <w:rFonts w:ascii="Arial" w:hAnsi="Arial"/>
          <w:sz w:val="28"/>
        </w:rPr>
        <w:t>vehicle</w:t>
      </w:r>
      <w:r>
        <w:rPr>
          <w:rFonts w:ascii="Arial" w:hAnsi="Arial"/>
          <w:sz w:val="28"/>
        </w:rPr>
        <w:t xml:space="preserve">, stopped, </w:t>
      </w:r>
      <w:r w:rsidR="00472ADC">
        <w:rPr>
          <w:rFonts w:ascii="Arial" w:hAnsi="Arial"/>
          <w:sz w:val="28"/>
        </w:rPr>
        <w:t xml:space="preserve">which may be waiting for </w:t>
      </w:r>
      <w:r>
        <w:rPr>
          <w:rFonts w:ascii="Arial" w:hAnsi="Arial"/>
          <w:sz w:val="28"/>
        </w:rPr>
        <w:t>pedestrians</w:t>
      </w:r>
      <w:r w:rsidR="00D35581">
        <w:rPr>
          <w:rFonts w:ascii="Arial" w:hAnsi="Arial"/>
          <w:sz w:val="28"/>
        </w:rPr>
        <w:t xml:space="preserve"> </w:t>
      </w:r>
      <w:r w:rsidR="00472ADC">
        <w:rPr>
          <w:rFonts w:ascii="Arial" w:hAnsi="Arial"/>
          <w:sz w:val="28"/>
        </w:rPr>
        <w:t xml:space="preserve">to cross the street. </w:t>
      </w:r>
    </w:p>
    <w:p w:rsidR="001461F9" w:rsidRPr="00472ADC" w:rsidRDefault="001461F9" w:rsidP="00472ADC">
      <w:pPr>
        <w:ind w:left="360"/>
        <w:rPr>
          <w:rFonts w:ascii="Arial" w:hAnsi="Arial"/>
          <w:sz w:val="28"/>
        </w:rPr>
      </w:pPr>
    </w:p>
    <w:p w:rsidR="001461F9" w:rsidRDefault="001461F9">
      <w:pPr>
        <w:numPr>
          <w:ilvl w:val="0"/>
          <w:numId w:val="15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Don’t </w:t>
      </w:r>
      <w:r>
        <w:rPr>
          <w:rFonts w:ascii="Arial" w:hAnsi="Arial"/>
          <w:sz w:val="28"/>
        </w:rPr>
        <w:t>wave to pedestrians who are using a white cane or dog guide</w:t>
      </w:r>
      <w:r w:rsidR="00564FA7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to indicate that you are waiting for them to cross.  They CAN NOT see you.</w:t>
      </w:r>
    </w:p>
    <w:p w:rsidR="001461F9" w:rsidRDefault="001461F9">
      <w:pPr>
        <w:rPr>
          <w:rFonts w:ascii="Arial" w:hAnsi="Arial"/>
          <w:sz w:val="28"/>
        </w:rPr>
      </w:pPr>
    </w:p>
    <w:p w:rsidR="001461F9" w:rsidRDefault="001461F9">
      <w:pPr>
        <w:numPr>
          <w:ilvl w:val="0"/>
          <w:numId w:val="16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Don’t</w:t>
      </w:r>
      <w:r>
        <w:rPr>
          <w:rFonts w:ascii="Arial" w:hAnsi="Arial"/>
          <w:sz w:val="28"/>
        </w:rPr>
        <w:t xml:space="preserve"> </w:t>
      </w:r>
      <w:r w:rsidR="00564FA7">
        <w:rPr>
          <w:rFonts w:ascii="Arial" w:hAnsi="Arial"/>
          <w:sz w:val="28"/>
        </w:rPr>
        <w:t>HONK</w:t>
      </w:r>
      <w:r>
        <w:rPr>
          <w:rFonts w:ascii="Arial" w:hAnsi="Arial"/>
          <w:sz w:val="28"/>
        </w:rPr>
        <w:t>!</w:t>
      </w:r>
    </w:p>
    <w:p w:rsidR="001461F9" w:rsidRDefault="001461F9">
      <w:pPr>
        <w:rPr>
          <w:rFonts w:ascii="Arial" w:hAnsi="Arial"/>
          <w:sz w:val="28"/>
        </w:rPr>
      </w:pPr>
    </w:p>
    <w:p w:rsidR="001461F9" w:rsidRDefault="001461F9">
      <w:pPr>
        <w:pStyle w:val="BodyText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Massachusetts White Cane Law:</w:t>
      </w:r>
      <w:r>
        <w:rPr>
          <w:rFonts w:ascii="Arial" w:hAnsi="Arial"/>
        </w:rPr>
        <w:t xml:space="preserve"> All motorists, when they </w:t>
      </w:r>
      <w:r w:rsidR="00692022">
        <w:rPr>
          <w:rFonts w:ascii="Arial" w:hAnsi="Arial"/>
        </w:rPr>
        <w:t xml:space="preserve">see a pedestrian who uses a </w:t>
      </w:r>
      <w:r>
        <w:rPr>
          <w:rFonts w:ascii="Arial" w:hAnsi="Arial"/>
        </w:rPr>
        <w:t>guide</w:t>
      </w:r>
      <w:r w:rsidR="00692022">
        <w:rPr>
          <w:rFonts w:ascii="Arial" w:hAnsi="Arial"/>
        </w:rPr>
        <w:t xml:space="preserve"> dog</w:t>
      </w:r>
      <w:r>
        <w:rPr>
          <w:rFonts w:ascii="Arial" w:hAnsi="Arial"/>
        </w:rPr>
        <w:t xml:space="preserve"> or a white cane at a street crossing, </w:t>
      </w:r>
      <w:r>
        <w:rPr>
          <w:rFonts w:ascii="Arial" w:hAnsi="Arial"/>
          <w:b/>
        </w:rPr>
        <w:t xml:space="preserve">must </w:t>
      </w:r>
      <w:r w:rsidR="00B52098">
        <w:rPr>
          <w:rFonts w:ascii="Arial" w:hAnsi="Arial"/>
          <w:b/>
        </w:rPr>
        <w:t>come to a complete stop.</w:t>
      </w:r>
    </w:p>
    <w:p w:rsidR="00831D49" w:rsidRDefault="00831D49">
      <w:pPr>
        <w:ind w:firstLine="720"/>
        <w:jc w:val="center"/>
      </w:pPr>
    </w:p>
    <w:p w:rsidR="00831D49" w:rsidRDefault="00831D49">
      <w:pPr>
        <w:ind w:firstLine="720"/>
        <w:jc w:val="center"/>
      </w:pPr>
    </w:p>
    <w:p w:rsidR="00831D49" w:rsidRDefault="00831D49">
      <w:pPr>
        <w:ind w:firstLine="720"/>
        <w:jc w:val="center"/>
      </w:pPr>
    </w:p>
    <w:p w:rsidR="003F1B7E" w:rsidRPr="004F111D" w:rsidRDefault="008059EB" w:rsidP="00D20728">
      <w:pPr>
        <w:ind w:firstLine="720"/>
        <w:jc w:val="center"/>
        <w:rPr>
          <w:rFonts w:ascii="Arial" w:hAnsi="Arial"/>
          <w:sz w:val="40"/>
          <w:szCs w:val="40"/>
        </w:rPr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2" name="Picture 2" descr="lowVision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wVision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A3">
        <w:rPr>
          <w:rFonts w:ascii="Arial" w:hAnsi="Arial"/>
          <w:sz w:val="32"/>
        </w:rPr>
        <w:br w:type="page"/>
      </w:r>
      <w:r w:rsidR="00C16F7C" w:rsidRPr="004F111D">
        <w:rPr>
          <w:rFonts w:ascii="Arial" w:hAnsi="Arial"/>
          <w:sz w:val="40"/>
          <w:szCs w:val="40"/>
        </w:rPr>
        <w:lastRenderedPageBreak/>
        <w:t xml:space="preserve">Please </w:t>
      </w:r>
      <w:r w:rsidR="00AF59A3" w:rsidRPr="004F111D">
        <w:rPr>
          <w:rFonts w:ascii="Arial" w:hAnsi="Arial"/>
          <w:sz w:val="40"/>
          <w:szCs w:val="40"/>
        </w:rPr>
        <w:t xml:space="preserve">Come </w:t>
      </w:r>
      <w:r w:rsidR="00B47426">
        <w:rPr>
          <w:rFonts w:ascii="Arial" w:hAnsi="Arial"/>
          <w:sz w:val="40"/>
          <w:szCs w:val="40"/>
        </w:rPr>
        <w:t>to</w:t>
      </w:r>
    </w:p>
    <w:p w:rsidR="003F1B7E" w:rsidRDefault="00692022" w:rsidP="00AF59A3">
      <w:pPr>
        <w:jc w:val="center"/>
        <w:rPr>
          <w:rFonts w:ascii="Arial Bold" w:hAnsi="Arial Bold"/>
          <w:b/>
          <w:sz w:val="40"/>
          <w:szCs w:val="40"/>
        </w:rPr>
      </w:pPr>
      <w:r>
        <w:rPr>
          <w:rFonts w:ascii="Arial Bold" w:hAnsi="Arial Bold"/>
          <w:b/>
          <w:sz w:val="40"/>
          <w:szCs w:val="40"/>
        </w:rPr>
        <w:t>Massachusetts</w:t>
      </w:r>
      <w:r w:rsidR="00AF59A3" w:rsidRPr="004F111D">
        <w:rPr>
          <w:rFonts w:ascii="Arial Bold" w:hAnsi="Arial Bold"/>
          <w:b/>
          <w:sz w:val="40"/>
          <w:szCs w:val="40"/>
        </w:rPr>
        <w:t xml:space="preserve"> White Cane Day </w:t>
      </w:r>
      <w:r>
        <w:rPr>
          <w:rFonts w:ascii="Arial Bold" w:hAnsi="Arial Bold"/>
          <w:b/>
          <w:sz w:val="40"/>
          <w:szCs w:val="40"/>
        </w:rPr>
        <w:t>Celebration</w:t>
      </w:r>
    </w:p>
    <w:p w:rsidR="00692022" w:rsidRDefault="00692022" w:rsidP="00367E94">
      <w:pPr>
        <w:jc w:val="center"/>
        <w:rPr>
          <w:rFonts w:ascii="Arial" w:hAnsi="Arial"/>
          <w:sz w:val="40"/>
          <w:szCs w:val="40"/>
        </w:rPr>
      </w:pPr>
    </w:p>
    <w:p w:rsidR="00692022" w:rsidRDefault="00367E94" w:rsidP="00367E94">
      <w:pPr>
        <w:jc w:val="center"/>
        <w:rPr>
          <w:rFonts w:ascii="Arial" w:hAnsi="Arial"/>
          <w:sz w:val="40"/>
          <w:szCs w:val="40"/>
        </w:rPr>
      </w:pPr>
      <w:r w:rsidRPr="004F111D">
        <w:rPr>
          <w:rFonts w:ascii="Arial" w:hAnsi="Arial"/>
          <w:sz w:val="40"/>
          <w:szCs w:val="40"/>
        </w:rPr>
        <w:t xml:space="preserve">Celebrate the independence of white canes </w:t>
      </w:r>
    </w:p>
    <w:p w:rsidR="00692022" w:rsidRDefault="00367E94" w:rsidP="00367E94">
      <w:pPr>
        <w:jc w:val="center"/>
        <w:rPr>
          <w:rFonts w:ascii="Arial" w:hAnsi="Arial"/>
          <w:sz w:val="40"/>
          <w:szCs w:val="40"/>
        </w:rPr>
      </w:pPr>
      <w:r w:rsidRPr="004F111D">
        <w:rPr>
          <w:rFonts w:ascii="Arial" w:hAnsi="Arial"/>
          <w:sz w:val="40"/>
          <w:szCs w:val="40"/>
        </w:rPr>
        <w:t xml:space="preserve">and </w:t>
      </w:r>
    </w:p>
    <w:p w:rsidR="00367E94" w:rsidRPr="00C412E2" w:rsidRDefault="00367E94" w:rsidP="00367E94">
      <w:pPr>
        <w:jc w:val="center"/>
        <w:rPr>
          <w:rFonts w:ascii="Arial" w:hAnsi="Arial"/>
          <w:sz w:val="48"/>
        </w:rPr>
      </w:pPr>
      <w:r w:rsidRPr="004F111D">
        <w:rPr>
          <w:rFonts w:ascii="Arial" w:hAnsi="Arial"/>
          <w:sz w:val="40"/>
          <w:szCs w:val="40"/>
        </w:rPr>
        <w:t>raise public awareness of the White Cane Law</w:t>
      </w:r>
      <w:r w:rsidRPr="00C412E2">
        <w:rPr>
          <w:rFonts w:ascii="Arial" w:hAnsi="Arial"/>
          <w:sz w:val="48"/>
        </w:rPr>
        <w:t xml:space="preserve">! </w:t>
      </w:r>
    </w:p>
    <w:p w:rsidR="00C412E2" w:rsidRDefault="00C412E2" w:rsidP="00AF59A3">
      <w:pPr>
        <w:jc w:val="center"/>
        <w:rPr>
          <w:rFonts w:ascii="Arial" w:hAnsi="Arial"/>
          <w:sz w:val="48"/>
        </w:rPr>
      </w:pPr>
    </w:p>
    <w:p w:rsidR="00C16F7C" w:rsidRDefault="008059EB" w:rsidP="00AF59A3">
      <w:pPr>
        <w:jc w:val="center"/>
        <w:rPr>
          <w:rFonts w:ascii="Arial" w:hAnsi="Arial"/>
          <w:sz w:val="48"/>
        </w:rPr>
      </w:pPr>
      <w:r>
        <w:rPr>
          <w:noProof/>
        </w:rPr>
        <w:drawing>
          <wp:inline distT="0" distB="0" distL="0" distR="0">
            <wp:extent cx="2610485" cy="2610485"/>
            <wp:effectExtent l="0" t="0" r="0" b="0"/>
            <wp:docPr id="3" name="Picture 3" descr="lowVision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wVision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7C" w:rsidRDefault="00C16F7C" w:rsidP="00AF59A3">
      <w:pPr>
        <w:jc w:val="center"/>
        <w:rPr>
          <w:rFonts w:ascii="Arial" w:hAnsi="Arial"/>
          <w:sz w:val="48"/>
        </w:rPr>
      </w:pPr>
    </w:p>
    <w:p w:rsidR="00367E94" w:rsidRPr="00367E94" w:rsidRDefault="0068756A" w:rsidP="00367E94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Monday, October</w:t>
      </w:r>
      <w:r w:rsidR="0098466A">
        <w:rPr>
          <w:rFonts w:ascii="Arial" w:hAnsi="Arial"/>
          <w:b/>
          <w:sz w:val="48"/>
        </w:rPr>
        <w:t xml:space="preserve"> </w:t>
      </w:r>
      <w:r w:rsidR="0082638E">
        <w:rPr>
          <w:rFonts w:ascii="Arial" w:hAnsi="Arial"/>
          <w:b/>
          <w:sz w:val="48"/>
        </w:rPr>
        <w:t>21</w:t>
      </w:r>
      <w:r w:rsidR="0098466A">
        <w:rPr>
          <w:rFonts w:ascii="Arial" w:hAnsi="Arial"/>
          <w:b/>
          <w:sz w:val="48"/>
        </w:rPr>
        <w:t>, 20</w:t>
      </w:r>
      <w:r w:rsidR="0082638E">
        <w:rPr>
          <w:rFonts w:ascii="Arial" w:hAnsi="Arial"/>
          <w:b/>
          <w:sz w:val="48"/>
        </w:rPr>
        <w:t>19</w:t>
      </w:r>
    </w:p>
    <w:p w:rsidR="00AF59A3" w:rsidRPr="004F111D" w:rsidRDefault="004F111D" w:rsidP="00AF59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Massachusetts Stateh</w:t>
      </w:r>
      <w:r w:rsidR="00367E94" w:rsidRPr="004F111D">
        <w:rPr>
          <w:rFonts w:ascii="Arial" w:hAnsi="Arial"/>
          <w:sz w:val="28"/>
          <w:szCs w:val="28"/>
        </w:rPr>
        <w:t>ouse, Boston MA</w:t>
      </w:r>
    </w:p>
    <w:p w:rsidR="004F111D" w:rsidRPr="004F111D" w:rsidRDefault="004F111D" w:rsidP="00AF59A3">
      <w:pPr>
        <w:jc w:val="center"/>
        <w:rPr>
          <w:rFonts w:ascii="Arial" w:hAnsi="Arial" w:cs="Arial"/>
          <w:sz w:val="22"/>
          <w:szCs w:val="22"/>
        </w:rPr>
      </w:pPr>
      <w:r w:rsidRPr="004F111D">
        <w:rPr>
          <w:rFonts w:ascii="Arial" w:hAnsi="Arial" w:cs="Arial"/>
          <w:sz w:val="22"/>
          <w:szCs w:val="22"/>
        </w:rPr>
        <w:t xml:space="preserve">(Drop off address </w:t>
      </w:r>
      <w:r w:rsidRPr="004F111D">
        <w:rPr>
          <w:rFonts w:ascii="Arial" w:hAnsi="Arial" w:cs="Arial"/>
          <w:b/>
          <w:bCs/>
          <w:sz w:val="22"/>
          <w:szCs w:val="22"/>
          <w:lang w:val="en"/>
        </w:rPr>
        <w:t>at 122 Bowdoin St., Boston 02108)</w:t>
      </w:r>
    </w:p>
    <w:p w:rsidR="00736C6F" w:rsidRDefault="00AF59A3" w:rsidP="00AF59A3">
      <w:pPr>
        <w:jc w:val="center"/>
        <w:rPr>
          <w:rFonts w:ascii="Arial" w:hAnsi="Arial"/>
          <w:sz w:val="28"/>
          <w:szCs w:val="28"/>
        </w:rPr>
      </w:pPr>
      <w:r w:rsidRPr="004F111D">
        <w:rPr>
          <w:rFonts w:ascii="Arial" w:hAnsi="Arial"/>
          <w:sz w:val="28"/>
          <w:szCs w:val="28"/>
        </w:rPr>
        <w:t>10-Noon</w:t>
      </w:r>
      <w:r w:rsidR="00367E94" w:rsidRPr="004F111D">
        <w:rPr>
          <w:rFonts w:ascii="Arial" w:hAnsi="Arial"/>
          <w:sz w:val="28"/>
          <w:szCs w:val="28"/>
        </w:rPr>
        <w:t>-</w:t>
      </w:r>
      <w:r w:rsidRPr="004F111D">
        <w:rPr>
          <w:rFonts w:ascii="Arial" w:hAnsi="Arial"/>
          <w:sz w:val="28"/>
          <w:szCs w:val="28"/>
        </w:rPr>
        <w:t xml:space="preserve">Grand </w:t>
      </w:r>
      <w:r w:rsidR="00736C6F" w:rsidRPr="004F111D">
        <w:rPr>
          <w:rFonts w:ascii="Arial" w:hAnsi="Arial"/>
          <w:sz w:val="28"/>
          <w:szCs w:val="28"/>
        </w:rPr>
        <w:t xml:space="preserve">Hall </w:t>
      </w:r>
    </w:p>
    <w:p w:rsidR="00692022" w:rsidRDefault="00692022" w:rsidP="00AF59A3">
      <w:pPr>
        <w:jc w:val="center"/>
        <w:rPr>
          <w:rFonts w:ascii="Arial" w:hAnsi="Arial"/>
          <w:sz w:val="28"/>
        </w:rPr>
      </w:pPr>
    </w:p>
    <w:p w:rsidR="00AF59A3" w:rsidRDefault="00BE6FCD" w:rsidP="00AF59A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Celebrate with White Cane &amp; Guide Dog Users, Families, </w:t>
      </w:r>
      <w:r w:rsidR="001D5376">
        <w:rPr>
          <w:rFonts w:ascii="Arial" w:hAnsi="Arial"/>
          <w:sz w:val="28"/>
        </w:rPr>
        <w:t>F</w:t>
      </w:r>
      <w:r w:rsidR="00D702EC">
        <w:rPr>
          <w:rFonts w:ascii="Arial" w:hAnsi="Arial"/>
          <w:sz w:val="28"/>
        </w:rPr>
        <w:t>riends</w:t>
      </w:r>
      <w:r w:rsidR="001D5376">
        <w:rPr>
          <w:rFonts w:ascii="Arial" w:hAnsi="Arial"/>
          <w:sz w:val="28"/>
        </w:rPr>
        <w:t>,</w:t>
      </w:r>
      <w:r w:rsidR="00D702EC">
        <w:rPr>
          <w:rFonts w:ascii="Arial" w:hAnsi="Arial"/>
          <w:sz w:val="28"/>
        </w:rPr>
        <w:t xml:space="preserve"> Orientation &amp; Mobility </w:t>
      </w:r>
      <w:r w:rsidR="001D5376">
        <w:rPr>
          <w:rFonts w:ascii="Arial" w:hAnsi="Arial"/>
          <w:sz w:val="28"/>
        </w:rPr>
        <w:t xml:space="preserve">Specialists, Vision </w:t>
      </w:r>
      <w:r w:rsidR="004F111D">
        <w:rPr>
          <w:rFonts w:ascii="Arial" w:hAnsi="Arial"/>
          <w:sz w:val="28"/>
        </w:rPr>
        <w:t>Professionals,</w:t>
      </w:r>
      <w:r w:rsidR="001D5376">
        <w:rPr>
          <w:rFonts w:ascii="Arial" w:hAnsi="Arial"/>
          <w:sz w:val="28"/>
        </w:rPr>
        <w:t xml:space="preserve"> and Others to </w:t>
      </w:r>
      <w:r w:rsidR="00AF59A3">
        <w:rPr>
          <w:rFonts w:ascii="Arial" w:hAnsi="Arial"/>
          <w:sz w:val="28"/>
        </w:rPr>
        <w:t xml:space="preserve">raise </w:t>
      </w:r>
      <w:r w:rsidR="00367E94">
        <w:rPr>
          <w:rFonts w:ascii="Arial" w:hAnsi="Arial"/>
          <w:sz w:val="28"/>
        </w:rPr>
        <w:t>White Cane Awareness</w:t>
      </w:r>
      <w:r w:rsidR="00AF59A3">
        <w:rPr>
          <w:rFonts w:ascii="Arial" w:hAnsi="Arial"/>
          <w:sz w:val="28"/>
        </w:rPr>
        <w:t xml:space="preserve">! </w:t>
      </w:r>
    </w:p>
    <w:p w:rsidR="00692022" w:rsidRDefault="00692022" w:rsidP="00B47426">
      <w:pPr>
        <w:jc w:val="center"/>
        <w:rPr>
          <w:rFonts w:ascii="Arial" w:hAnsi="Arial"/>
          <w:sz w:val="28"/>
        </w:rPr>
      </w:pPr>
    </w:p>
    <w:p w:rsidR="00B47426" w:rsidRDefault="00692022" w:rsidP="00B4742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</w:t>
      </w:r>
      <w:r w:rsidR="00B47426">
        <w:rPr>
          <w:rFonts w:ascii="Arial" w:hAnsi="Arial"/>
          <w:sz w:val="28"/>
        </w:rPr>
        <w:t xml:space="preserve">egister for the event on Eventbrite </w:t>
      </w:r>
      <w:r>
        <w:rPr>
          <w:rFonts w:ascii="Arial" w:hAnsi="Arial"/>
          <w:sz w:val="28"/>
        </w:rPr>
        <w:t>go to</w:t>
      </w:r>
      <w:r w:rsidR="00B47426">
        <w:rPr>
          <w:rFonts w:ascii="Arial" w:hAnsi="Arial"/>
          <w:sz w:val="28"/>
        </w:rPr>
        <w:t xml:space="preserve"> </w:t>
      </w:r>
    </w:p>
    <w:p w:rsidR="00692022" w:rsidRDefault="00E87C42" w:rsidP="00692022">
      <w:pPr>
        <w:jc w:val="center"/>
        <w:rPr>
          <w:rFonts w:ascii="Arial" w:hAnsi="Arial"/>
          <w:sz w:val="28"/>
        </w:rPr>
      </w:pPr>
      <w:hyperlink r:id="rId10" w:history="1">
        <w:r w:rsidR="00692022">
          <w:rPr>
            <w:rStyle w:val="Hyperlink"/>
            <w:rFonts w:ascii="Arial" w:eastAsia="Calibri" w:hAnsi="Arial" w:cs="Arial"/>
            <w:noProof/>
            <w:sz w:val="24"/>
            <w:szCs w:val="24"/>
          </w:rPr>
          <w:t>https://www.eventbrite.com/e/white-cane-celebration-2019-tickets-67975351105?utm-campaign=social%2Cemail&amp;utm-content=attendeeshare&amp;utm-medium=discovery&amp;utm-source=strongmail&amp;utm-term=checkoutwidget</w:t>
        </w:r>
      </w:hyperlink>
    </w:p>
    <w:p w:rsidR="00B47426" w:rsidRPr="00692022" w:rsidRDefault="00100BDC" w:rsidP="00B47426">
      <w:pPr>
        <w:jc w:val="center"/>
        <w:rPr>
          <w:rFonts w:ascii="Arial" w:hAnsi="Arial"/>
          <w:sz w:val="24"/>
          <w:szCs w:val="24"/>
        </w:rPr>
      </w:pPr>
      <w:r w:rsidRPr="00692022">
        <w:rPr>
          <w:rFonts w:ascii="Arial" w:hAnsi="Arial"/>
          <w:sz w:val="24"/>
          <w:szCs w:val="24"/>
        </w:rPr>
        <w:t xml:space="preserve">For more information or ADA requests (due by 10/5/18) </w:t>
      </w:r>
      <w:r w:rsidR="00AF59A3" w:rsidRPr="00692022">
        <w:rPr>
          <w:rFonts w:ascii="Arial" w:hAnsi="Arial"/>
          <w:sz w:val="24"/>
          <w:szCs w:val="24"/>
        </w:rPr>
        <w:t xml:space="preserve">contact the </w:t>
      </w:r>
      <w:r w:rsidR="00B47426" w:rsidRPr="00692022">
        <w:rPr>
          <w:rFonts w:ascii="Arial" w:hAnsi="Arial"/>
          <w:sz w:val="24"/>
          <w:szCs w:val="24"/>
        </w:rPr>
        <w:t xml:space="preserve">Mass. Commission for the Blind, Orientation and Mobility Department at </w:t>
      </w:r>
      <w:r w:rsidR="004F111D" w:rsidRPr="00692022">
        <w:rPr>
          <w:rFonts w:ascii="Arial" w:hAnsi="Arial"/>
          <w:sz w:val="24"/>
          <w:szCs w:val="24"/>
        </w:rPr>
        <w:t>617-626-</w:t>
      </w:r>
      <w:bookmarkStart w:id="1" w:name="_Hlk525288624"/>
      <w:r w:rsidR="00B47426" w:rsidRPr="00692022">
        <w:rPr>
          <w:rFonts w:ascii="Arial" w:hAnsi="Arial"/>
          <w:sz w:val="24"/>
          <w:szCs w:val="24"/>
        </w:rPr>
        <w:t>7581</w:t>
      </w:r>
    </w:p>
    <w:p w:rsidR="00AF59A3" w:rsidRPr="00692022" w:rsidRDefault="00100BDC" w:rsidP="00AF59A3">
      <w:pPr>
        <w:jc w:val="center"/>
        <w:rPr>
          <w:rFonts w:ascii="Arial" w:hAnsi="Arial"/>
          <w:sz w:val="24"/>
          <w:szCs w:val="24"/>
        </w:rPr>
      </w:pPr>
      <w:r w:rsidRPr="00692022">
        <w:rPr>
          <w:rFonts w:ascii="Arial" w:hAnsi="Arial"/>
          <w:sz w:val="24"/>
          <w:szCs w:val="24"/>
        </w:rPr>
        <w:t xml:space="preserve"> </w:t>
      </w:r>
    </w:p>
    <w:bookmarkEnd w:id="1"/>
    <w:p w:rsidR="00986B92" w:rsidRPr="00692022" w:rsidRDefault="00986B92" w:rsidP="00986B92">
      <w:pPr>
        <w:jc w:val="center"/>
        <w:rPr>
          <w:rFonts w:ascii="Arial" w:hAnsi="Arial" w:cs="Arial"/>
          <w:sz w:val="24"/>
          <w:szCs w:val="24"/>
        </w:rPr>
      </w:pPr>
      <w:r w:rsidRPr="00692022">
        <w:rPr>
          <w:rFonts w:ascii="Arial" w:hAnsi="Arial" w:cs="Arial"/>
          <w:sz w:val="24"/>
          <w:szCs w:val="24"/>
        </w:rPr>
        <w:t>Thanks to Bay State Council of the Blind, Massachusetts National Federation of the Blind and the Mass. Lions Club for their continued support of this event.</w:t>
      </w:r>
    </w:p>
    <w:p w:rsidR="00986B92" w:rsidRDefault="00986B92" w:rsidP="00AF59A3">
      <w:pPr>
        <w:jc w:val="center"/>
        <w:rPr>
          <w:rFonts w:ascii="Arial" w:hAnsi="Arial"/>
          <w:sz w:val="28"/>
        </w:rPr>
      </w:pPr>
    </w:p>
    <w:p w:rsidR="00AF59A3" w:rsidRPr="00692022" w:rsidRDefault="00AF59A3" w:rsidP="00AF59A3">
      <w:pPr>
        <w:jc w:val="center"/>
        <w:rPr>
          <w:rFonts w:ascii="Arial" w:hAnsi="Arial"/>
          <w:b/>
          <w:sz w:val="24"/>
          <w:szCs w:val="24"/>
        </w:rPr>
      </w:pPr>
      <w:r w:rsidRPr="00692022">
        <w:rPr>
          <w:rFonts w:ascii="Arial" w:hAnsi="Arial"/>
          <w:b/>
          <w:sz w:val="24"/>
          <w:szCs w:val="24"/>
        </w:rPr>
        <w:t>Massachusetts White Cane Law: General Law Chapter 90 Section 14A</w:t>
      </w:r>
    </w:p>
    <w:p w:rsidR="00C16F7C" w:rsidRPr="00C16F7C" w:rsidRDefault="00736C6F" w:rsidP="00AF59A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Stop for </w:t>
      </w:r>
      <w:r w:rsidR="00C16F7C" w:rsidRPr="00C16F7C">
        <w:rPr>
          <w:rFonts w:ascii="Arial" w:hAnsi="Arial"/>
          <w:b/>
          <w:sz w:val="28"/>
        </w:rPr>
        <w:t>White Cane and Dog Guide Users at Street Crossings-It’s the LAW!</w:t>
      </w:r>
    </w:p>
    <w:p w:rsidR="001461F9" w:rsidRPr="00736016" w:rsidRDefault="00D2272B" w:rsidP="00D2272B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28"/>
        </w:rPr>
        <w:br w:type="page"/>
      </w:r>
      <w:r w:rsidRPr="00736016">
        <w:rPr>
          <w:rFonts w:ascii="Arial" w:hAnsi="Arial"/>
          <w:sz w:val="96"/>
        </w:rPr>
        <w:lastRenderedPageBreak/>
        <w:t>Octob</w:t>
      </w:r>
      <w:bookmarkStart w:id="2" w:name="_GoBack"/>
      <w:bookmarkEnd w:id="2"/>
      <w:r w:rsidRPr="00736016">
        <w:rPr>
          <w:rFonts w:ascii="Arial" w:hAnsi="Arial"/>
          <w:sz w:val="96"/>
        </w:rPr>
        <w:t>er Is</w:t>
      </w:r>
    </w:p>
    <w:p w:rsidR="00D2272B" w:rsidRPr="00736016" w:rsidRDefault="00D2272B" w:rsidP="00D2272B">
      <w:pPr>
        <w:jc w:val="center"/>
        <w:rPr>
          <w:rFonts w:ascii="Arial" w:hAnsi="Arial"/>
          <w:sz w:val="96"/>
        </w:rPr>
      </w:pPr>
      <w:r w:rsidRPr="00736016">
        <w:rPr>
          <w:rFonts w:ascii="Arial" w:hAnsi="Arial"/>
          <w:sz w:val="96"/>
        </w:rPr>
        <w:t>White Cane</w:t>
      </w:r>
    </w:p>
    <w:p w:rsidR="00D2272B" w:rsidRDefault="00D2272B" w:rsidP="00D2272B">
      <w:pPr>
        <w:jc w:val="center"/>
        <w:rPr>
          <w:rFonts w:ascii="Arial" w:hAnsi="Arial"/>
          <w:sz w:val="96"/>
        </w:rPr>
      </w:pPr>
      <w:r w:rsidRPr="00736016">
        <w:rPr>
          <w:rFonts w:ascii="Arial" w:hAnsi="Arial"/>
          <w:sz w:val="96"/>
        </w:rPr>
        <w:t>Awareness</w:t>
      </w:r>
      <w:r w:rsidRPr="00736016">
        <w:rPr>
          <w:rFonts w:ascii="Arial Bold" w:hAnsi="Arial Bold"/>
          <w:b/>
          <w:sz w:val="96"/>
        </w:rPr>
        <w:t xml:space="preserve"> </w:t>
      </w:r>
      <w:r w:rsidRPr="00736016">
        <w:rPr>
          <w:rFonts w:ascii="Arial" w:hAnsi="Arial"/>
          <w:sz w:val="96"/>
        </w:rPr>
        <w:t>Month</w:t>
      </w:r>
    </w:p>
    <w:p w:rsidR="00736016" w:rsidRPr="00736016" w:rsidRDefault="00736016" w:rsidP="00D2272B">
      <w:pPr>
        <w:jc w:val="center"/>
        <w:rPr>
          <w:rFonts w:ascii="Arial" w:hAnsi="Arial"/>
          <w:sz w:val="56"/>
        </w:rPr>
      </w:pPr>
    </w:p>
    <w:p w:rsidR="00D2272B" w:rsidRDefault="008059EB" w:rsidP="00D2272B">
      <w:pPr>
        <w:jc w:val="center"/>
        <w:rPr>
          <w:rFonts w:ascii="Arial Bold" w:hAnsi="Arial Bold"/>
          <w:b/>
          <w:sz w:val="96"/>
        </w:rPr>
      </w:pPr>
      <w:r w:rsidRPr="001D5376">
        <w:rPr>
          <w:rFonts w:ascii="Arial Bold" w:hAnsi="Arial Bold"/>
          <w:b/>
          <w:noProof/>
          <w:sz w:val="96"/>
        </w:rPr>
        <w:drawing>
          <wp:inline distT="0" distB="0" distL="0" distR="0">
            <wp:extent cx="2743200" cy="2743200"/>
            <wp:effectExtent l="0" t="0" r="0" b="0"/>
            <wp:docPr id="4" name="Picture 4" descr="lowVision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wVision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16" w:rsidRDefault="00736016" w:rsidP="00D2272B">
      <w:pPr>
        <w:jc w:val="center"/>
        <w:rPr>
          <w:rFonts w:ascii="Arial Bold" w:hAnsi="Arial Bold"/>
          <w:b/>
          <w:sz w:val="56"/>
        </w:rPr>
      </w:pPr>
    </w:p>
    <w:p w:rsidR="00D2272B" w:rsidRPr="00C412E2" w:rsidRDefault="00736C6F" w:rsidP="00D2272B">
      <w:pPr>
        <w:jc w:val="center"/>
        <w:rPr>
          <w:rFonts w:ascii="Arial Bold" w:hAnsi="Arial Bold"/>
          <w:b/>
          <w:sz w:val="56"/>
        </w:rPr>
      </w:pPr>
      <w:r>
        <w:rPr>
          <w:rFonts w:ascii="Arial Bold" w:hAnsi="Arial Bold"/>
          <w:b/>
          <w:sz w:val="56"/>
        </w:rPr>
        <w:t>Stop for</w:t>
      </w:r>
      <w:r w:rsidR="00D2272B" w:rsidRPr="00C412E2">
        <w:rPr>
          <w:rFonts w:ascii="Arial Bold" w:hAnsi="Arial Bold"/>
          <w:b/>
          <w:sz w:val="56"/>
        </w:rPr>
        <w:t xml:space="preserve"> White Cane</w:t>
      </w:r>
    </w:p>
    <w:p w:rsidR="00D2272B" w:rsidRPr="00C412E2" w:rsidRDefault="00D2272B" w:rsidP="00D2272B">
      <w:pPr>
        <w:jc w:val="center"/>
        <w:rPr>
          <w:rFonts w:ascii="Arial Bold" w:hAnsi="Arial Bold"/>
          <w:b/>
          <w:sz w:val="56"/>
        </w:rPr>
      </w:pPr>
      <w:r w:rsidRPr="00C412E2">
        <w:rPr>
          <w:rFonts w:ascii="Arial Bold" w:hAnsi="Arial Bold"/>
          <w:b/>
          <w:sz w:val="56"/>
        </w:rPr>
        <w:t>And</w:t>
      </w:r>
    </w:p>
    <w:p w:rsidR="00D2272B" w:rsidRPr="00C412E2" w:rsidRDefault="00D2272B" w:rsidP="00D2272B">
      <w:pPr>
        <w:jc w:val="center"/>
        <w:rPr>
          <w:rFonts w:ascii="Arial Bold" w:hAnsi="Arial Bold"/>
          <w:b/>
          <w:sz w:val="56"/>
        </w:rPr>
      </w:pPr>
      <w:r w:rsidRPr="00C412E2">
        <w:rPr>
          <w:rFonts w:ascii="Arial Bold" w:hAnsi="Arial Bold"/>
          <w:b/>
          <w:sz w:val="56"/>
        </w:rPr>
        <w:t>Guide</w:t>
      </w:r>
      <w:r w:rsidR="00692022">
        <w:rPr>
          <w:rFonts w:ascii="Arial Bold" w:hAnsi="Arial Bold"/>
          <w:b/>
          <w:sz w:val="56"/>
        </w:rPr>
        <w:t xml:space="preserve"> Dog</w:t>
      </w:r>
      <w:r w:rsidRPr="00C412E2">
        <w:rPr>
          <w:rFonts w:ascii="Arial Bold" w:hAnsi="Arial Bold"/>
          <w:b/>
          <w:sz w:val="56"/>
        </w:rPr>
        <w:t xml:space="preserve"> Users </w:t>
      </w:r>
    </w:p>
    <w:p w:rsidR="00D2272B" w:rsidRPr="00D2272B" w:rsidRDefault="00D2272B" w:rsidP="00D2272B">
      <w:pPr>
        <w:jc w:val="center"/>
        <w:rPr>
          <w:rFonts w:ascii="Arial" w:hAnsi="Arial"/>
          <w:sz w:val="32"/>
        </w:rPr>
      </w:pPr>
      <w:r w:rsidRPr="00D2272B">
        <w:rPr>
          <w:rFonts w:ascii="Arial" w:hAnsi="Arial"/>
          <w:sz w:val="32"/>
        </w:rPr>
        <w:t xml:space="preserve">At </w:t>
      </w:r>
    </w:p>
    <w:p w:rsidR="000B0A7B" w:rsidRPr="00C412E2" w:rsidRDefault="000B0A7B" w:rsidP="00D2272B">
      <w:pPr>
        <w:jc w:val="center"/>
        <w:rPr>
          <w:rFonts w:ascii="Arial Bold" w:hAnsi="Arial Bold"/>
          <w:b/>
          <w:i/>
          <w:sz w:val="56"/>
        </w:rPr>
      </w:pPr>
      <w:r w:rsidRPr="00C412E2">
        <w:rPr>
          <w:rFonts w:ascii="Arial Bold" w:hAnsi="Arial Bold"/>
          <w:b/>
          <w:sz w:val="56"/>
        </w:rPr>
        <w:t>Street Crossings</w:t>
      </w:r>
      <w:r w:rsidRPr="00C412E2">
        <w:rPr>
          <w:rFonts w:ascii="Arial Bold" w:hAnsi="Arial Bold"/>
          <w:b/>
          <w:i/>
          <w:sz w:val="56"/>
        </w:rPr>
        <w:t xml:space="preserve"> </w:t>
      </w:r>
    </w:p>
    <w:p w:rsidR="00D2272B" w:rsidRPr="000B0A7B" w:rsidRDefault="00D2272B" w:rsidP="00D2272B">
      <w:pPr>
        <w:jc w:val="center"/>
        <w:rPr>
          <w:rFonts w:ascii="Arial" w:hAnsi="Arial"/>
          <w:b/>
          <w:i/>
          <w:sz w:val="96"/>
        </w:rPr>
      </w:pPr>
      <w:r w:rsidRPr="000B0A7B">
        <w:rPr>
          <w:rFonts w:ascii="Arial" w:hAnsi="Arial"/>
          <w:b/>
          <w:i/>
          <w:sz w:val="96"/>
        </w:rPr>
        <w:t>It</w:t>
      </w:r>
      <w:r w:rsidRPr="000B0A7B">
        <w:rPr>
          <w:rFonts w:ascii="Arial" w:hAnsi="Arial" w:hint="eastAsia"/>
          <w:b/>
          <w:i/>
          <w:sz w:val="96"/>
        </w:rPr>
        <w:t>’</w:t>
      </w:r>
      <w:r w:rsidRPr="000B0A7B">
        <w:rPr>
          <w:rFonts w:ascii="Arial" w:hAnsi="Arial"/>
          <w:b/>
          <w:i/>
          <w:sz w:val="96"/>
        </w:rPr>
        <w:t>s the LAW</w:t>
      </w:r>
      <w:r w:rsidR="00367E94">
        <w:rPr>
          <w:rFonts w:ascii="Arial" w:hAnsi="Arial"/>
          <w:b/>
          <w:i/>
          <w:sz w:val="96"/>
        </w:rPr>
        <w:t>!</w:t>
      </w:r>
    </w:p>
    <w:p w:rsidR="000B0A7B" w:rsidRDefault="000B0A7B" w:rsidP="00D2272B">
      <w:pPr>
        <w:jc w:val="center"/>
        <w:rPr>
          <w:rFonts w:ascii="Arial" w:hAnsi="Arial"/>
          <w:sz w:val="28"/>
        </w:rPr>
      </w:pPr>
    </w:p>
    <w:p w:rsidR="00736016" w:rsidRPr="00D2272B" w:rsidRDefault="00736016" w:rsidP="00736016">
      <w:pPr>
        <w:jc w:val="center"/>
        <w:rPr>
          <w:rFonts w:ascii="Arial" w:hAnsi="Arial"/>
          <w:sz w:val="28"/>
        </w:rPr>
      </w:pPr>
      <w:smartTag w:uri="urn:schemas-microsoft-com:office:smarttags" w:element="place">
        <w:smartTag w:uri="urn:schemas-microsoft-com:office:smarttags" w:element="State">
          <w:r w:rsidRPr="00D2272B">
            <w:rPr>
              <w:rFonts w:ascii="Arial" w:hAnsi="Arial"/>
              <w:sz w:val="28"/>
            </w:rPr>
            <w:t>Massachusetts</w:t>
          </w:r>
        </w:smartTag>
      </w:smartTag>
      <w:r w:rsidRPr="00D2272B">
        <w:rPr>
          <w:rFonts w:ascii="Arial" w:hAnsi="Arial"/>
          <w:sz w:val="28"/>
        </w:rPr>
        <w:t xml:space="preserve"> White Cane Law: General Law Chapter 90 Section 14A</w:t>
      </w:r>
    </w:p>
    <w:p w:rsidR="00D2272B" w:rsidRPr="00D2272B" w:rsidRDefault="00D2272B" w:rsidP="00D2272B">
      <w:pPr>
        <w:jc w:val="center"/>
        <w:rPr>
          <w:rFonts w:ascii="Arial" w:hAnsi="Arial"/>
          <w:sz w:val="28"/>
        </w:rPr>
      </w:pPr>
      <w:r w:rsidRPr="00D2272B">
        <w:rPr>
          <w:rFonts w:ascii="Arial" w:hAnsi="Arial"/>
          <w:sz w:val="28"/>
        </w:rPr>
        <w:t>For more information, contact the Massachusetts Commission for the Blind</w:t>
      </w:r>
    </w:p>
    <w:p w:rsidR="005B198F" w:rsidRPr="005B198F" w:rsidRDefault="0068756A" w:rsidP="000E2104">
      <w:pPr>
        <w:ind w:firstLine="720"/>
        <w:rPr>
          <w:rFonts w:ascii="Arial" w:hAnsi="Arial"/>
          <w:sz w:val="144"/>
        </w:rPr>
      </w:pPr>
      <w:r>
        <w:rPr>
          <w:rFonts w:ascii="Arial" w:hAnsi="Arial"/>
          <w:sz w:val="28"/>
        </w:rPr>
        <w:t>at 617-626-7581/</w:t>
      </w:r>
      <w:r w:rsidR="000E2104">
        <w:rPr>
          <w:rFonts w:ascii="Arial" w:hAnsi="Arial"/>
          <w:sz w:val="28"/>
        </w:rPr>
        <w:t>V</w:t>
      </w:r>
      <w:r>
        <w:rPr>
          <w:rFonts w:ascii="Arial" w:hAnsi="Arial"/>
          <w:sz w:val="28"/>
        </w:rPr>
        <w:t xml:space="preserve"> or </w:t>
      </w:r>
      <w:hyperlink r:id="rId11" w:history="1">
        <w:r w:rsidR="00454695" w:rsidRPr="000379F6">
          <w:rPr>
            <w:rStyle w:val="Hyperlink"/>
            <w:rFonts w:ascii="Arial" w:hAnsi="Arial"/>
            <w:sz w:val="28"/>
          </w:rPr>
          <w:t>www.mass.gov/mcb</w:t>
        </w:r>
      </w:hyperlink>
    </w:p>
    <w:sectPr w:rsidR="005B198F" w:rsidRPr="005B198F" w:rsidSect="000B0A7B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19" w:rsidRDefault="00D23F19">
      <w:r>
        <w:separator/>
      </w:r>
    </w:p>
  </w:endnote>
  <w:endnote w:type="continuationSeparator" w:id="0">
    <w:p w:rsidR="00D23F19" w:rsidRDefault="00D2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19" w:rsidRDefault="00D23F19">
      <w:r>
        <w:separator/>
      </w:r>
    </w:p>
  </w:footnote>
  <w:footnote w:type="continuationSeparator" w:id="0">
    <w:p w:rsidR="00D23F19" w:rsidRDefault="00D2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944"/>
    <w:multiLevelType w:val="multilevel"/>
    <w:tmpl w:val="4910431C"/>
    <w:lvl w:ilvl="0">
      <w:start w:val="61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924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3434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1CE6205"/>
    <w:multiLevelType w:val="singleLevel"/>
    <w:tmpl w:val="3FF4FD1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 w15:restartNumberingAfterBreak="0">
    <w:nsid w:val="0D5078D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146F4"/>
    <w:multiLevelType w:val="singleLevel"/>
    <w:tmpl w:val="840C5DFC"/>
    <w:lvl w:ilvl="0">
      <w:start w:val="508"/>
      <w:numFmt w:val="decimal"/>
      <w:lvlText w:val="%1-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 w15:restartNumberingAfterBreak="0">
    <w:nsid w:val="2393713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87617B"/>
    <w:multiLevelType w:val="multilevel"/>
    <w:tmpl w:val="D0E2FA58"/>
    <w:lvl w:ilvl="0">
      <w:start w:val="50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64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6675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 w15:restartNumberingAfterBreak="0">
    <w:nsid w:val="331D1575"/>
    <w:multiLevelType w:val="singleLevel"/>
    <w:tmpl w:val="D88068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3A604689"/>
    <w:multiLevelType w:val="singleLevel"/>
    <w:tmpl w:val="95BCB06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 w15:restartNumberingAfterBreak="0">
    <w:nsid w:val="42917F51"/>
    <w:multiLevelType w:val="multilevel"/>
    <w:tmpl w:val="3C3A0650"/>
    <w:lvl w:ilvl="0">
      <w:start w:val="8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82"/>
      <w:numFmt w:val="decimal"/>
      <w:lvlText w:val="%1-%2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2">
      <w:start w:val="9200"/>
      <w:numFmt w:val="decimal"/>
      <w:lvlText w:val="%1-%2-%3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080"/>
        </w:tabs>
        <w:ind w:left="100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2960"/>
        </w:tabs>
        <w:ind w:left="1296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0"/>
        </w:tabs>
        <w:ind w:left="14400" w:hanging="2880"/>
      </w:pPr>
      <w:rPr>
        <w:rFonts w:hint="default"/>
      </w:rPr>
    </w:lvl>
  </w:abstractNum>
  <w:abstractNum w:abstractNumId="9" w15:restartNumberingAfterBreak="0">
    <w:nsid w:val="4E560A02"/>
    <w:multiLevelType w:val="multilevel"/>
    <w:tmpl w:val="3E1C3A86"/>
    <w:lvl w:ilvl="0">
      <w:start w:val="61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2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6505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 w15:restartNumberingAfterBreak="0">
    <w:nsid w:val="53A40FB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4465532"/>
    <w:multiLevelType w:val="multilevel"/>
    <w:tmpl w:val="59D24EA6"/>
    <w:lvl w:ilvl="0">
      <w:start w:val="617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451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570"/>
      <w:numFmt w:val="decimal"/>
      <w:lvlText w:val="%1-%2-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2" w15:restartNumberingAfterBreak="0">
    <w:nsid w:val="5E227B6E"/>
    <w:multiLevelType w:val="multilevel"/>
    <w:tmpl w:val="1A660F10"/>
    <w:lvl w:ilvl="0">
      <w:start w:val="617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635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3070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3" w15:restartNumberingAfterBreak="0">
    <w:nsid w:val="766B4936"/>
    <w:multiLevelType w:val="singleLevel"/>
    <w:tmpl w:val="B0B0BD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79946D18"/>
    <w:multiLevelType w:val="multilevel"/>
    <w:tmpl w:val="2228B0AE"/>
    <w:lvl w:ilvl="0">
      <w:start w:val="508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564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6675"/>
      <w:numFmt w:val="decimal"/>
      <w:lvlText w:val="%1-%2-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15" w15:restartNumberingAfterBreak="0">
    <w:nsid w:val="7BA00BEA"/>
    <w:multiLevelType w:val="multilevel"/>
    <w:tmpl w:val="98964F54"/>
    <w:lvl w:ilvl="0">
      <w:start w:val="78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93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6251"/>
      <w:numFmt w:val="decimal"/>
      <w:lvlText w:val="%1-%2-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7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16BD4"/>
    <w:rsid w:val="00044287"/>
    <w:rsid w:val="00073FD2"/>
    <w:rsid w:val="000B0A7B"/>
    <w:rsid w:val="000C0E4C"/>
    <w:rsid w:val="000D04C1"/>
    <w:rsid w:val="000D73B3"/>
    <w:rsid w:val="000E2104"/>
    <w:rsid w:val="00100BDC"/>
    <w:rsid w:val="001025D6"/>
    <w:rsid w:val="001163A9"/>
    <w:rsid w:val="001461F9"/>
    <w:rsid w:val="00197EA9"/>
    <w:rsid w:val="001D5376"/>
    <w:rsid w:val="001E0552"/>
    <w:rsid w:val="001E0AA5"/>
    <w:rsid w:val="001F1141"/>
    <w:rsid w:val="00247CE3"/>
    <w:rsid w:val="0028610A"/>
    <w:rsid w:val="002A6397"/>
    <w:rsid w:val="00306054"/>
    <w:rsid w:val="0032665E"/>
    <w:rsid w:val="00346A32"/>
    <w:rsid w:val="00356634"/>
    <w:rsid w:val="00367E94"/>
    <w:rsid w:val="0037630F"/>
    <w:rsid w:val="003A52D1"/>
    <w:rsid w:val="003F1B7E"/>
    <w:rsid w:val="00424C01"/>
    <w:rsid w:val="00454695"/>
    <w:rsid w:val="00463BA1"/>
    <w:rsid w:val="00471F9C"/>
    <w:rsid w:val="00472ADC"/>
    <w:rsid w:val="004F111D"/>
    <w:rsid w:val="00505540"/>
    <w:rsid w:val="00512491"/>
    <w:rsid w:val="005164E3"/>
    <w:rsid w:val="00564FA7"/>
    <w:rsid w:val="00592846"/>
    <w:rsid w:val="005942C1"/>
    <w:rsid w:val="005B198F"/>
    <w:rsid w:val="005C5B25"/>
    <w:rsid w:val="00615079"/>
    <w:rsid w:val="0068756A"/>
    <w:rsid w:val="00692022"/>
    <w:rsid w:val="006D0310"/>
    <w:rsid w:val="00720AB3"/>
    <w:rsid w:val="00727FD6"/>
    <w:rsid w:val="00736016"/>
    <w:rsid w:val="00736C6F"/>
    <w:rsid w:val="007A3ED9"/>
    <w:rsid w:val="007D6AE6"/>
    <w:rsid w:val="0080434B"/>
    <w:rsid w:val="008059EB"/>
    <w:rsid w:val="00806ECC"/>
    <w:rsid w:val="0082638E"/>
    <w:rsid w:val="00831D49"/>
    <w:rsid w:val="0085067D"/>
    <w:rsid w:val="0088155A"/>
    <w:rsid w:val="0088572B"/>
    <w:rsid w:val="00886CAA"/>
    <w:rsid w:val="008909D1"/>
    <w:rsid w:val="008913CF"/>
    <w:rsid w:val="008A5A3C"/>
    <w:rsid w:val="008C34C2"/>
    <w:rsid w:val="008D1B1F"/>
    <w:rsid w:val="008E1CDF"/>
    <w:rsid w:val="008E4FE7"/>
    <w:rsid w:val="008E7E4F"/>
    <w:rsid w:val="00927C82"/>
    <w:rsid w:val="0098466A"/>
    <w:rsid w:val="00986B92"/>
    <w:rsid w:val="009E72D8"/>
    <w:rsid w:val="00A12D75"/>
    <w:rsid w:val="00A15BF3"/>
    <w:rsid w:val="00AA00E8"/>
    <w:rsid w:val="00AD1E5C"/>
    <w:rsid w:val="00AF4EC3"/>
    <w:rsid w:val="00AF59A3"/>
    <w:rsid w:val="00B22248"/>
    <w:rsid w:val="00B24750"/>
    <w:rsid w:val="00B4533B"/>
    <w:rsid w:val="00B47426"/>
    <w:rsid w:val="00B52098"/>
    <w:rsid w:val="00B75EE2"/>
    <w:rsid w:val="00BA09D7"/>
    <w:rsid w:val="00BE6FCD"/>
    <w:rsid w:val="00C16F7C"/>
    <w:rsid w:val="00C412E2"/>
    <w:rsid w:val="00C97341"/>
    <w:rsid w:val="00CD53E5"/>
    <w:rsid w:val="00D05F45"/>
    <w:rsid w:val="00D20728"/>
    <w:rsid w:val="00D2272B"/>
    <w:rsid w:val="00D23F19"/>
    <w:rsid w:val="00D35581"/>
    <w:rsid w:val="00D60320"/>
    <w:rsid w:val="00D702EC"/>
    <w:rsid w:val="00D87659"/>
    <w:rsid w:val="00DB7464"/>
    <w:rsid w:val="00DF4779"/>
    <w:rsid w:val="00E06A88"/>
    <w:rsid w:val="00E2655E"/>
    <w:rsid w:val="00E52537"/>
    <w:rsid w:val="00E734C2"/>
    <w:rsid w:val="00E87C42"/>
    <w:rsid w:val="00EA6CF9"/>
    <w:rsid w:val="00EE4DC6"/>
    <w:rsid w:val="00F43CBB"/>
    <w:rsid w:val="00F9491D"/>
    <w:rsid w:val="00F96349"/>
    <w:rsid w:val="00F976F5"/>
    <w:rsid w:val="00FA1ED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D0FD1-9FE8-49BA-AC9F-5A5F234B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8C34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C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06ECC"/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61507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qFormat/>
    <w:rsid w:val="00615079"/>
    <w:pPr>
      <w:jc w:val="center"/>
    </w:pPr>
    <w:rPr>
      <w:b/>
      <w:sz w:val="24"/>
      <w:lang w:bidi="he-IL"/>
    </w:rPr>
  </w:style>
  <w:style w:type="paragraph" w:styleId="DocumentMap">
    <w:name w:val="Document Map"/>
    <w:basedOn w:val="Normal"/>
    <w:semiHidden/>
    <w:rsid w:val="00C9734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3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6C6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54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m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m/e/white-cane-celebration-2019-tickets-67975351105?utm-campaign=social%2Cemail&amp;utm-content=attendeeshare&amp;utm-medium=discovery&amp;utm-source=strongmail&amp;utm-term=checkoutwidg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FCB0-359B-4A6B-8320-2661A2F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(Updated 9/1/99)</vt:lpstr>
    </vt:vector>
  </TitlesOfParts>
  <Company>mcb</Company>
  <LinksUpToDate>false</LinksUpToDate>
  <CharactersWithSpaces>4068</CharactersWithSpaces>
  <SharedDoc>false</SharedDoc>
  <HLinks>
    <vt:vector size="12" baseType="variant">
      <vt:variant>
        <vt:i4>3670078</vt:i4>
      </vt:variant>
      <vt:variant>
        <vt:i4>12</vt:i4>
      </vt:variant>
      <vt:variant>
        <vt:i4>0</vt:i4>
      </vt:variant>
      <vt:variant>
        <vt:i4>5</vt:i4>
      </vt:variant>
      <vt:variant>
        <vt:lpwstr>http://www.mass.gov/mcb</vt:lpwstr>
      </vt:variant>
      <vt:variant>
        <vt:lpwstr/>
      </vt:variant>
      <vt:variant>
        <vt:i4>1769474</vt:i4>
      </vt:variant>
      <vt:variant>
        <vt:i4>9</vt:i4>
      </vt:variant>
      <vt:variant>
        <vt:i4>0</vt:i4>
      </vt:variant>
      <vt:variant>
        <vt:i4>5</vt:i4>
      </vt:variant>
      <vt:variant>
        <vt:lpwstr>https://www.eventbrite.com/e/white-cane-celebration-2019-tickets-67975351105?utm-campaign=social%2Cemail&amp;utm-content=attendeeshare&amp;utm-medium=discovery&amp;utm-source=strongmail&amp;utm-term=checkoutwidget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(Updated 9/1/99)</dc:title>
  <dc:subject/>
  <dc:creator>mcb</dc:creator>
  <cp:keywords/>
  <cp:lastModifiedBy>D'Arcangelo, David (MCB)</cp:lastModifiedBy>
  <cp:revision>3</cp:revision>
  <cp:lastPrinted>2019-08-20T13:37:00Z</cp:lastPrinted>
  <dcterms:created xsi:type="dcterms:W3CDTF">2019-10-01T13:19:00Z</dcterms:created>
  <dcterms:modified xsi:type="dcterms:W3CDTF">2019-10-01T13:26:00Z</dcterms:modified>
</cp:coreProperties>
</file>