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0F8" w:rsidRDefault="00EE50F8" w:rsidP="00CF3624">
      <w:pPr>
        <w:pStyle w:val="BodyText"/>
        <w:rPr>
          <w:b/>
          <w:bCs/>
          <w:sz w:val="36"/>
          <w:szCs w:val="36"/>
        </w:rPr>
      </w:pPr>
    </w:p>
    <w:p w:rsidR="00EE50F8" w:rsidRDefault="00EE50F8" w:rsidP="00CF3624">
      <w:pPr>
        <w:pStyle w:val="BodyText"/>
        <w:rPr>
          <w:b/>
          <w:bCs/>
          <w:sz w:val="36"/>
          <w:szCs w:val="36"/>
        </w:rPr>
      </w:pPr>
      <w:r>
        <w:rPr>
          <w:b/>
          <w:bCs/>
          <w:sz w:val="36"/>
          <w:szCs w:val="36"/>
        </w:rPr>
        <w:t>White Paper</w:t>
      </w:r>
    </w:p>
    <w:p w:rsidR="00EE50F8" w:rsidRDefault="00EE50F8" w:rsidP="00CF3624">
      <w:pPr>
        <w:pStyle w:val="BodyText"/>
        <w:rPr>
          <w:b/>
          <w:bCs/>
          <w:sz w:val="36"/>
          <w:szCs w:val="36"/>
        </w:rPr>
      </w:pPr>
    </w:p>
    <w:p w:rsidR="00EE50F8" w:rsidRDefault="00EE50F8" w:rsidP="00CF3624">
      <w:pPr>
        <w:pStyle w:val="BodyText"/>
        <w:rPr>
          <w:b/>
          <w:bCs/>
          <w:sz w:val="36"/>
          <w:szCs w:val="36"/>
        </w:rPr>
      </w:pPr>
      <w:r>
        <w:rPr>
          <w:b/>
          <w:bCs/>
          <w:sz w:val="36"/>
          <w:szCs w:val="36"/>
        </w:rPr>
        <w:t xml:space="preserve">The Cost and Effectiveness for Health, Safety, and Security of Energy Conservation Systems in 3 to 6 Unit Residential Buildings </w:t>
      </w: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r>
        <w:rPr>
          <w:b/>
          <w:bCs/>
          <w:sz w:val="36"/>
          <w:szCs w:val="36"/>
        </w:rPr>
        <w:t xml:space="preserve">Issued by the </w:t>
      </w:r>
    </w:p>
    <w:p w:rsidR="00EE50F8" w:rsidRPr="00557CBB" w:rsidRDefault="0033095E" w:rsidP="00557CBB">
      <w:pPr>
        <w:pStyle w:val="BodyText"/>
        <w:rPr>
          <w:b/>
          <w:bCs/>
          <w:sz w:val="32"/>
          <w:szCs w:val="32"/>
        </w:rPr>
      </w:pPr>
      <w:hyperlink r:id="rId8" w:history="1">
        <w:r w:rsidR="00EE50F8" w:rsidRPr="00557CBB">
          <w:rPr>
            <w:rStyle w:val="Hyperlink"/>
            <w:b/>
            <w:bCs/>
            <w:sz w:val="32"/>
            <w:szCs w:val="32"/>
          </w:rPr>
          <w:t>State Board of Building Regulations and Standards</w:t>
        </w:r>
      </w:hyperlink>
      <w:r w:rsidR="00EE50F8" w:rsidRPr="00557CBB">
        <w:rPr>
          <w:b/>
          <w:bCs/>
          <w:sz w:val="32"/>
          <w:szCs w:val="32"/>
        </w:rPr>
        <w:t xml:space="preserve"> </w:t>
      </w: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sz w:val="20"/>
          <w:szCs w:val="20"/>
        </w:rPr>
      </w:pPr>
      <w:r>
        <w:rPr>
          <w:sz w:val="20"/>
          <w:szCs w:val="20"/>
        </w:rPr>
        <w:t>The Board of Building Regulations and Standards seeks you feedback on this white paper.</w:t>
      </w:r>
    </w:p>
    <w:p w:rsidR="00EE50F8" w:rsidRDefault="00EE50F8" w:rsidP="00CF3624">
      <w:pPr>
        <w:pStyle w:val="BodyText"/>
        <w:rPr>
          <w:sz w:val="20"/>
          <w:szCs w:val="20"/>
        </w:rPr>
      </w:pPr>
      <w:r>
        <w:rPr>
          <w:sz w:val="20"/>
          <w:szCs w:val="20"/>
        </w:rPr>
        <w:t xml:space="preserve">Please forward comments </w:t>
      </w:r>
      <w:r w:rsidR="006C5F24">
        <w:rPr>
          <w:sz w:val="20"/>
          <w:szCs w:val="20"/>
        </w:rPr>
        <w:t>to</w:t>
      </w:r>
      <w:r>
        <w:rPr>
          <w:sz w:val="20"/>
          <w:szCs w:val="20"/>
        </w:rPr>
        <w:t>:</w:t>
      </w:r>
    </w:p>
    <w:p w:rsidR="00EE50F8" w:rsidRDefault="0033095E" w:rsidP="00CF3624">
      <w:pPr>
        <w:pStyle w:val="BodyText"/>
        <w:rPr>
          <w:sz w:val="20"/>
          <w:szCs w:val="20"/>
        </w:rPr>
      </w:pPr>
      <w:hyperlink r:id="rId9" w:history="1">
        <w:r w:rsidR="00EE50F8" w:rsidRPr="00944039">
          <w:rPr>
            <w:rStyle w:val="Hyperlink"/>
            <w:sz w:val="20"/>
            <w:szCs w:val="20"/>
          </w:rPr>
          <w:t>mike.guigli@state.ma.us</w:t>
        </w:r>
      </w:hyperlink>
    </w:p>
    <w:p w:rsidR="00EE50F8" w:rsidRDefault="00EE50F8" w:rsidP="00CF3624">
      <w:pPr>
        <w:pStyle w:val="BodyText"/>
        <w:rPr>
          <w:sz w:val="20"/>
          <w:szCs w:val="20"/>
        </w:rPr>
      </w:pPr>
      <w:r>
        <w:rPr>
          <w:sz w:val="20"/>
          <w:szCs w:val="20"/>
        </w:rPr>
        <w:t>617-826-5215</w:t>
      </w:r>
    </w:p>
    <w:p w:rsidR="00EE50F8" w:rsidRDefault="00EE50F8" w:rsidP="00CF3624">
      <w:pPr>
        <w:pStyle w:val="BodyText"/>
        <w:rPr>
          <w:sz w:val="20"/>
          <w:szCs w:val="20"/>
        </w:rPr>
      </w:pPr>
    </w:p>
    <w:p w:rsidR="00EE50F8" w:rsidRDefault="00EE50F8" w:rsidP="00CF3624">
      <w:pPr>
        <w:pStyle w:val="BodyText"/>
        <w:rPr>
          <w:sz w:val="20"/>
          <w:szCs w:val="20"/>
        </w:rPr>
      </w:pPr>
    </w:p>
    <w:p w:rsidR="00EE50F8" w:rsidRDefault="00EE50F8" w:rsidP="00CF3624">
      <w:pPr>
        <w:pStyle w:val="BodyText"/>
      </w:pPr>
      <w:r>
        <w:t>May 13, 2014</w:t>
      </w:r>
    </w:p>
    <w:p w:rsidR="00EE50F8" w:rsidRDefault="00EE50F8" w:rsidP="00CF3624">
      <w:pPr>
        <w:pStyle w:val="BodyText"/>
      </w:pPr>
    </w:p>
    <w:p w:rsidR="00EE50F8" w:rsidRDefault="00EE50F8" w:rsidP="00CF3624">
      <w:pPr>
        <w:pStyle w:val="BodyText"/>
        <w:rPr>
          <w:b/>
          <w:bCs/>
        </w:rPr>
      </w:pPr>
    </w:p>
    <w:p w:rsidR="00EE50F8" w:rsidRDefault="00EE50F8" w:rsidP="00CF3624">
      <w:pPr>
        <w:pStyle w:val="BodyText"/>
        <w:rPr>
          <w:b/>
          <w:bCs/>
          <w:sz w:val="36"/>
          <w:szCs w:val="36"/>
        </w:rPr>
      </w:pPr>
    </w:p>
    <w:p w:rsidR="00EE50F8" w:rsidRDefault="00EE50F8" w:rsidP="00CF3624">
      <w:pPr>
        <w:pStyle w:val="BodyText"/>
        <w:rPr>
          <w:b/>
          <w:bCs/>
          <w:sz w:val="36"/>
          <w:szCs w:val="36"/>
        </w:rPr>
      </w:pPr>
    </w:p>
    <w:p w:rsidR="00EE50F8" w:rsidRDefault="00EE50F8" w:rsidP="00CF3624">
      <w:pPr>
        <w:pStyle w:val="BodyText"/>
        <w:rPr>
          <w:b/>
          <w:bCs/>
          <w:sz w:val="36"/>
          <w:szCs w:val="36"/>
        </w:rPr>
      </w:pPr>
      <w:r>
        <w:rPr>
          <w:b/>
          <w:bCs/>
          <w:sz w:val="36"/>
          <w:szCs w:val="36"/>
        </w:rPr>
        <w:t>The Cost and Effectiveness for Health, Safety, and Security of Energy Conservation Systems in 3 to 6 Unit Residential Buildings</w:t>
      </w:r>
    </w:p>
    <w:p w:rsidR="00EE50F8" w:rsidRDefault="00EE50F8" w:rsidP="00CF3624">
      <w:pPr>
        <w:pStyle w:val="BodyText"/>
        <w:rPr>
          <w:b/>
          <w:bCs/>
          <w:i/>
          <w:iCs/>
          <w:sz w:val="32"/>
          <w:szCs w:val="32"/>
          <w:u w:val="single"/>
        </w:rPr>
      </w:pPr>
    </w:p>
    <w:p w:rsidR="00EE50F8" w:rsidRDefault="00EE50F8" w:rsidP="00CF3624">
      <w:pPr>
        <w:pStyle w:val="BodyText"/>
        <w:rPr>
          <w:b/>
          <w:bCs/>
          <w:i/>
          <w:iCs/>
          <w:sz w:val="32"/>
          <w:szCs w:val="32"/>
          <w:u w:val="single"/>
        </w:rPr>
      </w:pPr>
    </w:p>
    <w:p w:rsidR="00EE50F8" w:rsidRDefault="00EE50F8" w:rsidP="00CF3624">
      <w:pPr>
        <w:pStyle w:val="BodyText"/>
        <w:rPr>
          <w:b/>
          <w:bCs/>
          <w:i/>
          <w:iCs/>
          <w:sz w:val="32"/>
          <w:szCs w:val="32"/>
          <w:u w:val="single"/>
        </w:rPr>
      </w:pPr>
    </w:p>
    <w:p w:rsidR="0054177C" w:rsidRDefault="00EE50F8" w:rsidP="00CF3624">
      <w:pPr>
        <w:pStyle w:val="BodyText"/>
        <w:rPr>
          <w:noProof/>
        </w:rPr>
      </w:pPr>
      <w:r>
        <w:rPr>
          <w:b/>
          <w:bCs/>
          <w:i/>
          <w:iCs/>
          <w:sz w:val="32"/>
          <w:szCs w:val="32"/>
          <w:u w:val="single"/>
        </w:rPr>
        <w:t>Table of Contents</w:t>
      </w:r>
      <w:r w:rsidR="0033095E">
        <w:rPr>
          <w:b/>
          <w:bCs/>
          <w:i/>
          <w:iCs/>
          <w:sz w:val="32"/>
          <w:szCs w:val="32"/>
          <w:u w:val="single"/>
        </w:rPr>
        <w:fldChar w:fldCharType="begin"/>
      </w:r>
      <w:r>
        <w:rPr>
          <w:b/>
          <w:bCs/>
          <w:i/>
          <w:iCs/>
          <w:sz w:val="32"/>
          <w:szCs w:val="32"/>
          <w:u w:val="single"/>
        </w:rPr>
        <w:instrText xml:space="preserve"> TOC \o "1-3" \h \z \u </w:instrText>
      </w:r>
      <w:r w:rsidR="0033095E">
        <w:rPr>
          <w:b/>
          <w:bCs/>
          <w:i/>
          <w:iCs/>
          <w:sz w:val="32"/>
          <w:szCs w:val="32"/>
          <w:u w:val="single"/>
        </w:rPr>
        <w:fldChar w:fldCharType="separate"/>
      </w:r>
    </w:p>
    <w:p w:rsidR="0054177C" w:rsidRDefault="0033095E">
      <w:pPr>
        <w:pStyle w:val="TOC1"/>
        <w:rPr>
          <w:rFonts w:asciiTheme="minorHAnsi" w:eastAsiaTheme="minorEastAsia" w:hAnsiTheme="minorHAnsi" w:cstheme="minorBidi"/>
          <w:noProof/>
          <w:sz w:val="22"/>
          <w:szCs w:val="22"/>
        </w:rPr>
      </w:pPr>
      <w:hyperlink w:anchor="_Toc387398744" w:history="1">
        <w:r w:rsidR="0054177C" w:rsidRPr="00DB5A88">
          <w:rPr>
            <w:rStyle w:val="Hyperlink"/>
            <w:noProof/>
          </w:rPr>
          <w:t>Abstract</w:t>
        </w:r>
        <w:r w:rsidR="0054177C">
          <w:rPr>
            <w:noProof/>
            <w:webHidden/>
          </w:rPr>
          <w:tab/>
        </w:r>
        <w:r>
          <w:rPr>
            <w:noProof/>
            <w:webHidden/>
          </w:rPr>
          <w:fldChar w:fldCharType="begin"/>
        </w:r>
        <w:r w:rsidR="0054177C">
          <w:rPr>
            <w:noProof/>
            <w:webHidden/>
          </w:rPr>
          <w:instrText xml:space="preserve"> PAGEREF _Toc387398744 \h </w:instrText>
        </w:r>
        <w:r>
          <w:rPr>
            <w:noProof/>
            <w:webHidden/>
          </w:rPr>
        </w:r>
        <w:r>
          <w:rPr>
            <w:noProof/>
            <w:webHidden/>
          </w:rPr>
          <w:fldChar w:fldCharType="separate"/>
        </w:r>
        <w:r w:rsidR="0054177C">
          <w:rPr>
            <w:noProof/>
            <w:webHidden/>
          </w:rPr>
          <w:t>3</w:t>
        </w:r>
        <w:r>
          <w:rPr>
            <w:noProof/>
            <w:webHidden/>
          </w:rPr>
          <w:fldChar w:fldCharType="end"/>
        </w:r>
      </w:hyperlink>
    </w:p>
    <w:p w:rsidR="0054177C" w:rsidRDefault="0033095E">
      <w:pPr>
        <w:pStyle w:val="TOC1"/>
        <w:rPr>
          <w:rFonts w:asciiTheme="minorHAnsi" w:eastAsiaTheme="minorEastAsia" w:hAnsiTheme="minorHAnsi" w:cstheme="minorBidi"/>
          <w:noProof/>
          <w:sz w:val="22"/>
          <w:szCs w:val="22"/>
        </w:rPr>
      </w:pPr>
      <w:hyperlink w:anchor="_Toc387398745" w:history="1">
        <w:r w:rsidR="0054177C" w:rsidRPr="00DB5A88">
          <w:rPr>
            <w:rStyle w:val="Hyperlink"/>
            <w:noProof/>
          </w:rPr>
          <w:t>Section 1: Introduction</w:t>
        </w:r>
        <w:r w:rsidR="0054177C">
          <w:rPr>
            <w:noProof/>
            <w:webHidden/>
          </w:rPr>
          <w:tab/>
        </w:r>
        <w:r>
          <w:rPr>
            <w:noProof/>
            <w:webHidden/>
          </w:rPr>
          <w:fldChar w:fldCharType="begin"/>
        </w:r>
        <w:r w:rsidR="0054177C">
          <w:rPr>
            <w:noProof/>
            <w:webHidden/>
          </w:rPr>
          <w:instrText xml:space="preserve"> PAGEREF _Toc387398745 \h </w:instrText>
        </w:r>
        <w:r>
          <w:rPr>
            <w:noProof/>
            <w:webHidden/>
          </w:rPr>
        </w:r>
        <w:r>
          <w:rPr>
            <w:noProof/>
            <w:webHidden/>
          </w:rPr>
          <w:fldChar w:fldCharType="separate"/>
        </w:r>
        <w:r w:rsidR="0054177C">
          <w:rPr>
            <w:noProof/>
            <w:webHidden/>
          </w:rPr>
          <w:t>3</w:t>
        </w:r>
        <w:r>
          <w:rPr>
            <w:noProof/>
            <w:webHidden/>
          </w:rPr>
          <w:fldChar w:fldCharType="end"/>
        </w:r>
      </w:hyperlink>
    </w:p>
    <w:p w:rsidR="0054177C" w:rsidRDefault="0033095E">
      <w:pPr>
        <w:pStyle w:val="TOC1"/>
        <w:rPr>
          <w:rFonts w:asciiTheme="minorHAnsi" w:eastAsiaTheme="minorEastAsia" w:hAnsiTheme="minorHAnsi" w:cstheme="minorBidi"/>
          <w:noProof/>
          <w:sz w:val="22"/>
          <w:szCs w:val="22"/>
        </w:rPr>
      </w:pPr>
      <w:hyperlink w:anchor="_Toc387398746" w:history="1">
        <w:r w:rsidR="0054177C" w:rsidRPr="00DB5A88">
          <w:rPr>
            <w:rStyle w:val="Hyperlink"/>
            <w:noProof/>
          </w:rPr>
          <w:t>Section 2: Background</w:t>
        </w:r>
        <w:r w:rsidR="0054177C">
          <w:rPr>
            <w:noProof/>
            <w:webHidden/>
          </w:rPr>
          <w:tab/>
        </w:r>
        <w:r>
          <w:rPr>
            <w:noProof/>
            <w:webHidden/>
          </w:rPr>
          <w:fldChar w:fldCharType="begin"/>
        </w:r>
        <w:r w:rsidR="0054177C">
          <w:rPr>
            <w:noProof/>
            <w:webHidden/>
          </w:rPr>
          <w:instrText xml:space="preserve"> PAGEREF _Toc387398746 \h </w:instrText>
        </w:r>
        <w:r>
          <w:rPr>
            <w:noProof/>
            <w:webHidden/>
          </w:rPr>
        </w:r>
        <w:r>
          <w:rPr>
            <w:noProof/>
            <w:webHidden/>
          </w:rPr>
          <w:fldChar w:fldCharType="separate"/>
        </w:r>
        <w:r w:rsidR="0054177C">
          <w:rPr>
            <w:noProof/>
            <w:webHidden/>
          </w:rPr>
          <w:t>4</w:t>
        </w:r>
        <w:r>
          <w:rPr>
            <w:noProof/>
            <w:webHidden/>
          </w:rPr>
          <w:fldChar w:fldCharType="end"/>
        </w:r>
      </w:hyperlink>
    </w:p>
    <w:p w:rsidR="0054177C" w:rsidRDefault="0033095E">
      <w:pPr>
        <w:pStyle w:val="TOC1"/>
        <w:rPr>
          <w:rFonts w:asciiTheme="minorHAnsi" w:eastAsiaTheme="minorEastAsia" w:hAnsiTheme="minorHAnsi" w:cstheme="minorBidi"/>
          <w:noProof/>
          <w:sz w:val="22"/>
          <w:szCs w:val="22"/>
        </w:rPr>
      </w:pPr>
      <w:hyperlink w:anchor="_Toc387398747" w:history="1">
        <w:r w:rsidR="0054177C" w:rsidRPr="00DB5A88">
          <w:rPr>
            <w:rStyle w:val="Hyperlink"/>
            <w:noProof/>
          </w:rPr>
          <w:t>Section 3: Home value vs. Income</w:t>
        </w:r>
        <w:r w:rsidR="0054177C">
          <w:rPr>
            <w:noProof/>
            <w:webHidden/>
          </w:rPr>
          <w:tab/>
        </w:r>
        <w:r>
          <w:rPr>
            <w:noProof/>
            <w:webHidden/>
          </w:rPr>
          <w:fldChar w:fldCharType="begin"/>
        </w:r>
        <w:r w:rsidR="0054177C">
          <w:rPr>
            <w:noProof/>
            <w:webHidden/>
          </w:rPr>
          <w:instrText xml:space="preserve"> PAGEREF _Toc387398747 \h </w:instrText>
        </w:r>
        <w:r>
          <w:rPr>
            <w:noProof/>
            <w:webHidden/>
          </w:rPr>
        </w:r>
        <w:r>
          <w:rPr>
            <w:noProof/>
            <w:webHidden/>
          </w:rPr>
          <w:fldChar w:fldCharType="separate"/>
        </w:r>
        <w:r w:rsidR="0054177C">
          <w:rPr>
            <w:noProof/>
            <w:webHidden/>
          </w:rPr>
          <w:t>5</w:t>
        </w:r>
        <w:r>
          <w:rPr>
            <w:noProof/>
            <w:webHidden/>
          </w:rPr>
          <w:fldChar w:fldCharType="end"/>
        </w:r>
      </w:hyperlink>
    </w:p>
    <w:p w:rsidR="0054177C" w:rsidRDefault="0033095E">
      <w:pPr>
        <w:pStyle w:val="TOC2"/>
        <w:tabs>
          <w:tab w:val="right" w:leader="dot" w:pos="9350"/>
        </w:tabs>
        <w:rPr>
          <w:rFonts w:asciiTheme="minorHAnsi" w:eastAsiaTheme="minorEastAsia" w:hAnsiTheme="minorHAnsi" w:cstheme="minorBidi"/>
          <w:noProof/>
          <w:sz w:val="22"/>
          <w:szCs w:val="22"/>
        </w:rPr>
      </w:pPr>
      <w:hyperlink w:anchor="_Toc387398748" w:history="1">
        <w:r w:rsidR="0054177C" w:rsidRPr="00DB5A88">
          <w:rPr>
            <w:rStyle w:val="Hyperlink"/>
            <w:noProof/>
          </w:rPr>
          <w:t>Section 3a: USA Data</w:t>
        </w:r>
        <w:r w:rsidR="0054177C">
          <w:rPr>
            <w:noProof/>
            <w:webHidden/>
          </w:rPr>
          <w:tab/>
        </w:r>
        <w:r>
          <w:rPr>
            <w:noProof/>
            <w:webHidden/>
          </w:rPr>
          <w:fldChar w:fldCharType="begin"/>
        </w:r>
        <w:r w:rsidR="0054177C">
          <w:rPr>
            <w:noProof/>
            <w:webHidden/>
          </w:rPr>
          <w:instrText xml:space="preserve"> PAGEREF _Toc387398748 \h </w:instrText>
        </w:r>
        <w:r>
          <w:rPr>
            <w:noProof/>
            <w:webHidden/>
          </w:rPr>
        </w:r>
        <w:r>
          <w:rPr>
            <w:noProof/>
            <w:webHidden/>
          </w:rPr>
          <w:fldChar w:fldCharType="separate"/>
        </w:r>
        <w:r w:rsidR="0054177C">
          <w:rPr>
            <w:noProof/>
            <w:webHidden/>
          </w:rPr>
          <w:t>6</w:t>
        </w:r>
        <w:r>
          <w:rPr>
            <w:noProof/>
            <w:webHidden/>
          </w:rPr>
          <w:fldChar w:fldCharType="end"/>
        </w:r>
      </w:hyperlink>
    </w:p>
    <w:p w:rsidR="0054177C" w:rsidRDefault="0033095E">
      <w:pPr>
        <w:pStyle w:val="TOC2"/>
        <w:tabs>
          <w:tab w:val="right" w:leader="dot" w:pos="9350"/>
        </w:tabs>
        <w:rPr>
          <w:rFonts w:asciiTheme="minorHAnsi" w:eastAsiaTheme="minorEastAsia" w:hAnsiTheme="minorHAnsi" w:cstheme="minorBidi"/>
          <w:noProof/>
          <w:sz w:val="22"/>
          <w:szCs w:val="22"/>
        </w:rPr>
      </w:pPr>
      <w:hyperlink w:anchor="_Toc387398749" w:history="1">
        <w:r w:rsidR="0054177C" w:rsidRPr="00DB5A88">
          <w:rPr>
            <w:rStyle w:val="Hyperlink"/>
            <w:noProof/>
          </w:rPr>
          <w:t>Section 3b: MA Data</w:t>
        </w:r>
        <w:r w:rsidR="0054177C">
          <w:rPr>
            <w:noProof/>
            <w:webHidden/>
          </w:rPr>
          <w:tab/>
        </w:r>
        <w:r>
          <w:rPr>
            <w:noProof/>
            <w:webHidden/>
          </w:rPr>
          <w:fldChar w:fldCharType="begin"/>
        </w:r>
        <w:r w:rsidR="0054177C">
          <w:rPr>
            <w:noProof/>
            <w:webHidden/>
          </w:rPr>
          <w:instrText xml:space="preserve"> PAGEREF _Toc387398749 \h </w:instrText>
        </w:r>
        <w:r>
          <w:rPr>
            <w:noProof/>
            <w:webHidden/>
          </w:rPr>
        </w:r>
        <w:r>
          <w:rPr>
            <w:noProof/>
            <w:webHidden/>
          </w:rPr>
          <w:fldChar w:fldCharType="separate"/>
        </w:r>
        <w:r w:rsidR="0054177C">
          <w:rPr>
            <w:noProof/>
            <w:webHidden/>
          </w:rPr>
          <w:t>6</w:t>
        </w:r>
        <w:r>
          <w:rPr>
            <w:noProof/>
            <w:webHidden/>
          </w:rPr>
          <w:fldChar w:fldCharType="end"/>
        </w:r>
      </w:hyperlink>
    </w:p>
    <w:p w:rsidR="0054177C" w:rsidRDefault="0033095E">
      <w:pPr>
        <w:pStyle w:val="TOC2"/>
        <w:tabs>
          <w:tab w:val="right" w:leader="dot" w:pos="9350"/>
        </w:tabs>
        <w:rPr>
          <w:rFonts w:asciiTheme="minorHAnsi" w:eastAsiaTheme="minorEastAsia" w:hAnsiTheme="minorHAnsi" w:cstheme="minorBidi"/>
          <w:noProof/>
          <w:sz w:val="22"/>
          <w:szCs w:val="22"/>
        </w:rPr>
      </w:pPr>
      <w:hyperlink w:anchor="_Toc387398750" w:history="1">
        <w:r w:rsidR="0054177C" w:rsidRPr="00DB5A88">
          <w:rPr>
            <w:rStyle w:val="Hyperlink"/>
            <w:noProof/>
          </w:rPr>
          <w:t>Section 3c: Affordability</w:t>
        </w:r>
        <w:r w:rsidR="0054177C">
          <w:rPr>
            <w:noProof/>
            <w:webHidden/>
          </w:rPr>
          <w:tab/>
        </w:r>
        <w:r>
          <w:rPr>
            <w:noProof/>
            <w:webHidden/>
          </w:rPr>
          <w:fldChar w:fldCharType="begin"/>
        </w:r>
        <w:r w:rsidR="0054177C">
          <w:rPr>
            <w:noProof/>
            <w:webHidden/>
          </w:rPr>
          <w:instrText xml:space="preserve"> PAGEREF _Toc387398750 \h </w:instrText>
        </w:r>
        <w:r>
          <w:rPr>
            <w:noProof/>
            <w:webHidden/>
          </w:rPr>
        </w:r>
        <w:r>
          <w:rPr>
            <w:noProof/>
            <w:webHidden/>
          </w:rPr>
          <w:fldChar w:fldCharType="separate"/>
        </w:r>
        <w:r w:rsidR="0054177C">
          <w:rPr>
            <w:noProof/>
            <w:webHidden/>
          </w:rPr>
          <w:t>7</w:t>
        </w:r>
        <w:r>
          <w:rPr>
            <w:noProof/>
            <w:webHidden/>
          </w:rPr>
          <w:fldChar w:fldCharType="end"/>
        </w:r>
      </w:hyperlink>
    </w:p>
    <w:p w:rsidR="0054177C" w:rsidRDefault="0033095E">
      <w:pPr>
        <w:pStyle w:val="TOC1"/>
        <w:rPr>
          <w:rFonts w:asciiTheme="minorHAnsi" w:eastAsiaTheme="minorEastAsia" w:hAnsiTheme="minorHAnsi" w:cstheme="minorBidi"/>
          <w:noProof/>
          <w:sz w:val="22"/>
          <w:szCs w:val="22"/>
        </w:rPr>
      </w:pPr>
      <w:hyperlink w:anchor="_Toc387398751" w:history="1">
        <w:r w:rsidR="0054177C" w:rsidRPr="00DB5A88">
          <w:rPr>
            <w:rStyle w:val="Hyperlink"/>
            <w:noProof/>
          </w:rPr>
          <w:t>Section 4: Energy Conservation Systems (ECS) for Residential Buildings</w:t>
        </w:r>
        <w:r w:rsidR="0054177C">
          <w:rPr>
            <w:noProof/>
            <w:webHidden/>
          </w:rPr>
          <w:tab/>
        </w:r>
        <w:r>
          <w:rPr>
            <w:noProof/>
            <w:webHidden/>
          </w:rPr>
          <w:fldChar w:fldCharType="begin"/>
        </w:r>
        <w:r w:rsidR="0054177C">
          <w:rPr>
            <w:noProof/>
            <w:webHidden/>
          </w:rPr>
          <w:instrText xml:space="preserve"> PAGEREF _Toc387398751 \h </w:instrText>
        </w:r>
        <w:r>
          <w:rPr>
            <w:noProof/>
            <w:webHidden/>
          </w:rPr>
        </w:r>
        <w:r>
          <w:rPr>
            <w:noProof/>
            <w:webHidden/>
          </w:rPr>
          <w:fldChar w:fldCharType="separate"/>
        </w:r>
        <w:r w:rsidR="0054177C">
          <w:rPr>
            <w:noProof/>
            <w:webHidden/>
          </w:rPr>
          <w:t>9</w:t>
        </w:r>
        <w:r>
          <w:rPr>
            <w:noProof/>
            <w:webHidden/>
          </w:rPr>
          <w:fldChar w:fldCharType="end"/>
        </w:r>
      </w:hyperlink>
    </w:p>
    <w:p w:rsidR="0054177C" w:rsidRDefault="0033095E">
      <w:pPr>
        <w:pStyle w:val="TOC2"/>
        <w:tabs>
          <w:tab w:val="right" w:leader="dot" w:pos="9350"/>
        </w:tabs>
        <w:rPr>
          <w:rFonts w:asciiTheme="minorHAnsi" w:eastAsiaTheme="minorEastAsia" w:hAnsiTheme="minorHAnsi" w:cstheme="minorBidi"/>
          <w:noProof/>
          <w:sz w:val="22"/>
          <w:szCs w:val="22"/>
        </w:rPr>
      </w:pPr>
      <w:hyperlink w:anchor="_Toc387398752" w:history="1">
        <w:r w:rsidR="0054177C" w:rsidRPr="00DB5A88">
          <w:rPr>
            <w:rStyle w:val="Hyperlink"/>
            <w:noProof/>
          </w:rPr>
          <w:t>Section 4a: Code Requirement Progression of ECS</w:t>
        </w:r>
        <w:r w:rsidR="0054177C">
          <w:rPr>
            <w:noProof/>
            <w:webHidden/>
          </w:rPr>
          <w:tab/>
        </w:r>
        <w:r>
          <w:rPr>
            <w:noProof/>
            <w:webHidden/>
          </w:rPr>
          <w:fldChar w:fldCharType="begin"/>
        </w:r>
        <w:r w:rsidR="0054177C">
          <w:rPr>
            <w:noProof/>
            <w:webHidden/>
          </w:rPr>
          <w:instrText xml:space="preserve"> PAGEREF _Toc387398752 \h </w:instrText>
        </w:r>
        <w:r>
          <w:rPr>
            <w:noProof/>
            <w:webHidden/>
          </w:rPr>
        </w:r>
        <w:r>
          <w:rPr>
            <w:noProof/>
            <w:webHidden/>
          </w:rPr>
          <w:fldChar w:fldCharType="separate"/>
        </w:r>
        <w:r w:rsidR="0054177C">
          <w:rPr>
            <w:noProof/>
            <w:webHidden/>
          </w:rPr>
          <w:t>9</w:t>
        </w:r>
        <w:r>
          <w:rPr>
            <w:noProof/>
            <w:webHidden/>
          </w:rPr>
          <w:fldChar w:fldCharType="end"/>
        </w:r>
      </w:hyperlink>
    </w:p>
    <w:p w:rsidR="0054177C" w:rsidRDefault="0033095E">
      <w:pPr>
        <w:pStyle w:val="TOC3"/>
        <w:tabs>
          <w:tab w:val="right" w:leader="dot" w:pos="9350"/>
        </w:tabs>
        <w:rPr>
          <w:rFonts w:asciiTheme="minorHAnsi" w:eastAsiaTheme="minorEastAsia" w:hAnsiTheme="minorHAnsi" w:cstheme="minorBidi"/>
          <w:noProof/>
          <w:sz w:val="22"/>
          <w:szCs w:val="22"/>
        </w:rPr>
      </w:pPr>
      <w:hyperlink w:anchor="_Toc387398753" w:history="1">
        <w:r w:rsidR="0054177C" w:rsidRPr="00DB5A88">
          <w:rPr>
            <w:rStyle w:val="Hyperlink"/>
            <w:noProof/>
          </w:rPr>
          <w:t>Section 4a(1): Unique MA Requirements</w:t>
        </w:r>
        <w:r w:rsidR="0054177C">
          <w:rPr>
            <w:noProof/>
            <w:webHidden/>
          </w:rPr>
          <w:tab/>
        </w:r>
        <w:r>
          <w:rPr>
            <w:noProof/>
            <w:webHidden/>
          </w:rPr>
          <w:fldChar w:fldCharType="begin"/>
        </w:r>
        <w:r w:rsidR="0054177C">
          <w:rPr>
            <w:noProof/>
            <w:webHidden/>
          </w:rPr>
          <w:instrText xml:space="preserve"> PAGEREF _Toc387398753 \h </w:instrText>
        </w:r>
        <w:r>
          <w:rPr>
            <w:noProof/>
            <w:webHidden/>
          </w:rPr>
        </w:r>
        <w:r>
          <w:rPr>
            <w:noProof/>
            <w:webHidden/>
          </w:rPr>
          <w:fldChar w:fldCharType="separate"/>
        </w:r>
        <w:r w:rsidR="0054177C">
          <w:rPr>
            <w:noProof/>
            <w:webHidden/>
          </w:rPr>
          <w:t>9</w:t>
        </w:r>
        <w:r>
          <w:rPr>
            <w:noProof/>
            <w:webHidden/>
          </w:rPr>
          <w:fldChar w:fldCharType="end"/>
        </w:r>
      </w:hyperlink>
    </w:p>
    <w:p w:rsidR="0054177C" w:rsidRDefault="0033095E">
      <w:pPr>
        <w:pStyle w:val="TOC2"/>
        <w:tabs>
          <w:tab w:val="right" w:leader="dot" w:pos="9350"/>
        </w:tabs>
        <w:rPr>
          <w:rFonts w:asciiTheme="minorHAnsi" w:eastAsiaTheme="minorEastAsia" w:hAnsiTheme="minorHAnsi" w:cstheme="minorBidi"/>
          <w:noProof/>
          <w:sz w:val="22"/>
          <w:szCs w:val="22"/>
        </w:rPr>
      </w:pPr>
      <w:hyperlink w:anchor="_Toc387398754" w:history="1">
        <w:r w:rsidR="0054177C" w:rsidRPr="00DB5A88">
          <w:rPr>
            <w:rStyle w:val="Hyperlink"/>
            <w:noProof/>
          </w:rPr>
          <w:t>Section 4b: ECS Cost and Effectiveness Overview</w:t>
        </w:r>
        <w:r w:rsidR="0054177C">
          <w:rPr>
            <w:noProof/>
            <w:webHidden/>
          </w:rPr>
          <w:tab/>
        </w:r>
        <w:r>
          <w:rPr>
            <w:noProof/>
            <w:webHidden/>
          </w:rPr>
          <w:fldChar w:fldCharType="begin"/>
        </w:r>
        <w:r w:rsidR="0054177C">
          <w:rPr>
            <w:noProof/>
            <w:webHidden/>
          </w:rPr>
          <w:instrText xml:space="preserve"> PAGEREF _Toc387398754 \h </w:instrText>
        </w:r>
        <w:r>
          <w:rPr>
            <w:noProof/>
            <w:webHidden/>
          </w:rPr>
        </w:r>
        <w:r>
          <w:rPr>
            <w:noProof/>
            <w:webHidden/>
          </w:rPr>
          <w:fldChar w:fldCharType="separate"/>
        </w:r>
        <w:r w:rsidR="0054177C">
          <w:rPr>
            <w:noProof/>
            <w:webHidden/>
          </w:rPr>
          <w:t>10</w:t>
        </w:r>
        <w:r>
          <w:rPr>
            <w:noProof/>
            <w:webHidden/>
          </w:rPr>
          <w:fldChar w:fldCharType="end"/>
        </w:r>
      </w:hyperlink>
    </w:p>
    <w:p w:rsidR="0054177C" w:rsidRDefault="0033095E">
      <w:pPr>
        <w:pStyle w:val="TOC2"/>
        <w:tabs>
          <w:tab w:val="right" w:leader="dot" w:pos="9350"/>
        </w:tabs>
        <w:rPr>
          <w:rFonts w:asciiTheme="minorHAnsi" w:eastAsiaTheme="minorEastAsia" w:hAnsiTheme="minorHAnsi" w:cstheme="minorBidi"/>
          <w:noProof/>
          <w:sz w:val="22"/>
          <w:szCs w:val="22"/>
        </w:rPr>
      </w:pPr>
      <w:hyperlink w:anchor="_Toc387398755" w:history="1">
        <w:r w:rsidR="0054177C" w:rsidRPr="00DB5A88">
          <w:rPr>
            <w:rStyle w:val="Hyperlink"/>
            <w:noProof/>
          </w:rPr>
          <w:t>Section 4c: Building Thermal Envelope Effectiveness</w:t>
        </w:r>
        <w:r w:rsidR="0054177C">
          <w:rPr>
            <w:noProof/>
            <w:webHidden/>
          </w:rPr>
          <w:tab/>
        </w:r>
        <w:r>
          <w:rPr>
            <w:noProof/>
            <w:webHidden/>
          </w:rPr>
          <w:fldChar w:fldCharType="begin"/>
        </w:r>
        <w:r w:rsidR="0054177C">
          <w:rPr>
            <w:noProof/>
            <w:webHidden/>
          </w:rPr>
          <w:instrText xml:space="preserve"> PAGEREF _Toc387398755 \h </w:instrText>
        </w:r>
        <w:r>
          <w:rPr>
            <w:noProof/>
            <w:webHidden/>
          </w:rPr>
        </w:r>
        <w:r>
          <w:rPr>
            <w:noProof/>
            <w:webHidden/>
          </w:rPr>
          <w:fldChar w:fldCharType="separate"/>
        </w:r>
        <w:r w:rsidR="0054177C">
          <w:rPr>
            <w:noProof/>
            <w:webHidden/>
          </w:rPr>
          <w:t>12</w:t>
        </w:r>
        <w:r>
          <w:rPr>
            <w:noProof/>
            <w:webHidden/>
          </w:rPr>
          <w:fldChar w:fldCharType="end"/>
        </w:r>
      </w:hyperlink>
    </w:p>
    <w:p w:rsidR="0054177C" w:rsidRDefault="0033095E">
      <w:pPr>
        <w:pStyle w:val="TOC3"/>
        <w:tabs>
          <w:tab w:val="right" w:leader="dot" w:pos="9350"/>
        </w:tabs>
        <w:rPr>
          <w:rFonts w:asciiTheme="minorHAnsi" w:eastAsiaTheme="minorEastAsia" w:hAnsiTheme="minorHAnsi" w:cstheme="minorBidi"/>
          <w:noProof/>
          <w:sz w:val="22"/>
          <w:szCs w:val="22"/>
        </w:rPr>
      </w:pPr>
      <w:hyperlink w:anchor="_Toc387398756" w:history="1">
        <w:r w:rsidR="0054177C" w:rsidRPr="00DB5A88">
          <w:rPr>
            <w:rStyle w:val="Hyperlink"/>
            <w:noProof/>
          </w:rPr>
          <w:t>Section 4c(1): Insulation and Air Leakage</w:t>
        </w:r>
        <w:r w:rsidR="0054177C">
          <w:rPr>
            <w:noProof/>
            <w:webHidden/>
          </w:rPr>
          <w:tab/>
        </w:r>
        <w:r>
          <w:rPr>
            <w:noProof/>
            <w:webHidden/>
          </w:rPr>
          <w:fldChar w:fldCharType="begin"/>
        </w:r>
        <w:r w:rsidR="0054177C">
          <w:rPr>
            <w:noProof/>
            <w:webHidden/>
          </w:rPr>
          <w:instrText xml:space="preserve"> PAGEREF _Toc387398756 \h </w:instrText>
        </w:r>
        <w:r>
          <w:rPr>
            <w:noProof/>
            <w:webHidden/>
          </w:rPr>
        </w:r>
        <w:r>
          <w:rPr>
            <w:noProof/>
            <w:webHidden/>
          </w:rPr>
          <w:fldChar w:fldCharType="separate"/>
        </w:r>
        <w:r w:rsidR="0054177C">
          <w:rPr>
            <w:noProof/>
            <w:webHidden/>
          </w:rPr>
          <w:t>12</w:t>
        </w:r>
        <w:r>
          <w:rPr>
            <w:noProof/>
            <w:webHidden/>
          </w:rPr>
          <w:fldChar w:fldCharType="end"/>
        </w:r>
      </w:hyperlink>
    </w:p>
    <w:p w:rsidR="0054177C" w:rsidRDefault="0033095E">
      <w:pPr>
        <w:pStyle w:val="TOC3"/>
        <w:tabs>
          <w:tab w:val="right" w:leader="dot" w:pos="9350"/>
        </w:tabs>
        <w:rPr>
          <w:rFonts w:asciiTheme="minorHAnsi" w:eastAsiaTheme="minorEastAsia" w:hAnsiTheme="minorHAnsi" w:cstheme="minorBidi"/>
          <w:noProof/>
          <w:sz w:val="22"/>
          <w:szCs w:val="22"/>
        </w:rPr>
      </w:pPr>
      <w:hyperlink w:anchor="_Toc387398757" w:history="1">
        <w:r w:rsidR="0054177C" w:rsidRPr="00DB5A88">
          <w:rPr>
            <w:rStyle w:val="Hyperlink"/>
            <w:noProof/>
          </w:rPr>
          <w:t>Section 4c(2): Mechanical Ventilation</w:t>
        </w:r>
        <w:r w:rsidR="0054177C">
          <w:rPr>
            <w:noProof/>
            <w:webHidden/>
          </w:rPr>
          <w:tab/>
        </w:r>
        <w:r>
          <w:rPr>
            <w:noProof/>
            <w:webHidden/>
          </w:rPr>
          <w:fldChar w:fldCharType="begin"/>
        </w:r>
        <w:r w:rsidR="0054177C">
          <w:rPr>
            <w:noProof/>
            <w:webHidden/>
          </w:rPr>
          <w:instrText xml:space="preserve"> PAGEREF _Toc387398757 \h </w:instrText>
        </w:r>
        <w:r>
          <w:rPr>
            <w:noProof/>
            <w:webHidden/>
          </w:rPr>
        </w:r>
        <w:r>
          <w:rPr>
            <w:noProof/>
            <w:webHidden/>
          </w:rPr>
          <w:fldChar w:fldCharType="separate"/>
        </w:r>
        <w:r w:rsidR="0054177C">
          <w:rPr>
            <w:noProof/>
            <w:webHidden/>
          </w:rPr>
          <w:t>16</w:t>
        </w:r>
        <w:r>
          <w:rPr>
            <w:noProof/>
            <w:webHidden/>
          </w:rPr>
          <w:fldChar w:fldCharType="end"/>
        </w:r>
      </w:hyperlink>
    </w:p>
    <w:p w:rsidR="0054177C" w:rsidRDefault="0033095E">
      <w:pPr>
        <w:pStyle w:val="TOC3"/>
        <w:tabs>
          <w:tab w:val="right" w:leader="dot" w:pos="9350"/>
        </w:tabs>
        <w:rPr>
          <w:rFonts w:asciiTheme="minorHAnsi" w:eastAsiaTheme="minorEastAsia" w:hAnsiTheme="minorHAnsi" w:cstheme="minorBidi"/>
          <w:noProof/>
          <w:sz w:val="22"/>
          <w:szCs w:val="22"/>
        </w:rPr>
      </w:pPr>
      <w:hyperlink w:anchor="_Toc387398758" w:history="1">
        <w:r w:rsidR="0054177C" w:rsidRPr="00DB5A88">
          <w:rPr>
            <w:rStyle w:val="Hyperlink"/>
            <w:noProof/>
          </w:rPr>
          <w:t>Section 4c(3): Foundations</w:t>
        </w:r>
        <w:r w:rsidR="0054177C">
          <w:rPr>
            <w:noProof/>
            <w:webHidden/>
          </w:rPr>
          <w:tab/>
        </w:r>
        <w:r>
          <w:rPr>
            <w:noProof/>
            <w:webHidden/>
          </w:rPr>
          <w:fldChar w:fldCharType="begin"/>
        </w:r>
        <w:r w:rsidR="0054177C">
          <w:rPr>
            <w:noProof/>
            <w:webHidden/>
          </w:rPr>
          <w:instrText xml:space="preserve"> PAGEREF _Toc387398758 \h </w:instrText>
        </w:r>
        <w:r>
          <w:rPr>
            <w:noProof/>
            <w:webHidden/>
          </w:rPr>
        </w:r>
        <w:r>
          <w:rPr>
            <w:noProof/>
            <w:webHidden/>
          </w:rPr>
          <w:fldChar w:fldCharType="separate"/>
        </w:r>
        <w:r w:rsidR="0054177C">
          <w:rPr>
            <w:noProof/>
            <w:webHidden/>
          </w:rPr>
          <w:t>17</w:t>
        </w:r>
        <w:r>
          <w:rPr>
            <w:noProof/>
            <w:webHidden/>
          </w:rPr>
          <w:fldChar w:fldCharType="end"/>
        </w:r>
      </w:hyperlink>
    </w:p>
    <w:p w:rsidR="0054177C" w:rsidRDefault="0033095E">
      <w:pPr>
        <w:pStyle w:val="TOC1"/>
        <w:rPr>
          <w:rFonts w:asciiTheme="minorHAnsi" w:eastAsiaTheme="minorEastAsia" w:hAnsiTheme="minorHAnsi" w:cstheme="minorBidi"/>
          <w:noProof/>
          <w:sz w:val="22"/>
          <w:szCs w:val="22"/>
        </w:rPr>
      </w:pPr>
      <w:hyperlink w:anchor="_Toc387398759" w:history="1">
        <w:r w:rsidR="0054177C" w:rsidRPr="00DB5A88">
          <w:rPr>
            <w:rStyle w:val="Hyperlink"/>
            <w:noProof/>
          </w:rPr>
          <w:t>Conclusion 1:</w:t>
        </w:r>
        <w:r w:rsidR="0054177C">
          <w:rPr>
            <w:noProof/>
            <w:webHidden/>
          </w:rPr>
          <w:tab/>
        </w:r>
        <w:r>
          <w:rPr>
            <w:noProof/>
            <w:webHidden/>
          </w:rPr>
          <w:fldChar w:fldCharType="begin"/>
        </w:r>
        <w:r w:rsidR="0054177C">
          <w:rPr>
            <w:noProof/>
            <w:webHidden/>
          </w:rPr>
          <w:instrText xml:space="preserve"> PAGEREF _Toc387398759 \h </w:instrText>
        </w:r>
        <w:r>
          <w:rPr>
            <w:noProof/>
            <w:webHidden/>
          </w:rPr>
        </w:r>
        <w:r>
          <w:rPr>
            <w:noProof/>
            <w:webHidden/>
          </w:rPr>
          <w:fldChar w:fldCharType="separate"/>
        </w:r>
        <w:r w:rsidR="0054177C">
          <w:rPr>
            <w:noProof/>
            <w:webHidden/>
          </w:rPr>
          <w:t>17</w:t>
        </w:r>
        <w:r>
          <w:rPr>
            <w:noProof/>
            <w:webHidden/>
          </w:rPr>
          <w:fldChar w:fldCharType="end"/>
        </w:r>
      </w:hyperlink>
    </w:p>
    <w:p w:rsidR="0054177C" w:rsidRDefault="0033095E">
      <w:pPr>
        <w:pStyle w:val="TOC1"/>
        <w:rPr>
          <w:rFonts w:asciiTheme="minorHAnsi" w:eastAsiaTheme="minorEastAsia" w:hAnsiTheme="minorHAnsi" w:cstheme="minorBidi"/>
          <w:noProof/>
          <w:sz w:val="22"/>
          <w:szCs w:val="22"/>
        </w:rPr>
      </w:pPr>
      <w:hyperlink w:anchor="_Toc387398760" w:history="1">
        <w:r w:rsidR="0054177C" w:rsidRPr="00DB5A88">
          <w:rPr>
            <w:rStyle w:val="Hyperlink"/>
            <w:noProof/>
          </w:rPr>
          <w:t>Conclusion 2:</w:t>
        </w:r>
        <w:r w:rsidR="0054177C">
          <w:rPr>
            <w:noProof/>
            <w:webHidden/>
          </w:rPr>
          <w:tab/>
        </w:r>
        <w:r>
          <w:rPr>
            <w:noProof/>
            <w:webHidden/>
          </w:rPr>
          <w:fldChar w:fldCharType="begin"/>
        </w:r>
        <w:r w:rsidR="0054177C">
          <w:rPr>
            <w:noProof/>
            <w:webHidden/>
          </w:rPr>
          <w:instrText xml:space="preserve"> PAGEREF _Toc387398760 \h </w:instrText>
        </w:r>
        <w:r>
          <w:rPr>
            <w:noProof/>
            <w:webHidden/>
          </w:rPr>
        </w:r>
        <w:r>
          <w:rPr>
            <w:noProof/>
            <w:webHidden/>
          </w:rPr>
          <w:fldChar w:fldCharType="separate"/>
        </w:r>
        <w:r w:rsidR="0054177C">
          <w:rPr>
            <w:noProof/>
            <w:webHidden/>
          </w:rPr>
          <w:t>17</w:t>
        </w:r>
        <w:r>
          <w:rPr>
            <w:noProof/>
            <w:webHidden/>
          </w:rPr>
          <w:fldChar w:fldCharType="end"/>
        </w:r>
      </w:hyperlink>
    </w:p>
    <w:p w:rsidR="0054177C" w:rsidRDefault="0033095E">
      <w:pPr>
        <w:pStyle w:val="TOC1"/>
        <w:rPr>
          <w:rFonts w:asciiTheme="minorHAnsi" w:eastAsiaTheme="minorEastAsia" w:hAnsiTheme="minorHAnsi" w:cstheme="minorBidi"/>
          <w:noProof/>
          <w:sz w:val="22"/>
          <w:szCs w:val="22"/>
        </w:rPr>
      </w:pPr>
      <w:hyperlink w:anchor="_Toc387398761" w:history="1">
        <w:r w:rsidR="0054177C" w:rsidRPr="00DB5A88">
          <w:rPr>
            <w:rStyle w:val="Hyperlink"/>
            <w:noProof/>
          </w:rPr>
          <w:t>Conclusion 3:</w:t>
        </w:r>
        <w:r w:rsidR="0054177C">
          <w:rPr>
            <w:noProof/>
            <w:webHidden/>
          </w:rPr>
          <w:tab/>
        </w:r>
        <w:r>
          <w:rPr>
            <w:noProof/>
            <w:webHidden/>
          </w:rPr>
          <w:fldChar w:fldCharType="begin"/>
        </w:r>
        <w:r w:rsidR="0054177C">
          <w:rPr>
            <w:noProof/>
            <w:webHidden/>
          </w:rPr>
          <w:instrText xml:space="preserve"> PAGEREF _Toc387398761 \h </w:instrText>
        </w:r>
        <w:r>
          <w:rPr>
            <w:noProof/>
            <w:webHidden/>
          </w:rPr>
        </w:r>
        <w:r>
          <w:rPr>
            <w:noProof/>
            <w:webHidden/>
          </w:rPr>
          <w:fldChar w:fldCharType="separate"/>
        </w:r>
        <w:r w:rsidR="0054177C">
          <w:rPr>
            <w:noProof/>
            <w:webHidden/>
          </w:rPr>
          <w:t>17</w:t>
        </w:r>
        <w:r>
          <w:rPr>
            <w:noProof/>
            <w:webHidden/>
          </w:rPr>
          <w:fldChar w:fldCharType="end"/>
        </w:r>
      </w:hyperlink>
    </w:p>
    <w:p w:rsidR="0054177C" w:rsidRDefault="0033095E">
      <w:pPr>
        <w:pStyle w:val="TOC1"/>
        <w:rPr>
          <w:rFonts w:asciiTheme="minorHAnsi" w:eastAsiaTheme="minorEastAsia" w:hAnsiTheme="minorHAnsi" w:cstheme="minorBidi"/>
          <w:noProof/>
          <w:sz w:val="22"/>
          <w:szCs w:val="22"/>
        </w:rPr>
      </w:pPr>
      <w:hyperlink w:anchor="_Toc387398762" w:history="1">
        <w:r w:rsidR="0054177C" w:rsidRPr="00DB5A88">
          <w:rPr>
            <w:rStyle w:val="Hyperlink"/>
            <w:noProof/>
          </w:rPr>
          <w:t>Recommendation 1:</w:t>
        </w:r>
        <w:r w:rsidR="0054177C">
          <w:rPr>
            <w:noProof/>
            <w:webHidden/>
          </w:rPr>
          <w:tab/>
        </w:r>
        <w:r>
          <w:rPr>
            <w:noProof/>
            <w:webHidden/>
          </w:rPr>
          <w:fldChar w:fldCharType="begin"/>
        </w:r>
        <w:r w:rsidR="0054177C">
          <w:rPr>
            <w:noProof/>
            <w:webHidden/>
          </w:rPr>
          <w:instrText xml:space="preserve"> PAGEREF _Toc387398762 \h </w:instrText>
        </w:r>
        <w:r>
          <w:rPr>
            <w:noProof/>
            <w:webHidden/>
          </w:rPr>
        </w:r>
        <w:r>
          <w:rPr>
            <w:noProof/>
            <w:webHidden/>
          </w:rPr>
          <w:fldChar w:fldCharType="separate"/>
        </w:r>
        <w:r w:rsidR="0054177C">
          <w:rPr>
            <w:noProof/>
            <w:webHidden/>
          </w:rPr>
          <w:t>18</w:t>
        </w:r>
        <w:r>
          <w:rPr>
            <w:noProof/>
            <w:webHidden/>
          </w:rPr>
          <w:fldChar w:fldCharType="end"/>
        </w:r>
      </w:hyperlink>
    </w:p>
    <w:p w:rsidR="0054177C" w:rsidRDefault="0033095E">
      <w:pPr>
        <w:pStyle w:val="TOC1"/>
        <w:rPr>
          <w:rFonts w:asciiTheme="minorHAnsi" w:eastAsiaTheme="minorEastAsia" w:hAnsiTheme="minorHAnsi" w:cstheme="minorBidi"/>
          <w:noProof/>
          <w:sz w:val="22"/>
          <w:szCs w:val="22"/>
        </w:rPr>
      </w:pPr>
      <w:hyperlink w:anchor="_Toc387398763" w:history="1">
        <w:r w:rsidR="0054177C" w:rsidRPr="00DB5A88">
          <w:rPr>
            <w:rStyle w:val="Hyperlink"/>
            <w:noProof/>
          </w:rPr>
          <w:t>Recommendation 2:</w:t>
        </w:r>
        <w:r w:rsidR="0054177C">
          <w:rPr>
            <w:noProof/>
            <w:webHidden/>
          </w:rPr>
          <w:tab/>
        </w:r>
        <w:r>
          <w:rPr>
            <w:noProof/>
            <w:webHidden/>
          </w:rPr>
          <w:fldChar w:fldCharType="begin"/>
        </w:r>
        <w:r w:rsidR="0054177C">
          <w:rPr>
            <w:noProof/>
            <w:webHidden/>
          </w:rPr>
          <w:instrText xml:space="preserve"> PAGEREF _Toc387398763 \h </w:instrText>
        </w:r>
        <w:r>
          <w:rPr>
            <w:noProof/>
            <w:webHidden/>
          </w:rPr>
        </w:r>
        <w:r>
          <w:rPr>
            <w:noProof/>
            <w:webHidden/>
          </w:rPr>
          <w:fldChar w:fldCharType="separate"/>
        </w:r>
        <w:r w:rsidR="0054177C">
          <w:rPr>
            <w:noProof/>
            <w:webHidden/>
          </w:rPr>
          <w:t>18</w:t>
        </w:r>
        <w:r>
          <w:rPr>
            <w:noProof/>
            <w:webHidden/>
          </w:rPr>
          <w:fldChar w:fldCharType="end"/>
        </w:r>
      </w:hyperlink>
    </w:p>
    <w:p w:rsidR="0054177C" w:rsidRDefault="0033095E">
      <w:pPr>
        <w:pStyle w:val="TOC1"/>
        <w:rPr>
          <w:rFonts w:asciiTheme="minorHAnsi" w:eastAsiaTheme="minorEastAsia" w:hAnsiTheme="minorHAnsi" w:cstheme="minorBidi"/>
          <w:noProof/>
          <w:sz w:val="22"/>
          <w:szCs w:val="22"/>
        </w:rPr>
      </w:pPr>
      <w:hyperlink w:anchor="_Toc387398764" w:history="1">
        <w:r w:rsidR="0054177C" w:rsidRPr="00DB5A88">
          <w:rPr>
            <w:rStyle w:val="Hyperlink"/>
            <w:noProof/>
          </w:rPr>
          <w:t>Notes to Section 1</w:t>
        </w:r>
        <w:r w:rsidR="0054177C">
          <w:rPr>
            <w:noProof/>
            <w:webHidden/>
          </w:rPr>
          <w:tab/>
        </w:r>
        <w:r>
          <w:rPr>
            <w:noProof/>
            <w:webHidden/>
          </w:rPr>
          <w:fldChar w:fldCharType="begin"/>
        </w:r>
        <w:r w:rsidR="0054177C">
          <w:rPr>
            <w:noProof/>
            <w:webHidden/>
          </w:rPr>
          <w:instrText xml:space="preserve"> PAGEREF _Toc387398764 \h </w:instrText>
        </w:r>
        <w:r>
          <w:rPr>
            <w:noProof/>
            <w:webHidden/>
          </w:rPr>
        </w:r>
        <w:r>
          <w:rPr>
            <w:noProof/>
            <w:webHidden/>
          </w:rPr>
          <w:fldChar w:fldCharType="separate"/>
        </w:r>
        <w:r w:rsidR="0054177C">
          <w:rPr>
            <w:noProof/>
            <w:webHidden/>
          </w:rPr>
          <w:t>19</w:t>
        </w:r>
        <w:r>
          <w:rPr>
            <w:noProof/>
            <w:webHidden/>
          </w:rPr>
          <w:fldChar w:fldCharType="end"/>
        </w:r>
      </w:hyperlink>
    </w:p>
    <w:p w:rsidR="0054177C" w:rsidRDefault="0033095E">
      <w:pPr>
        <w:pStyle w:val="TOC1"/>
        <w:rPr>
          <w:rFonts w:asciiTheme="minorHAnsi" w:eastAsiaTheme="minorEastAsia" w:hAnsiTheme="minorHAnsi" w:cstheme="minorBidi"/>
          <w:noProof/>
          <w:sz w:val="22"/>
          <w:szCs w:val="22"/>
        </w:rPr>
      </w:pPr>
      <w:hyperlink w:anchor="_Toc387398765" w:history="1">
        <w:r w:rsidR="0054177C" w:rsidRPr="00DB5A88">
          <w:rPr>
            <w:rStyle w:val="Hyperlink"/>
            <w:noProof/>
          </w:rPr>
          <w:t>Notes to Section 2</w:t>
        </w:r>
        <w:r w:rsidR="0054177C">
          <w:rPr>
            <w:noProof/>
            <w:webHidden/>
          </w:rPr>
          <w:tab/>
        </w:r>
        <w:r>
          <w:rPr>
            <w:noProof/>
            <w:webHidden/>
          </w:rPr>
          <w:fldChar w:fldCharType="begin"/>
        </w:r>
        <w:r w:rsidR="0054177C">
          <w:rPr>
            <w:noProof/>
            <w:webHidden/>
          </w:rPr>
          <w:instrText xml:space="preserve"> PAGEREF _Toc387398765 \h </w:instrText>
        </w:r>
        <w:r>
          <w:rPr>
            <w:noProof/>
            <w:webHidden/>
          </w:rPr>
        </w:r>
        <w:r>
          <w:rPr>
            <w:noProof/>
            <w:webHidden/>
          </w:rPr>
          <w:fldChar w:fldCharType="separate"/>
        </w:r>
        <w:r w:rsidR="0054177C">
          <w:rPr>
            <w:noProof/>
            <w:webHidden/>
          </w:rPr>
          <w:t>19</w:t>
        </w:r>
        <w:r>
          <w:rPr>
            <w:noProof/>
            <w:webHidden/>
          </w:rPr>
          <w:fldChar w:fldCharType="end"/>
        </w:r>
      </w:hyperlink>
    </w:p>
    <w:p w:rsidR="0054177C" w:rsidRDefault="0033095E">
      <w:pPr>
        <w:pStyle w:val="TOC1"/>
        <w:rPr>
          <w:rFonts w:asciiTheme="minorHAnsi" w:eastAsiaTheme="minorEastAsia" w:hAnsiTheme="minorHAnsi" w:cstheme="minorBidi"/>
          <w:noProof/>
          <w:sz w:val="22"/>
          <w:szCs w:val="22"/>
        </w:rPr>
      </w:pPr>
      <w:hyperlink w:anchor="_Toc387398766" w:history="1">
        <w:r w:rsidR="0054177C" w:rsidRPr="00DB5A88">
          <w:rPr>
            <w:rStyle w:val="Hyperlink"/>
            <w:noProof/>
          </w:rPr>
          <w:t>Notes to Section 3</w:t>
        </w:r>
        <w:r w:rsidR="0054177C">
          <w:rPr>
            <w:noProof/>
            <w:webHidden/>
          </w:rPr>
          <w:tab/>
        </w:r>
        <w:r>
          <w:rPr>
            <w:noProof/>
            <w:webHidden/>
          </w:rPr>
          <w:fldChar w:fldCharType="begin"/>
        </w:r>
        <w:r w:rsidR="0054177C">
          <w:rPr>
            <w:noProof/>
            <w:webHidden/>
          </w:rPr>
          <w:instrText xml:space="preserve"> PAGEREF _Toc387398766 \h </w:instrText>
        </w:r>
        <w:r>
          <w:rPr>
            <w:noProof/>
            <w:webHidden/>
          </w:rPr>
        </w:r>
        <w:r>
          <w:rPr>
            <w:noProof/>
            <w:webHidden/>
          </w:rPr>
          <w:fldChar w:fldCharType="separate"/>
        </w:r>
        <w:r w:rsidR="0054177C">
          <w:rPr>
            <w:noProof/>
            <w:webHidden/>
          </w:rPr>
          <w:t>20</w:t>
        </w:r>
        <w:r>
          <w:rPr>
            <w:noProof/>
            <w:webHidden/>
          </w:rPr>
          <w:fldChar w:fldCharType="end"/>
        </w:r>
      </w:hyperlink>
    </w:p>
    <w:p w:rsidR="0054177C" w:rsidRDefault="0033095E">
      <w:pPr>
        <w:pStyle w:val="TOC1"/>
        <w:rPr>
          <w:rFonts w:asciiTheme="minorHAnsi" w:eastAsiaTheme="minorEastAsia" w:hAnsiTheme="minorHAnsi" w:cstheme="minorBidi"/>
          <w:noProof/>
          <w:sz w:val="22"/>
          <w:szCs w:val="22"/>
        </w:rPr>
      </w:pPr>
      <w:hyperlink w:anchor="_Toc387398767" w:history="1">
        <w:r w:rsidR="0054177C" w:rsidRPr="00DB5A88">
          <w:rPr>
            <w:rStyle w:val="Hyperlink"/>
            <w:noProof/>
          </w:rPr>
          <w:t>Notes to Section 4</w:t>
        </w:r>
        <w:r w:rsidR="0054177C">
          <w:rPr>
            <w:noProof/>
            <w:webHidden/>
          </w:rPr>
          <w:tab/>
        </w:r>
        <w:r>
          <w:rPr>
            <w:noProof/>
            <w:webHidden/>
          </w:rPr>
          <w:fldChar w:fldCharType="begin"/>
        </w:r>
        <w:r w:rsidR="0054177C">
          <w:rPr>
            <w:noProof/>
            <w:webHidden/>
          </w:rPr>
          <w:instrText xml:space="preserve"> PAGEREF _Toc387398767 \h </w:instrText>
        </w:r>
        <w:r>
          <w:rPr>
            <w:noProof/>
            <w:webHidden/>
          </w:rPr>
        </w:r>
        <w:r>
          <w:rPr>
            <w:noProof/>
            <w:webHidden/>
          </w:rPr>
          <w:fldChar w:fldCharType="separate"/>
        </w:r>
        <w:r w:rsidR="0054177C">
          <w:rPr>
            <w:noProof/>
            <w:webHidden/>
          </w:rPr>
          <w:t>22</w:t>
        </w:r>
        <w:r>
          <w:rPr>
            <w:noProof/>
            <w:webHidden/>
          </w:rPr>
          <w:fldChar w:fldCharType="end"/>
        </w:r>
      </w:hyperlink>
    </w:p>
    <w:p w:rsidR="00EE50F8" w:rsidRDefault="0033095E" w:rsidP="00CF3624">
      <w:pPr>
        <w:pStyle w:val="BodyText"/>
        <w:rPr>
          <w:b/>
          <w:bCs/>
          <w:i/>
          <w:iCs/>
          <w:sz w:val="32"/>
          <w:szCs w:val="32"/>
          <w:u w:val="single"/>
        </w:rPr>
      </w:pPr>
      <w:r>
        <w:rPr>
          <w:b/>
          <w:bCs/>
          <w:i/>
          <w:iCs/>
          <w:sz w:val="32"/>
          <w:szCs w:val="32"/>
          <w:u w:val="single"/>
        </w:rPr>
        <w:fldChar w:fldCharType="end"/>
      </w:r>
    </w:p>
    <w:p w:rsidR="00EE50F8" w:rsidRDefault="00EE50F8" w:rsidP="00CF3624">
      <w:pPr>
        <w:jc w:val="center"/>
        <w:rPr>
          <w:sz w:val="28"/>
          <w:szCs w:val="28"/>
        </w:rPr>
      </w:pPr>
    </w:p>
    <w:p w:rsidR="00EE50F8" w:rsidRDefault="00EE50F8" w:rsidP="00CF3624">
      <w:pPr>
        <w:jc w:val="center"/>
        <w:rPr>
          <w:sz w:val="28"/>
          <w:szCs w:val="28"/>
        </w:rPr>
      </w:pPr>
    </w:p>
    <w:p w:rsidR="00EE50F8" w:rsidRDefault="00EE50F8" w:rsidP="00CF3624">
      <w:pPr>
        <w:jc w:val="center"/>
        <w:rPr>
          <w:sz w:val="28"/>
          <w:szCs w:val="28"/>
        </w:rPr>
      </w:pPr>
    </w:p>
    <w:p w:rsidR="00EE50F8" w:rsidRDefault="00EE50F8" w:rsidP="00CF3624">
      <w:pPr>
        <w:jc w:val="center"/>
        <w:rPr>
          <w:sz w:val="28"/>
          <w:szCs w:val="28"/>
        </w:rPr>
      </w:pPr>
    </w:p>
    <w:p w:rsidR="00EE50F8" w:rsidRDefault="00EE50F8" w:rsidP="00CF3624">
      <w:pPr>
        <w:jc w:val="center"/>
        <w:rPr>
          <w:sz w:val="28"/>
          <w:szCs w:val="28"/>
        </w:rPr>
      </w:pPr>
    </w:p>
    <w:p w:rsidR="00EE50F8" w:rsidRDefault="00EE50F8" w:rsidP="00CF3624">
      <w:pPr>
        <w:jc w:val="center"/>
        <w:rPr>
          <w:sz w:val="28"/>
          <w:szCs w:val="28"/>
        </w:rPr>
      </w:pPr>
    </w:p>
    <w:p w:rsidR="00EE50F8" w:rsidRDefault="00EE50F8" w:rsidP="00CF3624">
      <w:pPr>
        <w:jc w:val="center"/>
        <w:rPr>
          <w:sz w:val="28"/>
          <w:szCs w:val="28"/>
        </w:rPr>
      </w:pPr>
    </w:p>
    <w:p w:rsidR="00EE50F8" w:rsidRDefault="00EE50F8" w:rsidP="00CF3624">
      <w:pPr>
        <w:jc w:val="center"/>
        <w:rPr>
          <w:sz w:val="28"/>
          <w:szCs w:val="28"/>
        </w:rPr>
      </w:pPr>
    </w:p>
    <w:p w:rsidR="006C5F24" w:rsidRDefault="006C5F24" w:rsidP="00CF3624">
      <w:pPr>
        <w:pStyle w:val="Heading1"/>
        <w:keepNext w:val="0"/>
      </w:pPr>
      <w:bookmarkStart w:id="0" w:name="_Toc381445067"/>
    </w:p>
    <w:p w:rsidR="00EE50F8" w:rsidRDefault="00EE50F8" w:rsidP="00CF3624">
      <w:pPr>
        <w:pStyle w:val="Heading1"/>
        <w:keepNext w:val="0"/>
      </w:pPr>
      <w:bookmarkStart w:id="1" w:name="_Toc387398744"/>
      <w:r>
        <w:lastRenderedPageBreak/>
        <w:t>Abstract</w:t>
      </w:r>
      <w:bookmarkEnd w:id="0"/>
      <w:bookmarkEnd w:id="1"/>
    </w:p>
    <w:p w:rsidR="00EE50F8" w:rsidRDefault="00EE50F8" w:rsidP="00CF3624">
      <w:r>
        <w:t>This White Paper examines:</w:t>
      </w:r>
    </w:p>
    <w:p w:rsidR="00EE50F8" w:rsidRDefault="00EE50F8" w:rsidP="00CF3624">
      <w:pPr>
        <w:numPr>
          <w:ilvl w:val="0"/>
          <w:numId w:val="9"/>
        </w:numPr>
      </w:pPr>
      <w:proofErr w:type="gramStart"/>
      <w:r>
        <w:t>energy</w:t>
      </w:r>
      <w:proofErr w:type="gramEnd"/>
      <w:r>
        <w:t xml:space="preserve"> code requirements through various changes in the MA state building code. Since 1994 more energy systems are regulated</w:t>
      </w:r>
      <w:r w:rsidR="000255B2">
        <w:t xml:space="preserve">; </w:t>
      </w:r>
      <w:r>
        <w:t>since 2003 the code change cycle has been shortened to 3 years</w:t>
      </w:r>
      <w:r w:rsidR="000255B2">
        <w:t>;</w:t>
      </w:r>
      <w:r>
        <w:t xml:space="preserve"> and since 2008 there exists in effect two different state energy codes</w:t>
      </w:r>
      <w:r w:rsidR="000255B2">
        <w:t xml:space="preserve"> (base and ‘stretch’), </w:t>
      </w:r>
    </w:p>
    <w:p w:rsidR="00EE50F8" w:rsidRPr="00091F28" w:rsidRDefault="00EE50F8" w:rsidP="00CF3624">
      <w:pPr>
        <w:numPr>
          <w:ilvl w:val="0"/>
          <w:numId w:val="9"/>
        </w:numPr>
      </w:pPr>
      <w:proofErr w:type="gramStart"/>
      <w:r w:rsidRPr="00091F28">
        <w:t>the</w:t>
      </w:r>
      <w:proofErr w:type="gramEnd"/>
      <w:r w:rsidRPr="00091F28">
        <w:t xml:space="preserve"> effect on annual heating and cooling loads from changes to various building thermal envelope components</w:t>
      </w:r>
      <w:r w:rsidR="006C5F24">
        <w:t xml:space="preserve"> for 3, 4, and 6 u</w:t>
      </w:r>
      <w:r w:rsidR="00B42F42">
        <w:t>nit low rise residential buildings</w:t>
      </w:r>
      <w:r w:rsidR="000255B2">
        <w:t>. For example, an increase in</w:t>
      </w:r>
      <w:r w:rsidRPr="00091F28">
        <w:t xml:space="preserve"> ceiling</w:t>
      </w:r>
      <w:r w:rsidR="000255B2">
        <w:t xml:space="preserve"> insulation</w:t>
      </w:r>
      <w:r w:rsidRPr="00091F28">
        <w:t xml:space="preserve"> </w:t>
      </w:r>
      <w:r w:rsidR="000255B2">
        <w:t xml:space="preserve">(an </w:t>
      </w:r>
      <w:r w:rsidRPr="00091F28">
        <w:t xml:space="preserve">R-value </w:t>
      </w:r>
      <w:r w:rsidR="000255B2">
        <w:t xml:space="preserve">change </w:t>
      </w:r>
      <w:r w:rsidRPr="00091F28">
        <w:t xml:space="preserve">from </w:t>
      </w:r>
      <w:r w:rsidR="00EE5C5C">
        <w:t>38 to 49</w:t>
      </w:r>
      <w:r w:rsidR="000255B2">
        <w:t>)</w:t>
      </w:r>
      <w:r w:rsidR="00EE5C5C">
        <w:t xml:space="preserve"> for the 3-Unit building</w:t>
      </w:r>
      <w:r w:rsidRPr="00091F28">
        <w:t xml:space="preserve"> reduced </w:t>
      </w:r>
      <w:r w:rsidR="00EE5C5C">
        <w:t>the total annual heating load by 1.7</w:t>
      </w:r>
      <w:r w:rsidRPr="00091F28">
        <w:t xml:space="preserve"> </w:t>
      </w:r>
      <w:proofErr w:type="spellStart"/>
      <w:r w:rsidRPr="00091F28">
        <w:t>MMbtu</w:t>
      </w:r>
      <w:proofErr w:type="spellEnd"/>
      <w:r w:rsidRPr="00091F28">
        <w:t xml:space="preserve"> </w:t>
      </w:r>
      <w:r w:rsidR="00EE5C5C">
        <w:t xml:space="preserve">for a yearly savings of </w:t>
      </w:r>
      <w:r w:rsidRPr="00DD0842">
        <w:t>$</w:t>
      </w:r>
      <w:r w:rsidR="00984351">
        <w:t>23</w:t>
      </w:r>
      <w:r w:rsidR="00EE5C5C">
        <w:t>.</w:t>
      </w:r>
      <w:r w:rsidRPr="00091F28">
        <w:t xml:space="preserve"> </w:t>
      </w:r>
    </w:p>
    <w:p w:rsidR="00EE50F8" w:rsidRPr="00091F28" w:rsidRDefault="00EE50F8" w:rsidP="00CF3624">
      <w:pPr>
        <w:ind w:left="415"/>
      </w:pPr>
      <w:proofErr w:type="gramStart"/>
      <w:r>
        <w:t>and</w:t>
      </w:r>
      <w:proofErr w:type="gramEnd"/>
      <w:r>
        <w:t xml:space="preserve"> </w:t>
      </w:r>
      <w:r w:rsidR="000255B2">
        <w:t>recommends</w:t>
      </w:r>
      <w:r w:rsidRPr="00091F28">
        <w:t>:</w:t>
      </w:r>
    </w:p>
    <w:p w:rsidR="00EE50F8" w:rsidRPr="00091F28" w:rsidRDefault="000255B2" w:rsidP="00CF3624">
      <w:pPr>
        <w:numPr>
          <w:ilvl w:val="0"/>
          <w:numId w:val="9"/>
        </w:numPr>
      </w:pPr>
      <w:r>
        <w:t>issuance of</w:t>
      </w:r>
      <w:r w:rsidR="00EE50F8" w:rsidRPr="00091F28">
        <w:t xml:space="preserve"> a stretch code that is identical to the base code performance compliance path with the exception of </w:t>
      </w:r>
      <w:r w:rsidR="00EE50F8">
        <w:t xml:space="preserve">the </w:t>
      </w:r>
      <w:r w:rsidR="00EE50F8" w:rsidRPr="00091F28">
        <w:t>value of the perform</w:t>
      </w:r>
      <w:r>
        <w:t>ance target,</w:t>
      </w:r>
      <w:r w:rsidR="00EE50F8" w:rsidRPr="00091F28">
        <w:t xml:space="preserve"> </w:t>
      </w:r>
    </w:p>
    <w:p w:rsidR="00EE50F8" w:rsidRPr="00091F28" w:rsidRDefault="000255B2" w:rsidP="00617BCF">
      <w:pPr>
        <w:numPr>
          <w:ilvl w:val="0"/>
          <w:numId w:val="9"/>
        </w:numPr>
      </w:pPr>
      <w:r>
        <w:t>setting identical</w:t>
      </w:r>
      <w:r w:rsidR="00EE50F8" w:rsidRPr="00091F28">
        <w:t xml:space="preserve"> </w:t>
      </w:r>
      <w:r w:rsidR="00EE50F8">
        <w:t xml:space="preserve">effective dates for the base and stretch codes and fix </w:t>
      </w:r>
      <w:r w:rsidR="00EE50F8" w:rsidRPr="00091F28">
        <w:t>all energy code changes for a pr</w:t>
      </w:r>
      <w:r>
        <w:t>edetermined period of years,</w:t>
      </w:r>
    </w:p>
    <w:p w:rsidR="00EE50F8" w:rsidRPr="00091F28" w:rsidRDefault="00EE50F8" w:rsidP="00CF3624">
      <w:pPr>
        <w:numPr>
          <w:ilvl w:val="0"/>
          <w:numId w:val="9"/>
        </w:numPr>
      </w:pPr>
      <w:r w:rsidRPr="00091F28">
        <w:t>develop</w:t>
      </w:r>
      <w:r w:rsidR="000255B2">
        <w:t>ment of</w:t>
      </w:r>
      <w:r w:rsidRPr="00091F28">
        <w:t xml:space="preserve"> a code change proposal for 3</w:t>
      </w:r>
      <w:r w:rsidR="006C5F24">
        <w:t xml:space="preserve">, 4, and </w:t>
      </w:r>
      <w:r w:rsidRPr="00091F28">
        <w:t>6 unit residen</w:t>
      </w:r>
      <w:r w:rsidR="000255B2">
        <w:t xml:space="preserve">tial buildings that incorporate </w:t>
      </w:r>
      <w:r w:rsidRPr="00091F28">
        <w:t>conclusions</w:t>
      </w:r>
      <w:r>
        <w:t xml:space="preserve"> and recommendations </w:t>
      </w:r>
      <w:r w:rsidRPr="00091F28">
        <w:t>of this paper and the paper on fire protection systems</w:t>
      </w:r>
    </w:p>
    <w:p w:rsidR="00EE50F8" w:rsidRDefault="00EE50F8" w:rsidP="00C463AF">
      <w:pPr>
        <w:ind w:left="775"/>
      </w:pPr>
    </w:p>
    <w:p w:rsidR="00EE50F8" w:rsidRDefault="00EE50F8" w:rsidP="00901B3B">
      <w:pPr>
        <w:pStyle w:val="Heading1"/>
      </w:pPr>
      <w:bookmarkStart w:id="2" w:name="_Toc385311969"/>
      <w:bookmarkStart w:id="3" w:name="_Toc387398745"/>
      <w:r>
        <w:t>Section 1: Introduction</w:t>
      </w:r>
      <w:bookmarkEnd w:id="2"/>
      <w:bookmarkEnd w:id="3"/>
    </w:p>
    <w:p w:rsidR="00EE50F8" w:rsidRDefault="00EE50F8" w:rsidP="00901B3B">
      <w:r>
        <w:t>The Massachusetts Board of Building Regulations and Standards (BBRS) is a Massachusetts Board of eleven members</w:t>
      </w:r>
      <w:r w:rsidR="004C597C">
        <w:t xml:space="preserve"> established by</w:t>
      </w:r>
      <w:r>
        <w:t xml:space="preserve"> </w:t>
      </w:r>
      <w:hyperlink r:id="rId10" w:history="1">
        <w:r>
          <w:rPr>
            <w:rStyle w:val="Hyperlink"/>
          </w:rPr>
          <w:t>M.G.L. c. 143, §</w:t>
        </w:r>
        <w:proofErr w:type="gramStart"/>
        <w:r>
          <w:rPr>
            <w:rStyle w:val="Hyperlink"/>
          </w:rPr>
          <w:t xml:space="preserve">93 </w:t>
        </w:r>
        <w:proofErr w:type="gramEnd"/>
      </w:hyperlink>
      <w:r>
        <w:t>, nine of whom are appointed b</w:t>
      </w:r>
      <w:r w:rsidR="004C597C">
        <w:t>y the Governor. The BBRS is</w:t>
      </w:r>
      <w:r>
        <w:t xml:space="preserve"> authorized by </w:t>
      </w:r>
      <w:hyperlink r:id="rId11" w:history="1">
        <w:r>
          <w:rPr>
            <w:rStyle w:val="Hyperlink"/>
          </w:rPr>
          <w:t>M.G.L. c. 143 §94 (h)</w:t>
        </w:r>
      </w:hyperlink>
      <w:r>
        <w:t xml:space="preserve"> to formulate and periodically update the state building code, which has been in effect since 1975. Additionally, the BBRS has a statutory duty pursuant to  </w:t>
      </w:r>
      <w:hyperlink r:id="rId12" w:history="1">
        <w:r>
          <w:rPr>
            <w:rStyle w:val="Hyperlink"/>
          </w:rPr>
          <w:t>M.G.L. c. 143, §94 (c)</w:t>
        </w:r>
      </w:hyperlink>
      <w:r>
        <w:t xml:space="preserve"> </w:t>
      </w:r>
      <w:r>
        <w:rPr>
          <w:i/>
          <w:iCs/>
        </w:rPr>
        <w:t>“[to]</w:t>
      </w:r>
      <w:r w:rsidRPr="007E3C42">
        <w:rPr>
          <w:i/>
          <w:iCs/>
        </w:rPr>
        <w:t xml:space="preserve"> make a continuing study of the operation of the state building code, and other laws relating to the construction of buildings to ascertain their effect upon the cost of building construction and the effectiveness of their provisions for health, safety, energy conservation and security.”</w:t>
      </w:r>
      <w:r w:rsidRPr="002514C5">
        <w:rPr>
          <w:vertAlign w:val="superscript"/>
        </w:rPr>
        <w:t xml:space="preserve"> </w:t>
      </w:r>
      <w:r w:rsidRPr="003F4187">
        <w:rPr>
          <w:vertAlign w:val="superscript"/>
        </w:rPr>
        <w:t>1</w:t>
      </w:r>
      <w:r>
        <w:rPr>
          <w:i/>
          <w:iCs/>
        </w:rPr>
        <w:t xml:space="preserve">   </w:t>
      </w:r>
      <w:r>
        <w:t xml:space="preserve">No Massachusetts board with oversight of construction including the plumbing code, the electrical code, the sheet metal code, or the fire code, has the same duty.  </w:t>
      </w:r>
    </w:p>
    <w:p w:rsidR="00EE50F8" w:rsidRDefault="00EE50F8" w:rsidP="00901B3B"/>
    <w:p w:rsidR="00EE50F8" w:rsidRDefault="00EE50F8" w:rsidP="00901B3B">
      <w:r>
        <w:t xml:space="preserve">The price of homes in MA and the USA is a function of many market variables including the health of the national, state, and local economies, which influence supply of and demand on the housing stock.  However, irrespective of other variables one thing is certain; the type and quality of building construction for new or existing residential units </w:t>
      </w:r>
      <w:r>
        <w:rPr>
          <w:u w:val="single"/>
        </w:rPr>
        <w:t>can be directly tied</w:t>
      </w:r>
      <w:r>
        <w:t xml:space="preserve"> to the purchase price of a home. For example, two new homes, constructed by the same builder on identical and adjacent parcels of land; one built to the 4</w:t>
      </w:r>
      <w:r w:rsidRPr="00356BD4">
        <w:rPr>
          <w:vertAlign w:val="superscript"/>
        </w:rPr>
        <w:t>th</w:t>
      </w:r>
      <w:r>
        <w:t xml:space="preserve"> edition of the code and the other built to the 8</w:t>
      </w:r>
      <w:r w:rsidRPr="00356BD4">
        <w:rPr>
          <w:vertAlign w:val="superscript"/>
        </w:rPr>
        <w:t>th</w:t>
      </w:r>
      <w:r>
        <w:t xml:space="preserve"> edition of the code will not be priced equally, because more code regulation almost invariably leads to higher construction costs.  </w:t>
      </w:r>
    </w:p>
    <w:p w:rsidR="00EE50F8" w:rsidRDefault="00EE50F8" w:rsidP="00901B3B"/>
    <w:p w:rsidR="00EE50F8" w:rsidRDefault="00EE50F8" w:rsidP="00901B3B">
      <w:r>
        <w:t xml:space="preserve">Although the public has an opportunity via </w:t>
      </w:r>
      <w:hyperlink r:id="rId13" w:history="1">
        <w:r>
          <w:rPr>
            <w:rStyle w:val="Hyperlink"/>
          </w:rPr>
          <w:t xml:space="preserve">M.G.L. c. 30A, §20 </w:t>
        </w:r>
      </w:hyperlink>
      <w:r>
        <w:t xml:space="preserve"> to provide comment to the BBRS, the citizens of the Commonwealth are not really ‘at the table’ with the BBRS. Instead, building officials, fire officials, builders, code consultants, and others associated with the building industry are the usual participants; each advocating for a special interest. Without actual widespread public comment the BBRS </w:t>
      </w:r>
      <w:r w:rsidR="004C597C">
        <w:t>seeks to</w:t>
      </w:r>
      <w:r>
        <w:t xml:space="preserve"> protect the interests of the consumer and maintain an independent and reasonable approach when reviewing and promulgating building code requirements.  </w:t>
      </w:r>
    </w:p>
    <w:p w:rsidR="00EE50F8" w:rsidRDefault="00EE50F8" w:rsidP="00901B3B">
      <w:pPr>
        <w:keepLines/>
        <w:widowControl w:val="0"/>
      </w:pPr>
      <w:r>
        <w:t xml:space="preserve">  </w:t>
      </w:r>
    </w:p>
    <w:p w:rsidR="00EE50F8" w:rsidRDefault="00EE50F8" w:rsidP="00901B3B">
      <w:pPr>
        <w:keepLines/>
        <w:widowControl w:val="0"/>
      </w:pPr>
      <w:r>
        <w:lastRenderedPageBreak/>
        <w:t>The</w:t>
      </w:r>
      <w:r w:rsidR="004C597C">
        <w:t xml:space="preserve"> BBRS has prepared this paper to assist in meeting its </w:t>
      </w:r>
      <w:r>
        <w:t>statutory obligation to continually review the cost of construction and to assure that for all building code requirements there is commensurate</w:t>
      </w:r>
      <w:r w:rsidR="004C597C">
        <w:t xml:space="preserve"> energy conservation, health, or </w:t>
      </w:r>
      <w:r>
        <w:t>life safety benefit. Onerous and costly code requirements too often have a negative ripple effect, for example; the owner will meet the requirement and increase unit rent or sale price to offset the construction costs; the owner will take units out of service</w:t>
      </w:r>
      <w:r>
        <w:rPr>
          <w:vertAlign w:val="superscript"/>
        </w:rPr>
        <w:t>2</w:t>
      </w:r>
      <w:r>
        <w:t xml:space="preserve"> which further exacerbates an already tight housing market; or the owner will do cosmetic touch up and avoid high cost items that the code may require. Thus, if the </w:t>
      </w:r>
      <w:r w:rsidR="004C597C">
        <w:t xml:space="preserve">energy conservation, health, or </w:t>
      </w:r>
      <w:r>
        <w:t>life safety benefit</w:t>
      </w:r>
      <w:r w:rsidR="004C597C">
        <w:t>s do</w:t>
      </w:r>
      <w:r>
        <w:t xml:space="preserve"> not justify the cost then it is the responsibility of the BBRS to explore alternatives such as reducing or eliminating the requirement.  </w:t>
      </w:r>
    </w:p>
    <w:p w:rsidR="00EE50F8" w:rsidRDefault="00EE50F8" w:rsidP="00901B3B">
      <w:pPr>
        <w:keepLines/>
        <w:widowControl w:val="0"/>
        <w:sectPr w:rsidR="00EE50F8" w:rsidSect="00901B3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810" w:right="1440" w:bottom="1170" w:left="1440" w:header="720" w:footer="720" w:gutter="0"/>
          <w:cols w:space="720"/>
          <w:docGrid w:linePitch="360"/>
        </w:sectPr>
      </w:pPr>
    </w:p>
    <w:p w:rsidR="00EE50F8" w:rsidRDefault="00EE50F8" w:rsidP="00901B3B">
      <w:pPr>
        <w:keepLines/>
        <w:widowControl w:val="0"/>
      </w:pPr>
    </w:p>
    <w:p w:rsidR="00EE50F8" w:rsidRDefault="00EE50F8" w:rsidP="00901B3B">
      <w:pPr>
        <w:pStyle w:val="Heading1"/>
        <w:keepNext w:val="0"/>
        <w:keepLines/>
        <w:widowControl w:val="0"/>
      </w:pPr>
      <w:bookmarkStart w:id="4" w:name="_Toc385311970"/>
      <w:bookmarkStart w:id="5" w:name="_Toc387398746"/>
      <w:r>
        <w:t>Section 2: Background</w:t>
      </w:r>
      <w:bookmarkEnd w:id="4"/>
      <w:bookmarkEnd w:id="5"/>
    </w:p>
    <w:p w:rsidR="00EE50F8" w:rsidRDefault="00EE50F8" w:rsidP="00901B3B">
      <w:pPr>
        <w:rPr>
          <w:b/>
          <w:bCs/>
        </w:rPr>
      </w:pPr>
      <w:r>
        <w:t>This section contains a timelin</w:t>
      </w:r>
      <w:r w:rsidRPr="00E95BB4">
        <w:t>e</w:t>
      </w:r>
      <w:r w:rsidRPr="00FF6733">
        <w:rPr>
          <w:vertAlign w:val="superscript"/>
        </w:rPr>
        <w:t>1</w:t>
      </w:r>
      <w:r>
        <w:t xml:space="preserve"> of various editions of the Massachusetts State Building Code (780 CMR or the ‘code’) and a general description of the scope of requirements and on what national or local standard(s) it was based on. </w:t>
      </w:r>
    </w:p>
    <w:p w:rsidR="00EE50F8" w:rsidRDefault="00EE50F8" w:rsidP="00901B3B">
      <w:pPr>
        <w:rPr>
          <w:b/>
          <w:bCs/>
        </w:rPr>
      </w:pPr>
    </w:p>
    <w:p w:rsidR="00EE50F8" w:rsidRPr="00537AAF" w:rsidRDefault="00EE50F8" w:rsidP="00901B3B">
      <w:pPr>
        <w:rPr>
          <w:b/>
          <w:bCs/>
        </w:rPr>
      </w:pPr>
      <w:r>
        <w:t>1</w:t>
      </w:r>
      <w:r w:rsidRPr="007C38E8">
        <w:rPr>
          <w:vertAlign w:val="superscript"/>
        </w:rPr>
        <w:t>st</w:t>
      </w:r>
      <w:r>
        <w:t xml:space="preserve"> and 2</w:t>
      </w:r>
      <w:r w:rsidRPr="007C38E8">
        <w:rPr>
          <w:vertAlign w:val="superscript"/>
        </w:rPr>
        <w:t>nd</w:t>
      </w:r>
      <w:r>
        <w:t xml:space="preserve"> Editions</w:t>
      </w:r>
      <w:r>
        <w:tab/>
      </w:r>
      <w:r w:rsidRPr="00537AAF">
        <w:t>1/1/1975.</w:t>
      </w:r>
    </w:p>
    <w:p w:rsidR="00EE50F8" w:rsidRPr="00537AAF" w:rsidRDefault="00EE50F8" w:rsidP="00901B3B">
      <w:pPr>
        <w:rPr>
          <w:b/>
          <w:bCs/>
        </w:rPr>
      </w:pPr>
      <w:r>
        <w:t>3</w:t>
      </w:r>
      <w:r w:rsidRPr="007C38E8">
        <w:rPr>
          <w:vertAlign w:val="superscript"/>
        </w:rPr>
        <w:t>rd</w:t>
      </w:r>
      <w:r>
        <w:t xml:space="preserve"> Edition</w:t>
      </w:r>
      <w:r>
        <w:tab/>
      </w:r>
      <w:r>
        <w:tab/>
      </w:r>
      <w:r w:rsidRPr="00537AAF">
        <w:t>6/1/1979.</w:t>
      </w:r>
    </w:p>
    <w:p w:rsidR="00EE50F8" w:rsidRPr="00537AAF" w:rsidRDefault="00EE50F8" w:rsidP="00901B3B">
      <w:pPr>
        <w:rPr>
          <w:b/>
          <w:bCs/>
        </w:rPr>
      </w:pPr>
      <w:r>
        <w:t>4</w:t>
      </w:r>
      <w:r w:rsidRPr="007C38E8">
        <w:rPr>
          <w:vertAlign w:val="superscript"/>
        </w:rPr>
        <w:t>th</w:t>
      </w:r>
      <w:r>
        <w:t xml:space="preserve"> </w:t>
      </w:r>
      <w:r w:rsidRPr="00537AAF">
        <w:t>Editio</w:t>
      </w:r>
      <w:r>
        <w:t>n</w:t>
      </w:r>
      <w:r>
        <w:tab/>
      </w:r>
      <w:r>
        <w:tab/>
      </w:r>
      <w:r w:rsidRPr="00537AAF">
        <w:t>9/1/1980.</w:t>
      </w:r>
    </w:p>
    <w:p w:rsidR="00EE50F8" w:rsidRPr="00537AAF" w:rsidRDefault="00EE50F8" w:rsidP="00901B3B">
      <w:pPr>
        <w:rPr>
          <w:b/>
          <w:bCs/>
        </w:rPr>
      </w:pPr>
      <w:r>
        <w:t>5</w:t>
      </w:r>
      <w:r w:rsidRPr="007C38E8">
        <w:rPr>
          <w:vertAlign w:val="superscript"/>
        </w:rPr>
        <w:t>th</w:t>
      </w:r>
      <w:r>
        <w:t xml:space="preserve"> </w:t>
      </w:r>
      <w:r w:rsidRPr="00537AAF">
        <w:t>Edition</w:t>
      </w:r>
      <w:r>
        <w:tab/>
      </w:r>
      <w:r>
        <w:tab/>
      </w:r>
      <w:r w:rsidRPr="00537AAF">
        <w:t>3/1/1991.</w:t>
      </w:r>
    </w:p>
    <w:p w:rsidR="00EE50F8" w:rsidRPr="00537AAF" w:rsidRDefault="00EE50F8" w:rsidP="00901B3B">
      <w:pPr>
        <w:rPr>
          <w:b/>
          <w:bCs/>
        </w:rPr>
      </w:pPr>
      <w:r>
        <w:t>6</w:t>
      </w:r>
      <w:r w:rsidRPr="007C38E8">
        <w:rPr>
          <w:vertAlign w:val="superscript"/>
        </w:rPr>
        <w:t>th</w:t>
      </w:r>
      <w:r>
        <w:t xml:space="preserve"> Edition</w:t>
      </w:r>
      <w:r>
        <w:tab/>
      </w:r>
      <w:r>
        <w:tab/>
      </w:r>
      <w:r w:rsidRPr="00537AAF">
        <w:t xml:space="preserve">2/28/1997 </w:t>
      </w:r>
      <w:r>
        <w:t>(Commercial</w:t>
      </w:r>
      <w:r w:rsidRPr="00537AAF">
        <w:t xml:space="preserve">) </w:t>
      </w:r>
      <w:r>
        <w:t>and 1998 (</w:t>
      </w:r>
      <w:r w:rsidRPr="00537AAF">
        <w:t>One- and Two-Family</w:t>
      </w:r>
      <w:r>
        <w:t>)</w:t>
      </w:r>
    </w:p>
    <w:p w:rsidR="00EE50F8" w:rsidRPr="00537AAF" w:rsidRDefault="00EE50F8" w:rsidP="00901B3B">
      <w:pPr>
        <w:rPr>
          <w:b/>
          <w:bCs/>
        </w:rPr>
      </w:pPr>
      <w:r>
        <w:t>7</w:t>
      </w:r>
      <w:r w:rsidRPr="007C38E8">
        <w:rPr>
          <w:vertAlign w:val="superscript"/>
        </w:rPr>
        <w:t>th</w:t>
      </w:r>
      <w:r>
        <w:t xml:space="preserve"> </w:t>
      </w:r>
      <w:r w:rsidRPr="00537AAF">
        <w:t xml:space="preserve">Edition </w:t>
      </w:r>
      <w:r>
        <w:tab/>
      </w:r>
      <w:r>
        <w:tab/>
      </w:r>
      <w:r w:rsidRPr="00537AAF">
        <w:t xml:space="preserve">9/1/2008 (Commercial) </w:t>
      </w:r>
      <w:r>
        <w:t xml:space="preserve">and </w:t>
      </w:r>
      <w:r w:rsidRPr="00537AAF">
        <w:t xml:space="preserve">1/1/2008 (Residential) </w:t>
      </w:r>
    </w:p>
    <w:p w:rsidR="00EE50F8" w:rsidRPr="00537AAF" w:rsidRDefault="00EE50F8" w:rsidP="00901B3B">
      <w:pPr>
        <w:rPr>
          <w:b/>
          <w:bCs/>
        </w:rPr>
      </w:pPr>
      <w:r>
        <w:t>8</w:t>
      </w:r>
      <w:r w:rsidRPr="007C38E8">
        <w:rPr>
          <w:vertAlign w:val="superscript"/>
        </w:rPr>
        <w:t>th</w:t>
      </w:r>
      <w:r>
        <w:t xml:space="preserve"> </w:t>
      </w:r>
      <w:r w:rsidRPr="00537AAF">
        <w:t xml:space="preserve">Edition </w:t>
      </w:r>
      <w:r>
        <w:tab/>
      </w:r>
      <w:r>
        <w:tab/>
      </w:r>
      <w:r w:rsidRPr="00537AAF">
        <w:t xml:space="preserve">8/6/2010 (Commercial) </w:t>
      </w:r>
      <w:r>
        <w:t xml:space="preserve">and </w:t>
      </w:r>
      <w:r w:rsidRPr="00537AAF">
        <w:t xml:space="preserve">2/4/2011 (Residential) </w:t>
      </w:r>
    </w:p>
    <w:p w:rsidR="00EE50F8" w:rsidRDefault="00EE50F8" w:rsidP="00901B3B">
      <w:pPr>
        <w:rPr>
          <w:b/>
          <w:bCs/>
        </w:rPr>
      </w:pPr>
    </w:p>
    <w:p w:rsidR="00EE50F8" w:rsidRDefault="00EE50F8" w:rsidP="00901B3B">
      <w:pPr>
        <w:rPr>
          <w:b/>
          <w:bCs/>
        </w:rPr>
      </w:pPr>
      <w:r>
        <w:t xml:space="preserve">The early editions of the code were influenced by the Boston Building Code, while later editions were based on commercial codes issued by </w:t>
      </w:r>
      <w:r w:rsidRPr="00E95BB4">
        <w:t xml:space="preserve">Building Officials and Code Administrators International, Inc. </w:t>
      </w:r>
      <w:r>
        <w:t xml:space="preserve">(BOCA), and the one and two family codes issued by </w:t>
      </w:r>
      <w:r w:rsidRPr="00E95BB4">
        <w:t>The Council of American Building Officials</w:t>
      </w:r>
      <w:r>
        <w:t xml:space="preserve"> (</w:t>
      </w:r>
      <w:r w:rsidRPr="009A757A">
        <w:t>CABO</w:t>
      </w:r>
      <w:r>
        <w:t>).  The 7</w:t>
      </w:r>
      <w:r w:rsidRPr="00E95BB4">
        <w:rPr>
          <w:vertAlign w:val="superscript"/>
        </w:rPr>
        <w:t>th</w:t>
      </w:r>
      <w:r>
        <w:t xml:space="preserve"> and 8</w:t>
      </w:r>
      <w:r w:rsidRPr="00E95BB4">
        <w:rPr>
          <w:vertAlign w:val="superscript"/>
        </w:rPr>
        <w:t>th</w:t>
      </w:r>
      <w:r>
        <w:t xml:space="preserve"> editions were based on the</w:t>
      </w:r>
      <w:r w:rsidRPr="009A757A">
        <w:t xml:space="preserve"> International Code Council</w:t>
      </w:r>
      <w:r>
        <w:t xml:space="preserve"> (ICC). The ICC codes are in use to some extent by many states. </w:t>
      </w:r>
    </w:p>
    <w:p w:rsidR="00EE50F8" w:rsidRDefault="00EE50F8" w:rsidP="00901B3B">
      <w:pPr>
        <w:tabs>
          <w:tab w:val="left" w:pos="1794"/>
        </w:tabs>
        <w:rPr>
          <w:b/>
          <w:bCs/>
        </w:rPr>
      </w:pPr>
      <w:r>
        <w:t xml:space="preserve"> </w:t>
      </w:r>
      <w:r>
        <w:tab/>
      </w:r>
    </w:p>
    <w:p w:rsidR="00EE50F8" w:rsidRPr="00537AAF" w:rsidRDefault="00EE50F8" w:rsidP="00901B3B">
      <w:pPr>
        <w:rPr>
          <w:b/>
          <w:bCs/>
        </w:rPr>
      </w:pPr>
      <w:r>
        <w:t>The 1</w:t>
      </w:r>
      <w:r w:rsidRPr="001C3DC9">
        <w:rPr>
          <w:vertAlign w:val="superscript"/>
        </w:rPr>
        <w:t>st</w:t>
      </w:r>
      <w:r>
        <w:t xml:space="preserve"> through 6</w:t>
      </w:r>
      <w:r w:rsidRPr="001C3DC9">
        <w:rPr>
          <w:vertAlign w:val="superscript"/>
        </w:rPr>
        <w:t>th</w:t>
      </w:r>
      <w:r>
        <w:t xml:space="preserve"> Editions </w:t>
      </w:r>
      <w:r w:rsidRPr="00537AAF">
        <w:t xml:space="preserve">were unique MA documents </w:t>
      </w:r>
      <w:r>
        <w:t xml:space="preserve">that utilized </w:t>
      </w:r>
      <w:r w:rsidRPr="00537AAF">
        <w:t>the BOCA Code requirements for commercial buildings and the CABO Code for one- and two-family dwellings</w:t>
      </w:r>
      <w:r>
        <w:t>. Both the BOCA and CABO codes were</w:t>
      </w:r>
      <w:r w:rsidRPr="00537AAF">
        <w:t xml:space="preserve"> modified </w:t>
      </w:r>
      <w:r>
        <w:t>to incorporate</w:t>
      </w:r>
      <w:r w:rsidRPr="00537AAF">
        <w:t xml:space="preserve"> unique MA requirements.</w:t>
      </w:r>
    </w:p>
    <w:p w:rsidR="00EE50F8" w:rsidRDefault="00EE50F8" w:rsidP="00901B3B">
      <w:pPr>
        <w:rPr>
          <w:b/>
          <w:bCs/>
        </w:rPr>
      </w:pPr>
    </w:p>
    <w:p w:rsidR="00EE50F8" w:rsidRDefault="00EE50F8" w:rsidP="00901B3B">
      <w:pPr>
        <w:rPr>
          <w:b/>
          <w:bCs/>
        </w:rPr>
      </w:pPr>
      <w:r>
        <w:t>The 7</w:t>
      </w:r>
      <w:r w:rsidRPr="001C3DC9">
        <w:rPr>
          <w:vertAlign w:val="superscript"/>
        </w:rPr>
        <w:t>th</w:t>
      </w:r>
      <w:r>
        <w:t xml:space="preserve"> </w:t>
      </w:r>
      <w:r w:rsidRPr="00537AAF">
        <w:t>Edition</w:t>
      </w:r>
      <w:r>
        <w:t xml:space="preserve"> utilized</w:t>
      </w:r>
      <w:r w:rsidRPr="00537AAF">
        <w:t xml:space="preserve"> the ICC’s </w:t>
      </w:r>
      <w:r w:rsidRPr="001C3DC9">
        <w:rPr>
          <w:i/>
          <w:iCs/>
        </w:rPr>
        <w:t>International Building Code</w:t>
      </w:r>
      <w:r>
        <w:t xml:space="preserve"> </w:t>
      </w:r>
      <w:r w:rsidRPr="001C3DC9">
        <w:rPr>
          <w:i/>
          <w:iCs/>
        </w:rPr>
        <w:t>2003</w:t>
      </w:r>
      <w:r w:rsidRPr="00537AAF">
        <w:t xml:space="preserve"> and the </w:t>
      </w:r>
      <w:r w:rsidRPr="001C3DC9">
        <w:rPr>
          <w:i/>
          <w:iCs/>
        </w:rPr>
        <w:t>International Residential Code 200</w:t>
      </w:r>
      <w:r>
        <w:rPr>
          <w:i/>
          <w:iCs/>
        </w:rPr>
        <w:t>3</w:t>
      </w:r>
      <w:r>
        <w:t xml:space="preserve"> and incorporated a significant quantity of unique MA requirements into these documents. </w:t>
      </w:r>
    </w:p>
    <w:p w:rsidR="00EE50F8" w:rsidRDefault="00EE50F8" w:rsidP="00901B3B">
      <w:pPr>
        <w:rPr>
          <w:b/>
          <w:bCs/>
        </w:rPr>
      </w:pPr>
    </w:p>
    <w:p w:rsidR="00EE50F8" w:rsidRPr="00FF6733" w:rsidRDefault="00EE50F8" w:rsidP="00901B3B">
      <w:pPr>
        <w:rPr>
          <w:b/>
          <w:bCs/>
        </w:rPr>
      </w:pPr>
      <w:r>
        <w:t>The 8</w:t>
      </w:r>
      <w:r w:rsidRPr="001C3DC9">
        <w:rPr>
          <w:vertAlign w:val="superscript"/>
        </w:rPr>
        <w:t>th</w:t>
      </w:r>
      <w:r>
        <w:t xml:space="preserve"> Edition utilized the ICC’s </w:t>
      </w:r>
      <w:r w:rsidRPr="001C3DC9">
        <w:rPr>
          <w:i/>
          <w:iCs/>
        </w:rPr>
        <w:t>International Building Code</w:t>
      </w:r>
      <w:r>
        <w:t xml:space="preserve"> </w:t>
      </w:r>
      <w:r w:rsidRPr="001C3DC9">
        <w:rPr>
          <w:i/>
          <w:iCs/>
        </w:rPr>
        <w:t>200</w:t>
      </w:r>
      <w:r>
        <w:rPr>
          <w:i/>
          <w:iCs/>
        </w:rPr>
        <w:t>9</w:t>
      </w:r>
      <w:r w:rsidRPr="00537AAF">
        <w:t xml:space="preserve"> and the </w:t>
      </w:r>
      <w:r w:rsidRPr="001C3DC9">
        <w:rPr>
          <w:i/>
          <w:iCs/>
        </w:rPr>
        <w:t>International Residential Code 200</w:t>
      </w:r>
      <w:r>
        <w:rPr>
          <w:i/>
          <w:iCs/>
        </w:rPr>
        <w:t>9</w:t>
      </w:r>
      <w:r>
        <w:t>, but placed the unique MA requirements in a separate document.  In this manner it was much easier to see the sheer number of additional requirements that building owners and developers in the Commonwealth need to deal with. All of the New England states use some version of the ICC codes, and none has as many requirements as MA.  Two points of this edition change should be highlighted:  1) the BBRS directed its technical advisory committees to make the 8</w:t>
      </w:r>
      <w:r w:rsidRPr="00A12891">
        <w:rPr>
          <w:vertAlign w:val="superscript"/>
        </w:rPr>
        <w:t>th</w:t>
      </w:r>
      <w:r>
        <w:t xml:space="preserve"> edition ‘with equivalent life safety’ to the 7</w:t>
      </w:r>
      <w:r w:rsidRPr="00A12891">
        <w:rPr>
          <w:vertAlign w:val="superscript"/>
        </w:rPr>
        <w:t>th</w:t>
      </w:r>
      <w:r>
        <w:t xml:space="preserve"> edition, in essence meaning that a building constructed to either edition would have similar code requirements; and 2) the technical advisory committees were not explicitly directed to consider the cost of construction in this effort.  However, in 2011 the BBRS directed its advisory committees to </w:t>
      </w:r>
      <w:r>
        <w:lastRenderedPageBreak/>
        <w:t xml:space="preserve">review unique MA requirements which add to cost of construction relative to the requirement as found in the </w:t>
      </w:r>
      <w:r w:rsidRPr="00FF6733">
        <w:rPr>
          <w:i/>
          <w:iCs/>
        </w:rPr>
        <w:t>International Building Code 2009</w:t>
      </w:r>
      <w:r>
        <w:t xml:space="preserve"> (IBC). As a result of this effort</w:t>
      </w:r>
      <w:r w:rsidRPr="00905B17">
        <w:rPr>
          <w:vertAlign w:val="superscript"/>
        </w:rPr>
        <w:t>2</w:t>
      </w:r>
      <w:r>
        <w:t xml:space="preserve"> many MA requirements were removed from the code.</w:t>
      </w:r>
    </w:p>
    <w:p w:rsidR="00EE50F8" w:rsidRPr="00537AAF" w:rsidRDefault="00EE50F8" w:rsidP="00901B3B">
      <w:pPr>
        <w:rPr>
          <w:b/>
          <w:bCs/>
        </w:rPr>
      </w:pPr>
      <w:r>
        <w:t xml:space="preserve">  </w:t>
      </w:r>
    </w:p>
    <w:p w:rsidR="00EE50F8" w:rsidRPr="00537AAF" w:rsidRDefault="00EE50F8" w:rsidP="00901B3B">
      <w:pPr>
        <w:rPr>
          <w:b/>
          <w:bCs/>
        </w:rPr>
      </w:pPr>
      <w:r>
        <w:t>O</w:t>
      </w:r>
      <w:r w:rsidRPr="00537AAF">
        <w:t xml:space="preserve">ver the past several decades </w:t>
      </w:r>
      <w:r>
        <w:t>the code has undergone regulatory expansion</w:t>
      </w:r>
      <w:r>
        <w:rPr>
          <w:vertAlign w:val="superscript"/>
        </w:rPr>
        <w:t>3</w:t>
      </w:r>
      <w:r w:rsidRPr="00537AAF">
        <w:t xml:space="preserve"> </w:t>
      </w:r>
      <w:r>
        <w:t xml:space="preserve">including, but </w:t>
      </w:r>
      <w:r w:rsidRPr="00537AAF">
        <w:t>not limited to:</w:t>
      </w:r>
    </w:p>
    <w:p w:rsidR="00EE50F8" w:rsidRPr="00D953D6" w:rsidRDefault="00EE50F8" w:rsidP="00901B3B">
      <w:pPr>
        <w:pStyle w:val="ListParagraph"/>
        <w:numPr>
          <w:ilvl w:val="0"/>
          <w:numId w:val="31"/>
        </w:numPr>
        <w:spacing w:line="240" w:lineRule="auto"/>
        <w:rPr>
          <w:rFonts w:ascii="Times New Roman" w:hAnsi="Times New Roman" w:cs="Times New Roman"/>
          <w:b/>
          <w:bCs/>
          <w:w w:val="100"/>
        </w:rPr>
      </w:pPr>
      <w:r w:rsidRPr="00D953D6">
        <w:rPr>
          <w:rFonts w:ascii="Times New Roman" w:hAnsi="Times New Roman" w:cs="Times New Roman"/>
          <w:i/>
          <w:iCs/>
          <w:w w:val="100"/>
        </w:rPr>
        <w:t>Energy conservation</w:t>
      </w:r>
      <w:r w:rsidRPr="00D953D6">
        <w:rPr>
          <w:rFonts w:ascii="Times New Roman" w:hAnsi="Times New Roman" w:cs="Times New Roman"/>
          <w:w w:val="100"/>
        </w:rPr>
        <w:t xml:space="preserve"> due to national initiatives on climate change and energy dependence on foreign supplies of oil, etc. For residential buildings this has resulted in requirements for air tight buildings and the need to hire experts to verify building performance via blower door and duct leakage testing. Recently mandatory mechanical ventilation is required. In addition the Commonwealth was the first state in the nation to develop and utilize a </w:t>
      </w:r>
      <w:hyperlink r:id="rId20" w:history="1">
        <w:r w:rsidRPr="00D953D6">
          <w:rPr>
            <w:rStyle w:val="Hyperlink"/>
            <w:rFonts w:ascii="Times New Roman" w:hAnsi="Times New Roman" w:cs="Times New Roman"/>
            <w:w w:val="100"/>
          </w:rPr>
          <w:t xml:space="preserve">Stretch Energy Code (Appendix 115AA) </w:t>
        </w:r>
      </w:hyperlink>
      <w:r w:rsidRPr="00D953D6">
        <w:rPr>
          <w:rFonts w:ascii="Times New Roman" w:hAnsi="Times New Roman" w:cs="Times New Roman"/>
          <w:w w:val="100"/>
        </w:rPr>
        <w:t xml:space="preserve"> which in turn heavily influenced the development of the </w:t>
      </w:r>
      <w:r w:rsidRPr="00D953D6">
        <w:rPr>
          <w:rFonts w:ascii="Times New Roman" w:hAnsi="Times New Roman" w:cs="Times New Roman"/>
          <w:i/>
          <w:iCs/>
          <w:w w:val="100"/>
        </w:rPr>
        <w:t>International Energy Conservation Code 2012</w:t>
      </w:r>
      <w:r w:rsidRPr="00D953D6">
        <w:rPr>
          <w:rFonts w:ascii="Times New Roman" w:hAnsi="Times New Roman" w:cs="Times New Roman"/>
          <w:w w:val="100"/>
        </w:rPr>
        <w:t xml:space="preserve"> to the point where blower door testing is now a standard requirement in many states across the nation. </w:t>
      </w:r>
    </w:p>
    <w:p w:rsidR="00EE50F8" w:rsidRPr="00D953D6" w:rsidRDefault="00EE50F8" w:rsidP="00901B3B">
      <w:pPr>
        <w:pStyle w:val="ListParagraph"/>
        <w:numPr>
          <w:ilvl w:val="0"/>
          <w:numId w:val="31"/>
        </w:numPr>
        <w:spacing w:line="240" w:lineRule="auto"/>
        <w:rPr>
          <w:rFonts w:ascii="Times New Roman" w:hAnsi="Times New Roman" w:cs="Times New Roman"/>
          <w:b/>
          <w:bCs/>
          <w:w w:val="100"/>
        </w:rPr>
      </w:pPr>
      <w:r w:rsidRPr="00D953D6">
        <w:rPr>
          <w:rFonts w:ascii="Times New Roman" w:hAnsi="Times New Roman" w:cs="Times New Roman"/>
          <w:i/>
          <w:iCs/>
          <w:w w:val="100"/>
        </w:rPr>
        <w:t>Building design and construction</w:t>
      </w:r>
      <w:r w:rsidRPr="00D953D6">
        <w:rPr>
          <w:rFonts w:ascii="Times New Roman" w:hAnsi="Times New Roman" w:cs="Times New Roman"/>
          <w:w w:val="100"/>
        </w:rPr>
        <w:t xml:space="preserve"> since 1992 when Hurricane Andrew devastated parts of Florida. Consequently, the Home Insurance Industry became heavily involved in the national code-writing process, and since 1992 the residential code has been impacted by requirements for ‘hurricane fastening of framing’ and ‘wind-borne debris’ of doors and windows. </w:t>
      </w:r>
    </w:p>
    <w:p w:rsidR="00EE50F8" w:rsidRPr="00D953D6" w:rsidRDefault="00EE50F8" w:rsidP="00901B3B">
      <w:pPr>
        <w:pStyle w:val="ListParagraph"/>
        <w:numPr>
          <w:ilvl w:val="0"/>
          <w:numId w:val="31"/>
        </w:numPr>
        <w:spacing w:line="240" w:lineRule="auto"/>
        <w:rPr>
          <w:rFonts w:ascii="Times New Roman" w:hAnsi="Times New Roman" w:cs="Times New Roman"/>
          <w:b/>
          <w:bCs/>
          <w:w w:val="100"/>
        </w:rPr>
      </w:pPr>
      <w:r w:rsidRPr="00D953D6">
        <w:rPr>
          <w:rFonts w:ascii="Times New Roman" w:hAnsi="Times New Roman" w:cs="Times New Roman"/>
          <w:i/>
          <w:iCs/>
          <w:w w:val="100"/>
        </w:rPr>
        <w:t>Fire protection</w:t>
      </w:r>
      <w:r w:rsidRPr="00D953D6">
        <w:rPr>
          <w:rFonts w:ascii="Times New Roman" w:hAnsi="Times New Roman" w:cs="Times New Roman"/>
          <w:w w:val="100"/>
        </w:rPr>
        <w:t xml:space="preserve"> has always been an area where the Commonwealth has invoked more requirements</w:t>
      </w:r>
      <w:r w:rsidRPr="00D953D6">
        <w:rPr>
          <w:rFonts w:ascii="Times New Roman" w:hAnsi="Times New Roman" w:cs="Times New Roman"/>
          <w:w w:val="100"/>
          <w:vertAlign w:val="superscript"/>
        </w:rPr>
        <w:t>4</w:t>
      </w:r>
      <w:r w:rsidRPr="00D953D6">
        <w:rPr>
          <w:rFonts w:ascii="Times New Roman" w:hAnsi="Times New Roman" w:cs="Times New Roman"/>
          <w:w w:val="100"/>
        </w:rPr>
        <w:t xml:space="preserve"> than any other New England state. In addition, the 6</w:t>
      </w:r>
      <w:r w:rsidRPr="00D953D6">
        <w:rPr>
          <w:rFonts w:ascii="Times New Roman" w:hAnsi="Times New Roman" w:cs="Times New Roman"/>
          <w:w w:val="100"/>
          <w:vertAlign w:val="superscript"/>
        </w:rPr>
        <w:t>th</w:t>
      </w:r>
      <w:r w:rsidRPr="00D953D6">
        <w:rPr>
          <w:rFonts w:ascii="Times New Roman" w:hAnsi="Times New Roman" w:cs="Times New Roman"/>
          <w:w w:val="100"/>
        </w:rPr>
        <w:t xml:space="preserve"> Edition of the code was likely the most stringent new construction commercial state building code in the nation as it significantly “upped the ante” and required fire sprinklers in most new commercial buildings. This was a move away from a traditional construction method which allowed an architect or engineer to separate different ‘uses’ in the same building with fire rated walls and ceilings. The code required many residential and commercial buildings to be </w:t>
      </w:r>
      <w:proofErr w:type="spellStart"/>
      <w:r w:rsidRPr="00D953D6">
        <w:rPr>
          <w:rFonts w:ascii="Times New Roman" w:hAnsi="Times New Roman" w:cs="Times New Roman"/>
          <w:w w:val="100"/>
        </w:rPr>
        <w:t>sprinklered</w:t>
      </w:r>
      <w:proofErr w:type="spellEnd"/>
      <w:r w:rsidRPr="00D953D6">
        <w:rPr>
          <w:rFonts w:ascii="Times New Roman" w:hAnsi="Times New Roman" w:cs="Times New Roman"/>
          <w:w w:val="100"/>
        </w:rPr>
        <w:t xml:space="preserve"> in 1997; ahead of any national code at that time. As the national codes evolved since then it is apparent that sprinkler advocates have had significant influence; the ICC codes also now require sprinklers for most uses (educational, mercantile, residential, etc.). However, key differences between the Commonwealth requirements and ICC codes and even neighboring New England states exist. As just one example a building constructed for a ‘business’ use in the Commonwealth requires sprinklers via M.G.L c. 148 §26G when its area is just 7500 sq ft as opposed to 12,000 sq ft elsewhere in New England and in most other states across the nation.</w:t>
      </w:r>
    </w:p>
    <w:p w:rsidR="00EE50F8" w:rsidRDefault="00EE50F8" w:rsidP="00901B3B">
      <w:r>
        <w:t xml:space="preserve">In summary, the BBRS has reviewed the costs of construction as the code and laws evolved from 1975 to present.  The purpose of this paper is to ensure that the BBRS continues to comply with its statutory obligation to review the cost of construction in response to the concerns raised with respect to </w:t>
      </w:r>
      <w:r w:rsidR="004C597C">
        <w:t>energy conservation</w:t>
      </w:r>
      <w:r>
        <w:t xml:space="preserve"> of new and existing R-2 residential buildings. The background herein provides historical context that will be considered in the conclusions and</w:t>
      </w:r>
      <w:r w:rsidR="004C597C">
        <w:t xml:space="preserve"> </w:t>
      </w:r>
      <w:r>
        <w:t xml:space="preserve">recommendations that follow in </w:t>
      </w:r>
      <w:r w:rsidRPr="003F4187">
        <w:t>Section 8.</w:t>
      </w:r>
      <w:r>
        <w:t xml:space="preserve">   </w:t>
      </w:r>
    </w:p>
    <w:p w:rsidR="00EE50F8" w:rsidRDefault="00EE50F8" w:rsidP="00901B3B">
      <w:pPr>
        <w:rPr>
          <w:b/>
          <w:bCs/>
        </w:rPr>
      </w:pPr>
    </w:p>
    <w:p w:rsidR="00EE50F8" w:rsidRDefault="00EE50F8" w:rsidP="00901B3B">
      <w:pPr>
        <w:pStyle w:val="Heading1"/>
        <w:keepNext w:val="0"/>
        <w:widowControl w:val="0"/>
      </w:pPr>
      <w:bookmarkStart w:id="6" w:name="_Toc385311971"/>
      <w:bookmarkStart w:id="7" w:name="_Toc387398747"/>
      <w:r>
        <w:t>Section 3: Home value vs. Income</w:t>
      </w:r>
      <w:bookmarkEnd w:id="6"/>
      <w:bookmarkEnd w:id="7"/>
    </w:p>
    <w:p w:rsidR="00EE50F8" w:rsidRDefault="00EE50F8" w:rsidP="00901B3B">
      <w:pPr>
        <w:widowControl w:val="0"/>
      </w:pPr>
      <w:r>
        <w:t>This section examines national and local data</w:t>
      </w:r>
      <w:r w:rsidRPr="00343F53">
        <w:rPr>
          <w:vertAlign w:val="superscript"/>
        </w:rPr>
        <w:t>1</w:t>
      </w:r>
      <w:r>
        <w:t xml:space="preserve"> on home value and income, not including data on rental housing and income. Because the construction costs of residential buildings can be directly tied to ‘price,’ it is important to provide background on home affordability with regard to purchase and ownership. In the USA individuals and families, have in general been afforded a choice to either </w:t>
      </w:r>
      <w:r>
        <w:rPr>
          <w:b/>
          <w:bCs/>
          <w:i/>
          <w:iCs/>
          <w:u w:val="single"/>
        </w:rPr>
        <w:t>buy or rent a home</w:t>
      </w:r>
      <w:r>
        <w:t xml:space="preserve">. The data and trends shown in the next sections indicate that fewer people in the USA including MA residents are capable of purchasing a home, which is why the BBRS should maintain a focus on the cost of construction and, when necessary, amend the code if appropriate.  </w:t>
      </w:r>
    </w:p>
    <w:p w:rsidR="00EE50F8" w:rsidRDefault="00EE50F8" w:rsidP="00901B3B">
      <w:pPr>
        <w:pStyle w:val="Heading2"/>
      </w:pPr>
      <w:bookmarkStart w:id="8" w:name="_Toc385311972"/>
      <w:bookmarkStart w:id="9" w:name="_Toc387398748"/>
      <w:r>
        <w:lastRenderedPageBreak/>
        <w:t>Section 3a: USA Data</w:t>
      </w:r>
      <w:bookmarkEnd w:id="8"/>
      <w:bookmarkEnd w:id="9"/>
    </w:p>
    <w:p w:rsidR="00EE50F8" w:rsidRDefault="00EE50F8" w:rsidP="00901B3B">
      <w:r>
        <w:t>The US Census at 10-year intervals publishes income</w:t>
      </w:r>
      <w:r>
        <w:rPr>
          <w:vertAlign w:val="superscript"/>
        </w:rPr>
        <w:t>2</w:t>
      </w:r>
      <w:r>
        <w:t xml:space="preserve"> and home value</w:t>
      </w:r>
      <w:r>
        <w:rPr>
          <w:vertAlign w:val="superscript"/>
        </w:rPr>
        <w:t>3</w:t>
      </w:r>
      <w:r>
        <w:t xml:space="preserve"> data. Figure 3a shows the ratio of median home value to median household income data from the US Census at 10-year intervals. The trend in the USA from 1970 to 2000 indicates that home values are outpacing household income. Another perspective using the same data is that median US </w:t>
      </w:r>
      <w:r>
        <w:rPr>
          <w:u w:val="single"/>
        </w:rPr>
        <w:t>home values increased 85%</w:t>
      </w:r>
      <w:r>
        <w:t xml:space="preserve"> (65K$ to 120K$) from 1970 to 2000 while median </w:t>
      </w:r>
      <w:r>
        <w:rPr>
          <w:u w:val="single"/>
        </w:rPr>
        <w:t>US household income increased 21%</w:t>
      </w:r>
      <w:r>
        <w:t xml:space="preserve"> (43K$ to 52K$) in the same time period.</w:t>
      </w:r>
    </w:p>
    <w:p w:rsidR="00EE50F8" w:rsidRDefault="008171E5" w:rsidP="00901B3B">
      <w:pPr>
        <w:ind w:firstLine="2160"/>
      </w:pPr>
      <w:r>
        <w:rPr>
          <w:noProof/>
        </w:rPr>
        <w:drawing>
          <wp:inline distT="0" distB="0" distL="0" distR="0">
            <wp:extent cx="3076575" cy="1485900"/>
            <wp:effectExtent l="19050" t="0" r="9525"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3076575" cy="1485900"/>
                    </a:xfrm>
                    <a:prstGeom prst="rect">
                      <a:avLst/>
                    </a:prstGeom>
                    <a:noFill/>
                    <a:ln w="9525">
                      <a:noFill/>
                      <a:miter lim="800000"/>
                      <a:headEnd/>
                      <a:tailEnd/>
                    </a:ln>
                  </pic:spPr>
                </pic:pic>
              </a:graphicData>
            </a:graphic>
          </wp:inline>
        </w:drawing>
      </w:r>
    </w:p>
    <w:p w:rsidR="00EE50F8" w:rsidRDefault="00EE50F8" w:rsidP="00901B3B">
      <w:pPr>
        <w:pStyle w:val="Heading4"/>
        <w:jc w:val="center"/>
      </w:pPr>
      <w:r>
        <w:t>Figure 3a</w:t>
      </w:r>
    </w:p>
    <w:p w:rsidR="00EE50F8" w:rsidRDefault="00EE50F8" w:rsidP="00901B3B">
      <w:pPr>
        <w:pStyle w:val="Heading2"/>
      </w:pPr>
      <w:bookmarkStart w:id="10" w:name="_Toc385311973"/>
      <w:bookmarkStart w:id="11" w:name="_Toc387398749"/>
      <w:r>
        <w:t>Section 3b: MA Data</w:t>
      </w:r>
      <w:bookmarkEnd w:id="10"/>
      <w:bookmarkEnd w:id="11"/>
    </w:p>
    <w:p w:rsidR="00EE50F8" w:rsidRDefault="00EE50F8" w:rsidP="00901B3B">
      <w:r>
        <w:t>The national trend indicates the gap between home value and income is increasing. However, since the BBRS is focused on the MA State Building Code it is more pertinent for this paper to examine home price and income data in the Commonwealth. For this two sources of data were studied; median sale price of residential units and median household income in MA. The sale price data are from the Greater Boston Association of REALTORS</w:t>
      </w:r>
      <w:r>
        <w:rPr>
          <w:vertAlign w:val="superscript"/>
        </w:rPr>
        <w:t>4</w:t>
      </w:r>
      <w:r>
        <w:t xml:space="preserve"> (GBAR) and the income data are from American Community Survey</w:t>
      </w:r>
      <w:r>
        <w:rPr>
          <w:vertAlign w:val="superscript"/>
        </w:rPr>
        <w:t xml:space="preserve">5 </w:t>
      </w:r>
      <w:r>
        <w:t xml:space="preserve">by the US Census Bureau.  Figure </w:t>
      </w:r>
      <w:proofErr w:type="gramStart"/>
      <w:r>
        <w:t>3b(</w:t>
      </w:r>
      <w:proofErr w:type="gramEnd"/>
      <w:r>
        <w:t xml:space="preserve">1) shows median sale price of single-family homes and condominiums in MA from 2005 to 2012 and Figure 3b(2) shows median household income for 2005 to 2012. The ratio of sale price to household income is shown in the Figure </w:t>
      </w:r>
      <w:proofErr w:type="gramStart"/>
      <w:r>
        <w:t>3b(</w:t>
      </w:r>
      <w:proofErr w:type="gramEnd"/>
      <w:r>
        <w:t xml:space="preserve">3). Although the trend of the ratio is relatively flat through the years 2005 to 2012, it should be noted that the value of the price to income ratio is nearly double the USA ratio. </w:t>
      </w:r>
      <w:r w:rsidRPr="0027305B">
        <w:t xml:space="preserve">In other words, in the year 2000 the US median home value is about </w:t>
      </w:r>
      <w:r w:rsidRPr="0027305B">
        <w:rPr>
          <w:u w:val="single"/>
        </w:rPr>
        <w:t>double</w:t>
      </w:r>
      <w:r w:rsidRPr="0027305B">
        <w:t xml:space="preserve"> the household income, while in the year 2012 the MA median home price is </w:t>
      </w:r>
      <w:r w:rsidRPr="00396281">
        <w:t xml:space="preserve">more than </w:t>
      </w:r>
      <w:r>
        <w:rPr>
          <w:u w:val="single"/>
        </w:rPr>
        <w:t>four</w:t>
      </w:r>
      <w:r w:rsidRPr="0027305B">
        <w:rPr>
          <w:u w:val="single"/>
        </w:rPr>
        <w:t xml:space="preserve"> times</w:t>
      </w:r>
      <w:r w:rsidRPr="0027305B">
        <w:t xml:space="preserve"> the household income.</w:t>
      </w:r>
      <w:r>
        <w:t xml:space="preserve"> </w:t>
      </w:r>
    </w:p>
    <w:p w:rsidR="00EE50F8" w:rsidRDefault="00EE50F8" w:rsidP="00901B3B"/>
    <w:p w:rsidR="00EE50F8" w:rsidRDefault="008171E5" w:rsidP="00901B3B">
      <w:pPr>
        <w:jc w:val="center"/>
        <w:rPr>
          <w:noProof/>
        </w:rPr>
      </w:pPr>
      <w:r>
        <w:rPr>
          <w:noProof/>
        </w:rPr>
        <w:drawing>
          <wp:inline distT="0" distB="0" distL="0" distR="0">
            <wp:extent cx="2809875" cy="1657350"/>
            <wp:effectExtent l="19050" t="0" r="9525"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srcRect/>
                    <a:stretch>
                      <a:fillRect/>
                    </a:stretch>
                  </pic:blipFill>
                  <pic:spPr bwMode="auto">
                    <a:xfrm>
                      <a:off x="0" y="0"/>
                      <a:ext cx="2809875" cy="1657350"/>
                    </a:xfrm>
                    <a:prstGeom prst="rect">
                      <a:avLst/>
                    </a:prstGeom>
                    <a:noFill/>
                    <a:ln w="9525">
                      <a:noFill/>
                      <a:miter lim="800000"/>
                      <a:headEnd/>
                      <a:tailEnd/>
                    </a:ln>
                  </pic:spPr>
                </pic:pic>
              </a:graphicData>
            </a:graphic>
          </wp:inline>
        </w:drawing>
      </w:r>
      <w:r>
        <w:rPr>
          <w:noProof/>
        </w:rPr>
        <w:drawing>
          <wp:inline distT="0" distB="0" distL="0" distR="0">
            <wp:extent cx="2809875" cy="1657350"/>
            <wp:effectExtent l="19050" t="0" r="9525"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srcRect/>
                    <a:stretch>
                      <a:fillRect/>
                    </a:stretch>
                  </pic:blipFill>
                  <pic:spPr bwMode="auto">
                    <a:xfrm>
                      <a:off x="0" y="0"/>
                      <a:ext cx="2809875" cy="1657350"/>
                    </a:xfrm>
                    <a:prstGeom prst="rect">
                      <a:avLst/>
                    </a:prstGeom>
                    <a:noFill/>
                    <a:ln w="9525">
                      <a:noFill/>
                      <a:miter lim="800000"/>
                      <a:headEnd/>
                      <a:tailEnd/>
                    </a:ln>
                  </pic:spPr>
                </pic:pic>
              </a:graphicData>
            </a:graphic>
          </wp:inline>
        </w:drawing>
      </w:r>
    </w:p>
    <w:p w:rsidR="00EE50F8" w:rsidRPr="00901B3B" w:rsidRDefault="00EE50F8" w:rsidP="00901B3B">
      <w:pPr>
        <w:jc w:val="center"/>
        <w:rPr>
          <w:b/>
          <w:bCs/>
        </w:rPr>
      </w:pPr>
      <w:r w:rsidRPr="00901B3B">
        <w:rPr>
          <w:rFonts w:ascii="Calibri" w:hAnsi="Calibri" w:cs="Calibri"/>
          <w:b/>
          <w:bCs/>
          <w:sz w:val="28"/>
          <w:szCs w:val="28"/>
        </w:rPr>
        <w:t xml:space="preserve">Figure </w:t>
      </w:r>
      <w:proofErr w:type="gramStart"/>
      <w:r w:rsidRPr="00901B3B">
        <w:rPr>
          <w:rFonts w:ascii="Calibri" w:hAnsi="Calibri" w:cs="Calibri"/>
          <w:b/>
          <w:bCs/>
          <w:sz w:val="28"/>
          <w:szCs w:val="28"/>
        </w:rPr>
        <w:t>3b(</w:t>
      </w:r>
      <w:proofErr w:type="gramEnd"/>
      <w:r w:rsidRPr="00901B3B">
        <w:rPr>
          <w:rFonts w:ascii="Calibri" w:hAnsi="Calibri" w:cs="Calibri"/>
          <w:b/>
          <w:bCs/>
          <w:sz w:val="28"/>
          <w:szCs w:val="28"/>
        </w:rPr>
        <w:t>1)</w:t>
      </w:r>
    </w:p>
    <w:p w:rsidR="00EE50F8" w:rsidRDefault="008171E5" w:rsidP="00901B3B">
      <w:pPr>
        <w:ind w:firstLine="1800"/>
      </w:pPr>
      <w:r>
        <w:rPr>
          <w:noProof/>
        </w:rPr>
        <w:lastRenderedPageBreak/>
        <w:drawing>
          <wp:inline distT="0" distB="0" distL="0" distR="0">
            <wp:extent cx="4200525" cy="2495550"/>
            <wp:effectExtent l="19050" t="0" r="9525" b="0"/>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srcRect/>
                    <a:stretch>
                      <a:fillRect/>
                    </a:stretch>
                  </pic:blipFill>
                  <pic:spPr bwMode="auto">
                    <a:xfrm>
                      <a:off x="0" y="0"/>
                      <a:ext cx="4200525" cy="2495550"/>
                    </a:xfrm>
                    <a:prstGeom prst="rect">
                      <a:avLst/>
                    </a:prstGeom>
                    <a:noFill/>
                    <a:ln w="9525">
                      <a:noFill/>
                      <a:miter lim="800000"/>
                      <a:headEnd/>
                      <a:tailEnd/>
                    </a:ln>
                  </pic:spPr>
                </pic:pic>
              </a:graphicData>
            </a:graphic>
          </wp:inline>
        </w:drawing>
      </w:r>
    </w:p>
    <w:p w:rsidR="00EE50F8" w:rsidRDefault="00EE50F8" w:rsidP="00901B3B">
      <w:pPr>
        <w:pStyle w:val="Heading4"/>
        <w:jc w:val="center"/>
      </w:pPr>
      <w:r>
        <w:t xml:space="preserve">Figure </w:t>
      </w:r>
      <w:proofErr w:type="gramStart"/>
      <w:r>
        <w:t>3b(</w:t>
      </w:r>
      <w:proofErr w:type="gramEnd"/>
      <w:r>
        <w:t>2)</w:t>
      </w:r>
    </w:p>
    <w:p w:rsidR="00EE50F8" w:rsidRDefault="008171E5" w:rsidP="00D953D6">
      <w:pPr>
        <w:ind w:firstLine="1200"/>
      </w:pPr>
      <w:r>
        <w:rPr>
          <w:noProof/>
        </w:rPr>
        <w:drawing>
          <wp:inline distT="0" distB="0" distL="0" distR="0">
            <wp:extent cx="4200525" cy="23812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srcRect/>
                    <a:stretch>
                      <a:fillRect/>
                    </a:stretch>
                  </pic:blipFill>
                  <pic:spPr bwMode="auto">
                    <a:xfrm>
                      <a:off x="0" y="0"/>
                      <a:ext cx="4200525" cy="2381250"/>
                    </a:xfrm>
                    <a:prstGeom prst="rect">
                      <a:avLst/>
                    </a:prstGeom>
                    <a:noFill/>
                    <a:ln w="9525">
                      <a:noFill/>
                      <a:miter lim="800000"/>
                      <a:headEnd/>
                      <a:tailEnd/>
                    </a:ln>
                  </pic:spPr>
                </pic:pic>
              </a:graphicData>
            </a:graphic>
          </wp:inline>
        </w:drawing>
      </w:r>
    </w:p>
    <w:p w:rsidR="00EE50F8" w:rsidRPr="00D953D6" w:rsidRDefault="00EE50F8" w:rsidP="00BD51C4">
      <w:pPr>
        <w:jc w:val="center"/>
        <w:rPr>
          <w:rFonts w:ascii="Calibri" w:hAnsi="Calibri" w:cs="Calibri"/>
          <w:b/>
          <w:bCs/>
          <w:sz w:val="28"/>
          <w:szCs w:val="28"/>
        </w:rPr>
      </w:pPr>
      <w:r w:rsidRPr="00D953D6">
        <w:rPr>
          <w:rFonts w:ascii="Calibri" w:hAnsi="Calibri" w:cs="Calibri"/>
          <w:b/>
          <w:bCs/>
          <w:sz w:val="28"/>
          <w:szCs w:val="28"/>
        </w:rPr>
        <w:t xml:space="preserve">Figure </w:t>
      </w:r>
      <w:proofErr w:type="gramStart"/>
      <w:r w:rsidRPr="00D953D6">
        <w:rPr>
          <w:rFonts w:ascii="Calibri" w:hAnsi="Calibri" w:cs="Calibri"/>
          <w:b/>
          <w:bCs/>
          <w:sz w:val="28"/>
          <w:szCs w:val="28"/>
        </w:rPr>
        <w:t>3b(</w:t>
      </w:r>
      <w:proofErr w:type="gramEnd"/>
      <w:r w:rsidRPr="00D953D6">
        <w:rPr>
          <w:rFonts w:ascii="Calibri" w:hAnsi="Calibri" w:cs="Calibri"/>
          <w:b/>
          <w:bCs/>
          <w:sz w:val="28"/>
          <w:szCs w:val="28"/>
        </w:rPr>
        <w:t>3)</w:t>
      </w:r>
    </w:p>
    <w:p w:rsidR="00EE50F8" w:rsidRDefault="00EE50F8" w:rsidP="00901B3B">
      <w:pPr>
        <w:pStyle w:val="Heading2"/>
      </w:pPr>
      <w:bookmarkStart w:id="12" w:name="_Toc385311974"/>
      <w:bookmarkStart w:id="13" w:name="_Toc387398750"/>
      <w:r>
        <w:t>Section 3c: Affordability</w:t>
      </w:r>
      <w:bookmarkEnd w:id="12"/>
      <w:bookmarkEnd w:id="13"/>
    </w:p>
    <w:p w:rsidR="00EE50F8" w:rsidRDefault="00EE50F8" w:rsidP="00901B3B">
      <w:r>
        <w:t>The trends and comparisons of income and home value data appear to reveal an erosion of the ability of a household to purchase a home. Another perspective can be found by examining the method by which lenders qualify potential buyers for a home mortgage loan. There are various tools</w:t>
      </w:r>
      <w:r>
        <w:rPr>
          <w:vertAlign w:val="superscript"/>
        </w:rPr>
        <w:t>6</w:t>
      </w:r>
      <w:r>
        <w:t xml:space="preserve"> available to do this. However, </w:t>
      </w:r>
      <w:r>
        <w:rPr>
          <w:vanish/>
        </w:rPr>
        <w:t xml:space="preserve">But before going into it </w:t>
      </w:r>
      <w:r>
        <w:t xml:space="preserve">assumptions should be made to simplify but not skew the results. For this analysis various down payment values are used; no preexisting debt is assumed; property tax of 1% of the purchase price is used; insurance of .5% is used; and a 30-year mortgage at 4.64% APR is assumed.  Figure </w:t>
      </w:r>
      <w:proofErr w:type="gramStart"/>
      <w:r>
        <w:t>3c(</w:t>
      </w:r>
      <w:proofErr w:type="gramEnd"/>
      <w:r>
        <w:t>1) shows the gross income required to qualify for a mortgage loan for a home at a particular price. For example, a household with an income equal</w:t>
      </w:r>
      <w:r w:rsidR="000D1AB4">
        <w:t xml:space="preserve"> to the 2012 MA median value </w:t>
      </w:r>
      <w:r w:rsidR="000D1AB4" w:rsidRPr="000D1AB4">
        <w:t>of</w:t>
      </w:r>
      <w:r w:rsidRPr="000D1AB4">
        <w:t xml:space="preserve"> $65,300</w:t>
      </w:r>
      <w:r>
        <w:t xml:space="preserve"> and a down payment of $20,000 can qualify for a mortgage for a home priced </w:t>
      </w:r>
      <w:r w:rsidRPr="00182378">
        <w:t>at $240,000, which is $40,000</w:t>
      </w:r>
      <w:r w:rsidRPr="0027305B">
        <w:t xml:space="preserve"> </w:t>
      </w:r>
      <w:r w:rsidRPr="0027305B">
        <w:rPr>
          <w:u w:val="single"/>
        </w:rPr>
        <w:t>below</w:t>
      </w:r>
      <w:r w:rsidRPr="0027305B">
        <w:t xml:space="preserve"> </w:t>
      </w:r>
      <w:r>
        <w:t>the median condominium price in MA in 2012. This example may not even represent a realistic case because households may have existing debt or not hold a down payment of $20,000 or $40,000. And this example uses median household income</w:t>
      </w:r>
      <w:r>
        <w:rPr>
          <w:vertAlign w:val="superscript"/>
        </w:rPr>
        <w:t>7</w:t>
      </w:r>
      <w:r>
        <w:t xml:space="preserve">; the situation becomes worse for individual wage earners. </w:t>
      </w:r>
    </w:p>
    <w:p w:rsidR="00EE50F8" w:rsidRDefault="00EE50F8" w:rsidP="00901B3B">
      <w:pPr>
        <w:ind w:firstLine="1350"/>
      </w:pPr>
      <w:r>
        <w:object w:dxaOrig="8349" w:dyaOrig="4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189.75pt" o:ole="">
            <v:imagedata r:id="rId26" o:title=""/>
          </v:shape>
          <o:OLEObject Type="Embed" ProgID="Msxml2.SAXXMLReader.5.0" ShapeID="_x0000_i1025" DrawAspect="Content" ObjectID="_1461649469" r:id="rId27"/>
        </w:object>
      </w:r>
    </w:p>
    <w:p w:rsidR="00EE50F8" w:rsidRDefault="00EE50F8" w:rsidP="00901B3B">
      <w:pPr>
        <w:pStyle w:val="Heading4"/>
        <w:jc w:val="center"/>
      </w:pPr>
      <w:r w:rsidRPr="0023512A">
        <w:t>Figure</w:t>
      </w:r>
      <w:r>
        <w:t xml:space="preserve"> </w:t>
      </w:r>
      <w:proofErr w:type="gramStart"/>
      <w:r>
        <w:t>3c(</w:t>
      </w:r>
      <w:proofErr w:type="gramEnd"/>
      <w:r>
        <w:t>1)</w:t>
      </w:r>
    </w:p>
    <w:p w:rsidR="00EE50F8" w:rsidRDefault="00EE50F8" w:rsidP="00901B3B">
      <w:r>
        <w:t>This review shows that ‘affordability’ of home ownership in MA may be much different in 2012 than it has been historically. US Census data on home ownership rates</w:t>
      </w:r>
      <w:r w:rsidRPr="00A425B4">
        <w:rPr>
          <w:vertAlign w:val="superscript"/>
        </w:rPr>
        <w:t>8</w:t>
      </w:r>
      <w:r>
        <w:t xml:space="preserve"> is presented in Figure </w:t>
      </w:r>
      <w:proofErr w:type="gramStart"/>
      <w:r>
        <w:t>3c(</w:t>
      </w:r>
      <w:proofErr w:type="gramEnd"/>
      <w:r>
        <w:t xml:space="preserve">2), which shows the percentage of homes that are owned by the occupants in the USA and in New England. Maine, New Hampshire, and Vermont had and continue to have higher rates than the USA and the other New England states. All of New England and the USA are trending to a slower increase in ownership rates since the 1960-1970 timeframe but Massachusetts and Rhode Island significantly lag the leaders by 10% and Massachusetts lags Connecticut (a similar southern New England state) by 5%.  To convert these percentages to potential persons affected by this lag the total population (2010 US Census) of the Commonwealth is 6.5 million. </w:t>
      </w:r>
    </w:p>
    <w:p w:rsidR="00EE50F8" w:rsidRDefault="008171E5" w:rsidP="00901B3B">
      <w:pPr>
        <w:pStyle w:val="Heading4"/>
        <w:ind w:firstLine="1260"/>
      </w:pPr>
      <w:r>
        <w:rPr>
          <w:noProof/>
        </w:rPr>
        <w:drawing>
          <wp:inline distT="0" distB="0" distL="0" distR="0">
            <wp:extent cx="3933825" cy="22764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srcRect/>
                    <a:stretch>
                      <a:fillRect/>
                    </a:stretch>
                  </pic:blipFill>
                  <pic:spPr bwMode="auto">
                    <a:xfrm>
                      <a:off x="0" y="0"/>
                      <a:ext cx="3933825" cy="2276475"/>
                    </a:xfrm>
                    <a:prstGeom prst="rect">
                      <a:avLst/>
                    </a:prstGeom>
                    <a:noFill/>
                    <a:ln w="9525">
                      <a:noFill/>
                      <a:miter lim="800000"/>
                      <a:headEnd/>
                      <a:tailEnd/>
                    </a:ln>
                  </pic:spPr>
                </pic:pic>
              </a:graphicData>
            </a:graphic>
          </wp:inline>
        </w:drawing>
      </w:r>
    </w:p>
    <w:p w:rsidR="00EE50F8" w:rsidRDefault="00EE50F8" w:rsidP="00BD51C4">
      <w:pPr>
        <w:pStyle w:val="Heading4"/>
        <w:spacing w:before="0"/>
        <w:ind w:hanging="2970"/>
        <w:jc w:val="center"/>
      </w:pPr>
      <w:r>
        <w:t xml:space="preserve">                                  Figure </w:t>
      </w:r>
      <w:proofErr w:type="gramStart"/>
      <w:r>
        <w:t>3c(</w:t>
      </w:r>
      <w:proofErr w:type="gramEnd"/>
      <w:r>
        <w:t>2)</w:t>
      </w:r>
    </w:p>
    <w:p w:rsidR="00EE50F8" w:rsidRDefault="00EE50F8" w:rsidP="00901B3B">
      <w:r>
        <w:t>Numerous studies indicate that there is a shortage of residential housing in the Commonwealth, and other studies</w:t>
      </w:r>
      <w:r w:rsidRPr="002E52CD">
        <w:rPr>
          <w:vertAlign w:val="superscript"/>
        </w:rPr>
        <w:t>9,10</w:t>
      </w:r>
      <w:r>
        <w:t xml:space="preserve"> indicate that the shortage will be deeper in greater metropolitan Boston in future years, creating unfavorable impacts to the city and state.  In addition, impediments to housing development including Title V, zoning, and duplicative and conflicting building requirements are illustrated in the Executive Office of Administration and Finance </w:t>
      </w:r>
      <w:hyperlink r:id="rId29" w:history="1">
        <w:r>
          <w:rPr>
            <w:rStyle w:val="Hyperlink"/>
          </w:rPr>
          <w:t>Policy Report Bring Down the Barriers: Changing Housing Supply Dynamics</w:t>
        </w:r>
      </w:hyperlink>
      <w:r>
        <w:t xml:space="preserve">. Although this report was   </w:t>
      </w:r>
      <w:r>
        <w:lastRenderedPageBreak/>
        <w:t xml:space="preserve">published in 2000 it is still relevant in 2014.  The recommendations contained in Section 8 are designed to assist in the development of safe and lower cost of construction residential units, which will facilitate the Commonwealth’s effort to meet the growing demand on housing stock.   </w:t>
      </w:r>
    </w:p>
    <w:p w:rsidR="00EE50F8" w:rsidRDefault="00EE50F8" w:rsidP="00CF3624"/>
    <w:p w:rsidR="00EE50F8" w:rsidRDefault="00EE50F8" w:rsidP="00CF3624"/>
    <w:p w:rsidR="00EE50F8" w:rsidRDefault="00EE50F8" w:rsidP="00CF3624">
      <w:pPr>
        <w:pStyle w:val="Heading1"/>
        <w:keepNext w:val="0"/>
      </w:pPr>
      <w:bookmarkStart w:id="14" w:name="_Toc381445071"/>
      <w:bookmarkStart w:id="15" w:name="_Toc387398751"/>
      <w:r>
        <w:t>Section 4: Energy Conservation Systems (ECS) for Residential Buildings</w:t>
      </w:r>
      <w:bookmarkEnd w:id="14"/>
      <w:bookmarkEnd w:id="15"/>
      <w:r>
        <w:t xml:space="preserve"> </w:t>
      </w:r>
    </w:p>
    <w:p w:rsidR="00EE50F8" w:rsidRDefault="00EE50F8" w:rsidP="00CF3624">
      <w:pPr>
        <w:pStyle w:val="Heading2"/>
        <w:keepNext w:val="0"/>
      </w:pPr>
      <w:bookmarkStart w:id="16" w:name="_Toc381445072"/>
      <w:bookmarkStart w:id="17" w:name="_Toc387398752"/>
      <w:r>
        <w:t xml:space="preserve">Section 4a: </w:t>
      </w:r>
      <w:bookmarkEnd w:id="16"/>
      <w:r>
        <w:t>Code Requirement Progression of ECS</w:t>
      </w:r>
      <w:bookmarkEnd w:id="17"/>
    </w:p>
    <w:p w:rsidR="00EE50F8" w:rsidRDefault="00EE50F8" w:rsidP="00CF3624">
      <w:r>
        <w:t>The code for energy conservation</w:t>
      </w:r>
      <w:r w:rsidRPr="00C22A56">
        <w:t xml:space="preserve"> </w:t>
      </w:r>
      <w:r>
        <w:t xml:space="preserve">systems (ECS) and other systems for residential buildings have steadily evolved in the past twenty years. </w:t>
      </w:r>
    </w:p>
    <w:p w:rsidR="00EE50F8" w:rsidRDefault="00EE50F8" w:rsidP="00CF3624"/>
    <w:p w:rsidR="00EE50F8" w:rsidRDefault="00EE50F8" w:rsidP="00CF3624">
      <w:r>
        <w:t>In 1992 the 5</w:t>
      </w:r>
      <w:r>
        <w:rPr>
          <w:vertAlign w:val="superscript"/>
        </w:rPr>
        <w:t>th</w:t>
      </w:r>
      <w:r>
        <w:t xml:space="preserve"> edition energy conservation requirements were primarily ‘prescriptive’.  The energy requirements could be determined and followed in a relatively simple manner and a builder or designer could create a plan without pre consideration of these requirements. For example, 2x4 wall framing was a construction standard and this fit well with R-12.5 </w:t>
      </w:r>
      <w:proofErr w:type="spellStart"/>
      <w:r>
        <w:t>batt</w:t>
      </w:r>
      <w:proofErr w:type="spellEnd"/>
      <w:r>
        <w:t xml:space="preserve"> insulation which the code allowed. Other ECS like Heating Ventilation and Air Conditioning (HVAC) could be chosen from prescriptive tables as well. No computer software was needed to </w:t>
      </w:r>
      <w:r w:rsidRPr="003874FC">
        <w:t>design the ECS and the building science of energy conservation</w:t>
      </w:r>
      <w:bookmarkStart w:id="18" w:name="OLE_LINK3"/>
      <w:r w:rsidRPr="003874FC">
        <w:rPr>
          <w:vertAlign w:val="superscript"/>
        </w:rPr>
        <w:t>1</w:t>
      </w:r>
      <w:bookmarkEnd w:id="18"/>
      <w:r w:rsidRPr="003874FC">
        <w:t xml:space="preserve"> was not far along.</w:t>
      </w:r>
      <w:r>
        <w:t xml:space="preserve">  </w:t>
      </w:r>
    </w:p>
    <w:p w:rsidR="00EE50F8" w:rsidRDefault="00EE50F8" w:rsidP="00CF3624"/>
    <w:p w:rsidR="00EE50F8" w:rsidRDefault="00EE50F8" w:rsidP="00CF3624">
      <w:r>
        <w:t>Since the 1990s an emphasis on energy conservation and sustainability in buildings from federal and state government and the private sector has changed this.  New energy codes</w:t>
      </w:r>
      <w:r w:rsidRPr="00BD70C8">
        <w:rPr>
          <w:vertAlign w:val="superscript"/>
        </w:rPr>
        <w:t>2</w:t>
      </w:r>
      <w:r w:rsidRPr="00BD70C8">
        <w:t>,</w:t>
      </w:r>
      <w:r>
        <w:t xml:space="preserve"> which in the USA are dominated by the International Code Council via its publication of the </w:t>
      </w:r>
      <w:r>
        <w:rPr>
          <w:i/>
          <w:iCs/>
        </w:rPr>
        <w:t>International Energy Conservation Code,</w:t>
      </w:r>
      <w:r>
        <w:t xml:space="preserve"> are developed and adopted nearly nationwide at three-year intervals.  These new codes may represent a significant departure from existing design and construction practices</w:t>
      </w:r>
      <w:r w:rsidRPr="00BD70C8">
        <w:rPr>
          <w:vertAlign w:val="superscript"/>
        </w:rPr>
        <w:t>3</w:t>
      </w:r>
      <w:r>
        <w:t xml:space="preserve">, which requires effort on the part of building owners, developers, design professionals, and builders to understand what’s changed. All of this applies to building officials who must ensure that what is built matches what is on the plans and that both meet the code. </w:t>
      </w:r>
    </w:p>
    <w:p w:rsidR="00EE50F8" w:rsidRPr="003874FC" w:rsidRDefault="00EE50F8" w:rsidP="00057DD6">
      <w:pPr>
        <w:pStyle w:val="Heading3"/>
      </w:pPr>
      <w:bookmarkStart w:id="19" w:name="_Toc387398753"/>
      <w:r w:rsidRPr="003874FC">
        <w:t xml:space="preserve">Section </w:t>
      </w:r>
      <w:proofErr w:type="gramStart"/>
      <w:r w:rsidRPr="003874FC">
        <w:t>4a(</w:t>
      </w:r>
      <w:proofErr w:type="gramEnd"/>
      <w:r w:rsidRPr="003874FC">
        <w:t>1): Unique MA Requirements</w:t>
      </w:r>
      <w:bookmarkEnd w:id="19"/>
    </w:p>
    <w:p w:rsidR="00EE50F8" w:rsidRDefault="004C597C" w:rsidP="00CF3624">
      <w:r>
        <w:t>The BBRS has</w:t>
      </w:r>
      <w:r w:rsidR="00EE50F8" w:rsidRPr="003874FC">
        <w:t xml:space="preserve"> received </w:t>
      </w:r>
      <w:r>
        <w:t>significant</w:t>
      </w:r>
      <w:r w:rsidR="00EE50F8" w:rsidRPr="003874FC">
        <w:t xml:space="preserve"> feedback</w:t>
      </w:r>
      <w:r w:rsidR="0020215D">
        <w:t xml:space="preserve"> </w:t>
      </w:r>
      <w:r w:rsidR="00EE50F8" w:rsidRPr="003874FC">
        <w:t>on ECS.  The bulk of the feedback is focused on these two recent realities: the MA energy code changes often and is not consistent state-wide</w:t>
      </w:r>
      <w:r w:rsidR="0020215D" w:rsidRPr="003874FC">
        <w:rPr>
          <w:vertAlign w:val="superscript"/>
        </w:rPr>
        <w:t>4</w:t>
      </w:r>
      <w:r w:rsidR="00EE50F8" w:rsidRPr="003874FC">
        <w:t xml:space="preserve">. This is turn creates a perpetual learning curve on technical requirements and uncertainty of where and when </w:t>
      </w:r>
      <w:r w:rsidR="0020215D">
        <w:t xml:space="preserve">the regulations </w:t>
      </w:r>
      <w:r w:rsidR="00EE50F8" w:rsidRPr="003874FC">
        <w:t>are in full force and effect. These two issues are problematic for owners to put a construction plan together.</w:t>
      </w:r>
      <w:r w:rsidR="00EE50F8">
        <w:t xml:space="preserve"> </w:t>
      </w:r>
    </w:p>
    <w:p w:rsidR="00EE50F8" w:rsidRDefault="00EE50F8" w:rsidP="00CF3624"/>
    <w:p w:rsidR="00EE50F8" w:rsidRDefault="00EE50F8" w:rsidP="00CF3624">
      <w:r>
        <w:t>It is useful to understand if the ECS code requirements have changed significantly for multi-unit residential buildings. ECS have been regulated by the MA code extensively since the 5</w:t>
      </w:r>
      <w:r w:rsidRPr="00502F57">
        <w:rPr>
          <w:vertAlign w:val="superscript"/>
        </w:rPr>
        <w:t>th</w:t>
      </w:r>
      <w:r>
        <w:t xml:space="preserve"> edition in 1992. For example, the 5</w:t>
      </w:r>
      <w:r w:rsidRPr="00502F57">
        <w:rPr>
          <w:vertAlign w:val="superscript"/>
        </w:rPr>
        <w:t>th</w:t>
      </w:r>
      <w:r>
        <w:t xml:space="preserve"> edition like the 8</w:t>
      </w:r>
      <w:r w:rsidRPr="00543F35">
        <w:rPr>
          <w:vertAlign w:val="superscript"/>
        </w:rPr>
        <w:t>th</w:t>
      </w:r>
      <w:r>
        <w:t xml:space="preserve"> edition today, had an air</w:t>
      </w:r>
      <w:r w:rsidR="00795596">
        <w:t xml:space="preserve"> leakage requirement for the</w:t>
      </w:r>
      <w:r>
        <w:t xml:space="preserve"> building thermal envelope. Fenestration had air leakage requirements as well; today the fenestration has to be tigh</w:t>
      </w:r>
      <w:r w:rsidR="004C597C">
        <w:t>ter than before but</w:t>
      </w:r>
      <w:r>
        <w:t xml:space="preserve"> a leakage value has been present for </w:t>
      </w:r>
      <w:r w:rsidRPr="00806485">
        <w:rPr>
          <w:i/>
          <w:iCs/>
        </w:rPr>
        <w:t>two decades</w:t>
      </w:r>
      <w:r w:rsidR="004C597C">
        <w:t>.  P</w:t>
      </w:r>
      <w:r>
        <w:t>erformance compliance options</w:t>
      </w:r>
      <w:r w:rsidR="00795596">
        <w:t>, like those</w:t>
      </w:r>
      <w:r>
        <w:t xml:space="preserve"> available today via HERS </w:t>
      </w:r>
      <w:r w:rsidR="004C597C">
        <w:t xml:space="preserve">or </w:t>
      </w:r>
      <w:proofErr w:type="spellStart"/>
      <w:r w:rsidR="004C597C">
        <w:t>REScheck</w:t>
      </w:r>
      <w:proofErr w:type="spellEnd"/>
      <w:r w:rsidR="004C597C">
        <w:t>, were available</w:t>
      </w:r>
      <w:r>
        <w:t xml:space="preserve"> to owners since at least since the 6</w:t>
      </w:r>
      <w:r w:rsidRPr="00543F35">
        <w:rPr>
          <w:vertAlign w:val="superscript"/>
        </w:rPr>
        <w:t>th</w:t>
      </w:r>
      <w:r>
        <w:t xml:space="preserve"> edition</w:t>
      </w:r>
      <w:r w:rsidR="004C597C">
        <w:t xml:space="preserve"> although they were more rudimentary in nature</w:t>
      </w:r>
      <w:r>
        <w:t xml:space="preserve">.  Since 1992 more ECS, like service water heating, come under the umbrella of the code, but little feedback is received on relatively minor requirements like these. </w:t>
      </w:r>
    </w:p>
    <w:p w:rsidR="00EE50F8" w:rsidRDefault="00EE50F8" w:rsidP="00CF3624"/>
    <w:p w:rsidR="00EE50F8" w:rsidRDefault="004C597C" w:rsidP="00CF3624">
      <w:r>
        <w:t xml:space="preserve">Thus, </w:t>
      </w:r>
      <w:r w:rsidR="00EE50F8">
        <w:t>there are essentially similar overarching requirements</w:t>
      </w:r>
      <w:r w:rsidR="00EE50F8">
        <w:rPr>
          <w:color w:val="FF0000"/>
          <w:vertAlign w:val="superscript"/>
        </w:rPr>
        <w:t xml:space="preserve"> </w:t>
      </w:r>
      <w:r w:rsidR="00EE50F8">
        <w:t xml:space="preserve">on ECS in 2014 compared to 1992. However, the </w:t>
      </w:r>
      <w:r w:rsidR="00EE50F8" w:rsidRPr="00462B4B">
        <w:rPr>
          <w:i/>
          <w:iCs/>
        </w:rPr>
        <w:t>details</w:t>
      </w:r>
      <w:r w:rsidR="00EE50F8">
        <w:rPr>
          <w:i/>
          <w:iCs/>
        </w:rPr>
        <w:t xml:space="preserve"> </w:t>
      </w:r>
      <w:r w:rsidR="00EE50F8">
        <w:t>of these r</w:t>
      </w:r>
      <w:r>
        <w:t>equirements have been expanded</w:t>
      </w:r>
      <w:r w:rsidR="00D26139">
        <w:t xml:space="preserve">. </w:t>
      </w:r>
      <w:r w:rsidR="00EE50F8">
        <w:t xml:space="preserve">For example the building thermal envelope required insulation and air sealing then and still does now. </w:t>
      </w:r>
      <w:r w:rsidR="00D26139">
        <w:t xml:space="preserve">However in years past no verification was required, whereas now </w:t>
      </w:r>
      <w:r w:rsidR="00EE50F8">
        <w:t xml:space="preserve">a blower door </w:t>
      </w:r>
      <w:r w:rsidR="00EE50F8" w:rsidRPr="00BD70C8">
        <w:t>test</w:t>
      </w:r>
      <w:r w:rsidR="00EE50F8" w:rsidRPr="00BD70C8">
        <w:rPr>
          <w:vertAlign w:val="superscript"/>
        </w:rPr>
        <w:t>5</w:t>
      </w:r>
      <w:r w:rsidR="00EE50F8">
        <w:t xml:space="preserve"> </w:t>
      </w:r>
      <w:r w:rsidR="00D26139">
        <w:t>and</w:t>
      </w:r>
      <w:r w:rsidR="00EE50F8">
        <w:t xml:space="preserve"> duct leakage testing</w:t>
      </w:r>
      <w:r w:rsidR="00D26139">
        <w:t xml:space="preserve"> are required, </w:t>
      </w:r>
      <w:r w:rsidR="00EE50F8">
        <w:t xml:space="preserve">both typically done by skilled individuals, and hired by the builder. In 1992 the prescriptive cavity insulation was a relatively low R value (12.5) and today it is 20.  In 1992 the framing was </w:t>
      </w:r>
      <w:proofErr w:type="gramStart"/>
      <w:r w:rsidR="00EE50F8">
        <w:t>2x4</w:t>
      </w:r>
      <w:proofErr w:type="gramEnd"/>
      <w:r w:rsidR="00EE50F8">
        <w:t xml:space="preserve"> but today most buildings with cavity insulation</w:t>
      </w:r>
      <w:r w:rsidR="00795596">
        <w:t xml:space="preserve"> only</w:t>
      </w:r>
      <w:r w:rsidR="00EE50F8">
        <w:t xml:space="preserve"> are framed with 2x6.  There is no structural reason (dead, live, wind, or snow loads) for using 2x6 studs; the framing size is driven by the R-20 </w:t>
      </w:r>
      <w:proofErr w:type="spellStart"/>
      <w:r w:rsidR="00EE50F8">
        <w:t>batt</w:t>
      </w:r>
      <w:proofErr w:type="spellEnd"/>
      <w:r w:rsidR="00EE50F8">
        <w:t xml:space="preserve"> insulation. Although in 2014 a designer or builder can still use ‘prescriptive’ requirements of the code it may not make good economic sense</w:t>
      </w:r>
      <w:r w:rsidR="00EE50F8" w:rsidRPr="00BD70C8">
        <w:rPr>
          <w:vertAlign w:val="superscript"/>
        </w:rPr>
        <w:t>6</w:t>
      </w:r>
      <w:r w:rsidR="00EE50F8">
        <w:rPr>
          <w:vertAlign w:val="superscript"/>
        </w:rPr>
        <w:t xml:space="preserve"> </w:t>
      </w:r>
      <w:r w:rsidR="00EE50F8">
        <w:t xml:space="preserve">to do so. Relatively simple construction of 3 to 6 unit residential buildings can be complicated by the energy code, and a prudent owner will seek input from knowledgeable and experienced professionals to provide reliable cost tradeoffs at the building planning stage. If instead the construction follows the ‘prescriptive’ requirements of the code the owner/consumer may not be getting the “best” </w:t>
      </w:r>
      <w:r w:rsidR="00EE50F8" w:rsidRPr="00140D0E">
        <w:t>product</w:t>
      </w:r>
      <w:r w:rsidR="00EE50F8">
        <w:t xml:space="preserve"> for the money.   </w:t>
      </w:r>
    </w:p>
    <w:p w:rsidR="00EE50F8" w:rsidRDefault="00EE50F8">
      <w:pPr>
        <w:pStyle w:val="Heading2"/>
        <w:keepNext w:val="0"/>
        <w:widowControl w:val="0"/>
      </w:pPr>
      <w:bookmarkStart w:id="20" w:name="_Toc387398754"/>
      <w:r>
        <w:t>Section 4b: ECS Cost and Effectiveness Overview</w:t>
      </w:r>
      <w:bookmarkEnd w:id="20"/>
    </w:p>
    <w:p w:rsidR="00EE50F8" w:rsidRDefault="00EE50F8" w:rsidP="00CF3624">
      <w:r>
        <w:t xml:space="preserve">A number of energy conservation studies on the cost effectiveness of code requirements on one- and two-family dwellings have been done. Fewer </w:t>
      </w:r>
      <w:r w:rsidRPr="00C01B49">
        <w:t>studies</w:t>
      </w:r>
      <w:r w:rsidRPr="00C01B49">
        <w:rPr>
          <w:vertAlign w:val="superscript"/>
        </w:rPr>
        <w:t>7</w:t>
      </w:r>
      <w:r w:rsidRPr="00C01B49">
        <w:t xml:space="preserve"> and</w:t>
      </w:r>
      <w:r>
        <w:t xml:space="preserve"> less data are available on multi-unit residential buildings. This may </w:t>
      </w:r>
      <w:r w:rsidR="00346481">
        <w:t xml:space="preserve">be </w:t>
      </w:r>
      <w:r>
        <w:t>due to the fact that most people in the USA live in one- or two-family dwelling</w:t>
      </w:r>
      <w:r w:rsidRPr="00C01B49">
        <w:t>s</w:t>
      </w:r>
      <w:r w:rsidRPr="00C01B49">
        <w:rPr>
          <w:vertAlign w:val="superscript"/>
        </w:rPr>
        <w:t>8</w:t>
      </w:r>
      <w:r>
        <w:t xml:space="preserve"> and therefore there is simply a higher demand for cost information. Also energy code requirements likely have a higher cost impact per unit in one- and two-family dwellings compared to the cost impact per unit in multi-unit residential buildings, because the latter typically have less habitable space</w:t>
      </w:r>
      <w:r w:rsidRPr="00300459">
        <w:rPr>
          <w:vertAlign w:val="superscript"/>
        </w:rPr>
        <w:t>9</w:t>
      </w:r>
      <w:r>
        <w:t xml:space="preserve"> and therefore less ‘conditioned space’</w:t>
      </w:r>
      <w:r w:rsidRPr="00852A13">
        <w:rPr>
          <w:vertAlign w:val="superscript"/>
        </w:rPr>
        <w:t>10</w:t>
      </w:r>
      <w:r>
        <w:t xml:space="preserve"> than the former.  </w:t>
      </w:r>
    </w:p>
    <w:p w:rsidR="00EE50F8" w:rsidRDefault="00EE50F8" w:rsidP="00CF3624">
      <w:pPr>
        <w:pStyle w:val="TOC1"/>
        <w:tabs>
          <w:tab w:val="clear" w:pos="9360"/>
        </w:tabs>
      </w:pPr>
    </w:p>
    <w:p w:rsidR="00EE50F8" w:rsidRDefault="00EE50F8" w:rsidP="00CF3624">
      <w:r>
        <w:t xml:space="preserve">Noting the differences above </w:t>
      </w:r>
      <w:r w:rsidR="00D26139">
        <w:t>a general statement can be made</w:t>
      </w:r>
      <w:r w:rsidR="006766E8">
        <w:t>:</w:t>
      </w:r>
      <w:r>
        <w:t xml:space="preserve"> the cost of energy code construction will be lower per dwelling unit in a multi-unit residential building compared to the cost per dwelling unit in a one- or two-family dwelling. However, multi-unit residential housing can be more cost-sensitive than one- and two-family dwellings </w:t>
      </w:r>
      <w:r w:rsidR="00825F40">
        <w:t>if</w:t>
      </w:r>
      <w:r>
        <w:t xml:space="preserve"> construction costs </w:t>
      </w:r>
      <w:r w:rsidR="00825F40">
        <w:t>are</w:t>
      </w:r>
      <w:r>
        <w:t xml:space="preserve"> constrained </w:t>
      </w:r>
      <w:r w:rsidR="00825F40">
        <w:t>by</w:t>
      </w:r>
      <w:r>
        <w:t xml:space="preserve"> predicted rental income or sale price. And since local market conditions determine the demand for multifamily housing and set rental rates, escalation of construction cost can price a building out of its intended </w:t>
      </w:r>
      <w:r w:rsidRPr="00852A13">
        <w:t>market</w:t>
      </w:r>
      <w:r w:rsidRPr="00852A13">
        <w:rPr>
          <w:vertAlign w:val="superscript"/>
        </w:rPr>
        <w:t>11</w:t>
      </w:r>
      <w:r w:rsidRPr="00852A13">
        <w:t>.</w:t>
      </w:r>
      <w:r>
        <w:t xml:space="preserve"> This can be exacerbated for affordable projects per </w:t>
      </w:r>
      <w:hyperlink r:id="rId30" w:history="1">
        <w:r>
          <w:rPr>
            <w:rStyle w:val="Hyperlink"/>
          </w:rPr>
          <w:t>M.G.L. c. 40B, §21</w:t>
        </w:r>
      </w:hyperlink>
      <w:r>
        <w:t xml:space="preserve">, where rent income has an upper bound. </w:t>
      </w:r>
    </w:p>
    <w:p w:rsidR="00036557" w:rsidRDefault="00036557" w:rsidP="00CF3624"/>
    <w:p w:rsidR="00036557" w:rsidRDefault="00036557" w:rsidP="00036557">
      <w:pPr>
        <w:pStyle w:val="BodyText"/>
        <w:jc w:val="left"/>
      </w:pPr>
      <w:r>
        <w:t>Beyond ju</w:t>
      </w:r>
      <w:r w:rsidR="006766E8">
        <w:t xml:space="preserve">st direct construction costs </w:t>
      </w:r>
      <w:r>
        <w:t>as</w:t>
      </w:r>
      <w:r w:rsidR="000637D1">
        <w:t>sociated with ECS there are</w:t>
      </w:r>
      <w:r>
        <w:t xml:space="preserve"> </w:t>
      </w:r>
      <w:r w:rsidRPr="00036557">
        <w:rPr>
          <w:i/>
        </w:rPr>
        <w:t>indirect</w:t>
      </w:r>
      <w:r>
        <w:t xml:space="preserve"> costs associated with construction to meet specific energy conservation options that are available in MA. These are related to the incentives that bring more energy conservation focus on buildings including:</w:t>
      </w:r>
    </w:p>
    <w:p w:rsidR="00036557" w:rsidRDefault="00036557" w:rsidP="00036557">
      <w:pPr>
        <w:pStyle w:val="BodyText"/>
        <w:numPr>
          <w:ilvl w:val="0"/>
          <w:numId w:val="27"/>
        </w:numPr>
        <w:tabs>
          <w:tab w:val="clear" w:pos="720"/>
        </w:tabs>
        <w:ind w:left="480"/>
        <w:jc w:val="left"/>
      </w:pPr>
      <w:r>
        <w:t>direct cash rebates or tax incentives to owners/builders of solar PV or HERS homes, and</w:t>
      </w:r>
    </w:p>
    <w:p w:rsidR="00036557" w:rsidRDefault="00036557" w:rsidP="00036557">
      <w:pPr>
        <w:pStyle w:val="BodyText"/>
        <w:numPr>
          <w:ilvl w:val="0"/>
          <w:numId w:val="27"/>
        </w:numPr>
        <w:tabs>
          <w:tab w:val="clear" w:pos="720"/>
        </w:tabs>
        <w:ind w:left="480"/>
        <w:jc w:val="left"/>
      </w:pPr>
      <w:r>
        <w:t>home energy audits which are available to at no cost to a building owner, and</w:t>
      </w:r>
    </w:p>
    <w:p w:rsidR="00036557" w:rsidRDefault="00036557" w:rsidP="00036557">
      <w:pPr>
        <w:pStyle w:val="BodyText"/>
        <w:numPr>
          <w:ilvl w:val="0"/>
          <w:numId w:val="27"/>
        </w:numPr>
        <w:tabs>
          <w:tab w:val="clear" w:pos="720"/>
        </w:tabs>
        <w:ind w:left="480"/>
        <w:jc w:val="left"/>
      </w:pPr>
      <w:r>
        <w:t xml:space="preserve">cash rebates on various weatherization </w:t>
      </w:r>
      <w:r w:rsidR="000637D1">
        <w:t xml:space="preserve">and/or lighting </w:t>
      </w:r>
      <w:r>
        <w:t>improvements, and</w:t>
      </w:r>
    </w:p>
    <w:p w:rsidR="00036557" w:rsidRDefault="00036557" w:rsidP="00036557">
      <w:pPr>
        <w:pStyle w:val="BodyText"/>
        <w:numPr>
          <w:ilvl w:val="0"/>
          <w:numId w:val="27"/>
        </w:numPr>
        <w:tabs>
          <w:tab w:val="clear" w:pos="720"/>
        </w:tabs>
        <w:ind w:left="480"/>
        <w:jc w:val="left"/>
      </w:pPr>
      <w:r>
        <w:t>cash rebates on conversion to high efficiency boilers, furnaces, and water heating units, and</w:t>
      </w:r>
    </w:p>
    <w:p w:rsidR="00036557" w:rsidRDefault="00036557" w:rsidP="00036557">
      <w:pPr>
        <w:pStyle w:val="BodyText"/>
        <w:numPr>
          <w:ilvl w:val="0"/>
          <w:numId w:val="27"/>
        </w:numPr>
        <w:tabs>
          <w:tab w:val="clear" w:pos="720"/>
        </w:tabs>
        <w:ind w:left="480"/>
        <w:jc w:val="left"/>
      </w:pPr>
      <w:r>
        <w:t>marketing campaign</w:t>
      </w:r>
      <w:r w:rsidRPr="0000010B">
        <w:t>s</w:t>
      </w:r>
      <w:r>
        <w:rPr>
          <w:vertAlign w:val="superscript"/>
        </w:rPr>
        <w:t xml:space="preserve">18 </w:t>
      </w:r>
      <w:r>
        <w:t xml:space="preserve">by utility companies, and </w:t>
      </w:r>
    </w:p>
    <w:p w:rsidR="00036557" w:rsidRDefault="00036557" w:rsidP="00036557">
      <w:pPr>
        <w:pStyle w:val="BodyText"/>
        <w:jc w:val="left"/>
      </w:pPr>
      <w:proofErr w:type="gramStart"/>
      <w:r>
        <w:t>all</w:t>
      </w:r>
      <w:proofErr w:type="gramEnd"/>
      <w:r>
        <w:t xml:space="preserve"> of these cash or tax incentives come from utility companies, or the state and federal governments. Citizens who pay taxes and utility bills fund these programs and although more </w:t>
      </w:r>
      <w:r>
        <w:lastRenderedPageBreak/>
        <w:t xml:space="preserve">and more citizens take advantage of them, there are those who don’t for one reason or another, and most importantly those who can’t because they lack the wherewithal to do so. </w:t>
      </w:r>
    </w:p>
    <w:p w:rsidR="00036557" w:rsidRDefault="00036557" w:rsidP="00CF3624"/>
    <w:p w:rsidR="00EE50F8" w:rsidRDefault="00EE50F8" w:rsidP="00CF3624">
      <w:r>
        <w:t>This paper is not intended to examine all ECS code requirements, but instead narrowly focus on the primary ones. As stated earlier</w:t>
      </w:r>
      <w:r w:rsidR="006766E8">
        <w:t xml:space="preserve"> </w:t>
      </w:r>
      <w:r>
        <w:t>the IECC covers each energy aspect of a building. They may be categorized as follows:</w:t>
      </w:r>
    </w:p>
    <w:p w:rsidR="00EE50F8" w:rsidRDefault="00EE50F8" w:rsidP="00CF3624">
      <w:pPr>
        <w:numPr>
          <w:ilvl w:val="0"/>
          <w:numId w:val="19"/>
        </w:numPr>
      </w:pPr>
      <w:r>
        <w:t xml:space="preserve">Building Thermal </w:t>
      </w:r>
      <w:r w:rsidRPr="00852A13">
        <w:t>Envelope</w:t>
      </w:r>
      <w:r w:rsidRPr="00852A13">
        <w:rPr>
          <w:vertAlign w:val="superscript"/>
        </w:rPr>
        <w:t>12</w:t>
      </w:r>
      <w:r w:rsidRPr="00852A13">
        <w:t xml:space="preserve"> which</w:t>
      </w:r>
      <w:r>
        <w:t xml:space="preserve"> encloses the habitable or conditioned space, and contains the volume of air that is heated in the winter and cooled in the summer. The amount of heating or cooling that is required is dependent on several features of the envelope including but not limited to: </w:t>
      </w:r>
    </w:p>
    <w:p w:rsidR="00EE50F8" w:rsidRDefault="00EE50F8" w:rsidP="00CF3624">
      <w:pPr>
        <w:numPr>
          <w:ilvl w:val="1"/>
          <w:numId w:val="19"/>
        </w:numPr>
      </w:pPr>
      <w:r>
        <w:t xml:space="preserve">air leakage, which can be thought of as how freely air can move from inside the envelope to outside or from outside the envelop to inside and, </w:t>
      </w:r>
    </w:p>
    <w:p w:rsidR="00EE50F8" w:rsidRDefault="00EE50F8" w:rsidP="00CF3624">
      <w:pPr>
        <w:numPr>
          <w:ilvl w:val="1"/>
          <w:numId w:val="19"/>
        </w:numPr>
      </w:pPr>
      <w:r>
        <w:t xml:space="preserve">fenestration, which includes doors and windows, and their inherent insulating value (U-Factor), leakage rates, and solar heat gain coefficients, and </w:t>
      </w:r>
    </w:p>
    <w:p w:rsidR="00EE50F8" w:rsidRDefault="00EE50F8" w:rsidP="00CF3624">
      <w:pPr>
        <w:numPr>
          <w:ilvl w:val="1"/>
          <w:numId w:val="19"/>
        </w:numPr>
      </w:pPr>
      <w:r>
        <w:t xml:space="preserve">insulation, which includes fiberglass, cellulose, mineral wool, plastic foam, or other and placed in the cavities of the building frame and may include ‘continuous’ insulation that wraps the outside of the building for example and thereby eliminates thermal breaks at the framing members. </w:t>
      </w:r>
    </w:p>
    <w:p w:rsidR="00EE50F8" w:rsidRDefault="00EE50F8" w:rsidP="00CF3624">
      <w:pPr>
        <w:numPr>
          <w:ilvl w:val="0"/>
          <w:numId w:val="19"/>
        </w:numPr>
      </w:pPr>
      <w:r>
        <w:t>Mechanical Systems which consume energy to provide a service to the occupants and include but are not limited to:</w:t>
      </w:r>
    </w:p>
    <w:p w:rsidR="00EE50F8" w:rsidRDefault="00EE50F8" w:rsidP="00CF3624">
      <w:pPr>
        <w:numPr>
          <w:ilvl w:val="1"/>
          <w:numId w:val="19"/>
        </w:numPr>
      </w:pPr>
      <w:r>
        <w:t>ventilation for the bath and kitchen and more recently, because buildings are required to be more air tight, for intake of outside air to ensure for good indoor air quality, and</w:t>
      </w:r>
    </w:p>
    <w:p w:rsidR="00EE50F8" w:rsidRDefault="00EE50F8" w:rsidP="00CF3624">
      <w:pPr>
        <w:numPr>
          <w:ilvl w:val="1"/>
          <w:numId w:val="19"/>
        </w:numPr>
      </w:pPr>
      <w:r>
        <w:t>heating or cooling and lighting of living space, and</w:t>
      </w:r>
    </w:p>
    <w:p w:rsidR="00EE50F8" w:rsidRDefault="00EE50F8" w:rsidP="00CF3624">
      <w:pPr>
        <w:numPr>
          <w:ilvl w:val="1"/>
          <w:numId w:val="19"/>
        </w:numPr>
      </w:pPr>
      <w:r>
        <w:t>water heating for the bath, kitchen, and clothes washer, and</w:t>
      </w:r>
    </w:p>
    <w:p w:rsidR="00EE50F8" w:rsidRDefault="00EE50F8" w:rsidP="00CF3624">
      <w:pPr>
        <w:numPr>
          <w:ilvl w:val="1"/>
          <w:numId w:val="19"/>
        </w:numPr>
      </w:pPr>
      <w:r>
        <w:t>appliances and other plug loads (range, washer, dryer, etc.) and in some situations</w:t>
      </w:r>
    </w:p>
    <w:p w:rsidR="00EE50F8" w:rsidRDefault="00EE50F8" w:rsidP="00CF3624">
      <w:pPr>
        <w:numPr>
          <w:ilvl w:val="1"/>
          <w:numId w:val="19"/>
        </w:numPr>
      </w:pPr>
      <w:proofErr w:type="gramStart"/>
      <w:r>
        <w:t>renewable</w:t>
      </w:r>
      <w:proofErr w:type="gramEnd"/>
      <w:r>
        <w:t xml:space="preserve"> energy like solar photovoltaic (PV) or other. </w:t>
      </w:r>
    </w:p>
    <w:p w:rsidR="00EE50F8" w:rsidRDefault="00EE50F8" w:rsidP="00CF3624"/>
    <w:p w:rsidR="00EE50F8" w:rsidRDefault="00EE50F8" w:rsidP="00CF3624">
      <w:r>
        <w:t xml:space="preserve">The focus of this paper will be the building thermal envelope and ventilation but only to the extent that </w:t>
      </w:r>
      <w:r w:rsidR="00D26139">
        <w:t xml:space="preserve">mechanical </w:t>
      </w:r>
      <w:r>
        <w:t>ventilation is now necessary per the code. Mechanical systems</w:t>
      </w:r>
      <w:r w:rsidR="00040A4D">
        <w:t xml:space="preserve"> and equipment like appliances can be a significant portion of </w:t>
      </w:r>
      <w:r>
        <w:t>construction cost</w:t>
      </w:r>
      <w:r w:rsidR="00040A4D">
        <w:t>s but</w:t>
      </w:r>
      <w:r>
        <w:t xml:space="preserve"> they are systems over which the BBRS has less control. For example</w:t>
      </w:r>
      <w:r w:rsidR="00D26139">
        <w:t>,</w:t>
      </w:r>
      <w:r>
        <w:t xml:space="preserve"> traditional heating systems have not changed much over the past two decades and the federal government regulates the efficiency requ</w:t>
      </w:r>
      <w:r w:rsidR="00D26139">
        <w:t>irements of the equipment in any event</w:t>
      </w:r>
      <w:r>
        <w:t>.  In addition</w:t>
      </w:r>
      <w:r w:rsidR="008171E5">
        <w:t>,</w:t>
      </w:r>
      <w:r>
        <w:t xml:space="preserve"> the BBRS </w:t>
      </w:r>
      <w:r w:rsidR="008171E5">
        <w:t>may go beyond its</w:t>
      </w:r>
      <w:r>
        <w:t xml:space="preserve"> regulatory authority if it mandated energy efficiency for plug load appliances like dishwashers or clothes dryers. However, for a builder to optimize the HVAC </w:t>
      </w:r>
      <w:proofErr w:type="gramStart"/>
      <w:r>
        <w:t>systems,</w:t>
      </w:r>
      <w:proofErr w:type="gramEnd"/>
      <w:r>
        <w:t xml:space="preserve"> that is to ‘right-size’ the heating system for example, all aspects of the builder thermal envelope must be known. Otherwise a heating contractor may install higher capacity systems to avoid situations where the living space cannot reach a comfortable temperature on the extreme cold or hot days. </w:t>
      </w:r>
    </w:p>
    <w:p w:rsidR="00EE50F8" w:rsidRDefault="00EE50F8" w:rsidP="00CF3624"/>
    <w:p w:rsidR="00EE50F8" w:rsidRDefault="00EE50F8" w:rsidP="00CF3624">
      <w:r>
        <w:t>As noted earlier</w:t>
      </w:r>
      <w:r w:rsidR="008171E5">
        <w:t>,</w:t>
      </w:r>
      <w:r>
        <w:t xml:space="preserve"> changes to the building thermal envelope requirements may change the way in which a building is constructed because insulation values have increased and air leakage allowance has been tightened and now must be verified. Some of these requirements may have major cost impacts for multi-unit residential construction. However, ECS, unlike other building systems, can have a return on investment (ROI) via lower utility cost. Another benefit to the reduction in energy use in buildings is the commensurate reduction in carbon emissions, which </w:t>
      </w:r>
      <w:r>
        <w:lastRenderedPageBreak/>
        <w:t>in the past two decades has received m</w:t>
      </w:r>
      <w:r w:rsidR="008171E5">
        <w:t xml:space="preserve">uch governmental attention; </w:t>
      </w:r>
      <w:r>
        <w:t>accordingly carbon emissions will be computed</w:t>
      </w:r>
      <w:r w:rsidR="00AA5870" w:rsidRPr="00AA5870">
        <w:rPr>
          <w:vertAlign w:val="superscript"/>
        </w:rPr>
        <w:t>12a</w:t>
      </w:r>
      <w:r>
        <w:t xml:space="preserve"> for various cases. There may be other benefits to the owner like elevated home value due to market demand for green buildings, and more comfortable and less noisy interior environments. These benefits are not readily quantified, and are considered outside the scope of this paper.  </w:t>
      </w:r>
    </w:p>
    <w:p w:rsidR="00EE50F8" w:rsidRDefault="00EE50F8" w:rsidP="00CF3624"/>
    <w:p w:rsidR="00EE50F8" w:rsidRDefault="00EE50F8" w:rsidP="00CF3624">
      <w:r>
        <w:t xml:space="preserve">While continual enhancement of energy conservation in buildings remains a goal of federal, </w:t>
      </w:r>
      <w:r w:rsidRPr="0000010B">
        <w:t>state</w:t>
      </w:r>
      <w:r w:rsidRPr="0000010B">
        <w:rPr>
          <w:vertAlign w:val="superscript"/>
        </w:rPr>
        <w:t>13</w:t>
      </w:r>
      <w:r w:rsidRPr="0000010B">
        <w:t>,</w:t>
      </w:r>
      <w:r>
        <w:t xml:space="preserve"> and even local governments</w:t>
      </w:r>
      <w:r w:rsidR="008171E5">
        <w:t>,</w:t>
      </w:r>
      <w:r>
        <w:t xml:space="preserve"> the BBRS has a duty to continually focus on the cost of construction of current or proposed energy conservation requirements which may exist either in code or MA general law. In addition the BBRS </w:t>
      </w:r>
      <w:r w:rsidR="008171E5">
        <w:t xml:space="preserve">seeks to ensure </w:t>
      </w:r>
      <w:r>
        <w:t>that ECS requirements do not increase the risk to health via the tightening of air leakage requirements or with the installation of new products like foam plastic in the building envelope.</w:t>
      </w:r>
    </w:p>
    <w:p w:rsidR="00EE50F8" w:rsidRDefault="00EE50F8" w:rsidP="00CF3624"/>
    <w:p w:rsidR="00EE50F8" w:rsidRDefault="00EE50F8">
      <w:pPr>
        <w:widowControl w:val="0"/>
      </w:pPr>
      <w:r>
        <w:t>In summary this paper will focus on the building thermal envelope for three cases</w:t>
      </w:r>
      <w:r w:rsidR="008171E5">
        <w:t>:</w:t>
      </w:r>
      <w:r>
        <w:t xml:space="preserve"> 3, 4 and 6 unit low rise residential buildings, </w:t>
      </w:r>
      <w:r w:rsidR="008171E5">
        <w:t xml:space="preserve">all </w:t>
      </w:r>
      <w:r>
        <w:t>with a flat roof, front and rear top to bottom stairways, and wood frame construction.</w:t>
      </w:r>
      <w:r w:rsidR="007D67C2">
        <w:t xml:space="preserve"> The 3 and 6 unit buildings have three stories and the </w:t>
      </w:r>
      <w:r w:rsidR="00346481">
        <w:t>4</w:t>
      </w:r>
      <w:r w:rsidR="007D67C2">
        <w:t xml:space="preserve"> unit building has two stories. </w:t>
      </w:r>
      <w:r>
        <w:t xml:space="preserve">These configurations represent a sampling of existing multi-unit residential buildings that are found across the Commonwealth and could potentially be built at relatively low cost because of simple geometry, standard ceiling height, and traditional </w:t>
      </w:r>
      <w:proofErr w:type="spellStart"/>
      <w:r>
        <w:t>framing</w:t>
      </w:r>
      <w:proofErr w:type="spellEnd"/>
      <w:r>
        <w:t xml:space="preserve"> methods. </w:t>
      </w:r>
    </w:p>
    <w:p w:rsidR="00EE50F8" w:rsidRDefault="00EE50F8">
      <w:pPr>
        <w:pStyle w:val="Heading2"/>
      </w:pPr>
      <w:bookmarkStart w:id="21" w:name="_Toc381445074"/>
      <w:bookmarkStart w:id="22" w:name="_Toc387398755"/>
      <w:r>
        <w:t>Section 4c: Building Thermal Envelope Effectiveness</w:t>
      </w:r>
      <w:bookmarkEnd w:id="21"/>
      <w:bookmarkEnd w:id="22"/>
    </w:p>
    <w:p w:rsidR="00EE50F8" w:rsidRDefault="00EE50F8">
      <w:pPr>
        <w:pStyle w:val="Heading3"/>
        <w:keepNext w:val="0"/>
        <w:widowControl w:val="0"/>
      </w:pPr>
      <w:bookmarkStart w:id="23" w:name="_Toc387398756"/>
      <w:bookmarkStart w:id="24" w:name="_Toc381445075"/>
      <w:r>
        <w:t xml:space="preserve">Section </w:t>
      </w:r>
      <w:proofErr w:type="gramStart"/>
      <w:r>
        <w:t>4c(</w:t>
      </w:r>
      <w:proofErr w:type="gramEnd"/>
      <w:r>
        <w:t>1): Insulation and Air Leakage</w:t>
      </w:r>
      <w:bookmarkEnd w:id="23"/>
      <w:r>
        <w:t xml:space="preserve"> </w:t>
      </w:r>
    </w:p>
    <w:p w:rsidR="00EE50F8" w:rsidRDefault="00EE50F8" w:rsidP="00362AEA">
      <w:r>
        <w:t xml:space="preserve">The purpose of this section is to determine the key variable(s) of the overall effectiveness of the building thermal envelope and the items that could be examined more closely to create an ECS of optimum cost versus effectiveness.  Fenestration U-Factor and leakage, insulation R-Value, and total air leakage contribute to some extent to the annual heating and cooling loads for a building.  To determine the extent of each, energy modeling was done </w:t>
      </w:r>
      <w:r w:rsidRPr="007E4D24">
        <w:t>by a certified</w:t>
      </w:r>
      <w:r>
        <w:t xml:space="preserve"> HERS rater using REM/Rate 14.3 software using models of 3, 4, and 6 unit buildings of simple rectangular geometry; both in plan and elevation. </w:t>
      </w:r>
    </w:p>
    <w:p w:rsidR="00EE50F8" w:rsidRPr="00CB723B" w:rsidRDefault="00EE50F8" w:rsidP="00362AEA">
      <w:r>
        <w:t>As with any modeling exercise several a</w:t>
      </w:r>
      <w:r w:rsidRPr="00CB723B">
        <w:t>ssumptions</w:t>
      </w:r>
      <w:r>
        <w:t xml:space="preserve"> were made</w:t>
      </w:r>
      <w:r w:rsidRPr="00CB723B">
        <w:t>:</w:t>
      </w:r>
    </w:p>
    <w:p w:rsidR="00EE50F8" w:rsidRDefault="00EE50F8" w:rsidP="00362AEA">
      <w:pPr>
        <w:numPr>
          <w:ilvl w:val="0"/>
          <w:numId w:val="22"/>
        </w:numPr>
      </w:pPr>
      <w:r>
        <w:t xml:space="preserve">The </w:t>
      </w:r>
      <w:r w:rsidRPr="00CB723B">
        <w:t>3 unit</w:t>
      </w:r>
      <w:r>
        <w:t xml:space="preserve"> residential building is flat roof</w:t>
      </w:r>
      <w:r w:rsidRPr="00CB723B">
        <w:t>, plan area 48 ft by 24 ft, 15% fenestration</w:t>
      </w:r>
      <w:r>
        <w:t xml:space="preserve"> area</w:t>
      </w:r>
      <w:r w:rsidRPr="00CB723B">
        <w:t>, with an interior floor to ceiling height of 8 ft</w:t>
      </w:r>
      <w:r>
        <w:t>, one</w:t>
      </w:r>
      <w:r w:rsidRPr="00CB723B">
        <w:t xml:space="preserve"> foot thick floors and ceilings</w:t>
      </w:r>
      <w:r>
        <w:t xml:space="preserve"> to produce a building </w:t>
      </w:r>
      <w:r w:rsidRPr="00CB723B">
        <w:t xml:space="preserve">28 ft </w:t>
      </w:r>
      <w:r>
        <w:t>height as measure</w:t>
      </w:r>
      <w:r w:rsidR="00346481">
        <w:t>d</w:t>
      </w:r>
      <w:r>
        <w:t xml:space="preserve"> from the top of the foundation wall.</w:t>
      </w:r>
    </w:p>
    <w:p w:rsidR="00EE50F8" w:rsidRDefault="00EE50F8" w:rsidP="00362AEA">
      <w:pPr>
        <w:numPr>
          <w:ilvl w:val="0"/>
          <w:numId w:val="22"/>
        </w:numPr>
      </w:pPr>
      <w:r>
        <w:t xml:space="preserve">The 4 unit residential building is flat roof, plan area 48 ft by 48 </w:t>
      </w:r>
      <w:r w:rsidRPr="00CB723B">
        <w:t>ft, 15% fenestration</w:t>
      </w:r>
      <w:r>
        <w:t xml:space="preserve"> area</w:t>
      </w:r>
      <w:r w:rsidRPr="00CB723B">
        <w:t>, with an interior floor to ceiling height of 8 ft</w:t>
      </w:r>
      <w:r>
        <w:t>, one</w:t>
      </w:r>
      <w:r w:rsidRPr="00CB723B">
        <w:t xml:space="preserve"> foot thick floors and ceilings</w:t>
      </w:r>
      <w:r>
        <w:t xml:space="preserve"> to produce a building 19</w:t>
      </w:r>
      <w:r w:rsidRPr="00CB723B">
        <w:t xml:space="preserve"> ft </w:t>
      </w:r>
      <w:r>
        <w:t>height as measure</w:t>
      </w:r>
      <w:r w:rsidR="00346481">
        <w:t>d</w:t>
      </w:r>
      <w:r>
        <w:t xml:space="preserve"> from the top of the foundation wall.</w:t>
      </w:r>
    </w:p>
    <w:p w:rsidR="00EE50F8" w:rsidRDefault="00EE50F8" w:rsidP="00545649">
      <w:pPr>
        <w:numPr>
          <w:ilvl w:val="0"/>
          <w:numId w:val="22"/>
        </w:numPr>
      </w:pPr>
      <w:r>
        <w:t>The 6</w:t>
      </w:r>
      <w:r w:rsidRPr="00CB723B">
        <w:t xml:space="preserve"> unit</w:t>
      </w:r>
      <w:r>
        <w:t xml:space="preserve"> residential building is flat roof, plan area 48 ft by 48</w:t>
      </w:r>
      <w:r w:rsidRPr="00CB723B">
        <w:t xml:space="preserve"> ft, 15% fenestration</w:t>
      </w:r>
      <w:r>
        <w:t xml:space="preserve"> area</w:t>
      </w:r>
      <w:r w:rsidRPr="00CB723B">
        <w:t>, with an interior floor to ceiling height of 8 ft</w:t>
      </w:r>
      <w:r>
        <w:t>, one</w:t>
      </w:r>
      <w:r w:rsidRPr="00CB723B">
        <w:t xml:space="preserve"> foot thick floors and ceilings</w:t>
      </w:r>
      <w:r>
        <w:t xml:space="preserve"> to produce a building </w:t>
      </w:r>
      <w:r w:rsidRPr="00CB723B">
        <w:t xml:space="preserve">28 ft </w:t>
      </w:r>
      <w:r>
        <w:t>height as measure</w:t>
      </w:r>
      <w:r w:rsidR="00346481">
        <w:t>d</w:t>
      </w:r>
      <w:r>
        <w:t xml:space="preserve"> from the top of the foundation wall.</w:t>
      </w:r>
    </w:p>
    <w:p w:rsidR="00EE50F8" w:rsidRPr="00CB723B" w:rsidRDefault="00825F40" w:rsidP="00362AEA">
      <w:pPr>
        <w:numPr>
          <w:ilvl w:val="0"/>
          <w:numId w:val="22"/>
        </w:numPr>
      </w:pPr>
      <w:r>
        <w:t xml:space="preserve">Heating and cooling degree days, </w:t>
      </w:r>
      <w:r w:rsidR="00EE50F8" w:rsidRPr="00CB723B">
        <w:t>HDD65F = 6300</w:t>
      </w:r>
      <w:r w:rsidR="00EE50F8">
        <w:t xml:space="preserve">, </w:t>
      </w:r>
      <w:r w:rsidR="00EE50F8" w:rsidRPr="00CB723B">
        <w:t>CDD</w:t>
      </w:r>
      <w:r w:rsidR="00EE50F8">
        <w:t>50</w:t>
      </w:r>
      <w:r w:rsidR="00EE50F8" w:rsidRPr="00CB723B">
        <w:t>F = 3300</w:t>
      </w:r>
      <w:r>
        <w:t>, respectively.</w:t>
      </w:r>
      <w:r w:rsidR="00EE50F8">
        <w:t xml:space="preserve"> </w:t>
      </w:r>
    </w:p>
    <w:p w:rsidR="00EE50F8" w:rsidRPr="00CB723B" w:rsidRDefault="00EE50F8" w:rsidP="00362AEA">
      <w:pPr>
        <w:numPr>
          <w:ilvl w:val="0"/>
          <w:numId w:val="22"/>
        </w:numPr>
      </w:pPr>
      <w:r w:rsidRPr="00CB723B">
        <w:t xml:space="preserve">All wall framing </w:t>
      </w:r>
      <w:r>
        <w:t xml:space="preserve">is </w:t>
      </w:r>
      <w:r w:rsidRPr="00CB723B">
        <w:t xml:space="preserve">16 in. on center and 2x4 studs for R13 or R13 + 5ci or 2x6 studs for R19/20 and all ceiling framing 16 in. on center and 2x10 joists with R30 </w:t>
      </w:r>
      <w:proofErr w:type="spellStart"/>
      <w:r w:rsidRPr="00CB723B">
        <w:t>batt</w:t>
      </w:r>
      <w:proofErr w:type="spellEnd"/>
      <w:r w:rsidRPr="00CB723B">
        <w:t xml:space="preserve"> in cavity and continuous insulation (</w:t>
      </w:r>
      <w:proofErr w:type="spellStart"/>
      <w:r w:rsidRPr="00CB723B">
        <w:t>ci</w:t>
      </w:r>
      <w:proofErr w:type="spellEnd"/>
      <w:r w:rsidRPr="00CB723B">
        <w:t xml:space="preserve">) above. </w:t>
      </w:r>
      <w:proofErr w:type="spellStart"/>
      <w:r w:rsidRPr="00CB723B">
        <w:t>Batt</w:t>
      </w:r>
      <w:proofErr w:type="spellEnd"/>
      <w:r w:rsidRPr="00CB723B">
        <w:t xml:space="preserve"> and </w:t>
      </w:r>
      <w:proofErr w:type="spellStart"/>
      <w:r w:rsidRPr="00CB723B">
        <w:t>ci</w:t>
      </w:r>
      <w:proofErr w:type="spellEnd"/>
      <w:r w:rsidRPr="00CB723B">
        <w:t xml:space="preserve"> to closely meet the various required R values. Insulated sheathing, in standard commercially available sizes, to be used for </w:t>
      </w:r>
      <w:proofErr w:type="spellStart"/>
      <w:r w:rsidRPr="00CB723B">
        <w:t>ci</w:t>
      </w:r>
      <w:proofErr w:type="spellEnd"/>
      <w:r w:rsidRPr="00CB723B">
        <w:t xml:space="preserve"> to allow for roof covering attachment. </w:t>
      </w:r>
    </w:p>
    <w:p w:rsidR="00EE50F8" w:rsidRPr="00CB723B" w:rsidRDefault="00EE50F8" w:rsidP="00362AEA">
      <w:pPr>
        <w:numPr>
          <w:ilvl w:val="0"/>
          <w:numId w:val="22"/>
        </w:numPr>
      </w:pPr>
      <w:r>
        <w:lastRenderedPageBreak/>
        <w:t>Solar heat gain coefficient (SHGC) for the fenestration = .30</w:t>
      </w:r>
      <w:r w:rsidRPr="00CB723B">
        <w:rPr>
          <w:strike/>
        </w:rPr>
        <w:t xml:space="preserve"> </w:t>
      </w:r>
    </w:p>
    <w:p w:rsidR="00EE50F8" w:rsidRPr="00CB723B" w:rsidRDefault="00EE50F8" w:rsidP="00362AEA">
      <w:pPr>
        <w:numPr>
          <w:ilvl w:val="0"/>
          <w:numId w:val="22"/>
        </w:numPr>
      </w:pPr>
      <w:r w:rsidRPr="00CB723B">
        <w:t>No concealed space above the top floor ceiling (i.e. hot roof configuration)</w:t>
      </w:r>
    </w:p>
    <w:p w:rsidR="00EE50F8" w:rsidRDefault="00EE50F8" w:rsidP="00362AEA">
      <w:pPr>
        <w:numPr>
          <w:ilvl w:val="0"/>
          <w:numId w:val="22"/>
        </w:numPr>
      </w:pPr>
      <w:r w:rsidRPr="00CB723B">
        <w:t>Each unit contains 2 bedrooms</w:t>
      </w:r>
    </w:p>
    <w:p w:rsidR="00EE50F8" w:rsidRDefault="00EE50F8" w:rsidP="00362AEA">
      <w:pPr>
        <w:numPr>
          <w:ilvl w:val="0"/>
          <w:numId w:val="22"/>
        </w:numPr>
      </w:pPr>
      <w:r>
        <w:t>Total building air leakage values were pulled directly from the applicable code, except for values assumed for the IECC 2003</w:t>
      </w:r>
      <w:r w:rsidRPr="00E03691">
        <w:t xml:space="preserve"> </w:t>
      </w:r>
      <w:r>
        <w:t>and 2006</w:t>
      </w:r>
      <w:r w:rsidRPr="00C01B49">
        <w:rPr>
          <w:vertAlign w:val="superscript"/>
        </w:rPr>
        <w:t>14</w:t>
      </w:r>
      <w:r>
        <w:t>. Window and door leakage rates</w:t>
      </w:r>
      <w:r w:rsidRPr="00C01B49">
        <w:rPr>
          <w:vertAlign w:val="superscript"/>
        </w:rPr>
        <w:t>1</w:t>
      </w:r>
      <w:r>
        <w:rPr>
          <w:vertAlign w:val="superscript"/>
        </w:rPr>
        <w:t>5</w:t>
      </w:r>
      <w:r>
        <w:t xml:space="preserve"> are specified in the IECC but the modeling does not account for these specifically; only the total building leakage (ACH at 50 Pa) is utilized.  </w:t>
      </w:r>
    </w:p>
    <w:p w:rsidR="00EE50F8" w:rsidRDefault="00EE50F8" w:rsidP="00B31B85">
      <w:pPr>
        <w:numPr>
          <w:ilvl w:val="0"/>
          <w:numId w:val="22"/>
        </w:numPr>
      </w:pPr>
      <w:r>
        <w:t xml:space="preserve">The basement is considered enclosed unconditioned space but a temperature of the space is not assumed or input in the </w:t>
      </w:r>
      <w:r w:rsidR="007D67C2">
        <w:t>analysis</w:t>
      </w:r>
      <w:r>
        <w:t xml:space="preserve">.  </w:t>
      </w:r>
    </w:p>
    <w:p w:rsidR="00EE50F8" w:rsidRDefault="00EE50F8" w:rsidP="00B31B85">
      <w:pPr>
        <w:numPr>
          <w:ilvl w:val="0"/>
          <w:numId w:val="22"/>
        </w:numPr>
      </w:pPr>
      <w:r>
        <w:t xml:space="preserve">For one run continuous mechanical ventilation was </w:t>
      </w:r>
      <w:r w:rsidRPr="0029343A">
        <w:t>used for each unit</w:t>
      </w:r>
      <w:r>
        <w:t xml:space="preserve"> per the mandatory requirement of the IECC 2012. The flow values in cubic feet per minute (</w:t>
      </w:r>
      <w:proofErr w:type="spellStart"/>
      <w:r>
        <w:t>cfm</w:t>
      </w:r>
      <w:proofErr w:type="spellEnd"/>
      <w:r>
        <w:t xml:space="preserve">) were calculated using the methodology of the MA requirement (see Section </w:t>
      </w:r>
      <w:proofErr w:type="gramStart"/>
      <w:r>
        <w:t>4c(</w:t>
      </w:r>
      <w:proofErr w:type="gramEnd"/>
      <w:r>
        <w:t xml:space="preserve">2)). </w:t>
      </w:r>
    </w:p>
    <w:p w:rsidR="00EE50F8" w:rsidRDefault="00EE50F8" w:rsidP="007D60E1"/>
    <w:p w:rsidR="00EE50F8" w:rsidRDefault="00EE50F8" w:rsidP="007D60E1">
      <w:r>
        <w:t xml:space="preserve">The modeling runs for the 3-unit building are shown in Figure </w:t>
      </w:r>
      <w:proofErr w:type="gramStart"/>
      <w:r>
        <w:t>4c(</w:t>
      </w:r>
      <w:proofErr w:type="gramEnd"/>
      <w:r>
        <w:t xml:space="preserve">1)a and they contain the prescriptive requirements for the key building thermal envelope components. For the IECC 2003 the leakage rate is assumed to be 8 ACH at 50 Pa and for the IECC 2006 and 2009 it is assumed that the air leakage is 7 ACH at 50 Pa. Two runs, 5 and 6, were done with an air leakage of 5 ACH at 50 Pa even though the requirement for the IECC 2012 is 3 ACH at 50 Pa. Runs 7 and 8 were done to simulate the IECC 2012. And Runs 17 and 18 were done to determine the effect of mandatory continuous ventilation, which most commonly will be done with a bathroom fan in each unit operating continuously at a low flow rate setting. </w:t>
      </w:r>
    </w:p>
    <w:p w:rsidR="00EE50F8" w:rsidRDefault="00EE50F8" w:rsidP="007E0383">
      <w:pPr>
        <w:pStyle w:val="BodyText"/>
        <w:jc w:val="left"/>
      </w:pPr>
    </w:p>
    <w:p w:rsidR="00EE50F8" w:rsidRDefault="00EE50F8" w:rsidP="007E0383">
      <w:pPr>
        <w:pStyle w:val="BodyText"/>
        <w:jc w:val="left"/>
      </w:pPr>
      <w:r>
        <w:t>Several k</w:t>
      </w:r>
      <w:r w:rsidRPr="00B11D1D">
        <w:t>ey findings</w:t>
      </w:r>
      <w:r>
        <w:t xml:space="preserve"> include these </w:t>
      </w:r>
      <w:r w:rsidRPr="00F873B3">
        <w:rPr>
          <w:b/>
          <w:i/>
          <w:iCs/>
          <w:u w:val="single"/>
        </w:rPr>
        <w:t>less effective efficiency</w:t>
      </w:r>
      <w:r>
        <w:t xml:space="preserve"> improvements:</w:t>
      </w:r>
    </w:p>
    <w:p w:rsidR="00EE50F8" w:rsidRDefault="00EE50F8" w:rsidP="007E0383">
      <w:pPr>
        <w:pStyle w:val="BodyText"/>
        <w:numPr>
          <w:ilvl w:val="0"/>
          <w:numId w:val="25"/>
        </w:numPr>
        <w:jc w:val="left"/>
      </w:pPr>
      <w:r>
        <w:t>Increasing (1</w:t>
      </w:r>
      <w:r w:rsidRPr="00B11D1D">
        <w:rPr>
          <w:vertAlign w:val="superscript"/>
        </w:rPr>
        <w:t>st</w:t>
      </w:r>
      <w:r>
        <w:t>) floor insulation from R-19 to R-30 reduced th</w:t>
      </w:r>
      <w:r w:rsidR="00C73824">
        <w:t xml:space="preserve">e annual heating load by 1.9 </w:t>
      </w:r>
      <w:proofErr w:type="spellStart"/>
      <w:r w:rsidR="00C73824">
        <w:t>MMB</w:t>
      </w:r>
      <w:r>
        <w:t>tu</w:t>
      </w:r>
      <w:proofErr w:type="spellEnd"/>
      <w:r>
        <w:t>/year</w:t>
      </w:r>
      <w:r w:rsidRPr="00C01B49">
        <w:rPr>
          <w:vertAlign w:val="superscript"/>
        </w:rPr>
        <w:t>16</w:t>
      </w:r>
      <w:r>
        <w:t>. (see No. 3  vs. No. 2), and</w:t>
      </w:r>
    </w:p>
    <w:p w:rsidR="00EE50F8" w:rsidRDefault="00EE50F8" w:rsidP="007E0383">
      <w:pPr>
        <w:pStyle w:val="BodyText"/>
        <w:numPr>
          <w:ilvl w:val="0"/>
          <w:numId w:val="25"/>
        </w:numPr>
        <w:jc w:val="left"/>
      </w:pPr>
      <w:r>
        <w:t>Increasing ceiling insulation from R-38 to R-49 reduced th</w:t>
      </w:r>
      <w:r w:rsidR="00C73824">
        <w:t xml:space="preserve">e annual heating load by 1.7 </w:t>
      </w:r>
      <w:proofErr w:type="spellStart"/>
      <w:r w:rsidR="00C73824">
        <w:t>MMB</w:t>
      </w:r>
      <w:r>
        <w:t>tu</w:t>
      </w:r>
      <w:proofErr w:type="spellEnd"/>
      <w:r>
        <w:t>/year.   (see No. 9 vs. No. 11), and</w:t>
      </w:r>
    </w:p>
    <w:p w:rsidR="00EE50F8" w:rsidRDefault="00EE50F8" w:rsidP="007E0383">
      <w:pPr>
        <w:pStyle w:val="BodyText"/>
        <w:numPr>
          <w:ilvl w:val="0"/>
          <w:numId w:val="25"/>
        </w:numPr>
        <w:jc w:val="left"/>
      </w:pPr>
      <w:r>
        <w:t>Decreasing fenestration U-factor from .35 to .32 reduced th</w:t>
      </w:r>
      <w:r w:rsidR="00C73824">
        <w:t xml:space="preserve">e annual heating load by 2.4 </w:t>
      </w:r>
      <w:proofErr w:type="spellStart"/>
      <w:r w:rsidR="00C73824">
        <w:t>MMB</w:t>
      </w:r>
      <w:r>
        <w:t>tu</w:t>
      </w:r>
      <w:proofErr w:type="spellEnd"/>
      <w:r>
        <w:t>/year.   (see No. 11 vs. No. 15), and</w:t>
      </w:r>
    </w:p>
    <w:p w:rsidR="00EE50F8" w:rsidRDefault="00EE50F8" w:rsidP="007E0383">
      <w:pPr>
        <w:pStyle w:val="BodyText"/>
        <w:jc w:val="left"/>
      </w:pPr>
      <w:proofErr w:type="gramStart"/>
      <w:r w:rsidRPr="00F873B3">
        <w:rPr>
          <w:b/>
          <w:i/>
          <w:iCs/>
          <w:u w:val="single"/>
        </w:rPr>
        <w:t>similar</w:t>
      </w:r>
      <w:proofErr w:type="gramEnd"/>
      <w:r w:rsidRPr="00F873B3">
        <w:rPr>
          <w:b/>
          <w:i/>
          <w:iCs/>
          <w:u w:val="single"/>
        </w:rPr>
        <w:t xml:space="preserve"> efficiency</w:t>
      </w:r>
      <w:r>
        <w:t xml:space="preserve"> of R-20 cavity only insulation compared to R-13 cavity with R-5 continuous, but only if the building is </w:t>
      </w:r>
      <w:r w:rsidR="008171E5">
        <w:t>more</w:t>
      </w:r>
      <w:r>
        <w:t xml:space="preserve"> air tight. (No. 5 vs. No. 6 are about equal with ACH = 5 whereas with ACH = 7, R-13 + 5 is more effective by 2.8 </w:t>
      </w:r>
      <w:proofErr w:type="spellStart"/>
      <w:r>
        <w:t>MMBtu</w:t>
      </w:r>
      <w:proofErr w:type="spellEnd"/>
      <w:r>
        <w:t>; see No. 2 at vs. No. 4), and</w:t>
      </w:r>
    </w:p>
    <w:p w:rsidR="00EE50F8" w:rsidRDefault="00EE50F8" w:rsidP="00AF028E">
      <w:pPr>
        <w:pStyle w:val="BodyText"/>
        <w:jc w:val="left"/>
      </w:pPr>
      <w:proofErr w:type="gramStart"/>
      <w:r w:rsidRPr="00F873B3">
        <w:rPr>
          <w:b/>
          <w:i/>
          <w:iCs/>
          <w:u w:val="single"/>
        </w:rPr>
        <w:t>most</w:t>
      </w:r>
      <w:proofErr w:type="gramEnd"/>
      <w:r w:rsidRPr="00F873B3">
        <w:rPr>
          <w:b/>
          <w:i/>
          <w:iCs/>
          <w:u w:val="single"/>
        </w:rPr>
        <w:t xml:space="preserve"> effective efficiency</w:t>
      </w:r>
      <w:r>
        <w:t xml:space="preserve"> improvement results from decreasing air leakage (ACH at 50 Pa) from 8 to 7 to 5 to 3 </w:t>
      </w:r>
      <w:r w:rsidRPr="007E0383">
        <w:t>as indicated in Figure 4c(1)b.</w:t>
      </w:r>
      <w:r>
        <w:t xml:space="preserve"> If the leakage is 7 ACH, 5 ACH, or 3 ACH, the annual heating load in </w:t>
      </w:r>
      <w:proofErr w:type="spellStart"/>
      <w:r>
        <w:t>MMBtu</w:t>
      </w:r>
      <w:proofErr w:type="spellEnd"/>
      <w:r>
        <w:t xml:space="preserve"> hovers around the upper 70s, 50s,</w:t>
      </w:r>
      <w:r w:rsidR="00F873B3">
        <w:t xml:space="preserve"> </w:t>
      </w:r>
      <w:r>
        <w:t xml:space="preserve">or 40s, respectively, and seems to be pretty much independent of fenestration and insulation requirements. However, when mandatory continuous mechanical ventilation is incorporated then the ‘air tight’ building becomes less so and the efficiency improvement associated with air leakage is diminished (see No. 17 at 48.4 vs. No. 18 at 53.1)  </w:t>
      </w:r>
    </w:p>
    <w:p w:rsidR="00672817" w:rsidRDefault="00672817" w:rsidP="00AF028E">
      <w:pPr>
        <w:pStyle w:val="BodyText"/>
        <w:jc w:val="left"/>
      </w:pPr>
    </w:p>
    <w:p w:rsidR="00672817" w:rsidRDefault="00672817" w:rsidP="00AF028E">
      <w:pPr>
        <w:pStyle w:val="BodyText"/>
        <w:jc w:val="left"/>
      </w:pPr>
    </w:p>
    <w:p w:rsidR="00672817" w:rsidRDefault="00672817" w:rsidP="00AF028E">
      <w:pPr>
        <w:pStyle w:val="BodyText"/>
        <w:jc w:val="left"/>
      </w:pPr>
    </w:p>
    <w:p w:rsidR="00BD51C4" w:rsidRDefault="00BD51C4" w:rsidP="00AF028E">
      <w:pPr>
        <w:pStyle w:val="BodyText"/>
        <w:jc w:val="left"/>
      </w:pPr>
    </w:p>
    <w:p w:rsidR="00BD51C4" w:rsidRDefault="00BD51C4" w:rsidP="00AF028E">
      <w:pPr>
        <w:pStyle w:val="BodyText"/>
        <w:jc w:val="left"/>
      </w:pPr>
    </w:p>
    <w:p w:rsidR="00672817" w:rsidRDefault="00672817" w:rsidP="00AF028E">
      <w:pPr>
        <w:pStyle w:val="BodyText"/>
        <w:jc w:val="left"/>
      </w:pPr>
    </w:p>
    <w:p w:rsidR="00672817" w:rsidRDefault="00672817" w:rsidP="00AF028E">
      <w:pPr>
        <w:pStyle w:val="BodyText"/>
        <w:jc w:val="left"/>
      </w:pPr>
    </w:p>
    <w:p w:rsidR="00672817" w:rsidRDefault="00672817" w:rsidP="00AF028E">
      <w:pPr>
        <w:pStyle w:val="BodyText"/>
        <w:jc w:val="left"/>
      </w:pPr>
    </w:p>
    <w:p w:rsidR="00672817" w:rsidRDefault="00672817" w:rsidP="00AF028E">
      <w:pPr>
        <w:pStyle w:val="BodyText"/>
        <w:jc w:val="left"/>
      </w:pPr>
    </w:p>
    <w:p w:rsidR="00672817" w:rsidRDefault="00672817" w:rsidP="00AF028E">
      <w:pPr>
        <w:pStyle w:val="BodyText"/>
        <w:jc w:val="left"/>
      </w:pPr>
    </w:p>
    <w:p w:rsidR="00672817" w:rsidRDefault="00672817" w:rsidP="00AF028E">
      <w:pPr>
        <w:pStyle w:val="BodyText"/>
        <w:jc w:val="left"/>
      </w:pPr>
    </w:p>
    <w:p w:rsidR="00672817" w:rsidRDefault="00672817" w:rsidP="00AF028E">
      <w:pPr>
        <w:pStyle w:val="BodyText"/>
        <w:jc w:val="left"/>
      </w:pPr>
    </w:p>
    <w:p w:rsidR="00672817" w:rsidRDefault="00672817" w:rsidP="00AF028E">
      <w:pPr>
        <w:pStyle w:val="BodyText"/>
        <w:jc w:val="left"/>
      </w:pPr>
    </w:p>
    <w:p w:rsidR="00672817" w:rsidRDefault="00672817" w:rsidP="00AF028E">
      <w:pPr>
        <w:pStyle w:val="BodyText"/>
        <w:jc w:val="left"/>
      </w:pPr>
    </w:p>
    <w:p w:rsidR="00672817" w:rsidRDefault="00672817" w:rsidP="00AF028E">
      <w:pPr>
        <w:pStyle w:val="BodyText"/>
        <w:jc w:val="left"/>
      </w:pPr>
    </w:p>
    <w:p w:rsidR="00EE50F8" w:rsidRPr="007D60E1" w:rsidRDefault="00EE50F8" w:rsidP="00AF028E">
      <w:pPr>
        <w:pStyle w:val="BodyText"/>
        <w:jc w:val="left"/>
        <w:rPr>
          <w:sz w:val="22"/>
          <w:szCs w:val="22"/>
        </w:rPr>
      </w:pPr>
    </w:p>
    <w:tbl>
      <w:tblPr>
        <w:tblpPr w:leftFromText="187" w:rightFromText="187" w:vertAnchor="text" w:horzAnchor="margin" w:tblpXSpec="center" w:tblpY="9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65"/>
        <w:gridCol w:w="554"/>
        <w:gridCol w:w="541"/>
        <w:gridCol w:w="952"/>
        <w:gridCol w:w="549"/>
        <w:gridCol w:w="705"/>
        <w:gridCol w:w="736"/>
        <w:gridCol w:w="601"/>
        <w:gridCol w:w="776"/>
        <w:gridCol w:w="274"/>
      </w:tblGrid>
      <w:tr w:rsidR="00EE50F8" w:rsidTr="00413209">
        <w:trPr>
          <w:cantSplit/>
          <w:trHeight w:val="347"/>
        </w:trPr>
        <w:tc>
          <w:tcPr>
            <w:tcW w:w="349" w:type="pct"/>
          </w:tcPr>
          <w:p w:rsidR="00EE50F8" w:rsidRDefault="00EE50F8" w:rsidP="00D953D6">
            <w:pPr>
              <w:pStyle w:val="BodyText"/>
              <w:widowControl w:val="0"/>
              <w:rPr>
                <w:b/>
                <w:bCs/>
              </w:rPr>
            </w:pPr>
          </w:p>
        </w:tc>
        <w:tc>
          <w:tcPr>
            <w:tcW w:w="4651" w:type="pct"/>
            <w:gridSpan w:val="10"/>
          </w:tcPr>
          <w:p w:rsidR="00EE50F8" w:rsidRDefault="00EE50F8" w:rsidP="00D953D6">
            <w:pPr>
              <w:pStyle w:val="BodyText"/>
              <w:widowControl w:val="0"/>
              <w:rPr>
                <w:b/>
                <w:bCs/>
              </w:rPr>
            </w:pPr>
            <w:r>
              <w:rPr>
                <w:b/>
                <w:bCs/>
              </w:rPr>
              <w:t>3 Unit Residential; Building Thermal Envelope Modeling</w:t>
            </w:r>
          </w:p>
          <w:p w:rsidR="00EE50F8" w:rsidRDefault="00EE50F8" w:rsidP="00D953D6">
            <w:pPr>
              <w:pStyle w:val="BodyText"/>
              <w:widowControl w:val="0"/>
              <w:rPr>
                <w:b/>
                <w:bCs/>
              </w:rPr>
            </w:pPr>
            <w:r>
              <w:rPr>
                <w:b/>
                <w:bCs/>
              </w:rPr>
              <w:t xml:space="preserve"> Insulation R-Value or Fenestration U-Factor for Zone 5 and Leakage </w:t>
            </w:r>
          </w:p>
        </w:tc>
      </w:tr>
      <w:tr w:rsidR="00EE50F8" w:rsidTr="00413209">
        <w:trPr>
          <w:cantSplit/>
          <w:trHeight w:val="2138"/>
        </w:trPr>
        <w:tc>
          <w:tcPr>
            <w:tcW w:w="349" w:type="pct"/>
            <w:textDirection w:val="btLr"/>
          </w:tcPr>
          <w:p w:rsidR="00EE50F8" w:rsidRPr="00466C36" w:rsidRDefault="00EE50F8" w:rsidP="00733AD5">
            <w:pPr>
              <w:pStyle w:val="BodyText"/>
              <w:widowControl w:val="0"/>
              <w:ind w:left="113" w:right="113"/>
              <w:jc w:val="left"/>
              <w:rPr>
                <w:b/>
                <w:bCs/>
              </w:rPr>
            </w:pPr>
            <w:r>
              <w:rPr>
                <w:b/>
                <w:bCs/>
              </w:rPr>
              <w:t>Model Number</w:t>
            </w:r>
          </w:p>
        </w:tc>
        <w:tc>
          <w:tcPr>
            <w:tcW w:w="1149" w:type="pct"/>
            <w:textDirection w:val="btLr"/>
            <w:vAlign w:val="center"/>
          </w:tcPr>
          <w:p w:rsidR="00EE50F8" w:rsidRPr="00466C36" w:rsidRDefault="00EE50F8" w:rsidP="00733AD5">
            <w:pPr>
              <w:pStyle w:val="BodyText"/>
              <w:widowControl w:val="0"/>
              <w:ind w:left="113" w:right="113"/>
              <w:jc w:val="left"/>
              <w:rPr>
                <w:b/>
                <w:bCs/>
              </w:rPr>
            </w:pPr>
            <w:proofErr w:type="spellStart"/>
            <w:r w:rsidRPr="00466C36">
              <w:rPr>
                <w:b/>
                <w:bCs/>
                <w:sz w:val="22"/>
                <w:szCs w:val="22"/>
              </w:rPr>
              <w:t>IECC</w:t>
            </w:r>
            <w:r w:rsidR="009469B9" w:rsidRPr="009469B9">
              <w:rPr>
                <w:b/>
                <w:bCs/>
                <w:sz w:val="22"/>
                <w:szCs w:val="22"/>
                <w:vertAlign w:val="superscript"/>
              </w:rPr>
              <w:t>e</w:t>
            </w:r>
            <w:proofErr w:type="spellEnd"/>
          </w:p>
        </w:tc>
        <w:tc>
          <w:tcPr>
            <w:tcW w:w="341" w:type="pct"/>
            <w:textDirection w:val="btLr"/>
            <w:vAlign w:val="center"/>
          </w:tcPr>
          <w:p w:rsidR="00EE50F8" w:rsidRPr="00466C36" w:rsidRDefault="00EE50F8" w:rsidP="00733AD5">
            <w:pPr>
              <w:pStyle w:val="BodyText"/>
              <w:widowControl w:val="0"/>
              <w:ind w:left="113" w:right="113"/>
              <w:jc w:val="left"/>
              <w:rPr>
                <w:b/>
                <w:bCs/>
              </w:rPr>
            </w:pPr>
            <w:r w:rsidRPr="00466C36">
              <w:rPr>
                <w:b/>
                <w:bCs/>
                <w:sz w:val="22"/>
                <w:szCs w:val="22"/>
              </w:rPr>
              <w:t>Fenestration</w:t>
            </w:r>
          </w:p>
        </w:tc>
        <w:tc>
          <w:tcPr>
            <w:tcW w:w="333" w:type="pct"/>
            <w:textDirection w:val="btLr"/>
            <w:vAlign w:val="center"/>
          </w:tcPr>
          <w:p w:rsidR="00EE50F8" w:rsidRPr="00466C36" w:rsidRDefault="00EE50F8" w:rsidP="00733AD5">
            <w:pPr>
              <w:pStyle w:val="BodyText"/>
              <w:widowControl w:val="0"/>
              <w:ind w:left="113" w:right="113"/>
              <w:jc w:val="left"/>
              <w:rPr>
                <w:b/>
                <w:bCs/>
              </w:rPr>
            </w:pPr>
            <w:r w:rsidRPr="00466C36">
              <w:rPr>
                <w:b/>
                <w:bCs/>
                <w:sz w:val="22"/>
                <w:szCs w:val="22"/>
              </w:rPr>
              <w:t>Ceil/Attic</w:t>
            </w:r>
          </w:p>
        </w:tc>
        <w:tc>
          <w:tcPr>
            <w:tcW w:w="586" w:type="pct"/>
            <w:textDirection w:val="btLr"/>
            <w:vAlign w:val="center"/>
          </w:tcPr>
          <w:p w:rsidR="00EE50F8" w:rsidRPr="00466C36" w:rsidRDefault="00EE50F8" w:rsidP="00733AD5">
            <w:pPr>
              <w:pStyle w:val="BodyText"/>
              <w:widowControl w:val="0"/>
              <w:ind w:left="113" w:right="113"/>
              <w:jc w:val="left"/>
              <w:rPr>
                <w:b/>
                <w:bCs/>
              </w:rPr>
            </w:pPr>
            <w:r w:rsidRPr="00466C36">
              <w:rPr>
                <w:b/>
                <w:bCs/>
                <w:sz w:val="22"/>
                <w:szCs w:val="22"/>
              </w:rPr>
              <w:t>Wall</w:t>
            </w:r>
            <w:r w:rsidRPr="00466C36">
              <w:rPr>
                <w:b/>
                <w:bCs/>
                <w:sz w:val="22"/>
                <w:szCs w:val="22"/>
                <w:vertAlign w:val="superscript"/>
              </w:rPr>
              <w:t>a</w:t>
            </w:r>
          </w:p>
        </w:tc>
        <w:tc>
          <w:tcPr>
            <w:tcW w:w="338" w:type="pct"/>
            <w:textDirection w:val="btLr"/>
            <w:vAlign w:val="center"/>
          </w:tcPr>
          <w:p w:rsidR="00EE50F8" w:rsidRPr="00466C36" w:rsidRDefault="00EE50F8" w:rsidP="00733AD5">
            <w:pPr>
              <w:pStyle w:val="BodyText"/>
              <w:widowControl w:val="0"/>
              <w:ind w:left="113" w:right="113"/>
              <w:jc w:val="left"/>
              <w:rPr>
                <w:b/>
                <w:bCs/>
              </w:rPr>
            </w:pPr>
            <w:proofErr w:type="spellStart"/>
            <w:r w:rsidRPr="00466C36">
              <w:rPr>
                <w:b/>
                <w:bCs/>
                <w:sz w:val="22"/>
                <w:szCs w:val="22"/>
              </w:rPr>
              <w:t>Floor</w:t>
            </w:r>
            <w:r w:rsidRPr="00466C36">
              <w:rPr>
                <w:b/>
                <w:bCs/>
                <w:sz w:val="22"/>
                <w:szCs w:val="22"/>
                <w:vertAlign w:val="superscript"/>
              </w:rPr>
              <w:t>b</w:t>
            </w:r>
            <w:proofErr w:type="spellEnd"/>
          </w:p>
        </w:tc>
        <w:tc>
          <w:tcPr>
            <w:tcW w:w="434" w:type="pct"/>
            <w:textDirection w:val="btLr"/>
            <w:vAlign w:val="center"/>
          </w:tcPr>
          <w:p w:rsidR="00EE50F8" w:rsidRPr="00466C36" w:rsidRDefault="00EE50F8" w:rsidP="00733AD5">
            <w:pPr>
              <w:pStyle w:val="BodyText"/>
              <w:widowControl w:val="0"/>
              <w:ind w:left="113" w:right="113"/>
              <w:jc w:val="left"/>
              <w:rPr>
                <w:b/>
                <w:bCs/>
              </w:rPr>
            </w:pPr>
            <w:r w:rsidRPr="00466C36">
              <w:rPr>
                <w:b/>
                <w:bCs/>
                <w:sz w:val="22"/>
                <w:szCs w:val="22"/>
              </w:rPr>
              <w:t xml:space="preserve">Building Leakage </w:t>
            </w:r>
          </w:p>
          <w:p w:rsidR="00EE50F8" w:rsidRPr="00466C36" w:rsidRDefault="00EE50F8" w:rsidP="00733AD5">
            <w:pPr>
              <w:pStyle w:val="BodyText"/>
              <w:widowControl w:val="0"/>
              <w:ind w:left="113" w:right="113"/>
              <w:jc w:val="left"/>
              <w:rPr>
                <w:b/>
                <w:bCs/>
              </w:rPr>
            </w:pPr>
            <w:r w:rsidRPr="00466C36">
              <w:rPr>
                <w:b/>
                <w:bCs/>
                <w:sz w:val="22"/>
                <w:szCs w:val="22"/>
              </w:rPr>
              <w:t>(ACH @ 50 Pa)</w:t>
            </w:r>
          </w:p>
        </w:tc>
        <w:tc>
          <w:tcPr>
            <w:tcW w:w="453" w:type="pct"/>
            <w:textDirection w:val="btLr"/>
            <w:vAlign w:val="center"/>
          </w:tcPr>
          <w:p w:rsidR="00EE50F8" w:rsidRPr="00466C36" w:rsidRDefault="00EE50F8" w:rsidP="00733AD5">
            <w:pPr>
              <w:pStyle w:val="BodyText"/>
              <w:widowControl w:val="0"/>
              <w:ind w:left="113" w:right="113"/>
              <w:jc w:val="left"/>
              <w:rPr>
                <w:b/>
                <w:bCs/>
              </w:rPr>
            </w:pPr>
            <w:r w:rsidRPr="00466C36">
              <w:rPr>
                <w:b/>
                <w:bCs/>
                <w:sz w:val="22"/>
                <w:szCs w:val="22"/>
              </w:rPr>
              <w:t>Annual Heating</w:t>
            </w:r>
          </w:p>
          <w:p w:rsidR="00EE50F8" w:rsidRPr="00466C36" w:rsidRDefault="00EE50F8" w:rsidP="00733AD5">
            <w:pPr>
              <w:pStyle w:val="BodyText"/>
              <w:widowControl w:val="0"/>
              <w:ind w:left="113" w:right="113"/>
              <w:jc w:val="left"/>
              <w:rPr>
                <w:b/>
                <w:bCs/>
              </w:rPr>
            </w:pPr>
            <w:r w:rsidRPr="00466C36">
              <w:rPr>
                <w:b/>
                <w:bCs/>
                <w:sz w:val="22"/>
                <w:szCs w:val="22"/>
              </w:rPr>
              <w:t>Load</w:t>
            </w:r>
            <w:r>
              <w:rPr>
                <w:b/>
                <w:bCs/>
                <w:sz w:val="22"/>
                <w:szCs w:val="22"/>
              </w:rPr>
              <w:t xml:space="preserve"> (</w:t>
            </w:r>
            <w:proofErr w:type="spellStart"/>
            <w:r>
              <w:rPr>
                <w:b/>
                <w:bCs/>
                <w:sz w:val="22"/>
                <w:szCs w:val="22"/>
              </w:rPr>
              <w:t>MMBtu</w:t>
            </w:r>
            <w:proofErr w:type="spellEnd"/>
            <w:r>
              <w:rPr>
                <w:b/>
                <w:bCs/>
                <w:sz w:val="22"/>
                <w:szCs w:val="22"/>
              </w:rPr>
              <w:t>/yr</w:t>
            </w:r>
            <w:r w:rsidR="00C73824">
              <w:rPr>
                <w:b/>
                <w:bCs/>
                <w:sz w:val="22"/>
                <w:szCs w:val="22"/>
              </w:rPr>
              <w:t>)</w:t>
            </w:r>
          </w:p>
        </w:tc>
        <w:tc>
          <w:tcPr>
            <w:tcW w:w="370" w:type="pct"/>
            <w:textDirection w:val="btLr"/>
            <w:vAlign w:val="center"/>
          </w:tcPr>
          <w:p w:rsidR="00EE50F8" w:rsidRPr="00466C36" w:rsidRDefault="00EE50F8" w:rsidP="00733AD5">
            <w:pPr>
              <w:pStyle w:val="BodyText"/>
              <w:widowControl w:val="0"/>
              <w:ind w:left="113" w:right="113"/>
              <w:jc w:val="left"/>
              <w:rPr>
                <w:b/>
                <w:bCs/>
              </w:rPr>
            </w:pPr>
            <w:r w:rsidRPr="00466C36">
              <w:rPr>
                <w:b/>
                <w:bCs/>
                <w:sz w:val="22"/>
                <w:szCs w:val="22"/>
              </w:rPr>
              <w:t>Annual Cooling  Load</w:t>
            </w:r>
            <w:r>
              <w:rPr>
                <w:b/>
                <w:bCs/>
                <w:sz w:val="22"/>
                <w:szCs w:val="22"/>
              </w:rPr>
              <w:t xml:space="preserve"> (</w:t>
            </w:r>
            <w:proofErr w:type="spellStart"/>
            <w:r>
              <w:rPr>
                <w:b/>
                <w:bCs/>
                <w:sz w:val="22"/>
                <w:szCs w:val="22"/>
              </w:rPr>
              <w:t>MMBtu</w:t>
            </w:r>
            <w:proofErr w:type="spellEnd"/>
            <w:r>
              <w:rPr>
                <w:b/>
                <w:bCs/>
                <w:sz w:val="22"/>
                <w:szCs w:val="22"/>
              </w:rPr>
              <w:t xml:space="preserve">/yr </w:t>
            </w:r>
            <w:r w:rsidR="00C73824">
              <w:rPr>
                <w:b/>
                <w:bCs/>
                <w:sz w:val="22"/>
                <w:szCs w:val="22"/>
              </w:rPr>
              <w:t>)</w:t>
            </w:r>
          </w:p>
        </w:tc>
        <w:tc>
          <w:tcPr>
            <w:tcW w:w="478" w:type="pct"/>
            <w:textDirection w:val="btLr"/>
            <w:vAlign w:val="center"/>
          </w:tcPr>
          <w:p w:rsidR="00EE50F8" w:rsidRPr="00466C36" w:rsidRDefault="00EE50F8" w:rsidP="00733AD5">
            <w:pPr>
              <w:pStyle w:val="BodyText"/>
              <w:widowControl w:val="0"/>
              <w:ind w:left="113" w:right="113"/>
              <w:jc w:val="left"/>
              <w:rPr>
                <w:b/>
                <w:bCs/>
              </w:rPr>
            </w:pPr>
            <w:r>
              <w:rPr>
                <w:b/>
                <w:bCs/>
              </w:rPr>
              <w:t xml:space="preserve">Annual Heating CO2 </w:t>
            </w:r>
            <w:proofErr w:type="spellStart"/>
            <w:r>
              <w:rPr>
                <w:b/>
                <w:bCs/>
              </w:rPr>
              <w:t>Production</w:t>
            </w:r>
            <w:r w:rsidRPr="003D0084">
              <w:rPr>
                <w:b/>
                <w:bCs/>
                <w:vertAlign w:val="superscript"/>
              </w:rPr>
              <w:t>d</w:t>
            </w:r>
            <w:proofErr w:type="spellEnd"/>
            <w:r>
              <w:rPr>
                <w:b/>
                <w:bCs/>
              </w:rPr>
              <w:t xml:space="preserve"> </w:t>
            </w:r>
          </w:p>
        </w:tc>
        <w:tc>
          <w:tcPr>
            <w:tcW w:w="168" w:type="pct"/>
            <w:textDirection w:val="btLr"/>
            <w:vAlign w:val="center"/>
          </w:tcPr>
          <w:p w:rsidR="00EE50F8" w:rsidRPr="00466C36" w:rsidRDefault="00EE50F8" w:rsidP="00733AD5">
            <w:pPr>
              <w:pStyle w:val="BodyText"/>
              <w:widowControl w:val="0"/>
              <w:ind w:left="113" w:right="113"/>
              <w:jc w:val="left"/>
              <w:rPr>
                <w:b/>
                <w:bCs/>
              </w:rPr>
            </w:pPr>
          </w:p>
        </w:tc>
      </w:tr>
      <w:tr w:rsidR="00413209" w:rsidRPr="00C2109B" w:rsidTr="00413209">
        <w:trPr>
          <w:trHeight w:val="347"/>
        </w:trPr>
        <w:tc>
          <w:tcPr>
            <w:tcW w:w="349" w:type="pct"/>
            <w:vAlign w:val="center"/>
          </w:tcPr>
          <w:p w:rsidR="00413209" w:rsidRPr="00C2109B" w:rsidRDefault="00413209" w:rsidP="00B40917">
            <w:pPr>
              <w:pStyle w:val="BodyText"/>
              <w:widowControl w:val="0"/>
            </w:pPr>
            <w:r w:rsidRPr="00C2109B">
              <w:rPr>
                <w:sz w:val="22"/>
                <w:szCs w:val="22"/>
              </w:rPr>
              <w:t>1</w:t>
            </w:r>
          </w:p>
        </w:tc>
        <w:tc>
          <w:tcPr>
            <w:tcW w:w="1149" w:type="pct"/>
            <w:vAlign w:val="center"/>
          </w:tcPr>
          <w:p w:rsidR="00413209" w:rsidRPr="00E75CC0" w:rsidRDefault="00413209" w:rsidP="00B40917">
            <w:pPr>
              <w:pStyle w:val="BodyText"/>
              <w:widowControl w:val="0"/>
            </w:pPr>
            <w:r w:rsidRPr="00E75CC0">
              <w:rPr>
                <w:sz w:val="22"/>
                <w:szCs w:val="22"/>
              </w:rPr>
              <w:t>2003</w:t>
            </w:r>
          </w:p>
        </w:tc>
        <w:tc>
          <w:tcPr>
            <w:tcW w:w="341" w:type="pct"/>
            <w:vAlign w:val="center"/>
          </w:tcPr>
          <w:p w:rsidR="00413209" w:rsidRPr="0000010B" w:rsidRDefault="00413209" w:rsidP="00B40917">
            <w:pPr>
              <w:pStyle w:val="BodyText"/>
              <w:widowControl w:val="0"/>
            </w:pPr>
            <w:r w:rsidRPr="0000010B">
              <w:rPr>
                <w:sz w:val="22"/>
                <w:szCs w:val="22"/>
              </w:rPr>
              <w:t>.45</w:t>
            </w:r>
          </w:p>
        </w:tc>
        <w:tc>
          <w:tcPr>
            <w:tcW w:w="333" w:type="pct"/>
            <w:vAlign w:val="center"/>
          </w:tcPr>
          <w:p w:rsidR="00413209" w:rsidRPr="0000010B" w:rsidRDefault="00413209" w:rsidP="00B40917">
            <w:pPr>
              <w:pStyle w:val="BodyText"/>
              <w:widowControl w:val="0"/>
            </w:pPr>
            <w:r w:rsidRPr="0000010B">
              <w:rPr>
                <w:sz w:val="22"/>
                <w:szCs w:val="22"/>
              </w:rPr>
              <w:t>30</w:t>
            </w:r>
          </w:p>
        </w:tc>
        <w:tc>
          <w:tcPr>
            <w:tcW w:w="586" w:type="pct"/>
            <w:vAlign w:val="center"/>
          </w:tcPr>
          <w:p w:rsidR="00413209" w:rsidRPr="0000010B" w:rsidRDefault="00413209" w:rsidP="00B40917">
            <w:pPr>
              <w:pStyle w:val="BodyText"/>
              <w:widowControl w:val="0"/>
            </w:pPr>
            <w:r w:rsidRPr="0000010B">
              <w:rPr>
                <w:sz w:val="22"/>
                <w:szCs w:val="22"/>
              </w:rPr>
              <w:t>13</w:t>
            </w:r>
          </w:p>
        </w:tc>
        <w:tc>
          <w:tcPr>
            <w:tcW w:w="338" w:type="pct"/>
            <w:vAlign w:val="center"/>
          </w:tcPr>
          <w:p w:rsidR="00413209" w:rsidRPr="0000010B" w:rsidRDefault="00413209" w:rsidP="00B40917">
            <w:pPr>
              <w:pStyle w:val="BodyText"/>
              <w:widowControl w:val="0"/>
            </w:pPr>
            <w:r w:rsidRPr="0000010B">
              <w:rPr>
                <w:sz w:val="22"/>
                <w:szCs w:val="22"/>
              </w:rPr>
              <w:t>19</w:t>
            </w:r>
          </w:p>
        </w:tc>
        <w:tc>
          <w:tcPr>
            <w:tcW w:w="434" w:type="pct"/>
            <w:vAlign w:val="center"/>
          </w:tcPr>
          <w:p w:rsidR="00413209" w:rsidRPr="0000010B" w:rsidRDefault="00413209" w:rsidP="00B40917">
            <w:pPr>
              <w:pStyle w:val="BodyText"/>
              <w:widowControl w:val="0"/>
            </w:pPr>
            <w:r w:rsidRPr="0000010B">
              <w:rPr>
                <w:sz w:val="22"/>
                <w:szCs w:val="22"/>
              </w:rPr>
              <w:t>~8</w:t>
            </w:r>
          </w:p>
        </w:tc>
        <w:tc>
          <w:tcPr>
            <w:tcW w:w="453" w:type="pct"/>
            <w:vAlign w:val="center"/>
          </w:tcPr>
          <w:p w:rsidR="00413209" w:rsidRPr="008B2ADE" w:rsidRDefault="00413209" w:rsidP="00B40917">
            <w:pPr>
              <w:pStyle w:val="BodyText"/>
              <w:widowControl w:val="0"/>
            </w:pPr>
            <w:r w:rsidRPr="008B2ADE">
              <w:rPr>
                <w:sz w:val="22"/>
                <w:szCs w:val="22"/>
              </w:rPr>
              <w:t>106.1</w:t>
            </w:r>
          </w:p>
        </w:tc>
        <w:tc>
          <w:tcPr>
            <w:tcW w:w="370" w:type="pct"/>
            <w:vAlign w:val="center"/>
          </w:tcPr>
          <w:p w:rsidR="00413209" w:rsidRPr="008B2ADE" w:rsidRDefault="00413209" w:rsidP="00B40917">
            <w:pPr>
              <w:pStyle w:val="BodyText"/>
              <w:widowControl w:val="0"/>
            </w:pPr>
            <w:r w:rsidRPr="008B2ADE">
              <w:rPr>
                <w:sz w:val="22"/>
                <w:szCs w:val="22"/>
              </w:rPr>
              <w:t>15</w:t>
            </w:r>
          </w:p>
        </w:tc>
        <w:tc>
          <w:tcPr>
            <w:tcW w:w="478" w:type="pct"/>
            <w:vAlign w:val="center"/>
          </w:tcPr>
          <w:p w:rsidR="00413209" w:rsidRPr="00413209" w:rsidRDefault="00413209" w:rsidP="00413209">
            <w:pPr>
              <w:jc w:val="center"/>
              <w:rPr>
                <w:szCs w:val="20"/>
              </w:rPr>
            </w:pPr>
            <w:r w:rsidRPr="00413209">
              <w:rPr>
                <w:sz w:val="22"/>
                <w:szCs w:val="20"/>
              </w:rPr>
              <w:t>5.6</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2</w:t>
            </w:r>
          </w:p>
        </w:tc>
        <w:tc>
          <w:tcPr>
            <w:tcW w:w="1149" w:type="pct"/>
            <w:vAlign w:val="center"/>
          </w:tcPr>
          <w:p w:rsidR="00413209" w:rsidRPr="00E75CC0" w:rsidRDefault="00413209" w:rsidP="00B40917">
            <w:pPr>
              <w:pStyle w:val="BodyText"/>
              <w:widowControl w:val="0"/>
            </w:pPr>
            <w:r w:rsidRPr="00E75CC0">
              <w:rPr>
                <w:sz w:val="22"/>
                <w:szCs w:val="22"/>
              </w:rPr>
              <w:t>2006/2009</w:t>
            </w:r>
          </w:p>
        </w:tc>
        <w:tc>
          <w:tcPr>
            <w:tcW w:w="341" w:type="pct"/>
            <w:vAlign w:val="center"/>
          </w:tcPr>
          <w:p w:rsidR="00413209" w:rsidRPr="0000010B" w:rsidRDefault="00413209" w:rsidP="00B40917">
            <w:pPr>
              <w:pStyle w:val="BodyText"/>
              <w:widowControl w:val="0"/>
            </w:pPr>
            <w:r w:rsidRPr="0000010B">
              <w:rPr>
                <w:sz w:val="22"/>
                <w:szCs w:val="22"/>
              </w:rPr>
              <w:t>.35</w:t>
            </w:r>
          </w:p>
        </w:tc>
        <w:tc>
          <w:tcPr>
            <w:tcW w:w="333" w:type="pct"/>
            <w:vAlign w:val="center"/>
          </w:tcPr>
          <w:p w:rsidR="00413209" w:rsidRPr="0000010B" w:rsidRDefault="00413209" w:rsidP="00B40917">
            <w:pPr>
              <w:pStyle w:val="BodyText"/>
              <w:widowControl w:val="0"/>
            </w:pPr>
            <w:r w:rsidRPr="0000010B">
              <w:rPr>
                <w:sz w:val="22"/>
                <w:szCs w:val="22"/>
              </w:rPr>
              <w:t>38</w:t>
            </w:r>
          </w:p>
        </w:tc>
        <w:tc>
          <w:tcPr>
            <w:tcW w:w="586" w:type="pct"/>
            <w:vAlign w:val="center"/>
          </w:tcPr>
          <w:p w:rsidR="00413209" w:rsidRPr="0000010B" w:rsidRDefault="00413209" w:rsidP="00B40917">
            <w:pPr>
              <w:pStyle w:val="BodyText"/>
              <w:widowControl w:val="0"/>
            </w:pPr>
            <w:r w:rsidRPr="0000010B">
              <w:rPr>
                <w:sz w:val="22"/>
                <w:szCs w:val="22"/>
              </w:rPr>
              <w:t>19/20</w:t>
            </w:r>
          </w:p>
        </w:tc>
        <w:tc>
          <w:tcPr>
            <w:tcW w:w="338" w:type="pct"/>
            <w:vAlign w:val="center"/>
          </w:tcPr>
          <w:p w:rsidR="00413209" w:rsidRPr="0000010B" w:rsidRDefault="00413209" w:rsidP="00B40917">
            <w:pPr>
              <w:pStyle w:val="BodyText"/>
              <w:widowControl w:val="0"/>
            </w:pPr>
            <w:r w:rsidRPr="0000010B">
              <w:rPr>
                <w:sz w:val="22"/>
                <w:szCs w:val="22"/>
              </w:rPr>
              <w:t>30</w:t>
            </w:r>
          </w:p>
        </w:tc>
        <w:tc>
          <w:tcPr>
            <w:tcW w:w="434" w:type="pct"/>
            <w:vAlign w:val="center"/>
          </w:tcPr>
          <w:p w:rsidR="00413209" w:rsidRPr="0000010B" w:rsidRDefault="00413209" w:rsidP="00B40917">
            <w:pPr>
              <w:pStyle w:val="BodyText"/>
              <w:widowControl w:val="0"/>
            </w:pPr>
            <w:r w:rsidRPr="0000010B">
              <w:rPr>
                <w:sz w:val="22"/>
                <w:szCs w:val="22"/>
              </w:rPr>
              <w:t>~7</w:t>
            </w:r>
          </w:p>
        </w:tc>
        <w:tc>
          <w:tcPr>
            <w:tcW w:w="453" w:type="pct"/>
            <w:vAlign w:val="center"/>
          </w:tcPr>
          <w:p w:rsidR="00413209" w:rsidRPr="008B2ADE" w:rsidRDefault="00413209" w:rsidP="00B40917">
            <w:pPr>
              <w:jc w:val="center"/>
            </w:pPr>
            <w:r w:rsidRPr="008B2ADE">
              <w:rPr>
                <w:sz w:val="22"/>
                <w:szCs w:val="22"/>
              </w:rPr>
              <w:t>77.2</w:t>
            </w:r>
          </w:p>
        </w:tc>
        <w:tc>
          <w:tcPr>
            <w:tcW w:w="370" w:type="pct"/>
            <w:vAlign w:val="center"/>
          </w:tcPr>
          <w:p w:rsidR="00413209" w:rsidRPr="008B2ADE" w:rsidRDefault="00413209" w:rsidP="00B40917">
            <w:pPr>
              <w:jc w:val="center"/>
            </w:pPr>
            <w:r w:rsidRPr="008B2ADE">
              <w:rPr>
                <w:sz w:val="22"/>
                <w:szCs w:val="22"/>
              </w:rPr>
              <w:t>16.8</w:t>
            </w:r>
          </w:p>
        </w:tc>
        <w:tc>
          <w:tcPr>
            <w:tcW w:w="478" w:type="pct"/>
            <w:vAlign w:val="center"/>
          </w:tcPr>
          <w:p w:rsidR="00413209" w:rsidRPr="00413209" w:rsidRDefault="00413209" w:rsidP="00413209">
            <w:pPr>
              <w:jc w:val="center"/>
              <w:rPr>
                <w:szCs w:val="20"/>
              </w:rPr>
            </w:pPr>
            <w:r w:rsidRPr="00413209">
              <w:rPr>
                <w:sz w:val="22"/>
                <w:szCs w:val="20"/>
              </w:rPr>
              <w:t>4.1</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3</w:t>
            </w:r>
          </w:p>
        </w:tc>
        <w:tc>
          <w:tcPr>
            <w:tcW w:w="1149" w:type="pct"/>
            <w:vAlign w:val="center"/>
          </w:tcPr>
          <w:p w:rsidR="00413209" w:rsidRPr="00E75CC0" w:rsidRDefault="00413209" w:rsidP="00B40917">
            <w:pPr>
              <w:pStyle w:val="BodyText"/>
              <w:widowControl w:val="0"/>
            </w:pPr>
            <w:r w:rsidRPr="00E75CC0">
              <w:rPr>
                <w:sz w:val="22"/>
                <w:szCs w:val="22"/>
              </w:rPr>
              <w:t>2006/2009</w:t>
            </w:r>
          </w:p>
        </w:tc>
        <w:tc>
          <w:tcPr>
            <w:tcW w:w="341" w:type="pct"/>
            <w:vAlign w:val="center"/>
          </w:tcPr>
          <w:p w:rsidR="00413209" w:rsidRPr="0000010B" w:rsidRDefault="00413209" w:rsidP="00B40917">
            <w:pPr>
              <w:pStyle w:val="BodyText"/>
              <w:widowControl w:val="0"/>
            </w:pPr>
            <w:r w:rsidRPr="0000010B">
              <w:rPr>
                <w:sz w:val="22"/>
                <w:szCs w:val="22"/>
              </w:rPr>
              <w:t>.35</w:t>
            </w:r>
          </w:p>
        </w:tc>
        <w:tc>
          <w:tcPr>
            <w:tcW w:w="333" w:type="pct"/>
            <w:vAlign w:val="center"/>
          </w:tcPr>
          <w:p w:rsidR="00413209" w:rsidRPr="0000010B" w:rsidRDefault="00413209" w:rsidP="00B40917">
            <w:pPr>
              <w:pStyle w:val="BodyText"/>
              <w:widowControl w:val="0"/>
            </w:pPr>
            <w:r w:rsidRPr="0000010B">
              <w:rPr>
                <w:sz w:val="22"/>
                <w:szCs w:val="22"/>
              </w:rPr>
              <w:t>38</w:t>
            </w:r>
          </w:p>
        </w:tc>
        <w:tc>
          <w:tcPr>
            <w:tcW w:w="586" w:type="pct"/>
            <w:vAlign w:val="center"/>
          </w:tcPr>
          <w:p w:rsidR="00413209" w:rsidRPr="0000010B" w:rsidRDefault="00413209" w:rsidP="00B40917">
            <w:pPr>
              <w:pStyle w:val="BodyText"/>
              <w:widowControl w:val="0"/>
            </w:pPr>
            <w:r w:rsidRPr="0000010B">
              <w:rPr>
                <w:sz w:val="22"/>
                <w:szCs w:val="22"/>
              </w:rPr>
              <w:t>19/20</w:t>
            </w:r>
          </w:p>
        </w:tc>
        <w:tc>
          <w:tcPr>
            <w:tcW w:w="338" w:type="pct"/>
            <w:vAlign w:val="center"/>
          </w:tcPr>
          <w:p w:rsidR="00413209" w:rsidRPr="0000010B" w:rsidRDefault="00413209" w:rsidP="00B40917">
            <w:pPr>
              <w:pStyle w:val="BodyText"/>
              <w:widowControl w:val="0"/>
            </w:pPr>
            <w:r w:rsidRPr="0000010B">
              <w:rPr>
                <w:sz w:val="22"/>
                <w:szCs w:val="22"/>
              </w:rPr>
              <w:t>19</w:t>
            </w:r>
          </w:p>
        </w:tc>
        <w:tc>
          <w:tcPr>
            <w:tcW w:w="434" w:type="pct"/>
            <w:vAlign w:val="center"/>
          </w:tcPr>
          <w:p w:rsidR="00413209" w:rsidRPr="0000010B" w:rsidRDefault="00413209" w:rsidP="00B40917">
            <w:pPr>
              <w:jc w:val="center"/>
            </w:pPr>
            <w:r w:rsidRPr="0000010B">
              <w:rPr>
                <w:sz w:val="22"/>
                <w:szCs w:val="22"/>
              </w:rPr>
              <w:t>~7</w:t>
            </w:r>
          </w:p>
        </w:tc>
        <w:tc>
          <w:tcPr>
            <w:tcW w:w="453" w:type="pct"/>
            <w:vAlign w:val="center"/>
          </w:tcPr>
          <w:p w:rsidR="00413209" w:rsidRPr="008B2ADE" w:rsidRDefault="00413209" w:rsidP="00B40917">
            <w:pPr>
              <w:jc w:val="center"/>
            </w:pPr>
            <w:r w:rsidRPr="008B2ADE">
              <w:rPr>
                <w:sz w:val="22"/>
                <w:szCs w:val="22"/>
              </w:rPr>
              <w:t>79.1</w:t>
            </w:r>
          </w:p>
        </w:tc>
        <w:tc>
          <w:tcPr>
            <w:tcW w:w="370" w:type="pct"/>
            <w:vAlign w:val="center"/>
          </w:tcPr>
          <w:p w:rsidR="00413209" w:rsidRPr="008B2ADE" w:rsidRDefault="00413209" w:rsidP="00B40917">
            <w:pPr>
              <w:jc w:val="center"/>
            </w:pPr>
            <w:r w:rsidRPr="008B2ADE">
              <w:rPr>
                <w:sz w:val="22"/>
                <w:szCs w:val="22"/>
              </w:rPr>
              <w:t>16.6</w:t>
            </w:r>
          </w:p>
        </w:tc>
        <w:tc>
          <w:tcPr>
            <w:tcW w:w="478" w:type="pct"/>
            <w:vAlign w:val="center"/>
          </w:tcPr>
          <w:p w:rsidR="00413209" w:rsidRPr="00413209" w:rsidRDefault="00413209" w:rsidP="00413209">
            <w:pPr>
              <w:jc w:val="center"/>
              <w:rPr>
                <w:szCs w:val="20"/>
              </w:rPr>
            </w:pPr>
            <w:r w:rsidRPr="00413209">
              <w:rPr>
                <w:sz w:val="22"/>
                <w:szCs w:val="20"/>
              </w:rPr>
              <w:t>4.2</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4</w:t>
            </w:r>
          </w:p>
        </w:tc>
        <w:tc>
          <w:tcPr>
            <w:tcW w:w="1149" w:type="pct"/>
            <w:vAlign w:val="center"/>
          </w:tcPr>
          <w:p w:rsidR="00413209" w:rsidRPr="00E75CC0" w:rsidRDefault="00413209" w:rsidP="00B40917">
            <w:pPr>
              <w:pStyle w:val="BodyText"/>
              <w:widowControl w:val="0"/>
            </w:pPr>
            <w:r w:rsidRPr="00E75CC0">
              <w:rPr>
                <w:sz w:val="22"/>
                <w:szCs w:val="22"/>
              </w:rPr>
              <w:t>2006/2009</w:t>
            </w:r>
          </w:p>
        </w:tc>
        <w:tc>
          <w:tcPr>
            <w:tcW w:w="341" w:type="pct"/>
            <w:vAlign w:val="center"/>
          </w:tcPr>
          <w:p w:rsidR="00413209" w:rsidRPr="0000010B" w:rsidRDefault="00413209" w:rsidP="00B40917">
            <w:pPr>
              <w:pStyle w:val="BodyText"/>
              <w:widowControl w:val="0"/>
            </w:pPr>
            <w:r w:rsidRPr="0000010B">
              <w:rPr>
                <w:sz w:val="22"/>
                <w:szCs w:val="22"/>
              </w:rPr>
              <w:t>.35</w:t>
            </w:r>
          </w:p>
        </w:tc>
        <w:tc>
          <w:tcPr>
            <w:tcW w:w="333" w:type="pct"/>
            <w:vAlign w:val="center"/>
          </w:tcPr>
          <w:p w:rsidR="00413209" w:rsidRPr="0000010B" w:rsidRDefault="00413209" w:rsidP="00B40917">
            <w:pPr>
              <w:pStyle w:val="BodyText"/>
              <w:widowControl w:val="0"/>
            </w:pPr>
            <w:r w:rsidRPr="0000010B">
              <w:rPr>
                <w:sz w:val="22"/>
                <w:szCs w:val="22"/>
              </w:rPr>
              <w:t>38</w:t>
            </w:r>
          </w:p>
        </w:tc>
        <w:tc>
          <w:tcPr>
            <w:tcW w:w="586" w:type="pct"/>
            <w:vAlign w:val="center"/>
          </w:tcPr>
          <w:p w:rsidR="00413209" w:rsidRPr="0000010B" w:rsidRDefault="00413209" w:rsidP="00B40917">
            <w:pPr>
              <w:pStyle w:val="BodyText"/>
              <w:widowControl w:val="0"/>
            </w:pPr>
            <w:r w:rsidRPr="0000010B">
              <w:rPr>
                <w:sz w:val="22"/>
                <w:szCs w:val="22"/>
              </w:rPr>
              <w:t>13 + 5ci</w:t>
            </w:r>
          </w:p>
        </w:tc>
        <w:tc>
          <w:tcPr>
            <w:tcW w:w="338" w:type="pct"/>
            <w:vAlign w:val="center"/>
          </w:tcPr>
          <w:p w:rsidR="00413209" w:rsidRPr="0000010B" w:rsidRDefault="00413209" w:rsidP="00B40917">
            <w:pPr>
              <w:pStyle w:val="BodyText"/>
              <w:widowControl w:val="0"/>
            </w:pPr>
            <w:r w:rsidRPr="0000010B">
              <w:rPr>
                <w:sz w:val="22"/>
                <w:szCs w:val="22"/>
              </w:rPr>
              <w:t>30</w:t>
            </w:r>
          </w:p>
        </w:tc>
        <w:tc>
          <w:tcPr>
            <w:tcW w:w="434" w:type="pct"/>
            <w:vAlign w:val="center"/>
          </w:tcPr>
          <w:p w:rsidR="00413209" w:rsidRPr="0000010B" w:rsidRDefault="00413209" w:rsidP="00B40917">
            <w:pPr>
              <w:jc w:val="center"/>
            </w:pPr>
            <w:r w:rsidRPr="0000010B">
              <w:rPr>
                <w:sz w:val="22"/>
                <w:szCs w:val="22"/>
              </w:rPr>
              <w:t>~7</w:t>
            </w:r>
          </w:p>
        </w:tc>
        <w:tc>
          <w:tcPr>
            <w:tcW w:w="453" w:type="pct"/>
            <w:vAlign w:val="center"/>
          </w:tcPr>
          <w:p w:rsidR="00413209" w:rsidRPr="008B2ADE" w:rsidRDefault="00413209" w:rsidP="00B40917">
            <w:pPr>
              <w:jc w:val="center"/>
            </w:pPr>
            <w:r w:rsidRPr="008B2ADE">
              <w:rPr>
                <w:sz w:val="22"/>
                <w:szCs w:val="22"/>
              </w:rPr>
              <w:t>74.4</w:t>
            </w:r>
          </w:p>
        </w:tc>
        <w:tc>
          <w:tcPr>
            <w:tcW w:w="370" w:type="pct"/>
            <w:vAlign w:val="center"/>
          </w:tcPr>
          <w:p w:rsidR="00413209" w:rsidRPr="008B2ADE" w:rsidRDefault="00413209" w:rsidP="00B40917">
            <w:pPr>
              <w:jc w:val="center"/>
            </w:pPr>
            <w:r w:rsidRPr="008B2ADE">
              <w:rPr>
                <w:sz w:val="22"/>
                <w:szCs w:val="22"/>
              </w:rPr>
              <w:t>16.9</w:t>
            </w:r>
          </w:p>
        </w:tc>
        <w:tc>
          <w:tcPr>
            <w:tcW w:w="478" w:type="pct"/>
            <w:vAlign w:val="center"/>
          </w:tcPr>
          <w:p w:rsidR="00413209" w:rsidRPr="00413209" w:rsidRDefault="00413209" w:rsidP="00413209">
            <w:pPr>
              <w:jc w:val="center"/>
              <w:rPr>
                <w:szCs w:val="20"/>
              </w:rPr>
            </w:pPr>
            <w:r w:rsidRPr="00413209">
              <w:rPr>
                <w:sz w:val="22"/>
                <w:szCs w:val="20"/>
              </w:rPr>
              <w:t>3.9</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5</w:t>
            </w:r>
          </w:p>
        </w:tc>
        <w:tc>
          <w:tcPr>
            <w:tcW w:w="1149" w:type="pct"/>
            <w:vAlign w:val="center"/>
          </w:tcPr>
          <w:p w:rsidR="00413209" w:rsidRPr="00E75CC0" w:rsidRDefault="00413209" w:rsidP="00B40917">
            <w:pPr>
              <w:pStyle w:val="BodyText"/>
              <w:widowControl w:val="0"/>
            </w:pPr>
            <w:r w:rsidRPr="00E75CC0">
              <w:rPr>
                <w:sz w:val="22"/>
                <w:szCs w:val="22"/>
              </w:rPr>
              <w:t>2012 with 5 ACH</w:t>
            </w:r>
          </w:p>
        </w:tc>
        <w:tc>
          <w:tcPr>
            <w:tcW w:w="341" w:type="pct"/>
            <w:vAlign w:val="center"/>
          </w:tcPr>
          <w:p w:rsidR="00413209" w:rsidRPr="0000010B" w:rsidRDefault="00413209" w:rsidP="00B40917">
            <w:pPr>
              <w:pStyle w:val="BodyText"/>
              <w:widowControl w:val="0"/>
            </w:pPr>
            <w:r w:rsidRPr="0000010B">
              <w:rPr>
                <w:sz w:val="22"/>
                <w:szCs w:val="22"/>
              </w:rPr>
              <w:t>.32</w:t>
            </w:r>
          </w:p>
        </w:tc>
        <w:tc>
          <w:tcPr>
            <w:tcW w:w="333" w:type="pct"/>
            <w:vAlign w:val="center"/>
          </w:tcPr>
          <w:p w:rsidR="00413209" w:rsidRPr="0000010B" w:rsidRDefault="00413209" w:rsidP="00B40917">
            <w:pPr>
              <w:pStyle w:val="BodyText"/>
              <w:widowControl w:val="0"/>
            </w:pPr>
            <w:r w:rsidRPr="0000010B">
              <w:rPr>
                <w:sz w:val="22"/>
                <w:szCs w:val="22"/>
              </w:rPr>
              <w:t>49</w:t>
            </w:r>
          </w:p>
        </w:tc>
        <w:tc>
          <w:tcPr>
            <w:tcW w:w="586" w:type="pct"/>
            <w:vAlign w:val="center"/>
          </w:tcPr>
          <w:p w:rsidR="00413209" w:rsidRPr="0000010B" w:rsidRDefault="00413209" w:rsidP="00B40917">
            <w:pPr>
              <w:pStyle w:val="BodyText"/>
              <w:widowControl w:val="0"/>
            </w:pPr>
            <w:r w:rsidRPr="0000010B">
              <w:rPr>
                <w:sz w:val="22"/>
                <w:szCs w:val="22"/>
              </w:rPr>
              <w:t>20</w:t>
            </w:r>
          </w:p>
        </w:tc>
        <w:tc>
          <w:tcPr>
            <w:tcW w:w="338" w:type="pct"/>
            <w:vAlign w:val="center"/>
          </w:tcPr>
          <w:p w:rsidR="00413209" w:rsidRPr="0000010B" w:rsidRDefault="00413209" w:rsidP="00B40917">
            <w:pPr>
              <w:pStyle w:val="BodyText"/>
              <w:widowControl w:val="0"/>
            </w:pPr>
            <w:r w:rsidRPr="0000010B">
              <w:rPr>
                <w:sz w:val="22"/>
                <w:szCs w:val="22"/>
              </w:rPr>
              <w:t>30</w:t>
            </w:r>
          </w:p>
        </w:tc>
        <w:tc>
          <w:tcPr>
            <w:tcW w:w="434" w:type="pct"/>
            <w:vAlign w:val="center"/>
          </w:tcPr>
          <w:p w:rsidR="00413209" w:rsidRPr="0000010B" w:rsidRDefault="00413209" w:rsidP="00B40917">
            <w:pPr>
              <w:pStyle w:val="BodyText"/>
              <w:widowControl w:val="0"/>
            </w:pPr>
            <w:r w:rsidRPr="0000010B">
              <w:rPr>
                <w:sz w:val="22"/>
                <w:szCs w:val="22"/>
              </w:rPr>
              <w:t>5</w:t>
            </w:r>
          </w:p>
        </w:tc>
        <w:tc>
          <w:tcPr>
            <w:tcW w:w="453" w:type="pct"/>
            <w:vAlign w:val="center"/>
          </w:tcPr>
          <w:p w:rsidR="00413209" w:rsidRPr="008B2ADE" w:rsidRDefault="00413209" w:rsidP="00B40917">
            <w:pPr>
              <w:jc w:val="center"/>
            </w:pPr>
            <w:r w:rsidRPr="008B2ADE">
              <w:rPr>
                <w:sz w:val="22"/>
                <w:szCs w:val="22"/>
              </w:rPr>
              <w:t>58</w:t>
            </w:r>
          </w:p>
        </w:tc>
        <w:tc>
          <w:tcPr>
            <w:tcW w:w="370" w:type="pct"/>
            <w:vAlign w:val="center"/>
          </w:tcPr>
          <w:p w:rsidR="00413209" w:rsidRPr="008B2ADE" w:rsidRDefault="00413209" w:rsidP="00B40917">
            <w:pPr>
              <w:jc w:val="center"/>
            </w:pPr>
            <w:r w:rsidRPr="008B2ADE">
              <w:rPr>
                <w:sz w:val="22"/>
                <w:szCs w:val="22"/>
              </w:rPr>
              <w:t>18.6</w:t>
            </w:r>
          </w:p>
        </w:tc>
        <w:tc>
          <w:tcPr>
            <w:tcW w:w="478" w:type="pct"/>
            <w:vAlign w:val="center"/>
          </w:tcPr>
          <w:p w:rsidR="00413209" w:rsidRPr="00413209" w:rsidRDefault="00413209" w:rsidP="00413209">
            <w:pPr>
              <w:jc w:val="center"/>
              <w:rPr>
                <w:szCs w:val="20"/>
              </w:rPr>
            </w:pPr>
            <w:r w:rsidRPr="00413209">
              <w:rPr>
                <w:sz w:val="22"/>
                <w:szCs w:val="20"/>
              </w:rPr>
              <w:t>3.1</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6</w:t>
            </w:r>
          </w:p>
        </w:tc>
        <w:tc>
          <w:tcPr>
            <w:tcW w:w="1149" w:type="pct"/>
            <w:vAlign w:val="center"/>
          </w:tcPr>
          <w:p w:rsidR="00413209" w:rsidRPr="00E75CC0" w:rsidRDefault="00413209" w:rsidP="00B40917">
            <w:pPr>
              <w:pStyle w:val="BodyText"/>
              <w:widowControl w:val="0"/>
            </w:pPr>
            <w:r w:rsidRPr="00E75CC0">
              <w:rPr>
                <w:sz w:val="22"/>
                <w:szCs w:val="22"/>
              </w:rPr>
              <w:t>2012 with 5 ACH</w:t>
            </w:r>
          </w:p>
        </w:tc>
        <w:tc>
          <w:tcPr>
            <w:tcW w:w="341" w:type="pct"/>
            <w:vAlign w:val="center"/>
          </w:tcPr>
          <w:p w:rsidR="00413209" w:rsidRPr="0000010B" w:rsidRDefault="00413209" w:rsidP="00B40917">
            <w:pPr>
              <w:pStyle w:val="BodyText"/>
              <w:widowControl w:val="0"/>
            </w:pPr>
            <w:r w:rsidRPr="0000010B">
              <w:rPr>
                <w:sz w:val="22"/>
                <w:szCs w:val="22"/>
              </w:rPr>
              <w:t>.32</w:t>
            </w:r>
          </w:p>
        </w:tc>
        <w:tc>
          <w:tcPr>
            <w:tcW w:w="333" w:type="pct"/>
            <w:vAlign w:val="center"/>
          </w:tcPr>
          <w:p w:rsidR="00413209" w:rsidRPr="0000010B" w:rsidRDefault="00413209" w:rsidP="00B40917">
            <w:pPr>
              <w:pStyle w:val="BodyText"/>
              <w:widowControl w:val="0"/>
            </w:pPr>
            <w:r w:rsidRPr="0000010B">
              <w:rPr>
                <w:sz w:val="22"/>
                <w:szCs w:val="22"/>
              </w:rPr>
              <w:t>49</w:t>
            </w:r>
          </w:p>
        </w:tc>
        <w:tc>
          <w:tcPr>
            <w:tcW w:w="586" w:type="pct"/>
            <w:vAlign w:val="center"/>
          </w:tcPr>
          <w:p w:rsidR="00413209" w:rsidRPr="0000010B" w:rsidRDefault="00413209" w:rsidP="00B40917">
            <w:pPr>
              <w:pStyle w:val="BodyText"/>
              <w:widowControl w:val="0"/>
            </w:pPr>
            <w:r w:rsidRPr="0000010B">
              <w:rPr>
                <w:sz w:val="22"/>
                <w:szCs w:val="22"/>
              </w:rPr>
              <w:t>13 + 5ci</w:t>
            </w:r>
          </w:p>
        </w:tc>
        <w:tc>
          <w:tcPr>
            <w:tcW w:w="338" w:type="pct"/>
            <w:vAlign w:val="center"/>
          </w:tcPr>
          <w:p w:rsidR="00413209" w:rsidRPr="0000010B" w:rsidRDefault="00413209" w:rsidP="00B40917">
            <w:pPr>
              <w:pStyle w:val="BodyText"/>
              <w:widowControl w:val="0"/>
            </w:pPr>
            <w:r w:rsidRPr="0000010B">
              <w:rPr>
                <w:sz w:val="22"/>
                <w:szCs w:val="22"/>
              </w:rPr>
              <w:t>30</w:t>
            </w:r>
          </w:p>
        </w:tc>
        <w:tc>
          <w:tcPr>
            <w:tcW w:w="434" w:type="pct"/>
            <w:vAlign w:val="center"/>
          </w:tcPr>
          <w:p w:rsidR="00413209" w:rsidRPr="0000010B" w:rsidRDefault="00413209" w:rsidP="00B40917">
            <w:pPr>
              <w:pStyle w:val="BodyText"/>
              <w:widowControl w:val="0"/>
            </w:pPr>
            <w:r w:rsidRPr="0000010B">
              <w:rPr>
                <w:sz w:val="22"/>
                <w:szCs w:val="22"/>
              </w:rPr>
              <w:t>5</w:t>
            </w:r>
          </w:p>
        </w:tc>
        <w:tc>
          <w:tcPr>
            <w:tcW w:w="453" w:type="pct"/>
            <w:vAlign w:val="center"/>
          </w:tcPr>
          <w:p w:rsidR="00413209" w:rsidRPr="008B2ADE" w:rsidRDefault="00413209" w:rsidP="00B40917">
            <w:pPr>
              <w:jc w:val="center"/>
            </w:pPr>
            <w:r w:rsidRPr="008B2ADE">
              <w:rPr>
                <w:sz w:val="22"/>
                <w:szCs w:val="22"/>
              </w:rPr>
              <w:t>57.8</w:t>
            </w:r>
          </w:p>
        </w:tc>
        <w:tc>
          <w:tcPr>
            <w:tcW w:w="370" w:type="pct"/>
            <w:vAlign w:val="center"/>
          </w:tcPr>
          <w:p w:rsidR="00413209" w:rsidRPr="008B2ADE" w:rsidRDefault="00413209" w:rsidP="00B40917">
            <w:pPr>
              <w:jc w:val="center"/>
            </w:pPr>
            <w:r w:rsidRPr="008B2ADE">
              <w:rPr>
                <w:sz w:val="22"/>
                <w:szCs w:val="22"/>
              </w:rPr>
              <w:t>18.6</w:t>
            </w:r>
          </w:p>
        </w:tc>
        <w:tc>
          <w:tcPr>
            <w:tcW w:w="478" w:type="pct"/>
            <w:vAlign w:val="center"/>
          </w:tcPr>
          <w:p w:rsidR="00413209" w:rsidRPr="00413209" w:rsidRDefault="00413209" w:rsidP="00413209">
            <w:pPr>
              <w:jc w:val="center"/>
              <w:rPr>
                <w:szCs w:val="20"/>
              </w:rPr>
            </w:pPr>
            <w:r w:rsidRPr="00413209">
              <w:rPr>
                <w:sz w:val="22"/>
                <w:szCs w:val="20"/>
              </w:rPr>
              <w:t>3.1</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7</w:t>
            </w:r>
          </w:p>
        </w:tc>
        <w:tc>
          <w:tcPr>
            <w:tcW w:w="1149" w:type="pct"/>
            <w:vAlign w:val="center"/>
          </w:tcPr>
          <w:p w:rsidR="00413209" w:rsidRPr="00E75CC0" w:rsidRDefault="00413209" w:rsidP="00B40917">
            <w:pPr>
              <w:pStyle w:val="BodyText"/>
              <w:widowControl w:val="0"/>
            </w:pPr>
            <w:r w:rsidRPr="00E75CC0">
              <w:rPr>
                <w:sz w:val="22"/>
                <w:szCs w:val="22"/>
              </w:rPr>
              <w:t>2012</w:t>
            </w:r>
          </w:p>
        </w:tc>
        <w:tc>
          <w:tcPr>
            <w:tcW w:w="341" w:type="pct"/>
            <w:vAlign w:val="center"/>
          </w:tcPr>
          <w:p w:rsidR="00413209" w:rsidRPr="0000010B" w:rsidRDefault="00413209" w:rsidP="00B40917">
            <w:pPr>
              <w:pStyle w:val="BodyText"/>
              <w:widowControl w:val="0"/>
            </w:pPr>
            <w:r w:rsidRPr="0000010B">
              <w:rPr>
                <w:sz w:val="22"/>
                <w:szCs w:val="22"/>
              </w:rPr>
              <w:t>.32</w:t>
            </w:r>
          </w:p>
        </w:tc>
        <w:tc>
          <w:tcPr>
            <w:tcW w:w="333" w:type="pct"/>
            <w:vAlign w:val="center"/>
          </w:tcPr>
          <w:p w:rsidR="00413209" w:rsidRPr="0000010B" w:rsidRDefault="00413209" w:rsidP="00B40917">
            <w:pPr>
              <w:pStyle w:val="BodyText"/>
              <w:widowControl w:val="0"/>
            </w:pPr>
            <w:r w:rsidRPr="0000010B">
              <w:rPr>
                <w:sz w:val="22"/>
                <w:szCs w:val="22"/>
              </w:rPr>
              <w:t>49</w:t>
            </w:r>
          </w:p>
        </w:tc>
        <w:tc>
          <w:tcPr>
            <w:tcW w:w="586" w:type="pct"/>
            <w:vAlign w:val="center"/>
          </w:tcPr>
          <w:p w:rsidR="00413209" w:rsidRPr="0000010B" w:rsidRDefault="00413209" w:rsidP="00B40917">
            <w:pPr>
              <w:pStyle w:val="BodyText"/>
              <w:widowControl w:val="0"/>
            </w:pPr>
            <w:r w:rsidRPr="0000010B">
              <w:rPr>
                <w:sz w:val="22"/>
                <w:szCs w:val="22"/>
              </w:rPr>
              <w:t>20</w:t>
            </w:r>
          </w:p>
        </w:tc>
        <w:tc>
          <w:tcPr>
            <w:tcW w:w="338" w:type="pct"/>
            <w:vAlign w:val="center"/>
          </w:tcPr>
          <w:p w:rsidR="00413209" w:rsidRPr="0000010B" w:rsidRDefault="00413209" w:rsidP="00B40917">
            <w:pPr>
              <w:pStyle w:val="BodyText"/>
              <w:widowControl w:val="0"/>
            </w:pPr>
            <w:r w:rsidRPr="0000010B">
              <w:rPr>
                <w:sz w:val="22"/>
                <w:szCs w:val="22"/>
              </w:rPr>
              <w:t>30</w:t>
            </w:r>
          </w:p>
        </w:tc>
        <w:tc>
          <w:tcPr>
            <w:tcW w:w="434" w:type="pct"/>
            <w:vAlign w:val="center"/>
          </w:tcPr>
          <w:p w:rsidR="00413209" w:rsidRPr="0000010B" w:rsidRDefault="00413209" w:rsidP="00B40917">
            <w:pPr>
              <w:pStyle w:val="BodyText"/>
              <w:widowControl w:val="0"/>
            </w:pPr>
            <w:r w:rsidRPr="0000010B">
              <w:rPr>
                <w:sz w:val="22"/>
                <w:szCs w:val="22"/>
              </w:rPr>
              <w:t>3</w:t>
            </w:r>
          </w:p>
        </w:tc>
        <w:tc>
          <w:tcPr>
            <w:tcW w:w="453" w:type="pct"/>
            <w:vAlign w:val="center"/>
          </w:tcPr>
          <w:p w:rsidR="00413209" w:rsidRPr="008B2ADE" w:rsidRDefault="00413209" w:rsidP="00B40917">
            <w:pPr>
              <w:jc w:val="center"/>
            </w:pPr>
            <w:r w:rsidRPr="008B2ADE">
              <w:rPr>
                <w:sz w:val="22"/>
                <w:szCs w:val="22"/>
              </w:rPr>
              <w:t>48.7</w:t>
            </w:r>
          </w:p>
        </w:tc>
        <w:tc>
          <w:tcPr>
            <w:tcW w:w="370" w:type="pct"/>
            <w:vAlign w:val="center"/>
          </w:tcPr>
          <w:p w:rsidR="00413209" w:rsidRPr="008B2ADE" w:rsidRDefault="00413209" w:rsidP="00B40917">
            <w:pPr>
              <w:jc w:val="center"/>
            </w:pPr>
            <w:r w:rsidRPr="008B2ADE">
              <w:rPr>
                <w:sz w:val="22"/>
                <w:szCs w:val="22"/>
              </w:rPr>
              <w:t>18.8</w:t>
            </w:r>
          </w:p>
        </w:tc>
        <w:tc>
          <w:tcPr>
            <w:tcW w:w="478" w:type="pct"/>
            <w:vAlign w:val="center"/>
          </w:tcPr>
          <w:p w:rsidR="00413209" w:rsidRPr="00413209" w:rsidRDefault="00413209" w:rsidP="00413209">
            <w:pPr>
              <w:jc w:val="center"/>
              <w:rPr>
                <w:szCs w:val="20"/>
              </w:rPr>
            </w:pPr>
            <w:r w:rsidRPr="00413209">
              <w:rPr>
                <w:sz w:val="22"/>
                <w:szCs w:val="20"/>
              </w:rPr>
              <w:t>2.6</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8</w:t>
            </w:r>
          </w:p>
        </w:tc>
        <w:tc>
          <w:tcPr>
            <w:tcW w:w="1149" w:type="pct"/>
            <w:vAlign w:val="center"/>
          </w:tcPr>
          <w:p w:rsidR="00413209" w:rsidRPr="00E75CC0" w:rsidRDefault="00413209" w:rsidP="00B40917">
            <w:pPr>
              <w:pStyle w:val="BodyText"/>
              <w:widowControl w:val="0"/>
            </w:pPr>
            <w:r w:rsidRPr="00E75CC0">
              <w:rPr>
                <w:sz w:val="22"/>
                <w:szCs w:val="22"/>
              </w:rPr>
              <w:t>2012</w:t>
            </w:r>
          </w:p>
        </w:tc>
        <w:tc>
          <w:tcPr>
            <w:tcW w:w="341" w:type="pct"/>
            <w:vAlign w:val="center"/>
          </w:tcPr>
          <w:p w:rsidR="00413209" w:rsidRPr="0000010B" w:rsidRDefault="00413209" w:rsidP="00B40917">
            <w:pPr>
              <w:pStyle w:val="BodyText"/>
              <w:widowControl w:val="0"/>
            </w:pPr>
            <w:r w:rsidRPr="0000010B">
              <w:rPr>
                <w:sz w:val="22"/>
                <w:szCs w:val="22"/>
              </w:rPr>
              <w:t>.32</w:t>
            </w:r>
          </w:p>
        </w:tc>
        <w:tc>
          <w:tcPr>
            <w:tcW w:w="333" w:type="pct"/>
            <w:vAlign w:val="center"/>
          </w:tcPr>
          <w:p w:rsidR="00413209" w:rsidRPr="0000010B" w:rsidRDefault="00413209" w:rsidP="00B40917">
            <w:pPr>
              <w:pStyle w:val="BodyText"/>
              <w:widowControl w:val="0"/>
            </w:pPr>
            <w:r w:rsidRPr="0000010B">
              <w:rPr>
                <w:sz w:val="22"/>
                <w:szCs w:val="22"/>
              </w:rPr>
              <w:t>49</w:t>
            </w:r>
          </w:p>
        </w:tc>
        <w:tc>
          <w:tcPr>
            <w:tcW w:w="586" w:type="pct"/>
            <w:vAlign w:val="center"/>
          </w:tcPr>
          <w:p w:rsidR="00413209" w:rsidRPr="0000010B" w:rsidRDefault="00413209" w:rsidP="00B40917">
            <w:pPr>
              <w:pStyle w:val="BodyText"/>
              <w:widowControl w:val="0"/>
            </w:pPr>
            <w:r w:rsidRPr="0000010B">
              <w:rPr>
                <w:sz w:val="22"/>
                <w:szCs w:val="22"/>
              </w:rPr>
              <w:t>13 + 5ci</w:t>
            </w:r>
          </w:p>
        </w:tc>
        <w:tc>
          <w:tcPr>
            <w:tcW w:w="338" w:type="pct"/>
            <w:vAlign w:val="center"/>
          </w:tcPr>
          <w:p w:rsidR="00413209" w:rsidRPr="0000010B" w:rsidRDefault="00413209" w:rsidP="00B40917">
            <w:pPr>
              <w:pStyle w:val="BodyText"/>
              <w:widowControl w:val="0"/>
            </w:pPr>
            <w:r w:rsidRPr="0000010B">
              <w:rPr>
                <w:sz w:val="22"/>
                <w:szCs w:val="22"/>
              </w:rPr>
              <w:t>30</w:t>
            </w:r>
          </w:p>
        </w:tc>
        <w:tc>
          <w:tcPr>
            <w:tcW w:w="434" w:type="pct"/>
            <w:vAlign w:val="center"/>
          </w:tcPr>
          <w:p w:rsidR="00413209" w:rsidRPr="0000010B" w:rsidRDefault="00413209" w:rsidP="00B40917">
            <w:pPr>
              <w:pStyle w:val="BodyText"/>
              <w:widowControl w:val="0"/>
            </w:pPr>
            <w:r w:rsidRPr="0000010B">
              <w:rPr>
                <w:sz w:val="22"/>
                <w:szCs w:val="22"/>
              </w:rPr>
              <w:t>3</w:t>
            </w:r>
          </w:p>
        </w:tc>
        <w:tc>
          <w:tcPr>
            <w:tcW w:w="453" w:type="pct"/>
            <w:vAlign w:val="center"/>
          </w:tcPr>
          <w:p w:rsidR="00413209" w:rsidRPr="008B2ADE" w:rsidRDefault="00413209" w:rsidP="00B40917">
            <w:pPr>
              <w:jc w:val="center"/>
            </w:pPr>
            <w:r w:rsidRPr="008B2ADE">
              <w:rPr>
                <w:sz w:val="22"/>
                <w:szCs w:val="22"/>
              </w:rPr>
              <w:t>48.5</w:t>
            </w:r>
          </w:p>
        </w:tc>
        <w:tc>
          <w:tcPr>
            <w:tcW w:w="370" w:type="pct"/>
            <w:vAlign w:val="center"/>
          </w:tcPr>
          <w:p w:rsidR="00413209" w:rsidRPr="008B2ADE" w:rsidRDefault="00413209" w:rsidP="00B40917">
            <w:pPr>
              <w:jc w:val="center"/>
            </w:pPr>
            <w:r w:rsidRPr="008B2ADE">
              <w:rPr>
                <w:sz w:val="22"/>
                <w:szCs w:val="22"/>
              </w:rPr>
              <w:t>18.8</w:t>
            </w:r>
          </w:p>
        </w:tc>
        <w:tc>
          <w:tcPr>
            <w:tcW w:w="478" w:type="pct"/>
            <w:vAlign w:val="center"/>
          </w:tcPr>
          <w:p w:rsidR="00413209" w:rsidRPr="00413209" w:rsidRDefault="00413209" w:rsidP="00413209">
            <w:pPr>
              <w:jc w:val="center"/>
              <w:rPr>
                <w:szCs w:val="20"/>
              </w:rPr>
            </w:pPr>
            <w:r w:rsidRPr="00413209">
              <w:rPr>
                <w:sz w:val="22"/>
                <w:szCs w:val="20"/>
              </w:rPr>
              <w:t>2.6</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9</w:t>
            </w:r>
          </w:p>
        </w:tc>
        <w:tc>
          <w:tcPr>
            <w:tcW w:w="1149" w:type="pct"/>
            <w:vAlign w:val="center"/>
          </w:tcPr>
          <w:p w:rsidR="00413209" w:rsidRPr="00C2109B" w:rsidRDefault="00413209" w:rsidP="00B40917">
            <w:pPr>
              <w:pStyle w:val="BodyText"/>
              <w:widowControl w:val="0"/>
            </w:pPr>
            <w:r w:rsidRPr="00C2109B">
              <w:rPr>
                <w:sz w:val="22"/>
                <w:szCs w:val="22"/>
              </w:rPr>
              <w:t>2006/2009 hybrid</w:t>
            </w:r>
          </w:p>
        </w:tc>
        <w:tc>
          <w:tcPr>
            <w:tcW w:w="341" w:type="pct"/>
            <w:vAlign w:val="center"/>
          </w:tcPr>
          <w:p w:rsidR="00413209" w:rsidRPr="00C2109B" w:rsidRDefault="00413209" w:rsidP="00B40917">
            <w:pPr>
              <w:pStyle w:val="BodyText"/>
              <w:widowControl w:val="0"/>
            </w:pPr>
            <w:r w:rsidRPr="00C2109B">
              <w:rPr>
                <w:sz w:val="22"/>
                <w:szCs w:val="22"/>
              </w:rPr>
              <w:t>.35</w:t>
            </w:r>
          </w:p>
        </w:tc>
        <w:tc>
          <w:tcPr>
            <w:tcW w:w="333" w:type="pct"/>
            <w:vAlign w:val="center"/>
          </w:tcPr>
          <w:p w:rsidR="00413209" w:rsidRPr="00C2109B" w:rsidRDefault="00413209" w:rsidP="00B40917">
            <w:pPr>
              <w:pStyle w:val="BodyText"/>
              <w:widowControl w:val="0"/>
            </w:pPr>
            <w:r w:rsidRPr="00C2109B">
              <w:rPr>
                <w:sz w:val="22"/>
                <w:szCs w:val="22"/>
              </w:rPr>
              <w:t>38</w:t>
            </w:r>
          </w:p>
        </w:tc>
        <w:tc>
          <w:tcPr>
            <w:tcW w:w="586" w:type="pct"/>
            <w:vAlign w:val="center"/>
          </w:tcPr>
          <w:p w:rsidR="00413209" w:rsidRPr="00C2109B" w:rsidRDefault="00413209" w:rsidP="00B40917">
            <w:pPr>
              <w:pStyle w:val="BodyText"/>
              <w:widowControl w:val="0"/>
            </w:pPr>
            <w:r w:rsidRPr="00C2109B">
              <w:rPr>
                <w:sz w:val="22"/>
                <w:szCs w:val="22"/>
              </w:rPr>
              <w:t>13 + 5ci</w:t>
            </w:r>
          </w:p>
        </w:tc>
        <w:tc>
          <w:tcPr>
            <w:tcW w:w="338" w:type="pct"/>
            <w:vAlign w:val="center"/>
          </w:tcPr>
          <w:p w:rsidR="00413209" w:rsidRPr="00C2109B" w:rsidRDefault="00413209" w:rsidP="00B40917">
            <w:pPr>
              <w:pStyle w:val="BodyText"/>
              <w:widowControl w:val="0"/>
            </w:pPr>
            <w:r w:rsidRPr="00C2109B">
              <w:rPr>
                <w:sz w:val="22"/>
                <w:szCs w:val="22"/>
              </w:rPr>
              <w:t>30</w:t>
            </w:r>
          </w:p>
        </w:tc>
        <w:tc>
          <w:tcPr>
            <w:tcW w:w="434" w:type="pct"/>
            <w:vAlign w:val="center"/>
          </w:tcPr>
          <w:p w:rsidR="00413209" w:rsidRPr="00C2109B" w:rsidRDefault="00413209" w:rsidP="00B40917">
            <w:pPr>
              <w:pStyle w:val="BodyText"/>
              <w:widowControl w:val="0"/>
            </w:pPr>
            <w:r w:rsidRPr="00C2109B">
              <w:rPr>
                <w:sz w:val="22"/>
                <w:szCs w:val="22"/>
              </w:rPr>
              <w:t>5</w:t>
            </w:r>
          </w:p>
        </w:tc>
        <w:tc>
          <w:tcPr>
            <w:tcW w:w="453" w:type="pct"/>
            <w:vAlign w:val="center"/>
          </w:tcPr>
          <w:p w:rsidR="00413209" w:rsidRPr="008B2ADE" w:rsidRDefault="00413209" w:rsidP="00B40917">
            <w:pPr>
              <w:jc w:val="center"/>
            </w:pPr>
            <w:r w:rsidRPr="008B2ADE">
              <w:rPr>
                <w:sz w:val="22"/>
                <w:szCs w:val="22"/>
              </w:rPr>
              <w:t>62.2</w:t>
            </w:r>
          </w:p>
        </w:tc>
        <w:tc>
          <w:tcPr>
            <w:tcW w:w="370" w:type="pct"/>
            <w:vAlign w:val="center"/>
          </w:tcPr>
          <w:p w:rsidR="00413209" w:rsidRPr="008B2ADE" w:rsidRDefault="00413209" w:rsidP="00B40917">
            <w:pPr>
              <w:jc w:val="center"/>
            </w:pPr>
            <w:r w:rsidRPr="008B2ADE">
              <w:rPr>
                <w:sz w:val="22"/>
                <w:szCs w:val="22"/>
              </w:rPr>
              <w:t>17.8</w:t>
            </w:r>
          </w:p>
        </w:tc>
        <w:tc>
          <w:tcPr>
            <w:tcW w:w="478" w:type="pct"/>
            <w:vAlign w:val="center"/>
          </w:tcPr>
          <w:p w:rsidR="00413209" w:rsidRPr="00413209" w:rsidRDefault="00413209" w:rsidP="00413209">
            <w:pPr>
              <w:jc w:val="center"/>
              <w:rPr>
                <w:szCs w:val="20"/>
              </w:rPr>
            </w:pPr>
            <w:r w:rsidRPr="00413209">
              <w:rPr>
                <w:sz w:val="22"/>
                <w:szCs w:val="20"/>
              </w:rPr>
              <w:t>3.3</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10</w:t>
            </w:r>
          </w:p>
        </w:tc>
        <w:tc>
          <w:tcPr>
            <w:tcW w:w="1149" w:type="pct"/>
            <w:vAlign w:val="center"/>
          </w:tcPr>
          <w:p w:rsidR="00413209" w:rsidRPr="00C2109B" w:rsidRDefault="00413209" w:rsidP="00B40917">
            <w:pPr>
              <w:pStyle w:val="BodyText"/>
              <w:widowControl w:val="0"/>
              <w:rPr>
                <w:vertAlign w:val="subscript"/>
              </w:rPr>
            </w:pPr>
            <w:r w:rsidRPr="00C2109B">
              <w:rPr>
                <w:sz w:val="22"/>
                <w:szCs w:val="22"/>
              </w:rPr>
              <w:t>2006/2009 hybrid</w:t>
            </w:r>
          </w:p>
        </w:tc>
        <w:tc>
          <w:tcPr>
            <w:tcW w:w="341" w:type="pct"/>
            <w:vAlign w:val="center"/>
          </w:tcPr>
          <w:p w:rsidR="00413209" w:rsidRPr="00C2109B" w:rsidRDefault="00413209" w:rsidP="00B40917">
            <w:pPr>
              <w:pStyle w:val="BodyText"/>
              <w:widowControl w:val="0"/>
            </w:pPr>
            <w:r w:rsidRPr="00C2109B">
              <w:rPr>
                <w:sz w:val="22"/>
                <w:szCs w:val="22"/>
              </w:rPr>
              <w:t>.35</w:t>
            </w:r>
          </w:p>
        </w:tc>
        <w:tc>
          <w:tcPr>
            <w:tcW w:w="333" w:type="pct"/>
            <w:vAlign w:val="center"/>
          </w:tcPr>
          <w:p w:rsidR="00413209" w:rsidRPr="00C2109B" w:rsidRDefault="00413209" w:rsidP="00B40917">
            <w:pPr>
              <w:pStyle w:val="BodyText"/>
              <w:widowControl w:val="0"/>
            </w:pPr>
            <w:r w:rsidRPr="00C2109B">
              <w:rPr>
                <w:sz w:val="22"/>
                <w:szCs w:val="22"/>
              </w:rPr>
              <w:t>38</w:t>
            </w:r>
          </w:p>
        </w:tc>
        <w:tc>
          <w:tcPr>
            <w:tcW w:w="586" w:type="pct"/>
            <w:vAlign w:val="center"/>
          </w:tcPr>
          <w:p w:rsidR="00413209" w:rsidRPr="00C2109B" w:rsidRDefault="00413209" w:rsidP="00B40917">
            <w:pPr>
              <w:pStyle w:val="BodyText"/>
              <w:widowControl w:val="0"/>
            </w:pPr>
            <w:r w:rsidRPr="00C2109B">
              <w:rPr>
                <w:sz w:val="22"/>
                <w:szCs w:val="22"/>
              </w:rPr>
              <w:t>13 + 5ci</w:t>
            </w:r>
          </w:p>
        </w:tc>
        <w:tc>
          <w:tcPr>
            <w:tcW w:w="338" w:type="pct"/>
            <w:vAlign w:val="center"/>
          </w:tcPr>
          <w:p w:rsidR="00413209" w:rsidRPr="00C2109B" w:rsidRDefault="00413209" w:rsidP="00B40917">
            <w:pPr>
              <w:pStyle w:val="BodyText"/>
              <w:widowControl w:val="0"/>
            </w:pPr>
            <w:r w:rsidRPr="00C2109B">
              <w:rPr>
                <w:sz w:val="22"/>
                <w:szCs w:val="22"/>
              </w:rPr>
              <w:t>30</w:t>
            </w:r>
          </w:p>
        </w:tc>
        <w:tc>
          <w:tcPr>
            <w:tcW w:w="434" w:type="pct"/>
            <w:vAlign w:val="center"/>
          </w:tcPr>
          <w:p w:rsidR="00413209" w:rsidRPr="00C2109B" w:rsidRDefault="00413209" w:rsidP="00B40917">
            <w:pPr>
              <w:pStyle w:val="BodyText"/>
              <w:widowControl w:val="0"/>
            </w:pPr>
            <w:r w:rsidRPr="00C2109B">
              <w:rPr>
                <w:sz w:val="22"/>
                <w:szCs w:val="22"/>
              </w:rPr>
              <w:t>3</w:t>
            </w:r>
          </w:p>
        </w:tc>
        <w:tc>
          <w:tcPr>
            <w:tcW w:w="453" w:type="pct"/>
            <w:vAlign w:val="center"/>
          </w:tcPr>
          <w:p w:rsidR="00413209" w:rsidRPr="008B2ADE" w:rsidRDefault="00413209" w:rsidP="00B40917">
            <w:pPr>
              <w:jc w:val="center"/>
            </w:pPr>
            <w:r w:rsidRPr="008B2ADE">
              <w:rPr>
                <w:sz w:val="22"/>
                <w:szCs w:val="22"/>
              </w:rPr>
              <w:t>50.4</w:t>
            </w:r>
          </w:p>
        </w:tc>
        <w:tc>
          <w:tcPr>
            <w:tcW w:w="370" w:type="pct"/>
            <w:vAlign w:val="center"/>
          </w:tcPr>
          <w:p w:rsidR="00413209" w:rsidRPr="008B2ADE" w:rsidRDefault="00413209" w:rsidP="00B40917">
            <w:pPr>
              <w:jc w:val="center"/>
            </w:pPr>
            <w:r w:rsidRPr="008B2ADE">
              <w:rPr>
                <w:sz w:val="22"/>
                <w:szCs w:val="22"/>
              </w:rPr>
              <w:t>18.7</w:t>
            </w:r>
          </w:p>
        </w:tc>
        <w:tc>
          <w:tcPr>
            <w:tcW w:w="478" w:type="pct"/>
            <w:vAlign w:val="center"/>
          </w:tcPr>
          <w:p w:rsidR="00413209" w:rsidRPr="00413209" w:rsidRDefault="00413209" w:rsidP="00413209">
            <w:pPr>
              <w:jc w:val="center"/>
              <w:rPr>
                <w:szCs w:val="20"/>
              </w:rPr>
            </w:pPr>
            <w:r w:rsidRPr="00413209">
              <w:rPr>
                <w:sz w:val="22"/>
                <w:szCs w:val="20"/>
              </w:rPr>
              <w:t>2.7</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11</w:t>
            </w:r>
          </w:p>
        </w:tc>
        <w:tc>
          <w:tcPr>
            <w:tcW w:w="1149" w:type="pct"/>
            <w:vAlign w:val="center"/>
          </w:tcPr>
          <w:p w:rsidR="00413209" w:rsidRPr="00C2109B" w:rsidRDefault="00413209" w:rsidP="00B40917">
            <w:pPr>
              <w:pStyle w:val="BodyText"/>
              <w:widowControl w:val="0"/>
            </w:pPr>
            <w:r w:rsidRPr="00C2109B">
              <w:rPr>
                <w:sz w:val="22"/>
                <w:szCs w:val="22"/>
              </w:rPr>
              <w:t>2006/2009 hybrid</w:t>
            </w:r>
          </w:p>
        </w:tc>
        <w:tc>
          <w:tcPr>
            <w:tcW w:w="341" w:type="pct"/>
            <w:vAlign w:val="center"/>
          </w:tcPr>
          <w:p w:rsidR="00413209" w:rsidRPr="00C2109B" w:rsidRDefault="00413209" w:rsidP="00B40917">
            <w:pPr>
              <w:pStyle w:val="BodyText"/>
              <w:widowControl w:val="0"/>
            </w:pPr>
            <w:r w:rsidRPr="00C2109B">
              <w:rPr>
                <w:sz w:val="22"/>
                <w:szCs w:val="22"/>
              </w:rPr>
              <w:t>.35</w:t>
            </w:r>
          </w:p>
        </w:tc>
        <w:tc>
          <w:tcPr>
            <w:tcW w:w="333" w:type="pct"/>
            <w:vAlign w:val="center"/>
          </w:tcPr>
          <w:p w:rsidR="00413209" w:rsidRPr="00C2109B" w:rsidRDefault="00413209" w:rsidP="00B40917">
            <w:pPr>
              <w:pStyle w:val="BodyText"/>
              <w:widowControl w:val="0"/>
            </w:pPr>
            <w:r w:rsidRPr="00C2109B">
              <w:rPr>
                <w:sz w:val="22"/>
                <w:szCs w:val="22"/>
              </w:rPr>
              <w:t>49</w:t>
            </w:r>
          </w:p>
        </w:tc>
        <w:tc>
          <w:tcPr>
            <w:tcW w:w="586" w:type="pct"/>
            <w:vAlign w:val="center"/>
          </w:tcPr>
          <w:p w:rsidR="00413209" w:rsidRPr="00C2109B" w:rsidRDefault="00413209" w:rsidP="00B40917">
            <w:pPr>
              <w:pStyle w:val="BodyText"/>
              <w:widowControl w:val="0"/>
            </w:pPr>
            <w:r w:rsidRPr="00C2109B">
              <w:rPr>
                <w:sz w:val="22"/>
                <w:szCs w:val="22"/>
              </w:rPr>
              <w:t>13 + 5ci</w:t>
            </w:r>
          </w:p>
        </w:tc>
        <w:tc>
          <w:tcPr>
            <w:tcW w:w="338" w:type="pct"/>
            <w:vAlign w:val="center"/>
          </w:tcPr>
          <w:p w:rsidR="00413209" w:rsidRPr="00C2109B" w:rsidRDefault="00413209" w:rsidP="00B40917">
            <w:pPr>
              <w:pStyle w:val="BodyText"/>
              <w:widowControl w:val="0"/>
            </w:pPr>
            <w:r w:rsidRPr="00C2109B">
              <w:rPr>
                <w:sz w:val="22"/>
                <w:szCs w:val="22"/>
              </w:rPr>
              <w:t>30</w:t>
            </w:r>
          </w:p>
        </w:tc>
        <w:tc>
          <w:tcPr>
            <w:tcW w:w="434" w:type="pct"/>
            <w:vAlign w:val="center"/>
          </w:tcPr>
          <w:p w:rsidR="00413209" w:rsidRPr="00C2109B" w:rsidRDefault="00413209" w:rsidP="00B40917">
            <w:pPr>
              <w:pStyle w:val="BodyText"/>
              <w:widowControl w:val="0"/>
            </w:pPr>
            <w:r w:rsidRPr="00C2109B">
              <w:rPr>
                <w:sz w:val="22"/>
                <w:szCs w:val="22"/>
              </w:rPr>
              <w:t>5</w:t>
            </w:r>
          </w:p>
        </w:tc>
        <w:tc>
          <w:tcPr>
            <w:tcW w:w="453" w:type="pct"/>
            <w:vAlign w:val="center"/>
          </w:tcPr>
          <w:p w:rsidR="00413209" w:rsidRPr="008B2ADE" w:rsidRDefault="00413209" w:rsidP="00B40917">
            <w:pPr>
              <w:jc w:val="center"/>
            </w:pPr>
            <w:r w:rsidRPr="008B2ADE">
              <w:rPr>
                <w:sz w:val="22"/>
                <w:szCs w:val="22"/>
              </w:rPr>
              <w:t>60.5</w:t>
            </w:r>
          </w:p>
        </w:tc>
        <w:tc>
          <w:tcPr>
            <w:tcW w:w="370" w:type="pct"/>
            <w:vAlign w:val="center"/>
          </w:tcPr>
          <w:p w:rsidR="00413209" w:rsidRPr="008B2ADE" w:rsidRDefault="00413209" w:rsidP="00B40917">
            <w:pPr>
              <w:jc w:val="center"/>
            </w:pPr>
            <w:r w:rsidRPr="008B2ADE">
              <w:rPr>
                <w:sz w:val="22"/>
                <w:szCs w:val="22"/>
              </w:rPr>
              <w:t>17.7</w:t>
            </w:r>
          </w:p>
        </w:tc>
        <w:tc>
          <w:tcPr>
            <w:tcW w:w="478" w:type="pct"/>
            <w:vAlign w:val="center"/>
          </w:tcPr>
          <w:p w:rsidR="00413209" w:rsidRPr="00413209" w:rsidRDefault="00413209" w:rsidP="00413209">
            <w:pPr>
              <w:jc w:val="center"/>
              <w:rPr>
                <w:szCs w:val="20"/>
              </w:rPr>
            </w:pPr>
            <w:r w:rsidRPr="00413209">
              <w:rPr>
                <w:sz w:val="22"/>
                <w:szCs w:val="20"/>
              </w:rPr>
              <w:t>3.2</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12</w:t>
            </w:r>
          </w:p>
        </w:tc>
        <w:tc>
          <w:tcPr>
            <w:tcW w:w="1149" w:type="pct"/>
            <w:vAlign w:val="center"/>
          </w:tcPr>
          <w:p w:rsidR="00413209" w:rsidRPr="00C2109B" w:rsidRDefault="00413209" w:rsidP="00B40917">
            <w:pPr>
              <w:pStyle w:val="BodyText"/>
              <w:widowControl w:val="0"/>
            </w:pPr>
            <w:r w:rsidRPr="00C2109B">
              <w:rPr>
                <w:sz w:val="22"/>
                <w:szCs w:val="22"/>
              </w:rPr>
              <w:t>2006/2009 hybrid</w:t>
            </w:r>
          </w:p>
        </w:tc>
        <w:tc>
          <w:tcPr>
            <w:tcW w:w="341" w:type="pct"/>
            <w:vAlign w:val="center"/>
          </w:tcPr>
          <w:p w:rsidR="00413209" w:rsidRPr="00C2109B" w:rsidRDefault="00413209" w:rsidP="00B40917">
            <w:pPr>
              <w:pStyle w:val="BodyText"/>
              <w:widowControl w:val="0"/>
            </w:pPr>
            <w:r w:rsidRPr="00C2109B">
              <w:rPr>
                <w:sz w:val="22"/>
                <w:szCs w:val="22"/>
              </w:rPr>
              <w:t>.35</w:t>
            </w:r>
          </w:p>
        </w:tc>
        <w:tc>
          <w:tcPr>
            <w:tcW w:w="333" w:type="pct"/>
            <w:vAlign w:val="center"/>
          </w:tcPr>
          <w:p w:rsidR="00413209" w:rsidRPr="00C2109B" w:rsidRDefault="00413209" w:rsidP="00B40917">
            <w:pPr>
              <w:pStyle w:val="BodyText"/>
              <w:widowControl w:val="0"/>
            </w:pPr>
            <w:r w:rsidRPr="00C2109B">
              <w:rPr>
                <w:sz w:val="22"/>
                <w:szCs w:val="22"/>
              </w:rPr>
              <w:t>49</w:t>
            </w:r>
          </w:p>
        </w:tc>
        <w:tc>
          <w:tcPr>
            <w:tcW w:w="586" w:type="pct"/>
            <w:vAlign w:val="center"/>
          </w:tcPr>
          <w:p w:rsidR="00413209" w:rsidRPr="00C2109B" w:rsidRDefault="00413209" w:rsidP="00B40917">
            <w:pPr>
              <w:pStyle w:val="BodyText"/>
              <w:widowControl w:val="0"/>
            </w:pPr>
            <w:r w:rsidRPr="00C2109B">
              <w:rPr>
                <w:sz w:val="22"/>
                <w:szCs w:val="22"/>
              </w:rPr>
              <w:t>13 + 5ci</w:t>
            </w:r>
          </w:p>
        </w:tc>
        <w:tc>
          <w:tcPr>
            <w:tcW w:w="338" w:type="pct"/>
            <w:vAlign w:val="center"/>
          </w:tcPr>
          <w:p w:rsidR="00413209" w:rsidRPr="00C2109B" w:rsidRDefault="00413209" w:rsidP="00B40917">
            <w:pPr>
              <w:pStyle w:val="BodyText"/>
              <w:widowControl w:val="0"/>
            </w:pPr>
            <w:r w:rsidRPr="00C2109B">
              <w:rPr>
                <w:sz w:val="22"/>
                <w:szCs w:val="22"/>
              </w:rPr>
              <w:t>30</w:t>
            </w:r>
          </w:p>
        </w:tc>
        <w:tc>
          <w:tcPr>
            <w:tcW w:w="434" w:type="pct"/>
            <w:vAlign w:val="center"/>
          </w:tcPr>
          <w:p w:rsidR="00413209" w:rsidRPr="00C2109B" w:rsidRDefault="00413209" w:rsidP="00B40917">
            <w:pPr>
              <w:pStyle w:val="BodyText"/>
              <w:widowControl w:val="0"/>
            </w:pPr>
            <w:r w:rsidRPr="00C2109B">
              <w:rPr>
                <w:sz w:val="22"/>
                <w:szCs w:val="22"/>
              </w:rPr>
              <w:t>3</w:t>
            </w:r>
          </w:p>
        </w:tc>
        <w:tc>
          <w:tcPr>
            <w:tcW w:w="453" w:type="pct"/>
            <w:vAlign w:val="center"/>
          </w:tcPr>
          <w:p w:rsidR="00413209" w:rsidRPr="008B2ADE" w:rsidRDefault="00413209" w:rsidP="00B40917">
            <w:pPr>
              <w:jc w:val="center"/>
            </w:pPr>
            <w:r w:rsidRPr="008B2ADE">
              <w:rPr>
                <w:sz w:val="22"/>
                <w:szCs w:val="22"/>
              </w:rPr>
              <w:t>48.8</w:t>
            </w:r>
          </w:p>
        </w:tc>
        <w:tc>
          <w:tcPr>
            <w:tcW w:w="370" w:type="pct"/>
            <w:vAlign w:val="center"/>
          </w:tcPr>
          <w:p w:rsidR="00413209" w:rsidRPr="008B2ADE" w:rsidRDefault="00413209" w:rsidP="00B40917">
            <w:pPr>
              <w:jc w:val="center"/>
            </w:pPr>
            <w:r w:rsidRPr="008B2ADE">
              <w:rPr>
                <w:sz w:val="22"/>
                <w:szCs w:val="22"/>
              </w:rPr>
              <w:t>18.7</w:t>
            </w:r>
          </w:p>
        </w:tc>
        <w:tc>
          <w:tcPr>
            <w:tcW w:w="478" w:type="pct"/>
            <w:vAlign w:val="center"/>
          </w:tcPr>
          <w:p w:rsidR="00413209" w:rsidRPr="00413209" w:rsidRDefault="00413209" w:rsidP="00413209">
            <w:pPr>
              <w:jc w:val="center"/>
              <w:rPr>
                <w:szCs w:val="20"/>
              </w:rPr>
            </w:pPr>
            <w:r w:rsidRPr="00413209">
              <w:rPr>
                <w:sz w:val="22"/>
                <w:szCs w:val="20"/>
              </w:rPr>
              <w:t>2.6</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13</w:t>
            </w:r>
          </w:p>
        </w:tc>
        <w:tc>
          <w:tcPr>
            <w:tcW w:w="1149" w:type="pct"/>
            <w:vAlign w:val="center"/>
          </w:tcPr>
          <w:p w:rsidR="00413209" w:rsidRPr="00C2109B" w:rsidRDefault="00413209" w:rsidP="00B40917">
            <w:pPr>
              <w:pStyle w:val="BodyText"/>
              <w:widowControl w:val="0"/>
            </w:pPr>
            <w:r w:rsidRPr="00C2109B">
              <w:rPr>
                <w:sz w:val="22"/>
                <w:szCs w:val="22"/>
              </w:rPr>
              <w:t>2006/2009 hybrid</w:t>
            </w:r>
          </w:p>
        </w:tc>
        <w:tc>
          <w:tcPr>
            <w:tcW w:w="341" w:type="pct"/>
            <w:vAlign w:val="center"/>
          </w:tcPr>
          <w:p w:rsidR="00413209" w:rsidRPr="00C2109B" w:rsidRDefault="00413209" w:rsidP="00B40917">
            <w:pPr>
              <w:pStyle w:val="BodyText"/>
              <w:widowControl w:val="0"/>
            </w:pPr>
            <w:r w:rsidRPr="00C2109B">
              <w:rPr>
                <w:sz w:val="22"/>
                <w:szCs w:val="22"/>
              </w:rPr>
              <w:t>.32</w:t>
            </w:r>
          </w:p>
        </w:tc>
        <w:tc>
          <w:tcPr>
            <w:tcW w:w="333" w:type="pct"/>
            <w:vAlign w:val="center"/>
          </w:tcPr>
          <w:p w:rsidR="00413209" w:rsidRPr="00C2109B" w:rsidRDefault="00413209" w:rsidP="00B40917">
            <w:pPr>
              <w:pStyle w:val="BodyText"/>
              <w:widowControl w:val="0"/>
            </w:pPr>
            <w:r w:rsidRPr="00C2109B">
              <w:rPr>
                <w:sz w:val="22"/>
                <w:szCs w:val="22"/>
              </w:rPr>
              <w:t>38</w:t>
            </w:r>
          </w:p>
        </w:tc>
        <w:tc>
          <w:tcPr>
            <w:tcW w:w="586" w:type="pct"/>
            <w:vAlign w:val="center"/>
          </w:tcPr>
          <w:p w:rsidR="00413209" w:rsidRPr="00C2109B" w:rsidRDefault="00413209" w:rsidP="00B40917">
            <w:pPr>
              <w:pStyle w:val="BodyText"/>
              <w:widowControl w:val="0"/>
            </w:pPr>
            <w:r w:rsidRPr="00C2109B">
              <w:rPr>
                <w:sz w:val="22"/>
                <w:szCs w:val="22"/>
              </w:rPr>
              <w:t>13 + 5ci</w:t>
            </w:r>
          </w:p>
        </w:tc>
        <w:tc>
          <w:tcPr>
            <w:tcW w:w="338" w:type="pct"/>
            <w:vAlign w:val="center"/>
          </w:tcPr>
          <w:p w:rsidR="00413209" w:rsidRPr="00C2109B" w:rsidRDefault="00413209" w:rsidP="00B40917">
            <w:pPr>
              <w:pStyle w:val="BodyText"/>
              <w:widowControl w:val="0"/>
            </w:pPr>
            <w:r w:rsidRPr="00C2109B">
              <w:rPr>
                <w:sz w:val="22"/>
                <w:szCs w:val="22"/>
              </w:rPr>
              <w:t>30</w:t>
            </w:r>
          </w:p>
        </w:tc>
        <w:tc>
          <w:tcPr>
            <w:tcW w:w="434" w:type="pct"/>
            <w:vAlign w:val="center"/>
          </w:tcPr>
          <w:p w:rsidR="00413209" w:rsidRPr="00C2109B" w:rsidRDefault="00413209" w:rsidP="00B40917">
            <w:pPr>
              <w:pStyle w:val="BodyText"/>
              <w:widowControl w:val="0"/>
            </w:pPr>
            <w:r w:rsidRPr="00C2109B">
              <w:rPr>
                <w:sz w:val="22"/>
                <w:szCs w:val="22"/>
              </w:rPr>
              <w:t>5</w:t>
            </w:r>
          </w:p>
        </w:tc>
        <w:tc>
          <w:tcPr>
            <w:tcW w:w="453" w:type="pct"/>
            <w:vAlign w:val="center"/>
          </w:tcPr>
          <w:p w:rsidR="00413209" w:rsidRPr="008B2ADE" w:rsidRDefault="00413209" w:rsidP="00B40917">
            <w:pPr>
              <w:jc w:val="center"/>
            </w:pPr>
            <w:r w:rsidRPr="008B2ADE">
              <w:rPr>
                <w:sz w:val="22"/>
                <w:szCs w:val="22"/>
              </w:rPr>
              <w:t>59.5</w:t>
            </w:r>
          </w:p>
        </w:tc>
        <w:tc>
          <w:tcPr>
            <w:tcW w:w="370" w:type="pct"/>
            <w:vAlign w:val="center"/>
          </w:tcPr>
          <w:p w:rsidR="00413209" w:rsidRPr="008B2ADE" w:rsidRDefault="00413209" w:rsidP="00B40917">
            <w:pPr>
              <w:jc w:val="center"/>
            </w:pPr>
            <w:r w:rsidRPr="008B2ADE">
              <w:rPr>
                <w:sz w:val="22"/>
                <w:szCs w:val="22"/>
              </w:rPr>
              <w:t>18.7</w:t>
            </w:r>
          </w:p>
        </w:tc>
        <w:tc>
          <w:tcPr>
            <w:tcW w:w="478" w:type="pct"/>
            <w:vAlign w:val="center"/>
          </w:tcPr>
          <w:p w:rsidR="00413209" w:rsidRPr="00413209" w:rsidRDefault="00413209" w:rsidP="00413209">
            <w:pPr>
              <w:jc w:val="center"/>
              <w:rPr>
                <w:szCs w:val="20"/>
              </w:rPr>
            </w:pPr>
            <w:r w:rsidRPr="00413209">
              <w:rPr>
                <w:sz w:val="22"/>
                <w:szCs w:val="20"/>
              </w:rPr>
              <w:t>3.2</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14</w:t>
            </w:r>
          </w:p>
        </w:tc>
        <w:tc>
          <w:tcPr>
            <w:tcW w:w="1149" w:type="pct"/>
            <w:vAlign w:val="center"/>
          </w:tcPr>
          <w:p w:rsidR="00413209" w:rsidRPr="00C2109B" w:rsidRDefault="00413209" w:rsidP="00B40917">
            <w:pPr>
              <w:pStyle w:val="BodyText"/>
              <w:widowControl w:val="0"/>
            </w:pPr>
            <w:r w:rsidRPr="00C2109B">
              <w:rPr>
                <w:sz w:val="22"/>
                <w:szCs w:val="22"/>
              </w:rPr>
              <w:t>2006/2009 hybrid</w:t>
            </w:r>
          </w:p>
        </w:tc>
        <w:tc>
          <w:tcPr>
            <w:tcW w:w="341" w:type="pct"/>
            <w:vAlign w:val="center"/>
          </w:tcPr>
          <w:p w:rsidR="00413209" w:rsidRPr="00C2109B" w:rsidRDefault="00413209" w:rsidP="00B40917">
            <w:pPr>
              <w:pStyle w:val="BodyText"/>
              <w:widowControl w:val="0"/>
            </w:pPr>
            <w:r w:rsidRPr="00C2109B">
              <w:rPr>
                <w:sz w:val="22"/>
                <w:szCs w:val="22"/>
              </w:rPr>
              <w:t>.32</w:t>
            </w:r>
          </w:p>
        </w:tc>
        <w:tc>
          <w:tcPr>
            <w:tcW w:w="333" w:type="pct"/>
            <w:vAlign w:val="center"/>
          </w:tcPr>
          <w:p w:rsidR="00413209" w:rsidRPr="00C2109B" w:rsidRDefault="00413209" w:rsidP="00B40917">
            <w:pPr>
              <w:pStyle w:val="BodyText"/>
              <w:widowControl w:val="0"/>
            </w:pPr>
            <w:r w:rsidRPr="00C2109B">
              <w:rPr>
                <w:sz w:val="22"/>
                <w:szCs w:val="22"/>
              </w:rPr>
              <w:t>38</w:t>
            </w:r>
          </w:p>
        </w:tc>
        <w:tc>
          <w:tcPr>
            <w:tcW w:w="586" w:type="pct"/>
            <w:vAlign w:val="center"/>
          </w:tcPr>
          <w:p w:rsidR="00413209" w:rsidRPr="00C2109B" w:rsidRDefault="00413209" w:rsidP="00B40917">
            <w:pPr>
              <w:pStyle w:val="BodyText"/>
              <w:widowControl w:val="0"/>
            </w:pPr>
            <w:r w:rsidRPr="00C2109B">
              <w:rPr>
                <w:sz w:val="22"/>
                <w:szCs w:val="22"/>
              </w:rPr>
              <w:t>13 + 5ci</w:t>
            </w:r>
          </w:p>
        </w:tc>
        <w:tc>
          <w:tcPr>
            <w:tcW w:w="338" w:type="pct"/>
            <w:vAlign w:val="center"/>
          </w:tcPr>
          <w:p w:rsidR="00413209" w:rsidRPr="00C2109B" w:rsidRDefault="00413209" w:rsidP="00B40917">
            <w:pPr>
              <w:pStyle w:val="BodyText"/>
              <w:widowControl w:val="0"/>
            </w:pPr>
            <w:r w:rsidRPr="00C2109B">
              <w:rPr>
                <w:sz w:val="22"/>
                <w:szCs w:val="22"/>
              </w:rPr>
              <w:t>30</w:t>
            </w:r>
          </w:p>
        </w:tc>
        <w:tc>
          <w:tcPr>
            <w:tcW w:w="434" w:type="pct"/>
            <w:vAlign w:val="center"/>
          </w:tcPr>
          <w:p w:rsidR="00413209" w:rsidRPr="00C2109B" w:rsidRDefault="00413209" w:rsidP="00B40917">
            <w:pPr>
              <w:pStyle w:val="BodyText"/>
              <w:widowControl w:val="0"/>
            </w:pPr>
            <w:r w:rsidRPr="00C2109B">
              <w:rPr>
                <w:sz w:val="22"/>
                <w:szCs w:val="22"/>
              </w:rPr>
              <w:t>3</w:t>
            </w:r>
          </w:p>
        </w:tc>
        <w:tc>
          <w:tcPr>
            <w:tcW w:w="453" w:type="pct"/>
            <w:vAlign w:val="center"/>
          </w:tcPr>
          <w:p w:rsidR="00413209" w:rsidRPr="008B2ADE" w:rsidRDefault="00413209" w:rsidP="00B40917">
            <w:pPr>
              <w:jc w:val="center"/>
            </w:pPr>
            <w:r w:rsidRPr="008B2ADE">
              <w:rPr>
                <w:sz w:val="22"/>
                <w:szCs w:val="22"/>
              </w:rPr>
              <w:t>47.9</w:t>
            </w:r>
          </w:p>
        </w:tc>
        <w:tc>
          <w:tcPr>
            <w:tcW w:w="370" w:type="pct"/>
            <w:vAlign w:val="center"/>
          </w:tcPr>
          <w:p w:rsidR="00413209" w:rsidRPr="008B2ADE" w:rsidRDefault="00413209" w:rsidP="00B40917">
            <w:pPr>
              <w:jc w:val="center"/>
            </w:pPr>
            <w:r w:rsidRPr="008B2ADE">
              <w:rPr>
                <w:sz w:val="22"/>
                <w:szCs w:val="22"/>
              </w:rPr>
              <w:t>19.6</w:t>
            </w:r>
          </w:p>
        </w:tc>
        <w:tc>
          <w:tcPr>
            <w:tcW w:w="478" w:type="pct"/>
            <w:vAlign w:val="center"/>
          </w:tcPr>
          <w:p w:rsidR="00413209" w:rsidRPr="00413209" w:rsidRDefault="00413209" w:rsidP="00413209">
            <w:pPr>
              <w:jc w:val="center"/>
              <w:rPr>
                <w:szCs w:val="20"/>
              </w:rPr>
            </w:pPr>
            <w:r w:rsidRPr="00413209">
              <w:rPr>
                <w:sz w:val="22"/>
                <w:szCs w:val="20"/>
              </w:rPr>
              <w:t>2.5</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15</w:t>
            </w:r>
          </w:p>
        </w:tc>
        <w:tc>
          <w:tcPr>
            <w:tcW w:w="1149" w:type="pct"/>
            <w:vAlign w:val="center"/>
          </w:tcPr>
          <w:p w:rsidR="00413209" w:rsidRPr="00C2109B" w:rsidRDefault="00413209" w:rsidP="00B40917">
            <w:pPr>
              <w:pStyle w:val="BodyText"/>
              <w:widowControl w:val="0"/>
            </w:pPr>
            <w:r w:rsidRPr="00C2109B">
              <w:rPr>
                <w:sz w:val="22"/>
                <w:szCs w:val="22"/>
              </w:rPr>
              <w:t>2006/2009 hybrid</w:t>
            </w:r>
          </w:p>
        </w:tc>
        <w:tc>
          <w:tcPr>
            <w:tcW w:w="341" w:type="pct"/>
            <w:vAlign w:val="center"/>
          </w:tcPr>
          <w:p w:rsidR="00413209" w:rsidRPr="00C2109B" w:rsidRDefault="00413209" w:rsidP="00B40917">
            <w:pPr>
              <w:pStyle w:val="BodyText"/>
              <w:widowControl w:val="0"/>
            </w:pPr>
            <w:r w:rsidRPr="00C2109B">
              <w:rPr>
                <w:sz w:val="22"/>
                <w:szCs w:val="22"/>
              </w:rPr>
              <w:t>.32</w:t>
            </w:r>
          </w:p>
        </w:tc>
        <w:tc>
          <w:tcPr>
            <w:tcW w:w="333" w:type="pct"/>
            <w:vAlign w:val="center"/>
          </w:tcPr>
          <w:p w:rsidR="00413209" w:rsidRPr="00C2109B" w:rsidRDefault="00413209" w:rsidP="00B40917">
            <w:pPr>
              <w:pStyle w:val="BodyText"/>
              <w:widowControl w:val="0"/>
            </w:pPr>
            <w:r w:rsidRPr="00C2109B">
              <w:rPr>
                <w:sz w:val="22"/>
                <w:szCs w:val="22"/>
              </w:rPr>
              <w:t>49</w:t>
            </w:r>
          </w:p>
        </w:tc>
        <w:tc>
          <w:tcPr>
            <w:tcW w:w="586" w:type="pct"/>
            <w:vAlign w:val="center"/>
          </w:tcPr>
          <w:p w:rsidR="00413209" w:rsidRPr="00C2109B" w:rsidRDefault="00413209" w:rsidP="00B40917">
            <w:pPr>
              <w:pStyle w:val="BodyText"/>
              <w:widowControl w:val="0"/>
            </w:pPr>
            <w:r w:rsidRPr="00C2109B">
              <w:rPr>
                <w:sz w:val="22"/>
                <w:szCs w:val="22"/>
              </w:rPr>
              <w:t>13 + 5ci</w:t>
            </w:r>
          </w:p>
        </w:tc>
        <w:tc>
          <w:tcPr>
            <w:tcW w:w="338" w:type="pct"/>
            <w:vAlign w:val="center"/>
          </w:tcPr>
          <w:p w:rsidR="00413209" w:rsidRPr="00C2109B" w:rsidRDefault="00413209" w:rsidP="00B40917">
            <w:pPr>
              <w:pStyle w:val="BodyText"/>
              <w:widowControl w:val="0"/>
            </w:pPr>
            <w:r w:rsidRPr="00C2109B">
              <w:rPr>
                <w:sz w:val="22"/>
                <w:szCs w:val="22"/>
              </w:rPr>
              <w:t>30</w:t>
            </w:r>
          </w:p>
        </w:tc>
        <w:tc>
          <w:tcPr>
            <w:tcW w:w="434" w:type="pct"/>
            <w:vAlign w:val="center"/>
          </w:tcPr>
          <w:p w:rsidR="00413209" w:rsidRPr="00C2109B" w:rsidRDefault="00413209" w:rsidP="00B40917">
            <w:pPr>
              <w:pStyle w:val="BodyText"/>
              <w:widowControl w:val="0"/>
            </w:pPr>
            <w:r w:rsidRPr="00C2109B">
              <w:rPr>
                <w:sz w:val="22"/>
                <w:szCs w:val="22"/>
              </w:rPr>
              <w:t>5</w:t>
            </w:r>
          </w:p>
        </w:tc>
        <w:tc>
          <w:tcPr>
            <w:tcW w:w="453" w:type="pct"/>
            <w:vAlign w:val="center"/>
          </w:tcPr>
          <w:p w:rsidR="00413209" w:rsidRPr="008B2ADE" w:rsidRDefault="00413209" w:rsidP="00B40917">
            <w:pPr>
              <w:jc w:val="center"/>
            </w:pPr>
            <w:r w:rsidRPr="008B2ADE">
              <w:rPr>
                <w:sz w:val="22"/>
                <w:szCs w:val="22"/>
              </w:rPr>
              <w:t>58.1</w:t>
            </w:r>
          </w:p>
        </w:tc>
        <w:tc>
          <w:tcPr>
            <w:tcW w:w="370" w:type="pct"/>
            <w:vAlign w:val="center"/>
          </w:tcPr>
          <w:p w:rsidR="00413209" w:rsidRPr="008B2ADE" w:rsidRDefault="00413209" w:rsidP="00B40917">
            <w:pPr>
              <w:jc w:val="center"/>
            </w:pPr>
            <w:r w:rsidRPr="008B2ADE">
              <w:rPr>
                <w:sz w:val="22"/>
                <w:szCs w:val="22"/>
              </w:rPr>
              <w:t>18.6</w:t>
            </w:r>
          </w:p>
        </w:tc>
        <w:tc>
          <w:tcPr>
            <w:tcW w:w="478" w:type="pct"/>
            <w:vAlign w:val="center"/>
          </w:tcPr>
          <w:p w:rsidR="00413209" w:rsidRPr="00413209" w:rsidRDefault="00413209" w:rsidP="00413209">
            <w:pPr>
              <w:jc w:val="center"/>
              <w:rPr>
                <w:szCs w:val="20"/>
              </w:rPr>
            </w:pPr>
            <w:r w:rsidRPr="00413209">
              <w:rPr>
                <w:sz w:val="22"/>
                <w:szCs w:val="20"/>
              </w:rPr>
              <w:t>3.1</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16</w:t>
            </w:r>
          </w:p>
        </w:tc>
        <w:tc>
          <w:tcPr>
            <w:tcW w:w="1149" w:type="pct"/>
            <w:vAlign w:val="center"/>
          </w:tcPr>
          <w:p w:rsidR="00413209" w:rsidRPr="00E75CC0" w:rsidRDefault="00413209" w:rsidP="00B40917">
            <w:pPr>
              <w:pStyle w:val="BodyText"/>
              <w:widowControl w:val="0"/>
            </w:pPr>
            <w:r w:rsidRPr="00E75CC0">
              <w:rPr>
                <w:sz w:val="22"/>
                <w:szCs w:val="22"/>
              </w:rPr>
              <w:t>2006/2009 hybrid</w:t>
            </w:r>
          </w:p>
        </w:tc>
        <w:tc>
          <w:tcPr>
            <w:tcW w:w="341" w:type="pct"/>
            <w:vAlign w:val="center"/>
          </w:tcPr>
          <w:p w:rsidR="00413209" w:rsidRPr="00C2109B" w:rsidRDefault="00413209" w:rsidP="00B40917">
            <w:pPr>
              <w:pStyle w:val="BodyText"/>
              <w:widowControl w:val="0"/>
            </w:pPr>
            <w:r w:rsidRPr="00C2109B">
              <w:rPr>
                <w:sz w:val="22"/>
                <w:szCs w:val="22"/>
              </w:rPr>
              <w:t>.32</w:t>
            </w:r>
          </w:p>
        </w:tc>
        <w:tc>
          <w:tcPr>
            <w:tcW w:w="333" w:type="pct"/>
            <w:vAlign w:val="center"/>
          </w:tcPr>
          <w:p w:rsidR="00413209" w:rsidRPr="00C2109B" w:rsidRDefault="00413209" w:rsidP="00B40917">
            <w:pPr>
              <w:pStyle w:val="BodyText"/>
              <w:widowControl w:val="0"/>
            </w:pPr>
            <w:r w:rsidRPr="00C2109B">
              <w:rPr>
                <w:sz w:val="22"/>
                <w:szCs w:val="22"/>
              </w:rPr>
              <w:t>49</w:t>
            </w:r>
          </w:p>
        </w:tc>
        <w:tc>
          <w:tcPr>
            <w:tcW w:w="586" w:type="pct"/>
            <w:vAlign w:val="center"/>
          </w:tcPr>
          <w:p w:rsidR="00413209" w:rsidRPr="00C2109B" w:rsidRDefault="00413209" w:rsidP="00B40917">
            <w:pPr>
              <w:pStyle w:val="BodyText"/>
              <w:widowControl w:val="0"/>
            </w:pPr>
            <w:r w:rsidRPr="00C2109B">
              <w:rPr>
                <w:sz w:val="22"/>
                <w:szCs w:val="22"/>
              </w:rPr>
              <w:t>13 + 5ci</w:t>
            </w:r>
          </w:p>
        </w:tc>
        <w:tc>
          <w:tcPr>
            <w:tcW w:w="338" w:type="pct"/>
            <w:vAlign w:val="center"/>
          </w:tcPr>
          <w:p w:rsidR="00413209" w:rsidRPr="00C2109B" w:rsidRDefault="00413209" w:rsidP="00B40917">
            <w:pPr>
              <w:pStyle w:val="BodyText"/>
              <w:widowControl w:val="0"/>
            </w:pPr>
            <w:r w:rsidRPr="00C2109B">
              <w:rPr>
                <w:sz w:val="22"/>
                <w:szCs w:val="22"/>
              </w:rPr>
              <w:t>30</w:t>
            </w:r>
          </w:p>
        </w:tc>
        <w:tc>
          <w:tcPr>
            <w:tcW w:w="434" w:type="pct"/>
            <w:vAlign w:val="center"/>
          </w:tcPr>
          <w:p w:rsidR="00413209" w:rsidRPr="00C2109B" w:rsidRDefault="00413209" w:rsidP="00B40917">
            <w:pPr>
              <w:pStyle w:val="BodyText"/>
              <w:widowControl w:val="0"/>
            </w:pPr>
            <w:r w:rsidRPr="00C2109B">
              <w:rPr>
                <w:sz w:val="22"/>
                <w:szCs w:val="22"/>
              </w:rPr>
              <w:t>3</w:t>
            </w:r>
          </w:p>
        </w:tc>
        <w:tc>
          <w:tcPr>
            <w:tcW w:w="453" w:type="pct"/>
            <w:vAlign w:val="center"/>
          </w:tcPr>
          <w:p w:rsidR="00413209" w:rsidRPr="008B2ADE" w:rsidRDefault="00413209" w:rsidP="00B40917">
            <w:pPr>
              <w:jc w:val="center"/>
            </w:pPr>
            <w:r w:rsidRPr="008B2ADE">
              <w:rPr>
                <w:sz w:val="22"/>
                <w:szCs w:val="22"/>
              </w:rPr>
              <w:t>46.6</w:t>
            </w:r>
          </w:p>
        </w:tc>
        <w:tc>
          <w:tcPr>
            <w:tcW w:w="370" w:type="pct"/>
            <w:vAlign w:val="center"/>
          </w:tcPr>
          <w:p w:rsidR="00413209" w:rsidRPr="008B2ADE" w:rsidRDefault="00413209" w:rsidP="00B40917">
            <w:pPr>
              <w:jc w:val="center"/>
            </w:pPr>
            <w:r w:rsidRPr="008B2ADE">
              <w:rPr>
                <w:sz w:val="22"/>
                <w:szCs w:val="22"/>
              </w:rPr>
              <w:t>19.5</w:t>
            </w:r>
          </w:p>
        </w:tc>
        <w:tc>
          <w:tcPr>
            <w:tcW w:w="478" w:type="pct"/>
            <w:vAlign w:val="center"/>
          </w:tcPr>
          <w:p w:rsidR="00413209" w:rsidRPr="00413209" w:rsidRDefault="00413209" w:rsidP="00413209">
            <w:pPr>
              <w:jc w:val="center"/>
              <w:rPr>
                <w:szCs w:val="20"/>
              </w:rPr>
            </w:pPr>
            <w:r w:rsidRPr="00413209">
              <w:rPr>
                <w:sz w:val="22"/>
                <w:szCs w:val="20"/>
              </w:rPr>
              <w:t>2.5</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17</w:t>
            </w:r>
          </w:p>
        </w:tc>
        <w:tc>
          <w:tcPr>
            <w:tcW w:w="1149" w:type="pct"/>
            <w:vAlign w:val="center"/>
          </w:tcPr>
          <w:p w:rsidR="00413209" w:rsidRPr="00E75CC0" w:rsidRDefault="00413209" w:rsidP="00B40917">
            <w:pPr>
              <w:pStyle w:val="BodyText"/>
              <w:widowControl w:val="0"/>
            </w:pPr>
            <w:r w:rsidRPr="00E75CC0">
              <w:rPr>
                <w:sz w:val="22"/>
                <w:szCs w:val="22"/>
              </w:rPr>
              <w:t>2012 hybrid (no mech. ventilation)</w:t>
            </w:r>
          </w:p>
        </w:tc>
        <w:tc>
          <w:tcPr>
            <w:tcW w:w="341" w:type="pct"/>
            <w:vAlign w:val="center"/>
          </w:tcPr>
          <w:p w:rsidR="00413209" w:rsidRPr="00C2109B" w:rsidRDefault="00413209" w:rsidP="00B40917">
            <w:pPr>
              <w:pStyle w:val="BodyText"/>
              <w:widowControl w:val="0"/>
            </w:pPr>
            <w:r w:rsidRPr="00C2109B">
              <w:rPr>
                <w:sz w:val="22"/>
                <w:szCs w:val="22"/>
              </w:rPr>
              <w:t>.32</w:t>
            </w:r>
          </w:p>
        </w:tc>
        <w:tc>
          <w:tcPr>
            <w:tcW w:w="333" w:type="pct"/>
            <w:vAlign w:val="center"/>
          </w:tcPr>
          <w:p w:rsidR="00413209" w:rsidRPr="00C2109B" w:rsidRDefault="00413209" w:rsidP="00B40917">
            <w:pPr>
              <w:pStyle w:val="BodyText"/>
              <w:widowControl w:val="0"/>
            </w:pPr>
            <w:r w:rsidRPr="00C2109B">
              <w:rPr>
                <w:sz w:val="22"/>
                <w:szCs w:val="22"/>
              </w:rPr>
              <w:t>49</w:t>
            </w:r>
          </w:p>
        </w:tc>
        <w:tc>
          <w:tcPr>
            <w:tcW w:w="586" w:type="pct"/>
            <w:vAlign w:val="center"/>
          </w:tcPr>
          <w:p w:rsidR="00413209" w:rsidRPr="00C2109B" w:rsidRDefault="00413209" w:rsidP="00B40917">
            <w:pPr>
              <w:pStyle w:val="BodyText"/>
              <w:widowControl w:val="0"/>
            </w:pPr>
            <w:r w:rsidRPr="00C2109B">
              <w:rPr>
                <w:sz w:val="22"/>
                <w:szCs w:val="22"/>
              </w:rPr>
              <w:t>13 + 5ci</w:t>
            </w:r>
          </w:p>
        </w:tc>
        <w:tc>
          <w:tcPr>
            <w:tcW w:w="338" w:type="pct"/>
            <w:vAlign w:val="center"/>
          </w:tcPr>
          <w:p w:rsidR="00413209" w:rsidRPr="00C2109B" w:rsidRDefault="00413209" w:rsidP="00B40917">
            <w:pPr>
              <w:pStyle w:val="BodyText"/>
              <w:widowControl w:val="0"/>
            </w:pPr>
            <w:r w:rsidRPr="00C2109B">
              <w:rPr>
                <w:sz w:val="22"/>
                <w:szCs w:val="22"/>
              </w:rPr>
              <w:t>30</w:t>
            </w:r>
          </w:p>
        </w:tc>
        <w:tc>
          <w:tcPr>
            <w:tcW w:w="434" w:type="pct"/>
            <w:vAlign w:val="center"/>
          </w:tcPr>
          <w:p w:rsidR="00413209" w:rsidRPr="00C2109B" w:rsidRDefault="00413209" w:rsidP="00B40917">
            <w:pPr>
              <w:pStyle w:val="BodyText"/>
              <w:widowControl w:val="0"/>
            </w:pPr>
            <w:r w:rsidRPr="00C2109B">
              <w:rPr>
                <w:sz w:val="22"/>
                <w:szCs w:val="22"/>
              </w:rPr>
              <w:t>3</w:t>
            </w:r>
          </w:p>
        </w:tc>
        <w:tc>
          <w:tcPr>
            <w:tcW w:w="453" w:type="pct"/>
            <w:vAlign w:val="center"/>
          </w:tcPr>
          <w:p w:rsidR="00413209" w:rsidRPr="008B2ADE" w:rsidRDefault="00413209" w:rsidP="00B40917">
            <w:pPr>
              <w:jc w:val="center"/>
            </w:pPr>
            <w:r w:rsidRPr="008B2ADE">
              <w:rPr>
                <w:sz w:val="22"/>
                <w:szCs w:val="22"/>
              </w:rPr>
              <w:t>4</w:t>
            </w:r>
            <w:r>
              <w:rPr>
                <w:sz w:val="22"/>
                <w:szCs w:val="22"/>
              </w:rPr>
              <w:t>8.4</w:t>
            </w:r>
          </w:p>
        </w:tc>
        <w:tc>
          <w:tcPr>
            <w:tcW w:w="370" w:type="pct"/>
            <w:vAlign w:val="center"/>
          </w:tcPr>
          <w:p w:rsidR="00413209" w:rsidRPr="008B2ADE" w:rsidRDefault="00413209" w:rsidP="00B40917">
            <w:pPr>
              <w:jc w:val="center"/>
            </w:pPr>
            <w:r w:rsidRPr="008B2ADE">
              <w:rPr>
                <w:sz w:val="22"/>
                <w:szCs w:val="22"/>
              </w:rPr>
              <w:t>21.7</w:t>
            </w:r>
          </w:p>
        </w:tc>
        <w:tc>
          <w:tcPr>
            <w:tcW w:w="478" w:type="pct"/>
            <w:vAlign w:val="center"/>
          </w:tcPr>
          <w:p w:rsidR="00413209" w:rsidRPr="00413209" w:rsidRDefault="00413209" w:rsidP="00413209">
            <w:pPr>
              <w:jc w:val="center"/>
              <w:rPr>
                <w:szCs w:val="20"/>
              </w:rPr>
            </w:pPr>
            <w:r w:rsidRPr="00413209">
              <w:rPr>
                <w:sz w:val="22"/>
                <w:szCs w:val="20"/>
              </w:rPr>
              <w:t>2.6</w:t>
            </w:r>
          </w:p>
        </w:tc>
        <w:tc>
          <w:tcPr>
            <w:tcW w:w="168" w:type="pct"/>
          </w:tcPr>
          <w:p w:rsidR="00413209" w:rsidRDefault="00413209"/>
        </w:tc>
      </w:tr>
      <w:tr w:rsidR="00413209" w:rsidRPr="00C2109B" w:rsidTr="00413209">
        <w:tc>
          <w:tcPr>
            <w:tcW w:w="349" w:type="pct"/>
            <w:vAlign w:val="center"/>
          </w:tcPr>
          <w:p w:rsidR="00413209" w:rsidRPr="00C2109B" w:rsidRDefault="00413209" w:rsidP="00B40917">
            <w:pPr>
              <w:pStyle w:val="BodyText"/>
              <w:widowControl w:val="0"/>
            </w:pPr>
            <w:r w:rsidRPr="00C2109B">
              <w:rPr>
                <w:sz w:val="22"/>
                <w:szCs w:val="22"/>
              </w:rPr>
              <w:t>18</w:t>
            </w:r>
          </w:p>
        </w:tc>
        <w:tc>
          <w:tcPr>
            <w:tcW w:w="1149" w:type="pct"/>
            <w:vAlign w:val="center"/>
          </w:tcPr>
          <w:p w:rsidR="00413209" w:rsidRPr="00E75CC0" w:rsidRDefault="00413209" w:rsidP="00B40917">
            <w:pPr>
              <w:pStyle w:val="BodyText"/>
              <w:widowControl w:val="0"/>
            </w:pPr>
            <w:r w:rsidRPr="00E75CC0">
              <w:rPr>
                <w:sz w:val="22"/>
                <w:szCs w:val="22"/>
              </w:rPr>
              <w:t xml:space="preserve">2012 </w:t>
            </w:r>
            <w:proofErr w:type="spellStart"/>
            <w:r w:rsidRPr="00E75CC0">
              <w:rPr>
                <w:sz w:val="22"/>
                <w:szCs w:val="22"/>
              </w:rPr>
              <w:t>hybrid</w:t>
            </w:r>
            <w:r w:rsidRPr="00E75CC0">
              <w:rPr>
                <w:sz w:val="22"/>
                <w:szCs w:val="22"/>
                <w:vertAlign w:val="superscript"/>
              </w:rPr>
              <w:t>c</w:t>
            </w:r>
            <w:proofErr w:type="spellEnd"/>
          </w:p>
        </w:tc>
        <w:tc>
          <w:tcPr>
            <w:tcW w:w="341" w:type="pct"/>
            <w:vAlign w:val="center"/>
          </w:tcPr>
          <w:p w:rsidR="00413209" w:rsidRPr="00C2109B" w:rsidRDefault="00413209" w:rsidP="00B40917">
            <w:pPr>
              <w:pStyle w:val="BodyText"/>
              <w:widowControl w:val="0"/>
            </w:pPr>
            <w:r w:rsidRPr="00C2109B">
              <w:rPr>
                <w:sz w:val="22"/>
                <w:szCs w:val="22"/>
              </w:rPr>
              <w:t>.32</w:t>
            </w:r>
          </w:p>
        </w:tc>
        <w:tc>
          <w:tcPr>
            <w:tcW w:w="333" w:type="pct"/>
            <w:vAlign w:val="center"/>
          </w:tcPr>
          <w:p w:rsidR="00413209" w:rsidRPr="00C2109B" w:rsidRDefault="00413209" w:rsidP="00B40917">
            <w:pPr>
              <w:pStyle w:val="BodyText"/>
              <w:widowControl w:val="0"/>
            </w:pPr>
            <w:r w:rsidRPr="00C2109B">
              <w:rPr>
                <w:sz w:val="22"/>
                <w:szCs w:val="22"/>
              </w:rPr>
              <w:t>49</w:t>
            </w:r>
          </w:p>
        </w:tc>
        <w:tc>
          <w:tcPr>
            <w:tcW w:w="586" w:type="pct"/>
            <w:vAlign w:val="center"/>
          </w:tcPr>
          <w:p w:rsidR="00413209" w:rsidRPr="00C2109B" w:rsidRDefault="00413209" w:rsidP="00B40917">
            <w:pPr>
              <w:pStyle w:val="BodyText"/>
              <w:widowControl w:val="0"/>
            </w:pPr>
            <w:r w:rsidRPr="00C2109B">
              <w:rPr>
                <w:sz w:val="22"/>
                <w:szCs w:val="22"/>
              </w:rPr>
              <w:t>13 + 5ci</w:t>
            </w:r>
          </w:p>
        </w:tc>
        <w:tc>
          <w:tcPr>
            <w:tcW w:w="338" w:type="pct"/>
            <w:vAlign w:val="center"/>
          </w:tcPr>
          <w:p w:rsidR="00413209" w:rsidRPr="00C2109B" w:rsidRDefault="00413209" w:rsidP="00B40917">
            <w:pPr>
              <w:pStyle w:val="BodyText"/>
              <w:widowControl w:val="0"/>
            </w:pPr>
            <w:r w:rsidRPr="00C2109B">
              <w:rPr>
                <w:sz w:val="22"/>
                <w:szCs w:val="22"/>
              </w:rPr>
              <w:t>30</w:t>
            </w:r>
          </w:p>
        </w:tc>
        <w:tc>
          <w:tcPr>
            <w:tcW w:w="434" w:type="pct"/>
            <w:vAlign w:val="center"/>
          </w:tcPr>
          <w:p w:rsidR="00413209" w:rsidRPr="00C2109B" w:rsidRDefault="00413209" w:rsidP="00B40917">
            <w:pPr>
              <w:pStyle w:val="BodyText"/>
              <w:widowControl w:val="0"/>
            </w:pPr>
            <w:r w:rsidRPr="00C2109B">
              <w:rPr>
                <w:sz w:val="22"/>
                <w:szCs w:val="22"/>
              </w:rPr>
              <w:t>3</w:t>
            </w:r>
          </w:p>
        </w:tc>
        <w:tc>
          <w:tcPr>
            <w:tcW w:w="453" w:type="pct"/>
            <w:vAlign w:val="center"/>
          </w:tcPr>
          <w:p w:rsidR="00413209" w:rsidRPr="008B2ADE" w:rsidRDefault="00413209" w:rsidP="00B40917">
            <w:pPr>
              <w:jc w:val="center"/>
            </w:pPr>
            <w:r w:rsidRPr="008B2ADE">
              <w:rPr>
                <w:sz w:val="22"/>
                <w:szCs w:val="22"/>
              </w:rPr>
              <w:t>53</w:t>
            </w:r>
            <w:r>
              <w:rPr>
                <w:sz w:val="22"/>
                <w:szCs w:val="22"/>
              </w:rPr>
              <w:t>.1</w:t>
            </w:r>
            <w:bookmarkStart w:id="25" w:name="_GoBack"/>
            <w:bookmarkEnd w:id="25"/>
          </w:p>
        </w:tc>
        <w:tc>
          <w:tcPr>
            <w:tcW w:w="370" w:type="pct"/>
            <w:vAlign w:val="center"/>
          </w:tcPr>
          <w:p w:rsidR="00413209" w:rsidRPr="008B2ADE" w:rsidRDefault="00413209" w:rsidP="00B40917">
            <w:pPr>
              <w:jc w:val="center"/>
            </w:pPr>
            <w:r w:rsidRPr="008B2ADE">
              <w:rPr>
                <w:sz w:val="22"/>
                <w:szCs w:val="22"/>
              </w:rPr>
              <w:t>21.2</w:t>
            </w:r>
          </w:p>
        </w:tc>
        <w:tc>
          <w:tcPr>
            <w:tcW w:w="478" w:type="pct"/>
            <w:vAlign w:val="center"/>
          </w:tcPr>
          <w:p w:rsidR="00413209" w:rsidRPr="00413209" w:rsidRDefault="00413209" w:rsidP="00413209">
            <w:pPr>
              <w:jc w:val="center"/>
              <w:rPr>
                <w:szCs w:val="20"/>
              </w:rPr>
            </w:pPr>
            <w:r w:rsidRPr="00413209">
              <w:rPr>
                <w:sz w:val="22"/>
                <w:szCs w:val="20"/>
              </w:rPr>
              <w:t>2.8</w:t>
            </w:r>
          </w:p>
        </w:tc>
        <w:tc>
          <w:tcPr>
            <w:tcW w:w="168" w:type="pct"/>
          </w:tcPr>
          <w:p w:rsidR="00413209" w:rsidRDefault="00413209"/>
        </w:tc>
      </w:tr>
      <w:tr w:rsidR="00EE50F8" w:rsidRPr="00C2109B" w:rsidTr="00AA4DCA">
        <w:tc>
          <w:tcPr>
            <w:tcW w:w="5000" w:type="pct"/>
            <w:gridSpan w:val="11"/>
            <w:vAlign w:val="center"/>
          </w:tcPr>
          <w:p w:rsidR="00EE50F8" w:rsidRPr="004E3BBA" w:rsidRDefault="00EE50F8" w:rsidP="00733AD5">
            <w:pPr>
              <w:widowControl w:val="0"/>
              <w:rPr>
                <w:sz w:val="18"/>
                <w:szCs w:val="18"/>
              </w:rPr>
            </w:pPr>
            <w:r w:rsidRPr="004E3BBA">
              <w:rPr>
                <w:sz w:val="18"/>
                <w:szCs w:val="18"/>
              </w:rPr>
              <w:t xml:space="preserve">Notes: </w:t>
            </w:r>
          </w:p>
          <w:p w:rsidR="00EE50F8" w:rsidRPr="004E3BBA" w:rsidRDefault="00EE50F8" w:rsidP="00733AD5">
            <w:pPr>
              <w:widowControl w:val="0"/>
              <w:rPr>
                <w:sz w:val="18"/>
                <w:szCs w:val="18"/>
              </w:rPr>
            </w:pPr>
            <w:r w:rsidRPr="004E3BBA">
              <w:rPr>
                <w:sz w:val="18"/>
                <w:szCs w:val="18"/>
              </w:rPr>
              <w:t xml:space="preserve">a. Framing cavity or if continuous insulation is used then cavity + continuous </w:t>
            </w:r>
          </w:p>
          <w:p w:rsidR="00EE50F8" w:rsidRPr="004E3BBA" w:rsidRDefault="00EE50F8" w:rsidP="00733AD5">
            <w:pPr>
              <w:widowControl w:val="0"/>
              <w:rPr>
                <w:sz w:val="18"/>
                <w:szCs w:val="18"/>
              </w:rPr>
            </w:pPr>
            <w:r w:rsidRPr="004E3BBA">
              <w:rPr>
                <w:sz w:val="18"/>
                <w:szCs w:val="18"/>
              </w:rPr>
              <w:t>b. 30 or insulation sufficient to fill the framing cavity but no less than 19</w:t>
            </w:r>
          </w:p>
          <w:p w:rsidR="00EE50F8" w:rsidRDefault="00EE50F8" w:rsidP="00733AD5">
            <w:pPr>
              <w:widowControl w:val="0"/>
              <w:rPr>
                <w:sz w:val="18"/>
                <w:szCs w:val="18"/>
              </w:rPr>
            </w:pPr>
            <w:r>
              <w:rPr>
                <w:sz w:val="18"/>
                <w:szCs w:val="18"/>
              </w:rPr>
              <w:t>c. A</w:t>
            </w:r>
            <w:r w:rsidRPr="004E3BBA">
              <w:rPr>
                <w:sz w:val="18"/>
                <w:szCs w:val="18"/>
              </w:rPr>
              <w:t>ssume</w:t>
            </w:r>
            <w:r>
              <w:rPr>
                <w:sz w:val="18"/>
                <w:szCs w:val="18"/>
              </w:rPr>
              <w:t>s</w:t>
            </w:r>
            <w:r w:rsidRPr="004E3BBA">
              <w:rPr>
                <w:sz w:val="18"/>
                <w:szCs w:val="18"/>
              </w:rPr>
              <w:t xml:space="preserve"> continuous mechanical ventilatio</w:t>
            </w:r>
            <w:r>
              <w:rPr>
                <w:sz w:val="18"/>
                <w:szCs w:val="18"/>
              </w:rPr>
              <w:t xml:space="preserve">n </w:t>
            </w:r>
            <w:r w:rsidRPr="004E3BBA">
              <w:rPr>
                <w:sz w:val="18"/>
                <w:szCs w:val="18"/>
              </w:rPr>
              <w:t>for each unit per the MA code 8</w:t>
            </w:r>
            <w:r w:rsidRPr="004E3BBA">
              <w:rPr>
                <w:sz w:val="18"/>
                <w:szCs w:val="18"/>
                <w:vertAlign w:val="superscript"/>
              </w:rPr>
              <w:t>th</w:t>
            </w:r>
            <w:r w:rsidRPr="004E3BBA">
              <w:rPr>
                <w:sz w:val="18"/>
                <w:szCs w:val="18"/>
              </w:rPr>
              <w:t xml:space="preserve"> edition</w:t>
            </w:r>
          </w:p>
          <w:p w:rsidR="009469B9" w:rsidRDefault="00EE50F8" w:rsidP="00413209">
            <w:pPr>
              <w:widowControl w:val="0"/>
              <w:rPr>
                <w:sz w:val="18"/>
                <w:szCs w:val="18"/>
              </w:rPr>
            </w:pPr>
            <w:r>
              <w:rPr>
                <w:sz w:val="18"/>
                <w:szCs w:val="18"/>
              </w:rPr>
              <w:t xml:space="preserve">d. Assumes natural gas as the fossil fuel for heating </w:t>
            </w:r>
            <w:r w:rsidR="00AA4DCA">
              <w:rPr>
                <w:sz w:val="18"/>
                <w:szCs w:val="18"/>
              </w:rPr>
              <w:t xml:space="preserve">and values in </w:t>
            </w:r>
            <w:r w:rsidR="00413209">
              <w:rPr>
                <w:sz w:val="18"/>
                <w:szCs w:val="18"/>
              </w:rPr>
              <w:t xml:space="preserve">metric tons. </w:t>
            </w:r>
          </w:p>
          <w:p w:rsidR="00EE50F8" w:rsidRPr="004E3BBA" w:rsidRDefault="009469B9" w:rsidP="00413209">
            <w:pPr>
              <w:widowControl w:val="0"/>
            </w:pPr>
            <w:r>
              <w:rPr>
                <w:sz w:val="18"/>
                <w:szCs w:val="18"/>
              </w:rPr>
              <w:t>e. ‘hybrid’ indicates some variation on the requirements in IECC.</w:t>
            </w:r>
            <w:r w:rsidR="00AA4DCA">
              <w:rPr>
                <w:sz w:val="18"/>
                <w:szCs w:val="18"/>
              </w:rPr>
              <w:t xml:space="preserve"> </w:t>
            </w:r>
          </w:p>
        </w:tc>
      </w:tr>
    </w:tbl>
    <w:p w:rsidR="00EE50F8" w:rsidRDefault="00EE50F8">
      <w:pPr>
        <w:pStyle w:val="BodyText"/>
        <w:jc w:val="left"/>
      </w:pPr>
    </w:p>
    <w:p w:rsidR="00EE50F8" w:rsidRPr="007E0383" w:rsidRDefault="00EE50F8" w:rsidP="00B31B85">
      <w:pPr>
        <w:pStyle w:val="BodyText"/>
        <w:rPr>
          <w:b/>
          <w:bCs/>
          <w:highlight w:val="green"/>
        </w:rPr>
      </w:pPr>
      <w:r w:rsidRPr="007E0383">
        <w:rPr>
          <w:b/>
          <w:bCs/>
        </w:rPr>
        <w:t xml:space="preserve">Figure </w:t>
      </w:r>
      <w:proofErr w:type="gramStart"/>
      <w:r w:rsidRPr="007E0383">
        <w:rPr>
          <w:b/>
          <w:bCs/>
        </w:rPr>
        <w:t>4c(</w:t>
      </w:r>
      <w:proofErr w:type="gramEnd"/>
      <w:r w:rsidRPr="007E0383">
        <w:rPr>
          <w:b/>
          <w:bCs/>
        </w:rPr>
        <w:t>1)a</w:t>
      </w:r>
    </w:p>
    <w:p w:rsidR="00EE50F8" w:rsidRDefault="00EE50F8" w:rsidP="00B31B85">
      <w:pPr>
        <w:pStyle w:val="BodyText"/>
        <w:rPr>
          <w:highlight w:val="green"/>
        </w:rPr>
      </w:pPr>
    </w:p>
    <w:p w:rsidR="00EE50F8" w:rsidRDefault="00EE50F8" w:rsidP="00B31B85">
      <w:pPr>
        <w:pStyle w:val="BodyText"/>
        <w:rPr>
          <w:highlight w:val="green"/>
        </w:rPr>
      </w:pPr>
    </w:p>
    <w:p w:rsidR="00EE50F8" w:rsidRDefault="00EE50F8" w:rsidP="00B31B85">
      <w:pPr>
        <w:pStyle w:val="BodyText"/>
        <w:rPr>
          <w:highlight w:val="green"/>
        </w:rPr>
      </w:pPr>
    </w:p>
    <w:p w:rsidR="00EE50F8" w:rsidRPr="00DC7A1B" w:rsidRDefault="008171E5" w:rsidP="00B31B85">
      <w:pPr>
        <w:pStyle w:val="BodyText"/>
        <w:rPr>
          <w:highlight w:val="green"/>
        </w:rPr>
      </w:pPr>
      <w:bookmarkStart w:id="26" w:name="_MON_1459668663"/>
      <w:bookmarkStart w:id="27" w:name="_MON_1459667568"/>
      <w:bookmarkStart w:id="28" w:name="_MON_1459668061"/>
      <w:bookmarkStart w:id="29" w:name="_MON_1459683323"/>
      <w:bookmarkEnd w:id="26"/>
      <w:bookmarkEnd w:id="27"/>
      <w:bookmarkEnd w:id="28"/>
      <w:bookmarkEnd w:id="29"/>
      <w:r>
        <w:rPr>
          <w:noProof/>
        </w:rPr>
        <w:drawing>
          <wp:inline distT="0" distB="0" distL="0" distR="0">
            <wp:extent cx="5886450" cy="4029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srcRect/>
                    <a:stretch>
                      <a:fillRect/>
                    </a:stretch>
                  </pic:blipFill>
                  <pic:spPr bwMode="auto">
                    <a:xfrm>
                      <a:off x="0" y="0"/>
                      <a:ext cx="5886450" cy="4029075"/>
                    </a:xfrm>
                    <a:prstGeom prst="rect">
                      <a:avLst/>
                    </a:prstGeom>
                    <a:noFill/>
                    <a:ln w="9525">
                      <a:noFill/>
                      <a:miter lim="800000"/>
                      <a:headEnd/>
                      <a:tailEnd/>
                    </a:ln>
                  </pic:spPr>
                </pic:pic>
              </a:graphicData>
            </a:graphic>
          </wp:inline>
        </w:drawing>
      </w:r>
    </w:p>
    <w:p w:rsidR="00EE50F8" w:rsidRDefault="00EE50F8" w:rsidP="00F857FD">
      <w:pPr>
        <w:pStyle w:val="BodyText"/>
        <w:rPr>
          <w:b/>
          <w:bCs/>
        </w:rPr>
      </w:pPr>
    </w:p>
    <w:p w:rsidR="00EE50F8" w:rsidRPr="007E0383" w:rsidRDefault="00EE50F8" w:rsidP="00F857FD">
      <w:pPr>
        <w:pStyle w:val="BodyText"/>
        <w:rPr>
          <w:b/>
          <w:bCs/>
          <w:highlight w:val="green"/>
        </w:rPr>
      </w:pPr>
      <w:r w:rsidRPr="007E0383">
        <w:rPr>
          <w:b/>
          <w:bCs/>
        </w:rPr>
        <w:t xml:space="preserve">Figure </w:t>
      </w:r>
      <w:proofErr w:type="gramStart"/>
      <w:r w:rsidRPr="007E0383">
        <w:rPr>
          <w:b/>
          <w:bCs/>
        </w:rPr>
        <w:t>4c(</w:t>
      </w:r>
      <w:proofErr w:type="gramEnd"/>
      <w:r w:rsidRPr="007E0383">
        <w:rPr>
          <w:b/>
          <w:bCs/>
        </w:rPr>
        <w:t>1</w:t>
      </w:r>
      <w:r>
        <w:rPr>
          <w:b/>
          <w:bCs/>
        </w:rPr>
        <w:t>)b</w:t>
      </w:r>
    </w:p>
    <w:p w:rsidR="00EE50F8" w:rsidRDefault="00EE50F8">
      <w:pPr>
        <w:pStyle w:val="BodyText"/>
        <w:jc w:val="left"/>
      </w:pPr>
    </w:p>
    <w:p w:rsidR="00EE50F8" w:rsidRDefault="00EE50F8" w:rsidP="006B7D67">
      <w:r>
        <w:t xml:space="preserve">The modeling runs for the 4 and 6-unit buildings are shown in Figure </w:t>
      </w:r>
      <w:proofErr w:type="gramStart"/>
      <w:r>
        <w:t>4c(</w:t>
      </w:r>
      <w:proofErr w:type="gramEnd"/>
      <w:r>
        <w:t>1)c and they contain the prescriptive requirements for the key building thermal envelope components. Fewer runs were made for these building types versus the 3-unit buildings and similar assumptions for the 3 unit building were carried over and repeated here. For the IECC 2003 the leakage rate is assumed to be 8 ACH at 50 Pa and for the IECC 2006 and 2009 it is assumed that the air leakage is 7 ACH at 50 Pa. Runs 4 and 5 were done to evaluate the effect of decreasing the fenestration U-factor and increasing the ceiling R-Value. Runs 5 and 6 were done to evaluate the effect of decreasing air leakage from 5 ACH at 50 Pa to 3 ACH at 50 Pa. And Runs 6 and 7 were done to determine the effect of mandatory continuous ventilation</w:t>
      </w:r>
      <w:r w:rsidR="00825F40">
        <w:t>.</w:t>
      </w:r>
      <w:r>
        <w:t xml:space="preserve"> </w:t>
      </w:r>
    </w:p>
    <w:p w:rsidR="00EE50F8" w:rsidRDefault="00EE50F8" w:rsidP="0055349C">
      <w:pPr>
        <w:pStyle w:val="BodyText"/>
        <w:jc w:val="left"/>
      </w:pPr>
    </w:p>
    <w:p w:rsidR="00C9745D" w:rsidRDefault="00EE50F8" w:rsidP="00C73824">
      <w:pPr>
        <w:pStyle w:val="BodyText"/>
        <w:jc w:val="left"/>
      </w:pPr>
      <w:r>
        <w:t>Several k</w:t>
      </w:r>
      <w:r w:rsidRPr="00B11D1D">
        <w:t>ey findings</w:t>
      </w:r>
      <w:r>
        <w:t xml:space="preserve"> include</w:t>
      </w:r>
      <w:r w:rsidR="00C9745D">
        <w:t xml:space="preserve"> a</w:t>
      </w:r>
      <w:r w:rsidR="00C73824">
        <w:t xml:space="preserve"> </w:t>
      </w:r>
      <w:r w:rsidR="00C73824">
        <w:rPr>
          <w:i/>
          <w:iCs/>
          <w:u w:val="single"/>
        </w:rPr>
        <w:t>less effective efficiency</w:t>
      </w:r>
      <w:r w:rsidR="00C73824" w:rsidRPr="00C73824">
        <w:rPr>
          <w:iCs/>
        </w:rPr>
        <w:t xml:space="preserve"> improvement</w:t>
      </w:r>
      <w:r w:rsidR="00C9745D">
        <w:rPr>
          <w:iCs/>
        </w:rPr>
        <w:t xml:space="preserve"> of d</w:t>
      </w:r>
      <w:r w:rsidR="00C73824">
        <w:t xml:space="preserve">ecreasing fenestration U-Factor and increasing ceiling insulation reduced the annual heating load about 5 </w:t>
      </w:r>
      <w:proofErr w:type="spellStart"/>
      <w:r w:rsidR="00C73824">
        <w:t>MMBtu</w:t>
      </w:r>
      <w:proofErr w:type="spellEnd"/>
      <w:r w:rsidR="00C73824">
        <w:t>/</w:t>
      </w:r>
      <w:proofErr w:type="gramStart"/>
      <w:r w:rsidR="00C73824">
        <w:t xml:space="preserve">year </w:t>
      </w:r>
      <w:r w:rsidR="00C9745D">
        <w:t xml:space="preserve"> (</w:t>
      </w:r>
      <w:proofErr w:type="gramEnd"/>
      <w:r w:rsidR="00C9745D">
        <w:t xml:space="preserve">see </w:t>
      </w:r>
      <w:r w:rsidR="00C73824">
        <w:t>No. 4 and No. 5)</w:t>
      </w:r>
      <w:r w:rsidR="00C9745D">
        <w:t xml:space="preserve"> and</w:t>
      </w:r>
      <w:r>
        <w:t xml:space="preserve"> </w:t>
      </w:r>
      <w:r w:rsidRPr="00DF297F">
        <w:rPr>
          <w:i/>
          <w:iCs/>
          <w:u w:val="single"/>
        </w:rPr>
        <w:t>similar efficiency</w:t>
      </w:r>
      <w:r>
        <w:t xml:space="preserve"> </w:t>
      </w:r>
      <w:r w:rsidR="00C9745D">
        <w:t xml:space="preserve">of R-20 cavity only insulation compared to R-13 cavity with R-5 continuous (see No. 2 and No. 3) </w:t>
      </w:r>
      <w:r>
        <w:t>and</w:t>
      </w:r>
      <w:r w:rsidR="00C9745D">
        <w:t xml:space="preserve"> </w:t>
      </w:r>
      <w:r>
        <w:t xml:space="preserve">the </w:t>
      </w:r>
      <w:r w:rsidRPr="00DF297F">
        <w:rPr>
          <w:i/>
          <w:iCs/>
          <w:u w:val="single"/>
        </w:rPr>
        <w:t>most effective efficiency</w:t>
      </w:r>
      <w:r>
        <w:t xml:space="preserve"> improvement results from </w:t>
      </w:r>
      <w:r w:rsidR="00C9745D" w:rsidRPr="00C9745D">
        <w:t>decreasing the total building air leakage.</w:t>
      </w:r>
      <w:r w:rsidR="00C9745D">
        <w:t xml:space="preserve"> </w:t>
      </w:r>
    </w:p>
    <w:p w:rsidR="00C9745D" w:rsidRDefault="00C9745D" w:rsidP="00C73824">
      <w:pPr>
        <w:pStyle w:val="BodyText"/>
        <w:jc w:val="left"/>
      </w:pPr>
    </w:p>
    <w:p w:rsidR="009943A5" w:rsidRDefault="009943A5" w:rsidP="00C73824">
      <w:pPr>
        <w:pStyle w:val="BodyText"/>
        <w:jc w:val="left"/>
      </w:pPr>
      <w:r>
        <w:t>Another noteworthy result is a comparison of the annual heating and cooling loads on a per unit basis for each building type</w:t>
      </w:r>
      <w:r w:rsidR="000D1AB4">
        <w:t xml:space="preserve"> (using </w:t>
      </w:r>
      <w:r w:rsidR="00D15CE2">
        <w:t>IECC 2012 with mandatory mechanical ventilation</w:t>
      </w:r>
      <w:r w:rsidR="000D1AB4">
        <w:t xml:space="preserve">) which shows the benefit </w:t>
      </w:r>
      <w:r w:rsidR="00C80269">
        <w:t>of</w:t>
      </w:r>
      <w:r w:rsidR="000D1AB4">
        <w:t xml:space="preserve"> units </w:t>
      </w:r>
      <w:r w:rsidR="00C80269">
        <w:t xml:space="preserve">which </w:t>
      </w:r>
      <w:r w:rsidR="000D1AB4">
        <w:t>share interior walls, as</w:t>
      </w:r>
      <w:r>
        <w:t xml:space="preserve"> summarized below:</w:t>
      </w:r>
    </w:p>
    <w:p w:rsidR="009943A5" w:rsidRDefault="009943A5" w:rsidP="00C73824">
      <w:pPr>
        <w:pStyle w:val="BodyText"/>
        <w:jc w:val="left"/>
      </w:pPr>
      <w:r>
        <w:lastRenderedPageBreak/>
        <w:t xml:space="preserve">3-Unit Building: </w:t>
      </w:r>
      <w:r w:rsidR="00D15CE2">
        <w:t>17.7</w:t>
      </w:r>
      <w:r>
        <w:t xml:space="preserve"> heating and </w:t>
      </w:r>
      <w:r w:rsidR="00D15CE2">
        <w:t>7.1</w:t>
      </w:r>
      <w:r>
        <w:t xml:space="preserve"> cooling </w:t>
      </w:r>
      <w:proofErr w:type="spellStart"/>
      <w:r>
        <w:t>MMBtu</w:t>
      </w:r>
      <w:proofErr w:type="spellEnd"/>
      <w:r>
        <w:t>/year per Unit</w:t>
      </w:r>
      <w:r w:rsidR="000D1AB4">
        <w:t xml:space="preserve"> (see No. 18)</w:t>
      </w:r>
    </w:p>
    <w:p w:rsidR="009943A5" w:rsidRDefault="009943A5" w:rsidP="00C73824">
      <w:pPr>
        <w:pStyle w:val="BodyText"/>
        <w:jc w:val="left"/>
      </w:pPr>
      <w:r>
        <w:t xml:space="preserve">4-Unit Building: 12.5 heating and 5.8 cooling </w:t>
      </w:r>
      <w:proofErr w:type="spellStart"/>
      <w:r>
        <w:t>MMBtu</w:t>
      </w:r>
      <w:proofErr w:type="spellEnd"/>
      <w:r>
        <w:t>/year per Unit</w:t>
      </w:r>
      <w:r w:rsidR="000D1AB4">
        <w:t xml:space="preserve"> (see No. 7)</w:t>
      </w:r>
    </w:p>
    <w:p w:rsidR="00EE50F8" w:rsidRPr="009943A5" w:rsidRDefault="009943A5" w:rsidP="00C73824">
      <w:pPr>
        <w:pStyle w:val="BodyText"/>
        <w:jc w:val="left"/>
      </w:pPr>
      <w:r>
        <w:t xml:space="preserve">6-Unit Building: </w:t>
      </w:r>
      <w:r w:rsidR="00D15CE2">
        <w:t>11.8</w:t>
      </w:r>
      <w:r>
        <w:t xml:space="preserve"> heating and 5.8 cooling </w:t>
      </w:r>
      <w:proofErr w:type="spellStart"/>
      <w:r>
        <w:t>MMBtu</w:t>
      </w:r>
      <w:proofErr w:type="spellEnd"/>
      <w:r>
        <w:t>/year per Unit</w:t>
      </w:r>
      <w:r w:rsidR="000D1AB4">
        <w:t xml:space="preserve"> (see No. 7)</w:t>
      </w:r>
    </w:p>
    <w:p w:rsidR="00EE50F8" w:rsidRDefault="00EE50F8"/>
    <w:p w:rsidR="00EE50F8" w:rsidRDefault="00EE50F8"/>
    <w:tbl>
      <w:tblPr>
        <w:tblpPr w:leftFromText="180" w:rightFromText="180" w:vertAnchor="text" w:horzAnchor="margin" w:tblpXSpec="center" w:tblpY="91"/>
        <w:tblW w:w="4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9"/>
        <w:gridCol w:w="2042"/>
        <w:gridCol w:w="606"/>
        <w:gridCol w:w="480"/>
        <w:gridCol w:w="964"/>
        <w:gridCol w:w="485"/>
        <w:gridCol w:w="644"/>
        <w:gridCol w:w="771"/>
        <w:gridCol w:w="673"/>
        <w:gridCol w:w="664"/>
        <w:gridCol w:w="236"/>
      </w:tblGrid>
      <w:tr w:rsidR="00EE50F8" w:rsidTr="00413209">
        <w:trPr>
          <w:cantSplit/>
          <w:trHeight w:val="353"/>
        </w:trPr>
        <w:tc>
          <w:tcPr>
            <w:tcW w:w="292" w:type="pct"/>
          </w:tcPr>
          <w:p w:rsidR="00EE50F8" w:rsidRDefault="00EE50F8" w:rsidP="00AF028E">
            <w:pPr>
              <w:pStyle w:val="BodyText"/>
              <w:widowControl w:val="0"/>
              <w:rPr>
                <w:b/>
                <w:bCs/>
              </w:rPr>
            </w:pPr>
          </w:p>
        </w:tc>
        <w:tc>
          <w:tcPr>
            <w:tcW w:w="4708" w:type="pct"/>
            <w:gridSpan w:val="10"/>
          </w:tcPr>
          <w:p w:rsidR="00EE50F8" w:rsidRDefault="00EE50F8" w:rsidP="00AF028E">
            <w:pPr>
              <w:pStyle w:val="BodyText"/>
              <w:widowControl w:val="0"/>
              <w:rPr>
                <w:b/>
                <w:bCs/>
              </w:rPr>
            </w:pPr>
            <w:r>
              <w:rPr>
                <w:b/>
                <w:bCs/>
              </w:rPr>
              <w:t>4 Unit Residential; Building Thermal Envelope Modeling</w:t>
            </w:r>
          </w:p>
          <w:p w:rsidR="00EE50F8" w:rsidRDefault="00EE50F8" w:rsidP="00AF028E">
            <w:pPr>
              <w:pStyle w:val="BodyText"/>
              <w:widowControl w:val="0"/>
              <w:rPr>
                <w:b/>
                <w:bCs/>
              </w:rPr>
            </w:pPr>
            <w:r>
              <w:rPr>
                <w:b/>
                <w:bCs/>
              </w:rPr>
              <w:t xml:space="preserve"> Insulation R-Value or Fenestration U-Factor for Zone 5 and Leakage </w:t>
            </w:r>
          </w:p>
        </w:tc>
      </w:tr>
      <w:tr w:rsidR="00EE50F8" w:rsidTr="00413209">
        <w:trPr>
          <w:cantSplit/>
          <w:trHeight w:val="2222"/>
        </w:trPr>
        <w:tc>
          <w:tcPr>
            <w:tcW w:w="292" w:type="pct"/>
            <w:textDirection w:val="btLr"/>
          </w:tcPr>
          <w:p w:rsidR="00EE50F8" w:rsidRPr="00466C36" w:rsidRDefault="00EE50F8" w:rsidP="00A263F0">
            <w:pPr>
              <w:pStyle w:val="BodyText"/>
              <w:widowControl w:val="0"/>
              <w:ind w:left="113" w:right="113"/>
              <w:jc w:val="left"/>
              <w:rPr>
                <w:b/>
                <w:bCs/>
              </w:rPr>
            </w:pPr>
            <w:r>
              <w:rPr>
                <w:b/>
                <w:bCs/>
              </w:rPr>
              <w:t>Model Number</w:t>
            </w:r>
          </w:p>
        </w:tc>
        <w:tc>
          <w:tcPr>
            <w:tcW w:w="1271" w:type="pct"/>
            <w:textDirection w:val="btLr"/>
            <w:vAlign w:val="center"/>
          </w:tcPr>
          <w:p w:rsidR="00EE50F8" w:rsidRPr="00466C36" w:rsidRDefault="00EE50F8" w:rsidP="00A263F0">
            <w:pPr>
              <w:pStyle w:val="BodyText"/>
              <w:widowControl w:val="0"/>
              <w:ind w:left="113" w:right="113"/>
              <w:jc w:val="left"/>
              <w:rPr>
                <w:b/>
                <w:bCs/>
              </w:rPr>
            </w:pPr>
            <w:proofErr w:type="spellStart"/>
            <w:r w:rsidRPr="00466C36">
              <w:rPr>
                <w:b/>
                <w:bCs/>
                <w:sz w:val="22"/>
                <w:szCs w:val="22"/>
              </w:rPr>
              <w:t>IECC</w:t>
            </w:r>
            <w:r w:rsidR="009469B9" w:rsidRPr="009469B9">
              <w:rPr>
                <w:b/>
                <w:bCs/>
                <w:sz w:val="22"/>
                <w:szCs w:val="22"/>
                <w:vertAlign w:val="superscript"/>
              </w:rPr>
              <w:t>e</w:t>
            </w:r>
            <w:proofErr w:type="spellEnd"/>
          </w:p>
        </w:tc>
        <w:tc>
          <w:tcPr>
            <w:tcW w:w="377" w:type="pct"/>
            <w:textDirection w:val="btLr"/>
            <w:vAlign w:val="center"/>
          </w:tcPr>
          <w:p w:rsidR="00EE50F8" w:rsidRPr="00466C36" w:rsidRDefault="00EE50F8" w:rsidP="00A263F0">
            <w:pPr>
              <w:pStyle w:val="BodyText"/>
              <w:widowControl w:val="0"/>
              <w:ind w:left="113" w:right="113"/>
              <w:jc w:val="left"/>
              <w:rPr>
                <w:b/>
                <w:bCs/>
              </w:rPr>
            </w:pPr>
            <w:r w:rsidRPr="00466C36">
              <w:rPr>
                <w:b/>
                <w:bCs/>
                <w:sz w:val="22"/>
                <w:szCs w:val="22"/>
              </w:rPr>
              <w:t>Fenestration</w:t>
            </w:r>
          </w:p>
        </w:tc>
        <w:tc>
          <w:tcPr>
            <w:tcW w:w="299" w:type="pct"/>
            <w:textDirection w:val="btLr"/>
            <w:vAlign w:val="center"/>
          </w:tcPr>
          <w:p w:rsidR="00EE50F8" w:rsidRPr="00466C36" w:rsidRDefault="00EE50F8" w:rsidP="00A263F0">
            <w:pPr>
              <w:pStyle w:val="BodyText"/>
              <w:widowControl w:val="0"/>
              <w:ind w:left="113" w:right="113"/>
              <w:jc w:val="left"/>
              <w:rPr>
                <w:b/>
                <w:bCs/>
              </w:rPr>
            </w:pPr>
            <w:r w:rsidRPr="00466C36">
              <w:rPr>
                <w:b/>
                <w:bCs/>
                <w:sz w:val="22"/>
                <w:szCs w:val="22"/>
              </w:rPr>
              <w:t>Ceil/Attic</w:t>
            </w:r>
          </w:p>
        </w:tc>
        <w:tc>
          <w:tcPr>
            <w:tcW w:w="600" w:type="pct"/>
            <w:textDirection w:val="btLr"/>
            <w:vAlign w:val="center"/>
          </w:tcPr>
          <w:p w:rsidR="00EE50F8" w:rsidRPr="00466C36" w:rsidRDefault="00EE50F8" w:rsidP="00A263F0">
            <w:pPr>
              <w:pStyle w:val="BodyText"/>
              <w:widowControl w:val="0"/>
              <w:ind w:left="113" w:right="113"/>
              <w:jc w:val="left"/>
              <w:rPr>
                <w:b/>
                <w:bCs/>
              </w:rPr>
            </w:pPr>
            <w:r w:rsidRPr="00466C36">
              <w:rPr>
                <w:b/>
                <w:bCs/>
                <w:sz w:val="22"/>
                <w:szCs w:val="22"/>
              </w:rPr>
              <w:t>Wall</w:t>
            </w:r>
            <w:r w:rsidRPr="00466C36">
              <w:rPr>
                <w:b/>
                <w:bCs/>
                <w:sz w:val="22"/>
                <w:szCs w:val="22"/>
                <w:vertAlign w:val="superscript"/>
              </w:rPr>
              <w:t>a</w:t>
            </w:r>
          </w:p>
        </w:tc>
        <w:tc>
          <w:tcPr>
            <w:tcW w:w="302" w:type="pct"/>
            <w:textDirection w:val="btLr"/>
            <w:vAlign w:val="center"/>
          </w:tcPr>
          <w:p w:rsidR="00EE50F8" w:rsidRPr="00466C36" w:rsidRDefault="00EE50F8" w:rsidP="00A263F0">
            <w:pPr>
              <w:pStyle w:val="BodyText"/>
              <w:widowControl w:val="0"/>
              <w:ind w:left="113" w:right="113"/>
              <w:jc w:val="left"/>
              <w:rPr>
                <w:b/>
                <w:bCs/>
              </w:rPr>
            </w:pPr>
            <w:proofErr w:type="spellStart"/>
            <w:r w:rsidRPr="00466C36">
              <w:rPr>
                <w:b/>
                <w:bCs/>
                <w:sz w:val="22"/>
                <w:szCs w:val="22"/>
              </w:rPr>
              <w:t>Floor</w:t>
            </w:r>
            <w:r w:rsidRPr="00466C36">
              <w:rPr>
                <w:b/>
                <w:bCs/>
                <w:sz w:val="22"/>
                <w:szCs w:val="22"/>
                <w:vertAlign w:val="superscript"/>
              </w:rPr>
              <w:t>b</w:t>
            </w:r>
            <w:proofErr w:type="spellEnd"/>
          </w:p>
        </w:tc>
        <w:tc>
          <w:tcPr>
            <w:tcW w:w="401" w:type="pct"/>
            <w:textDirection w:val="btLr"/>
            <w:vAlign w:val="center"/>
          </w:tcPr>
          <w:p w:rsidR="00EE50F8" w:rsidRPr="00466C36" w:rsidRDefault="00EE50F8" w:rsidP="00A263F0">
            <w:pPr>
              <w:pStyle w:val="BodyText"/>
              <w:widowControl w:val="0"/>
              <w:ind w:left="113" w:right="113"/>
              <w:jc w:val="left"/>
              <w:rPr>
                <w:b/>
                <w:bCs/>
              </w:rPr>
            </w:pPr>
            <w:r w:rsidRPr="00466C36">
              <w:rPr>
                <w:b/>
                <w:bCs/>
                <w:sz w:val="22"/>
                <w:szCs w:val="22"/>
              </w:rPr>
              <w:t xml:space="preserve">Building Leakage </w:t>
            </w:r>
          </w:p>
          <w:p w:rsidR="00EE50F8" w:rsidRPr="00466C36" w:rsidRDefault="00EE50F8" w:rsidP="00A263F0">
            <w:pPr>
              <w:pStyle w:val="BodyText"/>
              <w:widowControl w:val="0"/>
              <w:ind w:left="113" w:right="113"/>
              <w:jc w:val="left"/>
              <w:rPr>
                <w:b/>
                <w:bCs/>
              </w:rPr>
            </w:pPr>
            <w:r w:rsidRPr="00466C36">
              <w:rPr>
                <w:b/>
                <w:bCs/>
                <w:sz w:val="22"/>
                <w:szCs w:val="22"/>
              </w:rPr>
              <w:t>(ACH @ 50 Pa)</w:t>
            </w:r>
          </w:p>
        </w:tc>
        <w:tc>
          <w:tcPr>
            <w:tcW w:w="480" w:type="pct"/>
            <w:textDirection w:val="btLr"/>
            <w:vAlign w:val="center"/>
          </w:tcPr>
          <w:p w:rsidR="00EE50F8" w:rsidRPr="00466C36" w:rsidRDefault="00EE50F8" w:rsidP="00A263F0">
            <w:pPr>
              <w:pStyle w:val="BodyText"/>
              <w:widowControl w:val="0"/>
              <w:ind w:left="113" w:right="113"/>
              <w:jc w:val="left"/>
              <w:rPr>
                <w:b/>
                <w:bCs/>
              </w:rPr>
            </w:pPr>
            <w:r w:rsidRPr="00466C36">
              <w:rPr>
                <w:b/>
                <w:bCs/>
                <w:sz w:val="22"/>
                <w:szCs w:val="22"/>
              </w:rPr>
              <w:t>Annual Heating</w:t>
            </w:r>
          </w:p>
          <w:p w:rsidR="00EE50F8" w:rsidRPr="00466C36" w:rsidRDefault="00EE50F8" w:rsidP="00A263F0">
            <w:pPr>
              <w:pStyle w:val="BodyText"/>
              <w:widowControl w:val="0"/>
              <w:ind w:left="113" w:right="113"/>
              <w:jc w:val="left"/>
              <w:rPr>
                <w:b/>
                <w:bCs/>
              </w:rPr>
            </w:pPr>
            <w:r w:rsidRPr="00466C36">
              <w:rPr>
                <w:b/>
                <w:bCs/>
                <w:sz w:val="22"/>
                <w:szCs w:val="22"/>
              </w:rPr>
              <w:t>Load</w:t>
            </w:r>
            <w:r>
              <w:rPr>
                <w:b/>
                <w:bCs/>
                <w:sz w:val="22"/>
                <w:szCs w:val="22"/>
              </w:rPr>
              <w:t xml:space="preserve"> (</w:t>
            </w:r>
            <w:proofErr w:type="spellStart"/>
            <w:r>
              <w:rPr>
                <w:b/>
                <w:bCs/>
                <w:sz w:val="22"/>
                <w:szCs w:val="22"/>
              </w:rPr>
              <w:t>MMBtu</w:t>
            </w:r>
            <w:proofErr w:type="spellEnd"/>
            <w:r>
              <w:rPr>
                <w:b/>
                <w:bCs/>
                <w:sz w:val="22"/>
                <w:szCs w:val="22"/>
              </w:rPr>
              <w:t>/yr</w:t>
            </w:r>
            <w:r w:rsidR="00F873B3">
              <w:rPr>
                <w:b/>
                <w:bCs/>
                <w:sz w:val="22"/>
                <w:szCs w:val="22"/>
              </w:rPr>
              <w:t>)</w:t>
            </w:r>
          </w:p>
        </w:tc>
        <w:tc>
          <w:tcPr>
            <w:tcW w:w="419" w:type="pct"/>
            <w:textDirection w:val="btLr"/>
            <w:vAlign w:val="center"/>
          </w:tcPr>
          <w:p w:rsidR="00EE50F8" w:rsidRPr="00466C36" w:rsidRDefault="00EE50F8" w:rsidP="00A263F0">
            <w:pPr>
              <w:pStyle w:val="BodyText"/>
              <w:widowControl w:val="0"/>
              <w:ind w:left="113" w:right="113"/>
              <w:jc w:val="left"/>
              <w:rPr>
                <w:b/>
                <w:bCs/>
              </w:rPr>
            </w:pPr>
            <w:r w:rsidRPr="00466C36">
              <w:rPr>
                <w:b/>
                <w:bCs/>
                <w:sz w:val="22"/>
                <w:szCs w:val="22"/>
              </w:rPr>
              <w:t>Annual Cooling  Load</w:t>
            </w:r>
            <w:r>
              <w:rPr>
                <w:b/>
                <w:bCs/>
                <w:sz w:val="22"/>
                <w:szCs w:val="22"/>
              </w:rPr>
              <w:t xml:space="preserve"> (</w:t>
            </w:r>
            <w:proofErr w:type="spellStart"/>
            <w:r>
              <w:rPr>
                <w:b/>
                <w:bCs/>
                <w:sz w:val="22"/>
                <w:szCs w:val="22"/>
              </w:rPr>
              <w:t>MMBtu</w:t>
            </w:r>
            <w:proofErr w:type="spellEnd"/>
            <w:r>
              <w:rPr>
                <w:b/>
                <w:bCs/>
                <w:sz w:val="22"/>
                <w:szCs w:val="22"/>
              </w:rPr>
              <w:t>/yr</w:t>
            </w:r>
            <w:r w:rsidR="00F873B3">
              <w:rPr>
                <w:b/>
                <w:bCs/>
                <w:sz w:val="22"/>
                <w:szCs w:val="22"/>
              </w:rPr>
              <w:t>)</w:t>
            </w:r>
            <w:r>
              <w:rPr>
                <w:b/>
                <w:bCs/>
                <w:sz w:val="22"/>
                <w:szCs w:val="22"/>
              </w:rPr>
              <w:t xml:space="preserve"> </w:t>
            </w:r>
          </w:p>
        </w:tc>
        <w:tc>
          <w:tcPr>
            <w:tcW w:w="413" w:type="pct"/>
            <w:textDirection w:val="btLr"/>
            <w:vAlign w:val="center"/>
          </w:tcPr>
          <w:p w:rsidR="00EE50F8" w:rsidRPr="00466C36" w:rsidRDefault="00EE50F8" w:rsidP="00A263F0">
            <w:pPr>
              <w:pStyle w:val="BodyText"/>
              <w:widowControl w:val="0"/>
              <w:ind w:left="113" w:right="113"/>
              <w:jc w:val="left"/>
              <w:rPr>
                <w:b/>
                <w:bCs/>
              </w:rPr>
            </w:pPr>
            <w:r>
              <w:rPr>
                <w:b/>
                <w:bCs/>
              </w:rPr>
              <w:t xml:space="preserve">Annual Heating CO2 </w:t>
            </w:r>
            <w:proofErr w:type="spellStart"/>
            <w:r>
              <w:rPr>
                <w:b/>
                <w:bCs/>
              </w:rPr>
              <w:t>Production</w:t>
            </w:r>
            <w:r w:rsidRPr="003D0084">
              <w:rPr>
                <w:b/>
                <w:bCs/>
                <w:vertAlign w:val="superscript"/>
              </w:rPr>
              <w:t>d</w:t>
            </w:r>
            <w:proofErr w:type="spellEnd"/>
            <w:r>
              <w:rPr>
                <w:b/>
                <w:bCs/>
              </w:rPr>
              <w:t xml:space="preserve"> </w:t>
            </w:r>
          </w:p>
        </w:tc>
        <w:tc>
          <w:tcPr>
            <w:tcW w:w="147" w:type="pct"/>
            <w:textDirection w:val="btLr"/>
            <w:vAlign w:val="center"/>
          </w:tcPr>
          <w:p w:rsidR="00EE50F8" w:rsidRPr="00466C36" w:rsidRDefault="00EE50F8" w:rsidP="00A263F0">
            <w:pPr>
              <w:pStyle w:val="BodyText"/>
              <w:widowControl w:val="0"/>
              <w:ind w:left="113" w:right="113"/>
              <w:jc w:val="left"/>
              <w:rPr>
                <w:b/>
                <w:bCs/>
              </w:rPr>
            </w:pPr>
          </w:p>
        </w:tc>
      </w:tr>
      <w:tr w:rsidR="00413209" w:rsidRPr="00C2109B" w:rsidTr="00413209">
        <w:trPr>
          <w:trHeight w:val="353"/>
        </w:trPr>
        <w:tc>
          <w:tcPr>
            <w:tcW w:w="292" w:type="pct"/>
            <w:vAlign w:val="center"/>
          </w:tcPr>
          <w:p w:rsidR="00413209" w:rsidRPr="00C2109B" w:rsidRDefault="00413209" w:rsidP="00B40917">
            <w:pPr>
              <w:pStyle w:val="BodyText"/>
              <w:widowControl w:val="0"/>
            </w:pPr>
            <w:r w:rsidRPr="00C2109B">
              <w:rPr>
                <w:sz w:val="22"/>
                <w:szCs w:val="22"/>
              </w:rPr>
              <w:t>1</w:t>
            </w:r>
          </w:p>
        </w:tc>
        <w:tc>
          <w:tcPr>
            <w:tcW w:w="1271" w:type="pct"/>
            <w:vAlign w:val="center"/>
          </w:tcPr>
          <w:p w:rsidR="00413209" w:rsidRPr="007E0383" w:rsidRDefault="00413209" w:rsidP="00B40917">
            <w:pPr>
              <w:pStyle w:val="BodyText"/>
              <w:widowControl w:val="0"/>
            </w:pPr>
            <w:r w:rsidRPr="007E0383">
              <w:rPr>
                <w:sz w:val="22"/>
                <w:szCs w:val="22"/>
              </w:rPr>
              <w:t>2003</w:t>
            </w:r>
          </w:p>
        </w:tc>
        <w:tc>
          <w:tcPr>
            <w:tcW w:w="377" w:type="pct"/>
            <w:vAlign w:val="center"/>
          </w:tcPr>
          <w:p w:rsidR="00413209" w:rsidRPr="007E0383" w:rsidRDefault="00413209" w:rsidP="00B40917">
            <w:pPr>
              <w:pStyle w:val="BodyText"/>
              <w:widowControl w:val="0"/>
            </w:pPr>
            <w:r w:rsidRPr="007E0383">
              <w:rPr>
                <w:sz w:val="22"/>
                <w:szCs w:val="22"/>
              </w:rPr>
              <w:t>.45</w:t>
            </w:r>
          </w:p>
        </w:tc>
        <w:tc>
          <w:tcPr>
            <w:tcW w:w="299" w:type="pct"/>
            <w:vAlign w:val="center"/>
          </w:tcPr>
          <w:p w:rsidR="00413209" w:rsidRPr="007E0383" w:rsidRDefault="00413209" w:rsidP="00B40917">
            <w:pPr>
              <w:pStyle w:val="BodyText"/>
              <w:widowControl w:val="0"/>
            </w:pPr>
            <w:r w:rsidRPr="007E0383">
              <w:rPr>
                <w:sz w:val="22"/>
                <w:szCs w:val="22"/>
              </w:rPr>
              <w:t>30</w:t>
            </w:r>
          </w:p>
        </w:tc>
        <w:tc>
          <w:tcPr>
            <w:tcW w:w="600" w:type="pct"/>
            <w:vAlign w:val="center"/>
          </w:tcPr>
          <w:p w:rsidR="00413209" w:rsidRPr="007E0383" w:rsidRDefault="00413209" w:rsidP="00B40917">
            <w:pPr>
              <w:pStyle w:val="BodyText"/>
              <w:widowControl w:val="0"/>
            </w:pPr>
            <w:r w:rsidRPr="007E0383">
              <w:rPr>
                <w:sz w:val="22"/>
                <w:szCs w:val="22"/>
              </w:rPr>
              <w:t>13</w:t>
            </w:r>
          </w:p>
        </w:tc>
        <w:tc>
          <w:tcPr>
            <w:tcW w:w="302" w:type="pct"/>
            <w:vAlign w:val="center"/>
          </w:tcPr>
          <w:p w:rsidR="00413209" w:rsidRPr="007E0383" w:rsidRDefault="00413209" w:rsidP="00B40917">
            <w:pPr>
              <w:pStyle w:val="BodyText"/>
              <w:widowControl w:val="0"/>
            </w:pPr>
            <w:r w:rsidRPr="007E0383">
              <w:rPr>
                <w:sz w:val="22"/>
                <w:szCs w:val="22"/>
              </w:rPr>
              <w:t>19</w:t>
            </w:r>
          </w:p>
        </w:tc>
        <w:tc>
          <w:tcPr>
            <w:tcW w:w="401" w:type="pct"/>
            <w:vAlign w:val="center"/>
          </w:tcPr>
          <w:p w:rsidR="00413209" w:rsidRPr="007E0383" w:rsidRDefault="00413209" w:rsidP="00B40917">
            <w:pPr>
              <w:pStyle w:val="BodyText"/>
              <w:widowControl w:val="0"/>
            </w:pPr>
            <w:r w:rsidRPr="007E0383">
              <w:rPr>
                <w:sz w:val="22"/>
                <w:szCs w:val="22"/>
              </w:rPr>
              <w:t>~8</w:t>
            </w:r>
          </w:p>
        </w:tc>
        <w:tc>
          <w:tcPr>
            <w:tcW w:w="480" w:type="pct"/>
            <w:vAlign w:val="center"/>
          </w:tcPr>
          <w:p w:rsidR="00413209" w:rsidRPr="00B40917" w:rsidRDefault="00413209" w:rsidP="00B40917">
            <w:pPr>
              <w:jc w:val="center"/>
            </w:pPr>
            <w:r w:rsidRPr="00B40917">
              <w:rPr>
                <w:sz w:val="22"/>
                <w:szCs w:val="22"/>
              </w:rPr>
              <w:t>110.7</w:t>
            </w:r>
          </w:p>
        </w:tc>
        <w:tc>
          <w:tcPr>
            <w:tcW w:w="419" w:type="pct"/>
            <w:vAlign w:val="center"/>
          </w:tcPr>
          <w:p w:rsidR="00413209" w:rsidRPr="00B40917" w:rsidRDefault="00413209" w:rsidP="00B40917">
            <w:pPr>
              <w:jc w:val="center"/>
            </w:pPr>
            <w:r w:rsidRPr="00B40917">
              <w:rPr>
                <w:sz w:val="22"/>
                <w:szCs w:val="22"/>
              </w:rPr>
              <w:t>18.9</w:t>
            </w:r>
          </w:p>
        </w:tc>
        <w:tc>
          <w:tcPr>
            <w:tcW w:w="413" w:type="pct"/>
            <w:vAlign w:val="center"/>
          </w:tcPr>
          <w:p w:rsidR="00413209" w:rsidRPr="00413209" w:rsidRDefault="00413209" w:rsidP="00413209">
            <w:pPr>
              <w:jc w:val="center"/>
              <w:rPr>
                <w:szCs w:val="20"/>
              </w:rPr>
            </w:pPr>
            <w:r w:rsidRPr="00413209">
              <w:rPr>
                <w:sz w:val="22"/>
                <w:szCs w:val="20"/>
              </w:rPr>
              <w:t>5.9</w:t>
            </w:r>
          </w:p>
        </w:tc>
        <w:tc>
          <w:tcPr>
            <w:tcW w:w="147" w:type="pct"/>
            <w:vAlign w:val="center"/>
          </w:tcPr>
          <w:p w:rsidR="00413209" w:rsidRPr="00EE5C5C" w:rsidRDefault="00413209" w:rsidP="00EE5C5C">
            <w:pPr>
              <w:jc w:val="center"/>
            </w:pPr>
          </w:p>
        </w:tc>
      </w:tr>
      <w:tr w:rsidR="00413209" w:rsidRPr="00C2109B" w:rsidTr="00413209">
        <w:tc>
          <w:tcPr>
            <w:tcW w:w="292" w:type="pct"/>
            <w:vAlign w:val="center"/>
          </w:tcPr>
          <w:p w:rsidR="00413209" w:rsidRPr="00C2109B" w:rsidRDefault="00413209" w:rsidP="00B40917">
            <w:pPr>
              <w:pStyle w:val="BodyText"/>
              <w:widowControl w:val="0"/>
            </w:pPr>
            <w:r w:rsidRPr="00C2109B">
              <w:rPr>
                <w:sz w:val="22"/>
                <w:szCs w:val="22"/>
              </w:rPr>
              <w:t>2</w:t>
            </w:r>
          </w:p>
        </w:tc>
        <w:tc>
          <w:tcPr>
            <w:tcW w:w="1271" w:type="pct"/>
            <w:vAlign w:val="bottom"/>
          </w:tcPr>
          <w:p w:rsidR="00413209" w:rsidRPr="007E0383" w:rsidRDefault="00413209" w:rsidP="00B40917">
            <w:pPr>
              <w:pStyle w:val="BodyText"/>
              <w:widowControl w:val="0"/>
            </w:pPr>
            <w:r w:rsidRPr="007E0383">
              <w:rPr>
                <w:sz w:val="22"/>
                <w:szCs w:val="22"/>
              </w:rPr>
              <w:t>2006/2009</w:t>
            </w:r>
          </w:p>
        </w:tc>
        <w:tc>
          <w:tcPr>
            <w:tcW w:w="377" w:type="pct"/>
            <w:vAlign w:val="bottom"/>
          </w:tcPr>
          <w:p w:rsidR="00413209" w:rsidRPr="007E0383" w:rsidRDefault="00413209" w:rsidP="00B40917">
            <w:pPr>
              <w:pStyle w:val="BodyText"/>
              <w:widowControl w:val="0"/>
            </w:pPr>
            <w:r w:rsidRPr="007E0383">
              <w:rPr>
                <w:sz w:val="22"/>
                <w:szCs w:val="22"/>
              </w:rPr>
              <w:t>.35</w:t>
            </w:r>
          </w:p>
        </w:tc>
        <w:tc>
          <w:tcPr>
            <w:tcW w:w="299" w:type="pct"/>
            <w:vAlign w:val="bottom"/>
          </w:tcPr>
          <w:p w:rsidR="00413209" w:rsidRPr="007E0383" w:rsidRDefault="00413209" w:rsidP="00B40917">
            <w:pPr>
              <w:pStyle w:val="BodyText"/>
              <w:widowControl w:val="0"/>
            </w:pPr>
            <w:r w:rsidRPr="007E0383">
              <w:rPr>
                <w:sz w:val="22"/>
                <w:szCs w:val="22"/>
              </w:rPr>
              <w:t>38</w:t>
            </w:r>
          </w:p>
        </w:tc>
        <w:tc>
          <w:tcPr>
            <w:tcW w:w="600" w:type="pct"/>
            <w:vAlign w:val="bottom"/>
          </w:tcPr>
          <w:p w:rsidR="00413209" w:rsidRPr="007E0383" w:rsidRDefault="00413209" w:rsidP="00B40917">
            <w:pPr>
              <w:pStyle w:val="BodyText"/>
              <w:widowControl w:val="0"/>
            </w:pPr>
            <w:r w:rsidRPr="007E0383">
              <w:rPr>
                <w:sz w:val="22"/>
                <w:szCs w:val="22"/>
              </w:rPr>
              <w:t>19/20</w:t>
            </w:r>
          </w:p>
        </w:tc>
        <w:tc>
          <w:tcPr>
            <w:tcW w:w="302" w:type="pct"/>
            <w:vAlign w:val="bottom"/>
          </w:tcPr>
          <w:p w:rsidR="00413209" w:rsidRPr="007E0383" w:rsidRDefault="00413209" w:rsidP="00B40917">
            <w:pPr>
              <w:pStyle w:val="BodyText"/>
              <w:widowControl w:val="0"/>
            </w:pPr>
            <w:r w:rsidRPr="007E0383">
              <w:rPr>
                <w:sz w:val="22"/>
                <w:szCs w:val="22"/>
              </w:rPr>
              <w:t>30</w:t>
            </w:r>
          </w:p>
        </w:tc>
        <w:tc>
          <w:tcPr>
            <w:tcW w:w="401" w:type="pct"/>
            <w:vAlign w:val="bottom"/>
          </w:tcPr>
          <w:p w:rsidR="00413209" w:rsidRPr="007E0383" w:rsidRDefault="00413209" w:rsidP="00B40917">
            <w:pPr>
              <w:pStyle w:val="BodyText"/>
              <w:widowControl w:val="0"/>
            </w:pPr>
            <w:r w:rsidRPr="007E0383">
              <w:rPr>
                <w:sz w:val="22"/>
                <w:szCs w:val="22"/>
              </w:rPr>
              <w:t>~7</w:t>
            </w:r>
          </w:p>
        </w:tc>
        <w:tc>
          <w:tcPr>
            <w:tcW w:w="480" w:type="pct"/>
            <w:vAlign w:val="bottom"/>
          </w:tcPr>
          <w:p w:rsidR="00413209" w:rsidRPr="00B40917" w:rsidRDefault="00413209" w:rsidP="00B40917">
            <w:pPr>
              <w:jc w:val="center"/>
            </w:pPr>
            <w:r w:rsidRPr="00B40917">
              <w:rPr>
                <w:sz w:val="22"/>
                <w:szCs w:val="22"/>
              </w:rPr>
              <w:t>78.9</w:t>
            </w:r>
          </w:p>
        </w:tc>
        <w:tc>
          <w:tcPr>
            <w:tcW w:w="419" w:type="pct"/>
            <w:vAlign w:val="bottom"/>
          </w:tcPr>
          <w:p w:rsidR="00413209" w:rsidRPr="00B40917" w:rsidRDefault="00413209" w:rsidP="00B40917">
            <w:pPr>
              <w:jc w:val="center"/>
            </w:pPr>
            <w:r w:rsidRPr="00B40917">
              <w:rPr>
                <w:sz w:val="22"/>
                <w:szCs w:val="22"/>
              </w:rPr>
              <w:t>20.7</w:t>
            </w:r>
          </w:p>
        </w:tc>
        <w:tc>
          <w:tcPr>
            <w:tcW w:w="413" w:type="pct"/>
            <w:vAlign w:val="center"/>
          </w:tcPr>
          <w:p w:rsidR="00413209" w:rsidRPr="00413209" w:rsidRDefault="00413209" w:rsidP="00413209">
            <w:pPr>
              <w:jc w:val="center"/>
              <w:rPr>
                <w:szCs w:val="20"/>
              </w:rPr>
            </w:pPr>
            <w:r w:rsidRPr="00413209">
              <w:rPr>
                <w:sz w:val="22"/>
                <w:szCs w:val="20"/>
              </w:rPr>
              <w:t>4.2</w:t>
            </w:r>
          </w:p>
        </w:tc>
        <w:tc>
          <w:tcPr>
            <w:tcW w:w="147" w:type="pct"/>
            <w:vAlign w:val="center"/>
          </w:tcPr>
          <w:p w:rsidR="00413209" w:rsidRPr="00EE5C5C" w:rsidRDefault="00413209" w:rsidP="00EE5C5C">
            <w:pPr>
              <w:jc w:val="center"/>
            </w:pPr>
          </w:p>
        </w:tc>
      </w:tr>
      <w:tr w:rsidR="00413209" w:rsidRPr="00C2109B" w:rsidTr="00413209">
        <w:tc>
          <w:tcPr>
            <w:tcW w:w="292" w:type="pct"/>
            <w:vAlign w:val="center"/>
          </w:tcPr>
          <w:p w:rsidR="00413209" w:rsidRPr="00C2109B" w:rsidRDefault="00413209" w:rsidP="00B40917">
            <w:pPr>
              <w:pStyle w:val="BodyText"/>
              <w:widowControl w:val="0"/>
            </w:pPr>
            <w:r>
              <w:rPr>
                <w:sz w:val="22"/>
                <w:szCs w:val="22"/>
              </w:rPr>
              <w:t>3</w:t>
            </w:r>
          </w:p>
        </w:tc>
        <w:tc>
          <w:tcPr>
            <w:tcW w:w="1271" w:type="pct"/>
            <w:vAlign w:val="bottom"/>
          </w:tcPr>
          <w:p w:rsidR="00413209" w:rsidRPr="007E0383" w:rsidRDefault="00413209" w:rsidP="00B40917">
            <w:pPr>
              <w:pStyle w:val="BodyText"/>
              <w:widowControl w:val="0"/>
            </w:pPr>
            <w:r w:rsidRPr="007E0383">
              <w:rPr>
                <w:sz w:val="22"/>
                <w:szCs w:val="22"/>
              </w:rPr>
              <w:t>2006/2009</w:t>
            </w:r>
          </w:p>
        </w:tc>
        <w:tc>
          <w:tcPr>
            <w:tcW w:w="377" w:type="pct"/>
            <w:vAlign w:val="bottom"/>
          </w:tcPr>
          <w:p w:rsidR="00413209" w:rsidRPr="007E0383" w:rsidRDefault="00413209" w:rsidP="00B40917">
            <w:pPr>
              <w:pStyle w:val="BodyText"/>
              <w:widowControl w:val="0"/>
            </w:pPr>
            <w:r w:rsidRPr="007E0383">
              <w:rPr>
                <w:sz w:val="22"/>
                <w:szCs w:val="22"/>
              </w:rPr>
              <w:t>.35</w:t>
            </w:r>
          </w:p>
        </w:tc>
        <w:tc>
          <w:tcPr>
            <w:tcW w:w="299" w:type="pct"/>
            <w:vAlign w:val="bottom"/>
          </w:tcPr>
          <w:p w:rsidR="00413209" w:rsidRPr="007E0383" w:rsidRDefault="00413209" w:rsidP="00B40917">
            <w:pPr>
              <w:pStyle w:val="BodyText"/>
              <w:widowControl w:val="0"/>
            </w:pPr>
            <w:r w:rsidRPr="007E0383">
              <w:rPr>
                <w:sz w:val="22"/>
                <w:szCs w:val="22"/>
              </w:rPr>
              <w:t>38</w:t>
            </w:r>
          </w:p>
        </w:tc>
        <w:tc>
          <w:tcPr>
            <w:tcW w:w="600" w:type="pct"/>
            <w:vAlign w:val="bottom"/>
          </w:tcPr>
          <w:p w:rsidR="00413209" w:rsidRPr="007E0383" w:rsidRDefault="00413209" w:rsidP="00B40917">
            <w:pPr>
              <w:pStyle w:val="BodyText"/>
              <w:widowControl w:val="0"/>
            </w:pPr>
            <w:r w:rsidRPr="007E0383">
              <w:rPr>
                <w:sz w:val="22"/>
                <w:szCs w:val="22"/>
              </w:rPr>
              <w:t>13 + 5ci</w:t>
            </w:r>
          </w:p>
        </w:tc>
        <w:tc>
          <w:tcPr>
            <w:tcW w:w="302" w:type="pct"/>
            <w:vAlign w:val="bottom"/>
          </w:tcPr>
          <w:p w:rsidR="00413209" w:rsidRPr="007E0383" w:rsidRDefault="00413209" w:rsidP="00B40917">
            <w:pPr>
              <w:pStyle w:val="BodyText"/>
              <w:widowControl w:val="0"/>
            </w:pPr>
            <w:r w:rsidRPr="007E0383">
              <w:rPr>
                <w:sz w:val="22"/>
                <w:szCs w:val="22"/>
              </w:rPr>
              <w:t>30</w:t>
            </w:r>
          </w:p>
        </w:tc>
        <w:tc>
          <w:tcPr>
            <w:tcW w:w="401" w:type="pct"/>
            <w:vAlign w:val="bottom"/>
          </w:tcPr>
          <w:p w:rsidR="00413209" w:rsidRPr="007E0383" w:rsidRDefault="00413209" w:rsidP="00B40917">
            <w:pPr>
              <w:jc w:val="center"/>
            </w:pPr>
            <w:r w:rsidRPr="007E0383">
              <w:rPr>
                <w:sz w:val="22"/>
                <w:szCs w:val="22"/>
              </w:rPr>
              <w:t>~7</w:t>
            </w:r>
          </w:p>
        </w:tc>
        <w:tc>
          <w:tcPr>
            <w:tcW w:w="480" w:type="pct"/>
            <w:vAlign w:val="bottom"/>
          </w:tcPr>
          <w:p w:rsidR="00413209" w:rsidRPr="00B40917" w:rsidRDefault="00413209" w:rsidP="00B40917">
            <w:pPr>
              <w:jc w:val="center"/>
            </w:pPr>
            <w:r w:rsidRPr="00B40917">
              <w:rPr>
                <w:sz w:val="22"/>
                <w:szCs w:val="22"/>
              </w:rPr>
              <w:t>76.3</w:t>
            </w:r>
          </w:p>
        </w:tc>
        <w:tc>
          <w:tcPr>
            <w:tcW w:w="419" w:type="pct"/>
            <w:vAlign w:val="bottom"/>
          </w:tcPr>
          <w:p w:rsidR="00413209" w:rsidRPr="00B40917" w:rsidRDefault="00413209" w:rsidP="00B40917">
            <w:pPr>
              <w:jc w:val="center"/>
            </w:pPr>
            <w:r w:rsidRPr="00B40917">
              <w:rPr>
                <w:sz w:val="22"/>
                <w:szCs w:val="22"/>
              </w:rPr>
              <w:t>20.7</w:t>
            </w:r>
          </w:p>
        </w:tc>
        <w:tc>
          <w:tcPr>
            <w:tcW w:w="413" w:type="pct"/>
            <w:vAlign w:val="center"/>
          </w:tcPr>
          <w:p w:rsidR="00413209" w:rsidRPr="00413209" w:rsidRDefault="00413209" w:rsidP="00413209">
            <w:pPr>
              <w:jc w:val="center"/>
              <w:rPr>
                <w:szCs w:val="20"/>
              </w:rPr>
            </w:pPr>
            <w:r w:rsidRPr="00413209">
              <w:rPr>
                <w:sz w:val="22"/>
                <w:szCs w:val="20"/>
              </w:rPr>
              <w:t>4.0</w:t>
            </w:r>
          </w:p>
        </w:tc>
        <w:tc>
          <w:tcPr>
            <w:tcW w:w="147" w:type="pct"/>
            <w:vAlign w:val="center"/>
          </w:tcPr>
          <w:p w:rsidR="00413209" w:rsidRPr="00EE5C5C" w:rsidRDefault="00413209" w:rsidP="00EE5C5C">
            <w:pPr>
              <w:jc w:val="center"/>
            </w:pPr>
          </w:p>
        </w:tc>
      </w:tr>
      <w:tr w:rsidR="00413209" w:rsidRPr="00C2109B" w:rsidTr="00413209">
        <w:tc>
          <w:tcPr>
            <w:tcW w:w="292" w:type="pct"/>
            <w:vAlign w:val="center"/>
          </w:tcPr>
          <w:p w:rsidR="00413209" w:rsidRPr="00C2109B" w:rsidRDefault="00413209" w:rsidP="00B40917">
            <w:pPr>
              <w:pStyle w:val="BodyText"/>
              <w:widowControl w:val="0"/>
            </w:pPr>
            <w:r>
              <w:rPr>
                <w:sz w:val="22"/>
                <w:szCs w:val="22"/>
              </w:rPr>
              <w:t>4</w:t>
            </w:r>
          </w:p>
        </w:tc>
        <w:tc>
          <w:tcPr>
            <w:tcW w:w="1271" w:type="pct"/>
            <w:vAlign w:val="bottom"/>
          </w:tcPr>
          <w:p w:rsidR="00413209" w:rsidRPr="007E0383" w:rsidRDefault="00413209" w:rsidP="00B40917">
            <w:pPr>
              <w:pStyle w:val="BodyText"/>
              <w:widowControl w:val="0"/>
            </w:pPr>
            <w:r w:rsidRPr="007E0383">
              <w:rPr>
                <w:sz w:val="22"/>
                <w:szCs w:val="22"/>
              </w:rPr>
              <w:t>2006/2009</w:t>
            </w:r>
            <w:r>
              <w:rPr>
                <w:sz w:val="22"/>
                <w:szCs w:val="22"/>
              </w:rPr>
              <w:t xml:space="preserve"> </w:t>
            </w:r>
            <w:r w:rsidRPr="00985053">
              <w:rPr>
                <w:sz w:val="16"/>
                <w:szCs w:val="16"/>
              </w:rPr>
              <w:t>with 5 ACH</w:t>
            </w:r>
          </w:p>
        </w:tc>
        <w:tc>
          <w:tcPr>
            <w:tcW w:w="377" w:type="pct"/>
            <w:vAlign w:val="bottom"/>
          </w:tcPr>
          <w:p w:rsidR="00413209" w:rsidRPr="007E0383" w:rsidRDefault="00413209" w:rsidP="00B40917">
            <w:pPr>
              <w:pStyle w:val="BodyText"/>
              <w:widowControl w:val="0"/>
            </w:pPr>
            <w:r w:rsidRPr="007E0383">
              <w:rPr>
                <w:sz w:val="22"/>
                <w:szCs w:val="22"/>
              </w:rPr>
              <w:t>.35</w:t>
            </w:r>
          </w:p>
        </w:tc>
        <w:tc>
          <w:tcPr>
            <w:tcW w:w="299" w:type="pct"/>
            <w:vAlign w:val="bottom"/>
          </w:tcPr>
          <w:p w:rsidR="00413209" w:rsidRPr="007E0383" w:rsidRDefault="00413209" w:rsidP="00B40917">
            <w:pPr>
              <w:pStyle w:val="BodyText"/>
              <w:widowControl w:val="0"/>
            </w:pPr>
            <w:r w:rsidRPr="007E0383">
              <w:rPr>
                <w:sz w:val="22"/>
                <w:szCs w:val="22"/>
              </w:rPr>
              <w:t>38</w:t>
            </w:r>
          </w:p>
        </w:tc>
        <w:tc>
          <w:tcPr>
            <w:tcW w:w="600" w:type="pct"/>
            <w:vAlign w:val="bottom"/>
          </w:tcPr>
          <w:p w:rsidR="00413209" w:rsidRPr="007E0383" w:rsidRDefault="00413209" w:rsidP="00B40917">
            <w:pPr>
              <w:pStyle w:val="BodyText"/>
              <w:widowControl w:val="0"/>
            </w:pPr>
            <w:r w:rsidRPr="007E0383">
              <w:rPr>
                <w:sz w:val="22"/>
                <w:szCs w:val="22"/>
              </w:rPr>
              <w:t>13 + 5ci</w:t>
            </w:r>
          </w:p>
        </w:tc>
        <w:tc>
          <w:tcPr>
            <w:tcW w:w="302" w:type="pct"/>
            <w:vAlign w:val="bottom"/>
          </w:tcPr>
          <w:p w:rsidR="00413209" w:rsidRPr="007E0383" w:rsidRDefault="00413209" w:rsidP="00B40917">
            <w:pPr>
              <w:pStyle w:val="BodyText"/>
              <w:widowControl w:val="0"/>
            </w:pPr>
            <w:r w:rsidRPr="007E0383">
              <w:rPr>
                <w:sz w:val="22"/>
                <w:szCs w:val="22"/>
              </w:rPr>
              <w:t>30</w:t>
            </w:r>
          </w:p>
        </w:tc>
        <w:tc>
          <w:tcPr>
            <w:tcW w:w="401" w:type="pct"/>
            <w:vAlign w:val="bottom"/>
          </w:tcPr>
          <w:p w:rsidR="00413209" w:rsidRPr="007E0383" w:rsidRDefault="00413209" w:rsidP="00B40917">
            <w:pPr>
              <w:jc w:val="center"/>
            </w:pPr>
            <w:r>
              <w:rPr>
                <w:sz w:val="22"/>
                <w:szCs w:val="22"/>
              </w:rPr>
              <w:t>5</w:t>
            </w:r>
          </w:p>
        </w:tc>
        <w:tc>
          <w:tcPr>
            <w:tcW w:w="480" w:type="pct"/>
            <w:vAlign w:val="bottom"/>
          </w:tcPr>
          <w:p w:rsidR="00413209" w:rsidRPr="00B40917" w:rsidRDefault="00413209" w:rsidP="00B40917">
            <w:pPr>
              <w:jc w:val="center"/>
            </w:pPr>
            <w:r w:rsidRPr="00B40917">
              <w:rPr>
                <w:sz w:val="22"/>
                <w:szCs w:val="22"/>
              </w:rPr>
              <w:t>62.4</w:t>
            </w:r>
          </w:p>
        </w:tc>
        <w:tc>
          <w:tcPr>
            <w:tcW w:w="419" w:type="pct"/>
            <w:vAlign w:val="bottom"/>
          </w:tcPr>
          <w:p w:rsidR="00413209" w:rsidRPr="00B40917" w:rsidRDefault="00413209" w:rsidP="00B40917">
            <w:pPr>
              <w:jc w:val="center"/>
            </w:pPr>
            <w:r w:rsidRPr="00B40917">
              <w:rPr>
                <w:sz w:val="22"/>
                <w:szCs w:val="22"/>
              </w:rPr>
              <w:t>21.9</w:t>
            </w:r>
          </w:p>
        </w:tc>
        <w:tc>
          <w:tcPr>
            <w:tcW w:w="413" w:type="pct"/>
            <w:vAlign w:val="center"/>
          </w:tcPr>
          <w:p w:rsidR="00413209" w:rsidRPr="00413209" w:rsidRDefault="00413209" w:rsidP="00413209">
            <w:pPr>
              <w:jc w:val="center"/>
              <w:rPr>
                <w:szCs w:val="20"/>
              </w:rPr>
            </w:pPr>
            <w:r w:rsidRPr="00413209">
              <w:rPr>
                <w:sz w:val="22"/>
                <w:szCs w:val="20"/>
              </w:rPr>
              <w:t>3.3</w:t>
            </w:r>
          </w:p>
        </w:tc>
        <w:tc>
          <w:tcPr>
            <w:tcW w:w="147" w:type="pct"/>
            <w:vAlign w:val="center"/>
          </w:tcPr>
          <w:p w:rsidR="00413209" w:rsidRPr="00EE5C5C" w:rsidRDefault="00413209" w:rsidP="00EE5C5C">
            <w:pPr>
              <w:jc w:val="center"/>
            </w:pPr>
          </w:p>
        </w:tc>
      </w:tr>
      <w:tr w:rsidR="00413209" w:rsidRPr="00C2109B" w:rsidTr="00413209">
        <w:tc>
          <w:tcPr>
            <w:tcW w:w="292" w:type="pct"/>
            <w:vAlign w:val="center"/>
          </w:tcPr>
          <w:p w:rsidR="00413209" w:rsidRPr="00C2109B" w:rsidRDefault="00413209" w:rsidP="00B40917">
            <w:pPr>
              <w:pStyle w:val="BodyText"/>
              <w:widowControl w:val="0"/>
            </w:pPr>
            <w:r>
              <w:rPr>
                <w:sz w:val="22"/>
                <w:szCs w:val="22"/>
              </w:rPr>
              <w:t>5</w:t>
            </w:r>
          </w:p>
        </w:tc>
        <w:tc>
          <w:tcPr>
            <w:tcW w:w="1271" w:type="pct"/>
            <w:vAlign w:val="bottom"/>
          </w:tcPr>
          <w:p w:rsidR="00413209" w:rsidRPr="007E0383" w:rsidRDefault="00413209" w:rsidP="00B40917">
            <w:pPr>
              <w:pStyle w:val="BodyText"/>
              <w:widowControl w:val="0"/>
            </w:pPr>
            <w:r w:rsidRPr="007E0383">
              <w:rPr>
                <w:sz w:val="22"/>
                <w:szCs w:val="22"/>
              </w:rPr>
              <w:t xml:space="preserve">2012 </w:t>
            </w:r>
            <w:r w:rsidRPr="00985053">
              <w:rPr>
                <w:sz w:val="16"/>
                <w:szCs w:val="16"/>
              </w:rPr>
              <w:t>with 5 ACH</w:t>
            </w:r>
          </w:p>
        </w:tc>
        <w:tc>
          <w:tcPr>
            <w:tcW w:w="377" w:type="pct"/>
            <w:vAlign w:val="bottom"/>
          </w:tcPr>
          <w:p w:rsidR="00413209" w:rsidRPr="007E0383" w:rsidRDefault="00413209" w:rsidP="00B40917">
            <w:pPr>
              <w:pStyle w:val="BodyText"/>
              <w:widowControl w:val="0"/>
            </w:pPr>
            <w:r w:rsidRPr="007E0383">
              <w:rPr>
                <w:sz w:val="22"/>
                <w:szCs w:val="22"/>
              </w:rPr>
              <w:t>.32</w:t>
            </w:r>
          </w:p>
        </w:tc>
        <w:tc>
          <w:tcPr>
            <w:tcW w:w="299" w:type="pct"/>
            <w:vAlign w:val="bottom"/>
          </w:tcPr>
          <w:p w:rsidR="00413209" w:rsidRPr="007E0383" w:rsidRDefault="00413209" w:rsidP="00B40917">
            <w:pPr>
              <w:pStyle w:val="BodyText"/>
              <w:widowControl w:val="0"/>
            </w:pPr>
            <w:r w:rsidRPr="007E0383">
              <w:rPr>
                <w:sz w:val="22"/>
                <w:szCs w:val="22"/>
              </w:rPr>
              <w:t>49</w:t>
            </w:r>
          </w:p>
        </w:tc>
        <w:tc>
          <w:tcPr>
            <w:tcW w:w="600" w:type="pct"/>
            <w:vAlign w:val="bottom"/>
          </w:tcPr>
          <w:p w:rsidR="00413209" w:rsidRPr="007E0383" w:rsidRDefault="00413209" w:rsidP="00B40917">
            <w:pPr>
              <w:pStyle w:val="BodyText"/>
              <w:widowControl w:val="0"/>
            </w:pPr>
            <w:r w:rsidRPr="007E0383">
              <w:rPr>
                <w:sz w:val="22"/>
                <w:szCs w:val="22"/>
              </w:rPr>
              <w:t>13 + 5ci</w:t>
            </w:r>
          </w:p>
        </w:tc>
        <w:tc>
          <w:tcPr>
            <w:tcW w:w="302" w:type="pct"/>
            <w:vAlign w:val="bottom"/>
          </w:tcPr>
          <w:p w:rsidR="00413209" w:rsidRPr="007E0383" w:rsidRDefault="00413209" w:rsidP="00B40917">
            <w:pPr>
              <w:pStyle w:val="BodyText"/>
              <w:widowControl w:val="0"/>
            </w:pPr>
            <w:r w:rsidRPr="007E0383">
              <w:rPr>
                <w:sz w:val="22"/>
                <w:szCs w:val="22"/>
              </w:rPr>
              <w:t>30</w:t>
            </w:r>
          </w:p>
        </w:tc>
        <w:tc>
          <w:tcPr>
            <w:tcW w:w="401" w:type="pct"/>
            <w:vAlign w:val="bottom"/>
          </w:tcPr>
          <w:p w:rsidR="00413209" w:rsidRPr="007E0383" w:rsidRDefault="00413209" w:rsidP="00B40917">
            <w:pPr>
              <w:pStyle w:val="BodyText"/>
              <w:widowControl w:val="0"/>
            </w:pPr>
            <w:r w:rsidRPr="007E0383">
              <w:rPr>
                <w:sz w:val="22"/>
                <w:szCs w:val="22"/>
              </w:rPr>
              <w:t>5</w:t>
            </w:r>
          </w:p>
        </w:tc>
        <w:tc>
          <w:tcPr>
            <w:tcW w:w="480" w:type="pct"/>
            <w:vAlign w:val="bottom"/>
          </w:tcPr>
          <w:p w:rsidR="00413209" w:rsidRPr="00B40917" w:rsidRDefault="00413209" w:rsidP="00B40917">
            <w:pPr>
              <w:jc w:val="center"/>
            </w:pPr>
            <w:r w:rsidRPr="00B40917">
              <w:rPr>
                <w:sz w:val="22"/>
                <w:szCs w:val="22"/>
              </w:rPr>
              <w:t>57.3</w:t>
            </w:r>
          </w:p>
        </w:tc>
        <w:tc>
          <w:tcPr>
            <w:tcW w:w="419" w:type="pct"/>
            <w:vAlign w:val="bottom"/>
          </w:tcPr>
          <w:p w:rsidR="00413209" w:rsidRPr="00B40917" w:rsidRDefault="00413209" w:rsidP="00B40917">
            <w:pPr>
              <w:jc w:val="center"/>
            </w:pPr>
            <w:r w:rsidRPr="00B40917">
              <w:rPr>
                <w:sz w:val="22"/>
                <w:szCs w:val="22"/>
              </w:rPr>
              <w:t>22.5</w:t>
            </w:r>
          </w:p>
        </w:tc>
        <w:tc>
          <w:tcPr>
            <w:tcW w:w="413" w:type="pct"/>
            <w:vAlign w:val="center"/>
          </w:tcPr>
          <w:p w:rsidR="00413209" w:rsidRPr="00413209" w:rsidRDefault="00413209" w:rsidP="00413209">
            <w:pPr>
              <w:jc w:val="center"/>
              <w:rPr>
                <w:szCs w:val="20"/>
              </w:rPr>
            </w:pPr>
            <w:r w:rsidRPr="00413209">
              <w:rPr>
                <w:sz w:val="22"/>
                <w:szCs w:val="20"/>
              </w:rPr>
              <w:t>3.0</w:t>
            </w:r>
          </w:p>
        </w:tc>
        <w:tc>
          <w:tcPr>
            <w:tcW w:w="147" w:type="pct"/>
            <w:vAlign w:val="center"/>
          </w:tcPr>
          <w:p w:rsidR="00413209" w:rsidRPr="00EE5C5C" w:rsidRDefault="00413209" w:rsidP="00EE5C5C">
            <w:pPr>
              <w:jc w:val="center"/>
            </w:pPr>
          </w:p>
        </w:tc>
      </w:tr>
      <w:tr w:rsidR="00413209" w:rsidRPr="00C2109B" w:rsidTr="00413209">
        <w:tc>
          <w:tcPr>
            <w:tcW w:w="292" w:type="pct"/>
            <w:vAlign w:val="center"/>
          </w:tcPr>
          <w:p w:rsidR="00413209" w:rsidRPr="00C2109B" w:rsidRDefault="00413209" w:rsidP="00B40917">
            <w:pPr>
              <w:pStyle w:val="BodyText"/>
              <w:widowControl w:val="0"/>
            </w:pPr>
            <w:r>
              <w:rPr>
                <w:sz w:val="22"/>
                <w:szCs w:val="22"/>
              </w:rPr>
              <w:t>6</w:t>
            </w:r>
          </w:p>
        </w:tc>
        <w:tc>
          <w:tcPr>
            <w:tcW w:w="1271" w:type="pct"/>
            <w:vAlign w:val="bottom"/>
          </w:tcPr>
          <w:p w:rsidR="00413209" w:rsidRPr="007E0383" w:rsidRDefault="00413209" w:rsidP="00B40917">
            <w:pPr>
              <w:pStyle w:val="BodyText"/>
              <w:widowControl w:val="0"/>
            </w:pPr>
            <w:r w:rsidRPr="007E0383">
              <w:rPr>
                <w:sz w:val="22"/>
                <w:szCs w:val="22"/>
              </w:rPr>
              <w:t>2012</w:t>
            </w:r>
          </w:p>
        </w:tc>
        <w:tc>
          <w:tcPr>
            <w:tcW w:w="377" w:type="pct"/>
            <w:vAlign w:val="bottom"/>
          </w:tcPr>
          <w:p w:rsidR="00413209" w:rsidRPr="007E0383" w:rsidRDefault="00413209" w:rsidP="00B40917">
            <w:pPr>
              <w:pStyle w:val="BodyText"/>
              <w:widowControl w:val="0"/>
            </w:pPr>
            <w:r w:rsidRPr="007E0383">
              <w:rPr>
                <w:sz w:val="22"/>
                <w:szCs w:val="22"/>
              </w:rPr>
              <w:t>.32</w:t>
            </w:r>
          </w:p>
        </w:tc>
        <w:tc>
          <w:tcPr>
            <w:tcW w:w="299" w:type="pct"/>
            <w:vAlign w:val="bottom"/>
          </w:tcPr>
          <w:p w:rsidR="00413209" w:rsidRPr="007E0383" w:rsidRDefault="00413209" w:rsidP="00B40917">
            <w:pPr>
              <w:pStyle w:val="BodyText"/>
              <w:widowControl w:val="0"/>
            </w:pPr>
            <w:r w:rsidRPr="007E0383">
              <w:rPr>
                <w:sz w:val="22"/>
                <w:szCs w:val="22"/>
              </w:rPr>
              <w:t>49</w:t>
            </w:r>
          </w:p>
        </w:tc>
        <w:tc>
          <w:tcPr>
            <w:tcW w:w="600" w:type="pct"/>
            <w:vAlign w:val="bottom"/>
          </w:tcPr>
          <w:p w:rsidR="00413209" w:rsidRPr="007E0383" w:rsidRDefault="00413209" w:rsidP="00B40917">
            <w:pPr>
              <w:pStyle w:val="BodyText"/>
              <w:widowControl w:val="0"/>
            </w:pPr>
            <w:r w:rsidRPr="007E0383">
              <w:rPr>
                <w:sz w:val="22"/>
                <w:szCs w:val="22"/>
              </w:rPr>
              <w:t>13 + 5ci</w:t>
            </w:r>
          </w:p>
        </w:tc>
        <w:tc>
          <w:tcPr>
            <w:tcW w:w="302" w:type="pct"/>
            <w:vAlign w:val="bottom"/>
          </w:tcPr>
          <w:p w:rsidR="00413209" w:rsidRPr="007E0383" w:rsidRDefault="00413209" w:rsidP="00B40917">
            <w:pPr>
              <w:pStyle w:val="BodyText"/>
              <w:widowControl w:val="0"/>
            </w:pPr>
            <w:r w:rsidRPr="007E0383">
              <w:rPr>
                <w:sz w:val="22"/>
                <w:szCs w:val="22"/>
              </w:rPr>
              <w:t>30</w:t>
            </w:r>
          </w:p>
        </w:tc>
        <w:tc>
          <w:tcPr>
            <w:tcW w:w="401" w:type="pct"/>
            <w:vAlign w:val="bottom"/>
          </w:tcPr>
          <w:p w:rsidR="00413209" w:rsidRPr="007E0383" w:rsidRDefault="00413209" w:rsidP="00B40917">
            <w:pPr>
              <w:pStyle w:val="BodyText"/>
              <w:widowControl w:val="0"/>
            </w:pPr>
            <w:r w:rsidRPr="007E0383">
              <w:rPr>
                <w:sz w:val="22"/>
                <w:szCs w:val="22"/>
              </w:rPr>
              <w:t>3</w:t>
            </w:r>
          </w:p>
        </w:tc>
        <w:tc>
          <w:tcPr>
            <w:tcW w:w="480" w:type="pct"/>
            <w:vAlign w:val="bottom"/>
          </w:tcPr>
          <w:p w:rsidR="00413209" w:rsidRPr="00B40917" w:rsidRDefault="00413209" w:rsidP="00B40917">
            <w:pPr>
              <w:jc w:val="center"/>
            </w:pPr>
            <w:r w:rsidRPr="00B40917">
              <w:rPr>
                <w:sz w:val="22"/>
                <w:szCs w:val="22"/>
              </w:rPr>
              <w:t>44.3</w:t>
            </w:r>
          </w:p>
        </w:tc>
        <w:tc>
          <w:tcPr>
            <w:tcW w:w="419" w:type="pct"/>
            <w:vAlign w:val="bottom"/>
          </w:tcPr>
          <w:p w:rsidR="00413209" w:rsidRPr="00B40917" w:rsidRDefault="00413209" w:rsidP="00B40917">
            <w:pPr>
              <w:jc w:val="center"/>
            </w:pPr>
            <w:r w:rsidRPr="00B40917">
              <w:rPr>
                <w:sz w:val="22"/>
                <w:szCs w:val="22"/>
              </w:rPr>
              <w:t>23.7</w:t>
            </w:r>
          </w:p>
        </w:tc>
        <w:tc>
          <w:tcPr>
            <w:tcW w:w="413" w:type="pct"/>
            <w:vAlign w:val="center"/>
          </w:tcPr>
          <w:p w:rsidR="00413209" w:rsidRPr="00413209" w:rsidRDefault="00413209" w:rsidP="00413209">
            <w:pPr>
              <w:jc w:val="center"/>
              <w:rPr>
                <w:szCs w:val="20"/>
              </w:rPr>
            </w:pPr>
            <w:r w:rsidRPr="00413209">
              <w:rPr>
                <w:sz w:val="22"/>
                <w:szCs w:val="20"/>
              </w:rPr>
              <w:t>2.3</w:t>
            </w:r>
          </w:p>
        </w:tc>
        <w:tc>
          <w:tcPr>
            <w:tcW w:w="147" w:type="pct"/>
            <w:vAlign w:val="center"/>
          </w:tcPr>
          <w:p w:rsidR="00413209" w:rsidRPr="00EE5C5C" w:rsidRDefault="00413209" w:rsidP="00EE5C5C">
            <w:pPr>
              <w:jc w:val="center"/>
            </w:pPr>
          </w:p>
        </w:tc>
      </w:tr>
      <w:tr w:rsidR="00413209" w:rsidRPr="00C2109B" w:rsidTr="00413209">
        <w:tc>
          <w:tcPr>
            <w:tcW w:w="292" w:type="pct"/>
            <w:vAlign w:val="center"/>
          </w:tcPr>
          <w:p w:rsidR="00413209" w:rsidRPr="00C2109B" w:rsidRDefault="00413209" w:rsidP="00B40917">
            <w:pPr>
              <w:pStyle w:val="BodyText"/>
              <w:widowControl w:val="0"/>
            </w:pPr>
            <w:r>
              <w:t>7</w:t>
            </w:r>
          </w:p>
        </w:tc>
        <w:tc>
          <w:tcPr>
            <w:tcW w:w="1271" w:type="pct"/>
            <w:vAlign w:val="bottom"/>
          </w:tcPr>
          <w:p w:rsidR="00413209" w:rsidRPr="007E0383" w:rsidRDefault="00413209" w:rsidP="00B40917">
            <w:pPr>
              <w:pStyle w:val="BodyText"/>
              <w:widowControl w:val="0"/>
            </w:pPr>
            <w:r w:rsidRPr="007E0383">
              <w:rPr>
                <w:sz w:val="22"/>
                <w:szCs w:val="22"/>
              </w:rPr>
              <w:t xml:space="preserve">2012 </w:t>
            </w:r>
            <w:proofErr w:type="spellStart"/>
            <w:r w:rsidRPr="007E0383">
              <w:rPr>
                <w:sz w:val="22"/>
                <w:szCs w:val="22"/>
              </w:rPr>
              <w:t>hybrid</w:t>
            </w:r>
            <w:r w:rsidRPr="007E0383">
              <w:rPr>
                <w:sz w:val="22"/>
                <w:szCs w:val="22"/>
                <w:vertAlign w:val="superscript"/>
              </w:rPr>
              <w:t>c</w:t>
            </w:r>
            <w:proofErr w:type="spellEnd"/>
          </w:p>
        </w:tc>
        <w:tc>
          <w:tcPr>
            <w:tcW w:w="377" w:type="pct"/>
            <w:vAlign w:val="bottom"/>
          </w:tcPr>
          <w:p w:rsidR="00413209" w:rsidRPr="007E0383" w:rsidRDefault="00413209" w:rsidP="00B40917">
            <w:pPr>
              <w:pStyle w:val="BodyText"/>
              <w:widowControl w:val="0"/>
            </w:pPr>
            <w:r w:rsidRPr="007E0383">
              <w:rPr>
                <w:sz w:val="22"/>
                <w:szCs w:val="22"/>
              </w:rPr>
              <w:t>.32</w:t>
            </w:r>
          </w:p>
        </w:tc>
        <w:tc>
          <w:tcPr>
            <w:tcW w:w="299" w:type="pct"/>
            <w:vAlign w:val="bottom"/>
          </w:tcPr>
          <w:p w:rsidR="00413209" w:rsidRPr="007E0383" w:rsidRDefault="00413209" w:rsidP="00B40917">
            <w:pPr>
              <w:pStyle w:val="BodyText"/>
              <w:widowControl w:val="0"/>
            </w:pPr>
            <w:r w:rsidRPr="007E0383">
              <w:rPr>
                <w:sz w:val="22"/>
                <w:szCs w:val="22"/>
              </w:rPr>
              <w:t>49</w:t>
            </w:r>
          </w:p>
        </w:tc>
        <w:tc>
          <w:tcPr>
            <w:tcW w:w="600" w:type="pct"/>
            <w:vAlign w:val="bottom"/>
          </w:tcPr>
          <w:p w:rsidR="00413209" w:rsidRPr="007E0383" w:rsidRDefault="00413209" w:rsidP="00B40917">
            <w:pPr>
              <w:pStyle w:val="BodyText"/>
              <w:widowControl w:val="0"/>
            </w:pPr>
            <w:r w:rsidRPr="007E0383">
              <w:rPr>
                <w:sz w:val="22"/>
                <w:szCs w:val="22"/>
              </w:rPr>
              <w:t>13 + 5ci</w:t>
            </w:r>
          </w:p>
        </w:tc>
        <w:tc>
          <w:tcPr>
            <w:tcW w:w="302" w:type="pct"/>
            <w:vAlign w:val="bottom"/>
          </w:tcPr>
          <w:p w:rsidR="00413209" w:rsidRPr="007E0383" w:rsidRDefault="00413209" w:rsidP="00B40917">
            <w:pPr>
              <w:pStyle w:val="BodyText"/>
              <w:widowControl w:val="0"/>
            </w:pPr>
            <w:r w:rsidRPr="007E0383">
              <w:rPr>
                <w:sz w:val="22"/>
                <w:szCs w:val="22"/>
              </w:rPr>
              <w:t>30</w:t>
            </w:r>
          </w:p>
        </w:tc>
        <w:tc>
          <w:tcPr>
            <w:tcW w:w="401" w:type="pct"/>
            <w:vAlign w:val="bottom"/>
          </w:tcPr>
          <w:p w:rsidR="00413209" w:rsidRPr="007E0383" w:rsidRDefault="00413209" w:rsidP="00B40917">
            <w:pPr>
              <w:pStyle w:val="BodyText"/>
              <w:widowControl w:val="0"/>
            </w:pPr>
            <w:r w:rsidRPr="007E0383">
              <w:rPr>
                <w:sz w:val="22"/>
                <w:szCs w:val="22"/>
              </w:rPr>
              <w:t>3</w:t>
            </w:r>
          </w:p>
        </w:tc>
        <w:tc>
          <w:tcPr>
            <w:tcW w:w="480" w:type="pct"/>
            <w:vAlign w:val="bottom"/>
          </w:tcPr>
          <w:p w:rsidR="00413209" w:rsidRPr="00B40917" w:rsidRDefault="00413209" w:rsidP="00B40917">
            <w:pPr>
              <w:jc w:val="center"/>
            </w:pPr>
            <w:r w:rsidRPr="00B40917">
              <w:rPr>
                <w:sz w:val="22"/>
                <w:szCs w:val="22"/>
              </w:rPr>
              <w:t>50</w:t>
            </w:r>
          </w:p>
        </w:tc>
        <w:tc>
          <w:tcPr>
            <w:tcW w:w="419" w:type="pct"/>
            <w:vAlign w:val="bottom"/>
          </w:tcPr>
          <w:p w:rsidR="00413209" w:rsidRPr="00B40917" w:rsidRDefault="00413209" w:rsidP="00B40917">
            <w:pPr>
              <w:jc w:val="center"/>
            </w:pPr>
            <w:r w:rsidRPr="00B40917">
              <w:rPr>
                <w:sz w:val="22"/>
                <w:szCs w:val="22"/>
              </w:rPr>
              <w:t>23.1</w:t>
            </w:r>
          </w:p>
        </w:tc>
        <w:tc>
          <w:tcPr>
            <w:tcW w:w="413" w:type="pct"/>
            <w:vAlign w:val="center"/>
          </w:tcPr>
          <w:p w:rsidR="00413209" w:rsidRPr="00413209" w:rsidRDefault="00413209" w:rsidP="00413209">
            <w:pPr>
              <w:jc w:val="center"/>
              <w:rPr>
                <w:szCs w:val="20"/>
              </w:rPr>
            </w:pPr>
            <w:r w:rsidRPr="00413209">
              <w:rPr>
                <w:sz w:val="22"/>
                <w:szCs w:val="20"/>
              </w:rPr>
              <w:t>2.7</w:t>
            </w:r>
          </w:p>
        </w:tc>
        <w:tc>
          <w:tcPr>
            <w:tcW w:w="147" w:type="pct"/>
            <w:vAlign w:val="center"/>
          </w:tcPr>
          <w:p w:rsidR="00413209" w:rsidRPr="00EE5C5C" w:rsidRDefault="00413209" w:rsidP="00EE5C5C">
            <w:pPr>
              <w:jc w:val="center"/>
            </w:pPr>
          </w:p>
        </w:tc>
      </w:tr>
      <w:tr w:rsidR="00EE50F8" w:rsidRPr="00C2109B" w:rsidTr="00413209">
        <w:tc>
          <w:tcPr>
            <w:tcW w:w="292" w:type="pct"/>
            <w:vAlign w:val="center"/>
          </w:tcPr>
          <w:p w:rsidR="00EE50F8" w:rsidRDefault="00EE50F8" w:rsidP="003D0084">
            <w:pPr>
              <w:pStyle w:val="BodyText"/>
              <w:widowControl w:val="0"/>
            </w:pPr>
          </w:p>
        </w:tc>
        <w:tc>
          <w:tcPr>
            <w:tcW w:w="1271" w:type="pct"/>
            <w:vAlign w:val="center"/>
          </w:tcPr>
          <w:p w:rsidR="00EE50F8" w:rsidRPr="007E0383" w:rsidRDefault="00EE50F8" w:rsidP="003D0084">
            <w:pPr>
              <w:pStyle w:val="BodyText"/>
              <w:widowControl w:val="0"/>
            </w:pPr>
          </w:p>
        </w:tc>
        <w:tc>
          <w:tcPr>
            <w:tcW w:w="377" w:type="pct"/>
            <w:vAlign w:val="center"/>
          </w:tcPr>
          <w:p w:rsidR="00EE50F8" w:rsidRPr="007E0383" w:rsidRDefault="00EE50F8" w:rsidP="003D0084">
            <w:pPr>
              <w:pStyle w:val="BodyText"/>
              <w:widowControl w:val="0"/>
            </w:pPr>
          </w:p>
        </w:tc>
        <w:tc>
          <w:tcPr>
            <w:tcW w:w="299" w:type="pct"/>
            <w:vAlign w:val="center"/>
          </w:tcPr>
          <w:p w:rsidR="00EE50F8" w:rsidRPr="007E0383" w:rsidRDefault="00EE50F8" w:rsidP="003D0084">
            <w:pPr>
              <w:pStyle w:val="BodyText"/>
              <w:widowControl w:val="0"/>
            </w:pPr>
          </w:p>
        </w:tc>
        <w:tc>
          <w:tcPr>
            <w:tcW w:w="600" w:type="pct"/>
            <w:vAlign w:val="center"/>
          </w:tcPr>
          <w:p w:rsidR="00EE50F8" w:rsidRPr="007E0383" w:rsidRDefault="00EE50F8" w:rsidP="003D0084">
            <w:pPr>
              <w:pStyle w:val="BodyText"/>
              <w:widowControl w:val="0"/>
            </w:pPr>
          </w:p>
        </w:tc>
        <w:tc>
          <w:tcPr>
            <w:tcW w:w="302" w:type="pct"/>
            <w:vAlign w:val="center"/>
          </w:tcPr>
          <w:p w:rsidR="00EE50F8" w:rsidRPr="007E0383" w:rsidRDefault="00EE50F8" w:rsidP="003D0084">
            <w:pPr>
              <w:pStyle w:val="BodyText"/>
              <w:widowControl w:val="0"/>
            </w:pPr>
          </w:p>
        </w:tc>
        <w:tc>
          <w:tcPr>
            <w:tcW w:w="401" w:type="pct"/>
            <w:vAlign w:val="center"/>
          </w:tcPr>
          <w:p w:rsidR="00EE50F8" w:rsidRPr="007E0383" w:rsidRDefault="00EE50F8" w:rsidP="003D0084">
            <w:pPr>
              <w:jc w:val="center"/>
              <w:rPr>
                <w:u w:val="single"/>
              </w:rPr>
            </w:pPr>
          </w:p>
        </w:tc>
        <w:tc>
          <w:tcPr>
            <w:tcW w:w="480" w:type="pct"/>
            <w:vAlign w:val="center"/>
          </w:tcPr>
          <w:p w:rsidR="00EE50F8" w:rsidRPr="007E0383" w:rsidRDefault="00EE50F8" w:rsidP="003D0084">
            <w:pPr>
              <w:jc w:val="center"/>
              <w:rPr>
                <w:u w:val="single"/>
              </w:rPr>
            </w:pPr>
          </w:p>
        </w:tc>
        <w:tc>
          <w:tcPr>
            <w:tcW w:w="419" w:type="pct"/>
            <w:vAlign w:val="center"/>
          </w:tcPr>
          <w:p w:rsidR="00EE50F8" w:rsidRPr="007E0383" w:rsidRDefault="00EE50F8" w:rsidP="003D0084">
            <w:pPr>
              <w:pStyle w:val="BodyText"/>
              <w:widowControl w:val="0"/>
            </w:pPr>
          </w:p>
        </w:tc>
        <w:tc>
          <w:tcPr>
            <w:tcW w:w="413" w:type="pct"/>
            <w:vAlign w:val="center"/>
          </w:tcPr>
          <w:p w:rsidR="00EE50F8" w:rsidRPr="007E0383" w:rsidRDefault="00EE50F8" w:rsidP="003D0084">
            <w:pPr>
              <w:jc w:val="center"/>
            </w:pPr>
          </w:p>
        </w:tc>
        <w:tc>
          <w:tcPr>
            <w:tcW w:w="147" w:type="pct"/>
            <w:vAlign w:val="center"/>
          </w:tcPr>
          <w:p w:rsidR="00EE50F8" w:rsidRPr="007E0383" w:rsidRDefault="00EE50F8" w:rsidP="003D0084">
            <w:pPr>
              <w:jc w:val="center"/>
            </w:pPr>
          </w:p>
        </w:tc>
      </w:tr>
      <w:tr w:rsidR="00EE50F8" w:rsidRPr="00C2109B" w:rsidTr="00413209">
        <w:tc>
          <w:tcPr>
            <w:tcW w:w="292" w:type="pct"/>
            <w:vAlign w:val="center"/>
          </w:tcPr>
          <w:p w:rsidR="00EE50F8" w:rsidRPr="00C2109B" w:rsidRDefault="00EE50F8" w:rsidP="003D0084">
            <w:pPr>
              <w:pStyle w:val="BodyText"/>
              <w:widowControl w:val="0"/>
            </w:pPr>
          </w:p>
        </w:tc>
        <w:tc>
          <w:tcPr>
            <w:tcW w:w="4708" w:type="pct"/>
            <w:gridSpan w:val="10"/>
            <w:vAlign w:val="center"/>
          </w:tcPr>
          <w:p w:rsidR="00EE50F8" w:rsidRPr="007E0383" w:rsidRDefault="00EE50F8" w:rsidP="003D0084">
            <w:pPr>
              <w:pStyle w:val="BodyText"/>
              <w:widowControl w:val="0"/>
              <w:rPr>
                <w:b/>
                <w:bCs/>
              </w:rPr>
            </w:pPr>
            <w:r w:rsidRPr="007E0383">
              <w:rPr>
                <w:b/>
                <w:bCs/>
              </w:rPr>
              <w:t>6 Unit Residential; Building Thermal Envelope Modeling</w:t>
            </w:r>
          </w:p>
          <w:p w:rsidR="00EE50F8" w:rsidRPr="007E0383" w:rsidRDefault="00EE50F8" w:rsidP="003D0084">
            <w:pPr>
              <w:jc w:val="center"/>
            </w:pPr>
            <w:r w:rsidRPr="007E0383">
              <w:rPr>
                <w:b/>
                <w:bCs/>
              </w:rPr>
              <w:t xml:space="preserve"> Insulation R-Value or Fenestration U-Factor for Zone 5 and Leakage</w:t>
            </w:r>
          </w:p>
        </w:tc>
      </w:tr>
      <w:tr w:rsidR="00413209" w:rsidRPr="00C2109B" w:rsidTr="00413209">
        <w:tc>
          <w:tcPr>
            <w:tcW w:w="292" w:type="pct"/>
            <w:vAlign w:val="center"/>
          </w:tcPr>
          <w:p w:rsidR="00413209" w:rsidRPr="00C2109B" w:rsidRDefault="00413209" w:rsidP="00EE5C5C">
            <w:pPr>
              <w:pStyle w:val="BodyText"/>
              <w:widowControl w:val="0"/>
            </w:pPr>
            <w:r w:rsidRPr="00C2109B">
              <w:rPr>
                <w:sz w:val="22"/>
                <w:szCs w:val="22"/>
              </w:rPr>
              <w:t>1</w:t>
            </w:r>
          </w:p>
        </w:tc>
        <w:tc>
          <w:tcPr>
            <w:tcW w:w="1271" w:type="pct"/>
            <w:vAlign w:val="bottom"/>
          </w:tcPr>
          <w:p w:rsidR="00413209" w:rsidRPr="007E0383" w:rsidRDefault="00413209" w:rsidP="00EE5C5C">
            <w:pPr>
              <w:pStyle w:val="BodyText"/>
              <w:widowControl w:val="0"/>
            </w:pPr>
            <w:r w:rsidRPr="007E0383">
              <w:rPr>
                <w:sz w:val="22"/>
                <w:szCs w:val="22"/>
              </w:rPr>
              <w:t>2003</w:t>
            </w:r>
          </w:p>
        </w:tc>
        <w:tc>
          <w:tcPr>
            <w:tcW w:w="377" w:type="pct"/>
            <w:vAlign w:val="bottom"/>
          </w:tcPr>
          <w:p w:rsidR="00413209" w:rsidRPr="007E0383" w:rsidRDefault="00413209" w:rsidP="00EE5C5C">
            <w:pPr>
              <w:pStyle w:val="BodyText"/>
              <w:widowControl w:val="0"/>
            </w:pPr>
            <w:r w:rsidRPr="007E0383">
              <w:rPr>
                <w:sz w:val="22"/>
                <w:szCs w:val="22"/>
              </w:rPr>
              <w:t>.45</w:t>
            </w:r>
          </w:p>
        </w:tc>
        <w:tc>
          <w:tcPr>
            <w:tcW w:w="299" w:type="pct"/>
            <w:vAlign w:val="bottom"/>
          </w:tcPr>
          <w:p w:rsidR="00413209" w:rsidRPr="007E0383" w:rsidRDefault="00413209" w:rsidP="00EE5C5C">
            <w:pPr>
              <w:pStyle w:val="BodyText"/>
              <w:widowControl w:val="0"/>
            </w:pPr>
            <w:r w:rsidRPr="007E0383">
              <w:rPr>
                <w:sz w:val="22"/>
                <w:szCs w:val="22"/>
              </w:rPr>
              <w:t>30</w:t>
            </w:r>
          </w:p>
        </w:tc>
        <w:tc>
          <w:tcPr>
            <w:tcW w:w="600" w:type="pct"/>
            <w:vAlign w:val="bottom"/>
          </w:tcPr>
          <w:p w:rsidR="00413209" w:rsidRPr="007E0383" w:rsidRDefault="00413209" w:rsidP="00EE5C5C">
            <w:pPr>
              <w:pStyle w:val="BodyText"/>
              <w:widowControl w:val="0"/>
            </w:pPr>
            <w:r w:rsidRPr="007E0383">
              <w:rPr>
                <w:sz w:val="22"/>
                <w:szCs w:val="22"/>
              </w:rPr>
              <w:t>13</w:t>
            </w:r>
          </w:p>
        </w:tc>
        <w:tc>
          <w:tcPr>
            <w:tcW w:w="302" w:type="pct"/>
            <w:vAlign w:val="bottom"/>
          </w:tcPr>
          <w:p w:rsidR="00413209" w:rsidRPr="007E0383" w:rsidRDefault="00413209" w:rsidP="00EE5C5C">
            <w:pPr>
              <w:pStyle w:val="BodyText"/>
              <w:widowControl w:val="0"/>
            </w:pPr>
            <w:r w:rsidRPr="007E0383">
              <w:rPr>
                <w:sz w:val="22"/>
                <w:szCs w:val="22"/>
              </w:rPr>
              <w:t>19</w:t>
            </w:r>
          </w:p>
        </w:tc>
        <w:tc>
          <w:tcPr>
            <w:tcW w:w="401" w:type="pct"/>
            <w:vAlign w:val="bottom"/>
          </w:tcPr>
          <w:p w:rsidR="00413209" w:rsidRPr="007E0383" w:rsidRDefault="00413209" w:rsidP="00EE5C5C">
            <w:pPr>
              <w:pStyle w:val="BodyText"/>
              <w:widowControl w:val="0"/>
            </w:pPr>
            <w:r w:rsidRPr="007E0383">
              <w:rPr>
                <w:sz w:val="22"/>
                <w:szCs w:val="22"/>
              </w:rPr>
              <w:t>~8</w:t>
            </w:r>
          </w:p>
        </w:tc>
        <w:tc>
          <w:tcPr>
            <w:tcW w:w="480" w:type="pct"/>
            <w:vAlign w:val="bottom"/>
          </w:tcPr>
          <w:p w:rsidR="00413209" w:rsidRPr="00B40917" w:rsidRDefault="00413209" w:rsidP="00EE5C5C">
            <w:pPr>
              <w:jc w:val="center"/>
            </w:pPr>
            <w:r w:rsidRPr="00B40917">
              <w:rPr>
                <w:sz w:val="22"/>
                <w:szCs w:val="22"/>
              </w:rPr>
              <w:t>165.7</w:t>
            </w:r>
          </w:p>
        </w:tc>
        <w:tc>
          <w:tcPr>
            <w:tcW w:w="419" w:type="pct"/>
            <w:vAlign w:val="bottom"/>
          </w:tcPr>
          <w:p w:rsidR="00413209" w:rsidRPr="00B40917" w:rsidRDefault="00413209" w:rsidP="00EE5C5C">
            <w:pPr>
              <w:jc w:val="center"/>
            </w:pPr>
            <w:r w:rsidRPr="00B40917">
              <w:rPr>
                <w:sz w:val="22"/>
                <w:szCs w:val="22"/>
              </w:rPr>
              <w:t>27.6</w:t>
            </w:r>
          </w:p>
        </w:tc>
        <w:tc>
          <w:tcPr>
            <w:tcW w:w="413" w:type="pct"/>
            <w:vAlign w:val="center"/>
          </w:tcPr>
          <w:p w:rsidR="00413209" w:rsidRPr="00413209" w:rsidRDefault="00413209" w:rsidP="00413209">
            <w:pPr>
              <w:jc w:val="center"/>
              <w:rPr>
                <w:szCs w:val="20"/>
              </w:rPr>
            </w:pPr>
            <w:r w:rsidRPr="00413209">
              <w:rPr>
                <w:sz w:val="22"/>
                <w:szCs w:val="20"/>
              </w:rPr>
              <w:t>8.8</w:t>
            </w:r>
          </w:p>
        </w:tc>
        <w:tc>
          <w:tcPr>
            <w:tcW w:w="147" w:type="pct"/>
            <w:vAlign w:val="center"/>
          </w:tcPr>
          <w:p w:rsidR="00413209" w:rsidRPr="00EE5C5C" w:rsidRDefault="00413209" w:rsidP="00EE5C5C">
            <w:pPr>
              <w:jc w:val="center"/>
            </w:pPr>
          </w:p>
        </w:tc>
      </w:tr>
      <w:tr w:rsidR="00413209" w:rsidRPr="00C2109B" w:rsidTr="00413209">
        <w:tc>
          <w:tcPr>
            <w:tcW w:w="292" w:type="pct"/>
            <w:vAlign w:val="center"/>
          </w:tcPr>
          <w:p w:rsidR="00413209" w:rsidRPr="00C2109B" w:rsidRDefault="00413209" w:rsidP="00EE5C5C">
            <w:pPr>
              <w:pStyle w:val="BodyText"/>
              <w:widowControl w:val="0"/>
            </w:pPr>
            <w:r w:rsidRPr="00C2109B">
              <w:rPr>
                <w:sz w:val="22"/>
                <w:szCs w:val="22"/>
              </w:rPr>
              <w:t>2</w:t>
            </w:r>
          </w:p>
        </w:tc>
        <w:tc>
          <w:tcPr>
            <w:tcW w:w="1271" w:type="pct"/>
            <w:vAlign w:val="bottom"/>
          </w:tcPr>
          <w:p w:rsidR="00413209" w:rsidRPr="007E0383" w:rsidRDefault="00413209" w:rsidP="00EE5C5C">
            <w:pPr>
              <w:pStyle w:val="BodyText"/>
              <w:widowControl w:val="0"/>
            </w:pPr>
            <w:r w:rsidRPr="007E0383">
              <w:rPr>
                <w:sz w:val="22"/>
                <w:szCs w:val="22"/>
              </w:rPr>
              <w:t>2006/2009</w:t>
            </w:r>
          </w:p>
        </w:tc>
        <w:tc>
          <w:tcPr>
            <w:tcW w:w="377" w:type="pct"/>
            <w:vAlign w:val="bottom"/>
          </w:tcPr>
          <w:p w:rsidR="00413209" w:rsidRPr="007E0383" w:rsidRDefault="00413209" w:rsidP="00EE5C5C">
            <w:pPr>
              <w:pStyle w:val="BodyText"/>
              <w:widowControl w:val="0"/>
            </w:pPr>
            <w:r w:rsidRPr="007E0383">
              <w:rPr>
                <w:sz w:val="22"/>
                <w:szCs w:val="22"/>
              </w:rPr>
              <w:t>.35</w:t>
            </w:r>
          </w:p>
        </w:tc>
        <w:tc>
          <w:tcPr>
            <w:tcW w:w="299" w:type="pct"/>
            <w:vAlign w:val="bottom"/>
          </w:tcPr>
          <w:p w:rsidR="00413209" w:rsidRPr="007E0383" w:rsidRDefault="00413209" w:rsidP="00EE5C5C">
            <w:pPr>
              <w:pStyle w:val="BodyText"/>
              <w:widowControl w:val="0"/>
            </w:pPr>
            <w:r w:rsidRPr="007E0383">
              <w:rPr>
                <w:sz w:val="22"/>
                <w:szCs w:val="22"/>
              </w:rPr>
              <w:t>38</w:t>
            </w:r>
          </w:p>
        </w:tc>
        <w:tc>
          <w:tcPr>
            <w:tcW w:w="600" w:type="pct"/>
            <w:vAlign w:val="bottom"/>
          </w:tcPr>
          <w:p w:rsidR="00413209" w:rsidRPr="007E0383" w:rsidRDefault="00413209" w:rsidP="00EE5C5C">
            <w:pPr>
              <w:pStyle w:val="BodyText"/>
              <w:widowControl w:val="0"/>
            </w:pPr>
            <w:r w:rsidRPr="007E0383">
              <w:rPr>
                <w:sz w:val="22"/>
                <w:szCs w:val="22"/>
              </w:rPr>
              <w:t>19/20</w:t>
            </w:r>
          </w:p>
        </w:tc>
        <w:tc>
          <w:tcPr>
            <w:tcW w:w="302" w:type="pct"/>
            <w:vAlign w:val="bottom"/>
          </w:tcPr>
          <w:p w:rsidR="00413209" w:rsidRPr="007E0383" w:rsidRDefault="00413209" w:rsidP="00EE5C5C">
            <w:pPr>
              <w:pStyle w:val="BodyText"/>
              <w:widowControl w:val="0"/>
            </w:pPr>
            <w:r w:rsidRPr="007E0383">
              <w:rPr>
                <w:sz w:val="22"/>
                <w:szCs w:val="22"/>
              </w:rPr>
              <w:t>30</w:t>
            </w:r>
          </w:p>
        </w:tc>
        <w:tc>
          <w:tcPr>
            <w:tcW w:w="401" w:type="pct"/>
            <w:vAlign w:val="bottom"/>
          </w:tcPr>
          <w:p w:rsidR="00413209" w:rsidRPr="007E0383" w:rsidRDefault="00413209" w:rsidP="00EE5C5C">
            <w:pPr>
              <w:pStyle w:val="BodyText"/>
              <w:widowControl w:val="0"/>
            </w:pPr>
            <w:r w:rsidRPr="007E0383">
              <w:rPr>
                <w:sz w:val="22"/>
                <w:szCs w:val="22"/>
              </w:rPr>
              <w:t>~7</w:t>
            </w:r>
          </w:p>
        </w:tc>
        <w:tc>
          <w:tcPr>
            <w:tcW w:w="480" w:type="pct"/>
            <w:vAlign w:val="bottom"/>
          </w:tcPr>
          <w:p w:rsidR="00413209" w:rsidRPr="00B40917" w:rsidRDefault="00413209" w:rsidP="00EE5C5C">
            <w:pPr>
              <w:jc w:val="center"/>
            </w:pPr>
            <w:r w:rsidRPr="00B40917">
              <w:rPr>
                <w:sz w:val="22"/>
                <w:szCs w:val="22"/>
              </w:rPr>
              <w:t>120.3</w:t>
            </w:r>
          </w:p>
        </w:tc>
        <w:tc>
          <w:tcPr>
            <w:tcW w:w="419" w:type="pct"/>
            <w:vAlign w:val="bottom"/>
          </w:tcPr>
          <w:p w:rsidR="00413209" w:rsidRPr="00B40917" w:rsidRDefault="00413209" w:rsidP="00EE5C5C">
            <w:pPr>
              <w:jc w:val="center"/>
            </w:pPr>
            <w:r w:rsidRPr="00B40917">
              <w:rPr>
                <w:sz w:val="22"/>
                <w:szCs w:val="22"/>
              </w:rPr>
              <w:t>30.4</w:t>
            </w:r>
          </w:p>
        </w:tc>
        <w:tc>
          <w:tcPr>
            <w:tcW w:w="413" w:type="pct"/>
            <w:vAlign w:val="center"/>
          </w:tcPr>
          <w:p w:rsidR="00413209" w:rsidRPr="00413209" w:rsidRDefault="00413209" w:rsidP="00413209">
            <w:pPr>
              <w:jc w:val="center"/>
              <w:rPr>
                <w:szCs w:val="20"/>
              </w:rPr>
            </w:pPr>
            <w:r w:rsidRPr="00413209">
              <w:rPr>
                <w:sz w:val="22"/>
                <w:szCs w:val="20"/>
              </w:rPr>
              <w:t>6.4</w:t>
            </w:r>
          </w:p>
        </w:tc>
        <w:tc>
          <w:tcPr>
            <w:tcW w:w="147" w:type="pct"/>
            <w:vAlign w:val="center"/>
          </w:tcPr>
          <w:p w:rsidR="00413209" w:rsidRPr="00EE5C5C" w:rsidRDefault="00413209" w:rsidP="00EE5C5C">
            <w:pPr>
              <w:jc w:val="center"/>
            </w:pPr>
          </w:p>
        </w:tc>
      </w:tr>
      <w:tr w:rsidR="00413209" w:rsidRPr="00C2109B" w:rsidTr="00413209">
        <w:tc>
          <w:tcPr>
            <w:tcW w:w="292" w:type="pct"/>
            <w:vAlign w:val="center"/>
          </w:tcPr>
          <w:p w:rsidR="00413209" w:rsidRPr="00C2109B" w:rsidRDefault="00413209" w:rsidP="00EE5C5C">
            <w:pPr>
              <w:pStyle w:val="BodyText"/>
              <w:widowControl w:val="0"/>
            </w:pPr>
            <w:r>
              <w:rPr>
                <w:sz w:val="22"/>
                <w:szCs w:val="22"/>
              </w:rPr>
              <w:t>3</w:t>
            </w:r>
          </w:p>
        </w:tc>
        <w:tc>
          <w:tcPr>
            <w:tcW w:w="1271" w:type="pct"/>
            <w:vAlign w:val="bottom"/>
          </w:tcPr>
          <w:p w:rsidR="00413209" w:rsidRPr="007E0383" w:rsidRDefault="00413209" w:rsidP="00EE5C5C">
            <w:pPr>
              <w:pStyle w:val="BodyText"/>
              <w:widowControl w:val="0"/>
            </w:pPr>
            <w:r w:rsidRPr="007E0383">
              <w:rPr>
                <w:sz w:val="22"/>
                <w:szCs w:val="22"/>
              </w:rPr>
              <w:t>2006/2009</w:t>
            </w:r>
          </w:p>
        </w:tc>
        <w:tc>
          <w:tcPr>
            <w:tcW w:w="377" w:type="pct"/>
            <w:vAlign w:val="bottom"/>
          </w:tcPr>
          <w:p w:rsidR="00413209" w:rsidRPr="007E0383" w:rsidRDefault="00413209" w:rsidP="00EE5C5C">
            <w:pPr>
              <w:pStyle w:val="BodyText"/>
              <w:widowControl w:val="0"/>
            </w:pPr>
            <w:r w:rsidRPr="007E0383">
              <w:rPr>
                <w:sz w:val="22"/>
                <w:szCs w:val="22"/>
              </w:rPr>
              <w:t>.35</w:t>
            </w:r>
          </w:p>
        </w:tc>
        <w:tc>
          <w:tcPr>
            <w:tcW w:w="299" w:type="pct"/>
            <w:vAlign w:val="bottom"/>
          </w:tcPr>
          <w:p w:rsidR="00413209" w:rsidRPr="007E0383" w:rsidRDefault="00413209" w:rsidP="00EE5C5C">
            <w:pPr>
              <w:pStyle w:val="BodyText"/>
              <w:widowControl w:val="0"/>
            </w:pPr>
            <w:r w:rsidRPr="007E0383">
              <w:rPr>
                <w:sz w:val="22"/>
                <w:szCs w:val="22"/>
              </w:rPr>
              <w:t>38</w:t>
            </w:r>
          </w:p>
        </w:tc>
        <w:tc>
          <w:tcPr>
            <w:tcW w:w="600" w:type="pct"/>
            <w:vAlign w:val="bottom"/>
          </w:tcPr>
          <w:p w:rsidR="00413209" w:rsidRPr="007E0383" w:rsidRDefault="00413209" w:rsidP="00EE5C5C">
            <w:pPr>
              <w:pStyle w:val="BodyText"/>
              <w:widowControl w:val="0"/>
            </w:pPr>
            <w:r w:rsidRPr="007E0383">
              <w:rPr>
                <w:sz w:val="22"/>
                <w:szCs w:val="22"/>
              </w:rPr>
              <w:t>13 + 5ci</w:t>
            </w:r>
          </w:p>
        </w:tc>
        <w:tc>
          <w:tcPr>
            <w:tcW w:w="302" w:type="pct"/>
            <w:vAlign w:val="bottom"/>
          </w:tcPr>
          <w:p w:rsidR="00413209" w:rsidRPr="007E0383" w:rsidRDefault="00413209" w:rsidP="00EE5C5C">
            <w:pPr>
              <w:pStyle w:val="BodyText"/>
              <w:widowControl w:val="0"/>
            </w:pPr>
            <w:r w:rsidRPr="007E0383">
              <w:rPr>
                <w:sz w:val="22"/>
                <w:szCs w:val="22"/>
              </w:rPr>
              <w:t>30</w:t>
            </w:r>
          </w:p>
        </w:tc>
        <w:tc>
          <w:tcPr>
            <w:tcW w:w="401" w:type="pct"/>
            <w:vAlign w:val="bottom"/>
          </w:tcPr>
          <w:p w:rsidR="00413209" w:rsidRPr="007E0383" w:rsidRDefault="00413209" w:rsidP="00EE5C5C">
            <w:pPr>
              <w:jc w:val="center"/>
            </w:pPr>
            <w:r w:rsidRPr="007E0383">
              <w:rPr>
                <w:sz w:val="22"/>
                <w:szCs w:val="22"/>
              </w:rPr>
              <w:t>~7</w:t>
            </w:r>
          </w:p>
        </w:tc>
        <w:tc>
          <w:tcPr>
            <w:tcW w:w="480" w:type="pct"/>
            <w:vAlign w:val="bottom"/>
          </w:tcPr>
          <w:p w:rsidR="00413209" w:rsidRPr="00B40917" w:rsidRDefault="00413209" w:rsidP="00EE5C5C">
            <w:pPr>
              <w:jc w:val="center"/>
            </w:pPr>
            <w:r w:rsidRPr="00B40917">
              <w:rPr>
                <w:sz w:val="22"/>
                <w:szCs w:val="22"/>
              </w:rPr>
              <w:t>122.7</w:t>
            </w:r>
          </w:p>
        </w:tc>
        <w:tc>
          <w:tcPr>
            <w:tcW w:w="419" w:type="pct"/>
            <w:vAlign w:val="bottom"/>
          </w:tcPr>
          <w:p w:rsidR="00413209" w:rsidRPr="00B40917" w:rsidRDefault="00413209" w:rsidP="00EE5C5C">
            <w:pPr>
              <w:jc w:val="center"/>
            </w:pPr>
            <w:r w:rsidRPr="00B40917">
              <w:rPr>
                <w:sz w:val="22"/>
                <w:szCs w:val="22"/>
              </w:rPr>
              <w:t>26.8</w:t>
            </w:r>
          </w:p>
        </w:tc>
        <w:tc>
          <w:tcPr>
            <w:tcW w:w="413" w:type="pct"/>
            <w:vAlign w:val="center"/>
          </w:tcPr>
          <w:p w:rsidR="00413209" w:rsidRPr="00413209" w:rsidRDefault="00413209" w:rsidP="00413209">
            <w:pPr>
              <w:jc w:val="center"/>
              <w:rPr>
                <w:szCs w:val="20"/>
              </w:rPr>
            </w:pPr>
            <w:r w:rsidRPr="00413209">
              <w:rPr>
                <w:sz w:val="22"/>
                <w:szCs w:val="20"/>
              </w:rPr>
              <w:t>6.5</w:t>
            </w:r>
          </w:p>
        </w:tc>
        <w:tc>
          <w:tcPr>
            <w:tcW w:w="147" w:type="pct"/>
            <w:vAlign w:val="center"/>
          </w:tcPr>
          <w:p w:rsidR="00413209" w:rsidRPr="00EE5C5C" w:rsidRDefault="00413209" w:rsidP="00EE5C5C">
            <w:pPr>
              <w:jc w:val="center"/>
            </w:pPr>
          </w:p>
        </w:tc>
      </w:tr>
      <w:tr w:rsidR="00413209" w:rsidRPr="00C2109B" w:rsidTr="00413209">
        <w:tc>
          <w:tcPr>
            <w:tcW w:w="292" w:type="pct"/>
            <w:vAlign w:val="center"/>
          </w:tcPr>
          <w:p w:rsidR="00413209" w:rsidRPr="00C2109B" w:rsidRDefault="00413209" w:rsidP="00EE5C5C">
            <w:pPr>
              <w:pStyle w:val="BodyText"/>
              <w:widowControl w:val="0"/>
            </w:pPr>
            <w:r>
              <w:rPr>
                <w:sz w:val="22"/>
                <w:szCs w:val="22"/>
              </w:rPr>
              <w:t>4</w:t>
            </w:r>
          </w:p>
        </w:tc>
        <w:tc>
          <w:tcPr>
            <w:tcW w:w="1271" w:type="pct"/>
            <w:vAlign w:val="bottom"/>
          </w:tcPr>
          <w:p w:rsidR="00413209" w:rsidRPr="007E0383" w:rsidRDefault="00413209" w:rsidP="00EE5C5C">
            <w:pPr>
              <w:pStyle w:val="BodyText"/>
              <w:widowControl w:val="0"/>
            </w:pPr>
            <w:r w:rsidRPr="007E0383">
              <w:rPr>
                <w:sz w:val="22"/>
                <w:szCs w:val="22"/>
              </w:rPr>
              <w:t>2006/2009</w:t>
            </w:r>
            <w:r>
              <w:rPr>
                <w:sz w:val="22"/>
                <w:szCs w:val="22"/>
              </w:rPr>
              <w:t xml:space="preserve"> </w:t>
            </w:r>
            <w:r w:rsidRPr="00985053">
              <w:rPr>
                <w:sz w:val="16"/>
                <w:szCs w:val="16"/>
              </w:rPr>
              <w:t>with 5 ACH</w:t>
            </w:r>
          </w:p>
        </w:tc>
        <w:tc>
          <w:tcPr>
            <w:tcW w:w="377" w:type="pct"/>
            <w:vAlign w:val="bottom"/>
          </w:tcPr>
          <w:p w:rsidR="00413209" w:rsidRPr="007E0383" w:rsidRDefault="00413209" w:rsidP="00EE5C5C">
            <w:pPr>
              <w:pStyle w:val="BodyText"/>
              <w:widowControl w:val="0"/>
            </w:pPr>
            <w:r w:rsidRPr="007E0383">
              <w:rPr>
                <w:sz w:val="22"/>
                <w:szCs w:val="22"/>
              </w:rPr>
              <w:t>.35</w:t>
            </w:r>
          </w:p>
        </w:tc>
        <w:tc>
          <w:tcPr>
            <w:tcW w:w="299" w:type="pct"/>
            <w:vAlign w:val="bottom"/>
          </w:tcPr>
          <w:p w:rsidR="00413209" w:rsidRPr="007E0383" w:rsidRDefault="00413209" w:rsidP="00EE5C5C">
            <w:pPr>
              <w:pStyle w:val="BodyText"/>
              <w:widowControl w:val="0"/>
            </w:pPr>
            <w:r w:rsidRPr="007E0383">
              <w:rPr>
                <w:sz w:val="22"/>
                <w:szCs w:val="22"/>
              </w:rPr>
              <w:t>38</w:t>
            </w:r>
          </w:p>
        </w:tc>
        <w:tc>
          <w:tcPr>
            <w:tcW w:w="600" w:type="pct"/>
            <w:vAlign w:val="bottom"/>
          </w:tcPr>
          <w:p w:rsidR="00413209" w:rsidRPr="007E0383" w:rsidRDefault="00413209" w:rsidP="00EE5C5C">
            <w:pPr>
              <w:pStyle w:val="BodyText"/>
              <w:widowControl w:val="0"/>
            </w:pPr>
            <w:r w:rsidRPr="007E0383">
              <w:rPr>
                <w:sz w:val="22"/>
                <w:szCs w:val="22"/>
              </w:rPr>
              <w:t>13 + 5ci</w:t>
            </w:r>
          </w:p>
        </w:tc>
        <w:tc>
          <w:tcPr>
            <w:tcW w:w="302" w:type="pct"/>
            <w:vAlign w:val="bottom"/>
          </w:tcPr>
          <w:p w:rsidR="00413209" w:rsidRPr="007E0383" w:rsidRDefault="00413209" w:rsidP="00EE5C5C">
            <w:pPr>
              <w:pStyle w:val="BodyText"/>
              <w:widowControl w:val="0"/>
            </w:pPr>
            <w:r w:rsidRPr="007E0383">
              <w:rPr>
                <w:sz w:val="22"/>
                <w:szCs w:val="22"/>
              </w:rPr>
              <w:t>30</w:t>
            </w:r>
          </w:p>
        </w:tc>
        <w:tc>
          <w:tcPr>
            <w:tcW w:w="401" w:type="pct"/>
            <w:vAlign w:val="bottom"/>
          </w:tcPr>
          <w:p w:rsidR="00413209" w:rsidRPr="007E0383" w:rsidRDefault="00413209" w:rsidP="00EE5C5C">
            <w:pPr>
              <w:jc w:val="center"/>
            </w:pPr>
            <w:r>
              <w:rPr>
                <w:sz w:val="22"/>
                <w:szCs w:val="22"/>
              </w:rPr>
              <w:t>5</w:t>
            </w:r>
          </w:p>
        </w:tc>
        <w:tc>
          <w:tcPr>
            <w:tcW w:w="480" w:type="pct"/>
            <w:vAlign w:val="bottom"/>
          </w:tcPr>
          <w:p w:rsidR="00413209" w:rsidRPr="00B40917" w:rsidRDefault="00413209" w:rsidP="00EE5C5C">
            <w:pPr>
              <w:jc w:val="center"/>
            </w:pPr>
            <w:r w:rsidRPr="00B40917">
              <w:rPr>
                <w:sz w:val="22"/>
                <w:szCs w:val="22"/>
              </w:rPr>
              <w:t>92.1</w:t>
            </w:r>
          </w:p>
        </w:tc>
        <w:tc>
          <w:tcPr>
            <w:tcW w:w="419" w:type="pct"/>
            <w:vAlign w:val="bottom"/>
          </w:tcPr>
          <w:p w:rsidR="00413209" w:rsidRPr="00B40917" w:rsidRDefault="00413209" w:rsidP="00EE5C5C">
            <w:pPr>
              <w:jc w:val="center"/>
            </w:pPr>
            <w:r w:rsidRPr="00B40917">
              <w:rPr>
                <w:sz w:val="22"/>
                <w:szCs w:val="22"/>
              </w:rPr>
              <w:t>32.5</w:t>
            </w:r>
          </w:p>
        </w:tc>
        <w:tc>
          <w:tcPr>
            <w:tcW w:w="413" w:type="pct"/>
            <w:vAlign w:val="center"/>
          </w:tcPr>
          <w:p w:rsidR="00413209" w:rsidRPr="00413209" w:rsidRDefault="00413209" w:rsidP="00413209">
            <w:pPr>
              <w:jc w:val="center"/>
              <w:rPr>
                <w:szCs w:val="20"/>
              </w:rPr>
            </w:pPr>
            <w:r w:rsidRPr="00413209">
              <w:rPr>
                <w:sz w:val="22"/>
                <w:szCs w:val="20"/>
              </w:rPr>
              <w:t>4.9</w:t>
            </w:r>
          </w:p>
        </w:tc>
        <w:tc>
          <w:tcPr>
            <w:tcW w:w="147" w:type="pct"/>
            <w:vAlign w:val="center"/>
          </w:tcPr>
          <w:p w:rsidR="00413209" w:rsidRPr="00EE5C5C" w:rsidRDefault="00413209" w:rsidP="00EE5C5C">
            <w:pPr>
              <w:jc w:val="center"/>
            </w:pPr>
          </w:p>
        </w:tc>
      </w:tr>
      <w:tr w:rsidR="00413209" w:rsidRPr="00C2109B" w:rsidTr="00413209">
        <w:tc>
          <w:tcPr>
            <w:tcW w:w="292" w:type="pct"/>
            <w:vAlign w:val="center"/>
          </w:tcPr>
          <w:p w:rsidR="00413209" w:rsidRPr="00C2109B" w:rsidRDefault="00413209" w:rsidP="00EE5C5C">
            <w:pPr>
              <w:pStyle w:val="BodyText"/>
              <w:widowControl w:val="0"/>
            </w:pPr>
            <w:r>
              <w:rPr>
                <w:sz w:val="22"/>
                <w:szCs w:val="22"/>
              </w:rPr>
              <w:t>5</w:t>
            </w:r>
          </w:p>
        </w:tc>
        <w:tc>
          <w:tcPr>
            <w:tcW w:w="1271" w:type="pct"/>
            <w:vAlign w:val="bottom"/>
          </w:tcPr>
          <w:p w:rsidR="00413209" w:rsidRPr="007E0383" w:rsidRDefault="00413209" w:rsidP="00EE5C5C">
            <w:pPr>
              <w:pStyle w:val="BodyText"/>
              <w:widowControl w:val="0"/>
            </w:pPr>
            <w:r w:rsidRPr="007E0383">
              <w:rPr>
                <w:sz w:val="22"/>
                <w:szCs w:val="22"/>
              </w:rPr>
              <w:t xml:space="preserve">2012 </w:t>
            </w:r>
            <w:r w:rsidRPr="00985053">
              <w:rPr>
                <w:sz w:val="16"/>
                <w:szCs w:val="16"/>
              </w:rPr>
              <w:t>with 5 ACH</w:t>
            </w:r>
          </w:p>
        </w:tc>
        <w:tc>
          <w:tcPr>
            <w:tcW w:w="377" w:type="pct"/>
            <w:vAlign w:val="bottom"/>
          </w:tcPr>
          <w:p w:rsidR="00413209" w:rsidRPr="007E0383" w:rsidRDefault="00413209" w:rsidP="00EE5C5C">
            <w:pPr>
              <w:pStyle w:val="BodyText"/>
              <w:widowControl w:val="0"/>
            </w:pPr>
            <w:r w:rsidRPr="007E0383">
              <w:rPr>
                <w:sz w:val="22"/>
                <w:szCs w:val="22"/>
              </w:rPr>
              <w:t>.32</w:t>
            </w:r>
          </w:p>
        </w:tc>
        <w:tc>
          <w:tcPr>
            <w:tcW w:w="299" w:type="pct"/>
            <w:vAlign w:val="bottom"/>
          </w:tcPr>
          <w:p w:rsidR="00413209" w:rsidRPr="007E0383" w:rsidRDefault="00413209" w:rsidP="00EE5C5C">
            <w:pPr>
              <w:pStyle w:val="BodyText"/>
              <w:widowControl w:val="0"/>
            </w:pPr>
            <w:r w:rsidRPr="007E0383">
              <w:rPr>
                <w:sz w:val="22"/>
                <w:szCs w:val="22"/>
              </w:rPr>
              <w:t>49</w:t>
            </w:r>
          </w:p>
        </w:tc>
        <w:tc>
          <w:tcPr>
            <w:tcW w:w="600" w:type="pct"/>
            <w:vAlign w:val="bottom"/>
          </w:tcPr>
          <w:p w:rsidR="00413209" w:rsidRPr="007E0383" w:rsidRDefault="00413209" w:rsidP="00EE5C5C">
            <w:pPr>
              <w:pStyle w:val="BodyText"/>
              <w:widowControl w:val="0"/>
            </w:pPr>
            <w:r w:rsidRPr="007E0383">
              <w:rPr>
                <w:sz w:val="22"/>
                <w:szCs w:val="22"/>
              </w:rPr>
              <w:t>13 + 5ci</w:t>
            </w:r>
          </w:p>
        </w:tc>
        <w:tc>
          <w:tcPr>
            <w:tcW w:w="302" w:type="pct"/>
            <w:vAlign w:val="bottom"/>
          </w:tcPr>
          <w:p w:rsidR="00413209" w:rsidRPr="007E0383" w:rsidRDefault="00413209" w:rsidP="00EE5C5C">
            <w:pPr>
              <w:pStyle w:val="BodyText"/>
              <w:widowControl w:val="0"/>
            </w:pPr>
            <w:r w:rsidRPr="007E0383">
              <w:rPr>
                <w:sz w:val="22"/>
                <w:szCs w:val="22"/>
              </w:rPr>
              <w:t>30</w:t>
            </w:r>
          </w:p>
        </w:tc>
        <w:tc>
          <w:tcPr>
            <w:tcW w:w="401" w:type="pct"/>
            <w:vAlign w:val="bottom"/>
          </w:tcPr>
          <w:p w:rsidR="00413209" w:rsidRPr="007E0383" w:rsidRDefault="00413209" w:rsidP="00EE5C5C">
            <w:pPr>
              <w:pStyle w:val="BodyText"/>
              <w:widowControl w:val="0"/>
            </w:pPr>
            <w:r w:rsidRPr="007E0383">
              <w:rPr>
                <w:sz w:val="22"/>
                <w:szCs w:val="22"/>
              </w:rPr>
              <w:t>5</w:t>
            </w:r>
          </w:p>
        </w:tc>
        <w:tc>
          <w:tcPr>
            <w:tcW w:w="480" w:type="pct"/>
            <w:vAlign w:val="bottom"/>
          </w:tcPr>
          <w:p w:rsidR="00413209" w:rsidRPr="00B40917" w:rsidRDefault="00413209" w:rsidP="00EE5C5C">
            <w:pPr>
              <w:jc w:val="center"/>
            </w:pPr>
            <w:r w:rsidRPr="00B40917">
              <w:rPr>
                <w:sz w:val="22"/>
                <w:szCs w:val="22"/>
              </w:rPr>
              <w:t>85.8</w:t>
            </w:r>
          </w:p>
        </w:tc>
        <w:tc>
          <w:tcPr>
            <w:tcW w:w="419" w:type="pct"/>
            <w:vAlign w:val="bottom"/>
          </w:tcPr>
          <w:p w:rsidR="00413209" w:rsidRPr="00B40917" w:rsidRDefault="00413209" w:rsidP="00EE5C5C">
            <w:pPr>
              <w:jc w:val="center"/>
            </w:pPr>
            <w:r w:rsidRPr="00B40917">
              <w:rPr>
                <w:sz w:val="22"/>
                <w:szCs w:val="22"/>
              </w:rPr>
              <w:t>33.6</w:t>
            </w:r>
          </w:p>
        </w:tc>
        <w:tc>
          <w:tcPr>
            <w:tcW w:w="413" w:type="pct"/>
            <w:vAlign w:val="center"/>
          </w:tcPr>
          <w:p w:rsidR="00413209" w:rsidRPr="00413209" w:rsidRDefault="00413209" w:rsidP="00413209">
            <w:pPr>
              <w:jc w:val="center"/>
              <w:rPr>
                <w:szCs w:val="20"/>
              </w:rPr>
            </w:pPr>
            <w:r w:rsidRPr="00413209">
              <w:rPr>
                <w:sz w:val="22"/>
                <w:szCs w:val="20"/>
              </w:rPr>
              <w:t>4.5</w:t>
            </w:r>
          </w:p>
        </w:tc>
        <w:tc>
          <w:tcPr>
            <w:tcW w:w="147" w:type="pct"/>
            <w:vAlign w:val="center"/>
          </w:tcPr>
          <w:p w:rsidR="00413209" w:rsidRPr="00EE5C5C" w:rsidRDefault="00413209" w:rsidP="00EE5C5C">
            <w:pPr>
              <w:jc w:val="center"/>
            </w:pPr>
          </w:p>
        </w:tc>
      </w:tr>
      <w:tr w:rsidR="00413209" w:rsidRPr="00C2109B" w:rsidTr="00413209">
        <w:tc>
          <w:tcPr>
            <w:tcW w:w="292" w:type="pct"/>
            <w:vAlign w:val="center"/>
          </w:tcPr>
          <w:p w:rsidR="00413209" w:rsidRPr="00C2109B" w:rsidRDefault="00413209" w:rsidP="00EE5C5C">
            <w:pPr>
              <w:pStyle w:val="BodyText"/>
              <w:widowControl w:val="0"/>
            </w:pPr>
            <w:r>
              <w:rPr>
                <w:sz w:val="22"/>
                <w:szCs w:val="22"/>
              </w:rPr>
              <w:t>6</w:t>
            </w:r>
          </w:p>
        </w:tc>
        <w:tc>
          <w:tcPr>
            <w:tcW w:w="1271" w:type="pct"/>
            <w:vAlign w:val="bottom"/>
          </w:tcPr>
          <w:p w:rsidR="00413209" w:rsidRPr="007E0383" w:rsidRDefault="00413209" w:rsidP="00EE5C5C">
            <w:pPr>
              <w:pStyle w:val="BodyText"/>
              <w:widowControl w:val="0"/>
            </w:pPr>
            <w:r w:rsidRPr="007E0383">
              <w:rPr>
                <w:sz w:val="22"/>
                <w:szCs w:val="22"/>
              </w:rPr>
              <w:t>2012</w:t>
            </w:r>
          </w:p>
        </w:tc>
        <w:tc>
          <w:tcPr>
            <w:tcW w:w="377" w:type="pct"/>
            <w:vAlign w:val="bottom"/>
          </w:tcPr>
          <w:p w:rsidR="00413209" w:rsidRPr="007E0383" w:rsidRDefault="00413209" w:rsidP="00EE5C5C">
            <w:pPr>
              <w:pStyle w:val="BodyText"/>
              <w:widowControl w:val="0"/>
            </w:pPr>
            <w:r w:rsidRPr="007E0383">
              <w:rPr>
                <w:sz w:val="22"/>
                <w:szCs w:val="22"/>
              </w:rPr>
              <w:t>.32</w:t>
            </w:r>
          </w:p>
        </w:tc>
        <w:tc>
          <w:tcPr>
            <w:tcW w:w="299" w:type="pct"/>
            <w:vAlign w:val="bottom"/>
          </w:tcPr>
          <w:p w:rsidR="00413209" w:rsidRPr="007E0383" w:rsidRDefault="00413209" w:rsidP="00EE5C5C">
            <w:pPr>
              <w:pStyle w:val="BodyText"/>
              <w:widowControl w:val="0"/>
            </w:pPr>
            <w:r w:rsidRPr="007E0383">
              <w:rPr>
                <w:sz w:val="22"/>
                <w:szCs w:val="22"/>
              </w:rPr>
              <w:t>49</w:t>
            </w:r>
          </w:p>
        </w:tc>
        <w:tc>
          <w:tcPr>
            <w:tcW w:w="600" w:type="pct"/>
            <w:vAlign w:val="bottom"/>
          </w:tcPr>
          <w:p w:rsidR="00413209" w:rsidRPr="007E0383" w:rsidRDefault="00413209" w:rsidP="00EE5C5C">
            <w:pPr>
              <w:pStyle w:val="BodyText"/>
              <w:widowControl w:val="0"/>
            </w:pPr>
            <w:r w:rsidRPr="007E0383">
              <w:rPr>
                <w:sz w:val="22"/>
                <w:szCs w:val="22"/>
              </w:rPr>
              <w:t>13 + 5ci</w:t>
            </w:r>
          </w:p>
        </w:tc>
        <w:tc>
          <w:tcPr>
            <w:tcW w:w="302" w:type="pct"/>
            <w:vAlign w:val="bottom"/>
          </w:tcPr>
          <w:p w:rsidR="00413209" w:rsidRPr="007E0383" w:rsidRDefault="00413209" w:rsidP="00EE5C5C">
            <w:pPr>
              <w:pStyle w:val="BodyText"/>
              <w:widowControl w:val="0"/>
            </w:pPr>
            <w:r w:rsidRPr="007E0383">
              <w:rPr>
                <w:sz w:val="22"/>
                <w:szCs w:val="22"/>
              </w:rPr>
              <w:t>30</w:t>
            </w:r>
          </w:p>
        </w:tc>
        <w:tc>
          <w:tcPr>
            <w:tcW w:w="401" w:type="pct"/>
            <w:vAlign w:val="bottom"/>
          </w:tcPr>
          <w:p w:rsidR="00413209" w:rsidRPr="007E0383" w:rsidRDefault="00413209" w:rsidP="00EE5C5C">
            <w:pPr>
              <w:pStyle w:val="BodyText"/>
              <w:widowControl w:val="0"/>
            </w:pPr>
            <w:r w:rsidRPr="007E0383">
              <w:rPr>
                <w:sz w:val="22"/>
                <w:szCs w:val="22"/>
              </w:rPr>
              <w:t>3</w:t>
            </w:r>
          </w:p>
        </w:tc>
        <w:tc>
          <w:tcPr>
            <w:tcW w:w="480" w:type="pct"/>
            <w:vAlign w:val="bottom"/>
          </w:tcPr>
          <w:p w:rsidR="00413209" w:rsidRPr="00B40917" w:rsidRDefault="00413209" w:rsidP="00EE5C5C">
            <w:pPr>
              <w:jc w:val="center"/>
            </w:pPr>
            <w:r w:rsidRPr="00B40917">
              <w:rPr>
                <w:sz w:val="22"/>
                <w:szCs w:val="22"/>
              </w:rPr>
              <w:t>63.1</w:t>
            </w:r>
          </w:p>
        </w:tc>
        <w:tc>
          <w:tcPr>
            <w:tcW w:w="419" w:type="pct"/>
            <w:vAlign w:val="bottom"/>
          </w:tcPr>
          <w:p w:rsidR="00413209" w:rsidRPr="00B40917" w:rsidRDefault="00413209" w:rsidP="00EE5C5C">
            <w:pPr>
              <w:jc w:val="center"/>
            </w:pPr>
            <w:r w:rsidRPr="00B40917">
              <w:rPr>
                <w:sz w:val="22"/>
                <w:szCs w:val="22"/>
              </w:rPr>
              <w:t>35.7</w:t>
            </w:r>
          </w:p>
        </w:tc>
        <w:tc>
          <w:tcPr>
            <w:tcW w:w="413" w:type="pct"/>
            <w:vAlign w:val="center"/>
          </w:tcPr>
          <w:p w:rsidR="00413209" w:rsidRPr="00413209" w:rsidRDefault="00413209" w:rsidP="00413209">
            <w:pPr>
              <w:jc w:val="center"/>
              <w:rPr>
                <w:szCs w:val="20"/>
              </w:rPr>
            </w:pPr>
            <w:r w:rsidRPr="00413209">
              <w:rPr>
                <w:sz w:val="22"/>
                <w:szCs w:val="20"/>
              </w:rPr>
              <w:t>3.3</w:t>
            </w:r>
          </w:p>
        </w:tc>
        <w:tc>
          <w:tcPr>
            <w:tcW w:w="147" w:type="pct"/>
            <w:vAlign w:val="center"/>
          </w:tcPr>
          <w:p w:rsidR="00413209" w:rsidRPr="00EE5C5C" w:rsidRDefault="00413209" w:rsidP="00EE5C5C">
            <w:pPr>
              <w:jc w:val="center"/>
            </w:pPr>
          </w:p>
        </w:tc>
      </w:tr>
      <w:tr w:rsidR="00413209" w:rsidRPr="00C2109B" w:rsidTr="00413209">
        <w:tc>
          <w:tcPr>
            <w:tcW w:w="292" w:type="pct"/>
            <w:vAlign w:val="center"/>
          </w:tcPr>
          <w:p w:rsidR="00413209" w:rsidRPr="00C2109B" w:rsidRDefault="00413209" w:rsidP="00EE5C5C">
            <w:pPr>
              <w:pStyle w:val="BodyText"/>
              <w:widowControl w:val="0"/>
            </w:pPr>
            <w:r>
              <w:t>7</w:t>
            </w:r>
          </w:p>
        </w:tc>
        <w:tc>
          <w:tcPr>
            <w:tcW w:w="1271" w:type="pct"/>
            <w:vAlign w:val="bottom"/>
          </w:tcPr>
          <w:p w:rsidR="00413209" w:rsidRPr="007E0383" w:rsidRDefault="00413209" w:rsidP="00EE5C5C">
            <w:pPr>
              <w:pStyle w:val="BodyText"/>
              <w:widowControl w:val="0"/>
            </w:pPr>
            <w:r w:rsidRPr="007E0383">
              <w:rPr>
                <w:sz w:val="22"/>
                <w:szCs w:val="22"/>
              </w:rPr>
              <w:t xml:space="preserve">2012 </w:t>
            </w:r>
            <w:proofErr w:type="spellStart"/>
            <w:r w:rsidRPr="007E0383">
              <w:rPr>
                <w:sz w:val="22"/>
                <w:szCs w:val="22"/>
              </w:rPr>
              <w:t>hybrid</w:t>
            </w:r>
            <w:r w:rsidRPr="007E0383">
              <w:rPr>
                <w:sz w:val="22"/>
                <w:szCs w:val="22"/>
                <w:vertAlign w:val="superscript"/>
              </w:rPr>
              <w:t>c</w:t>
            </w:r>
            <w:proofErr w:type="spellEnd"/>
          </w:p>
        </w:tc>
        <w:tc>
          <w:tcPr>
            <w:tcW w:w="377" w:type="pct"/>
            <w:vAlign w:val="bottom"/>
          </w:tcPr>
          <w:p w:rsidR="00413209" w:rsidRPr="007E0383" w:rsidRDefault="00413209" w:rsidP="00EE5C5C">
            <w:pPr>
              <w:pStyle w:val="BodyText"/>
              <w:widowControl w:val="0"/>
            </w:pPr>
            <w:r w:rsidRPr="007E0383">
              <w:rPr>
                <w:sz w:val="22"/>
                <w:szCs w:val="22"/>
              </w:rPr>
              <w:t>.32</w:t>
            </w:r>
          </w:p>
        </w:tc>
        <w:tc>
          <w:tcPr>
            <w:tcW w:w="299" w:type="pct"/>
            <w:vAlign w:val="bottom"/>
          </w:tcPr>
          <w:p w:rsidR="00413209" w:rsidRPr="007E0383" w:rsidRDefault="00413209" w:rsidP="00EE5C5C">
            <w:pPr>
              <w:pStyle w:val="BodyText"/>
              <w:widowControl w:val="0"/>
            </w:pPr>
            <w:r w:rsidRPr="007E0383">
              <w:rPr>
                <w:sz w:val="22"/>
                <w:szCs w:val="22"/>
              </w:rPr>
              <w:t>49</w:t>
            </w:r>
          </w:p>
        </w:tc>
        <w:tc>
          <w:tcPr>
            <w:tcW w:w="600" w:type="pct"/>
            <w:vAlign w:val="bottom"/>
          </w:tcPr>
          <w:p w:rsidR="00413209" w:rsidRPr="007E0383" w:rsidRDefault="00413209" w:rsidP="00EE5C5C">
            <w:pPr>
              <w:pStyle w:val="BodyText"/>
              <w:widowControl w:val="0"/>
            </w:pPr>
            <w:r w:rsidRPr="007E0383">
              <w:rPr>
                <w:sz w:val="22"/>
                <w:szCs w:val="22"/>
              </w:rPr>
              <w:t>13 + 5ci</w:t>
            </w:r>
          </w:p>
        </w:tc>
        <w:tc>
          <w:tcPr>
            <w:tcW w:w="302" w:type="pct"/>
            <w:vAlign w:val="bottom"/>
          </w:tcPr>
          <w:p w:rsidR="00413209" w:rsidRPr="007E0383" w:rsidRDefault="00413209" w:rsidP="00EE5C5C">
            <w:pPr>
              <w:pStyle w:val="BodyText"/>
              <w:widowControl w:val="0"/>
            </w:pPr>
            <w:r w:rsidRPr="007E0383">
              <w:rPr>
                <w:sz w:val="22"/>
                <w:szCs w:val="22"/>
              </w:rPr>
              <w:t>30</w:t>
            </w:r>
          </w:p>
        </w:tc>
        <w:tc>
          <w:tcPr>
            <w:tcW w:w="401" w:type="pct"/>
            <w:vAlign w:val="bottom"/>
          </w:tcPr>
          <w:p w:rsidR="00413209" w:rsidRPr="007E0383" w:rsidRDefault="00413209" w:rsidP="00EE5C5C">
            <w:pPr>
              <w:pStyle w:val="BodyText"/>
              <w:widowControl w:val="0"/>
            </w:pPr>
            <w:r w:rsidRPr="007E0383">
              <w:rPr>
                <w:sz w:val="22"/>
                <w:szCs w:val="22"/>
              </w:rPr>
              <w:t>3</w:t>
            </w:r>
          </w:p>
        </w:tc>
        <w:tc>
          <w:tcPr>
            <w:tcW w:w="480" w:type="pct"/>
            <w:vAlign w:val="bottom"/>
          </w:tcPr>
          <w:p w:rsidR="00413209" w:rsidRPr="00B40917" w:rsidRDefault="00413209" w:rsidP="00EE5C5C">
            <w:pPr>
              <w:jc w:val="center"/>
            </w:pPr>
            <w:r w:rsidRPr="00B40917">
              <w:rPr>
                <w:sz w:val="22"/>
                <w:szCs w:val="22"/>
              </w:rPr>
              <w:t>70.1</w:t>
            </w:r>
          </w:p>
        </w:tc>
        <w:tc>
          <w:tcPr>
            <w:tcW w:w="419" w:type="pct"/>
            <w:vAlign w:val="bottom"/>
          </w:tcPr>
          <w:p w:rsidR="00413209" w:rsidRPr="00B40917" w:rsidRDefault="00413209" w:rsidP="00EE5C5C">
            <w:pPr>
              <w:jc w:val="center"/>
            </w:pPr>
            <w:r w:rsidRPr="00B40917">
              <w:rPr>
                <w:sz w:val="22"/>
                <w:szCs w:val="22"/>
              </w:rPr>
              <w:t>34.9</w:t>
            </w:r>
          </w:p>
        </w:tc>
        <w:tc>
          <w:tcPr>
            <w:tcW w:w="413" w:type="pct"/>
            <w:vAlign w:val="center"/>
          </w:tcPr>
          <w:p w:rsidR="00413209" w:rsidRPr="00413209" w:rsidRDefault="00413209" w:rsidP="00413209">
            <w:pPr>
              <w:jc w:val="center"/>
              <w:rPr>
                <w:szCs w:val="20"/>
              </w:rPr>
            </w:pPr>
            <w:r w:rsidRPr="00413209">
              <w:rPr>
                <w:sz w:val="22"/>
                <w:szCs w:val="20"/>
              </w:rPr>
              <w:t>3.7</w:t>
            </w:r>
          </w:p>
        </w:tc>
        <w:tc>
          <w:tcPr>
            <w:tcW w:w="147" w:type="pct"/>
            <w:vAlign w:val="center"/>
          </w:tcPr>
          <w:p w:rsidR="00413209" w:rsidRPr="00EE5C5C" w:rsidRDefault="00413209" w:rsidP="00EE5C5C">
            <w:pPr>
              <w:jc w:val="center"/>
            </w:pPr>
          </w:p>
        </w:tc>
      </w:tr>
      <w:tr w:rsidR="00EE50F8" w:rsidRPr="00C2109B" w:rsidTr="00413209">
        <w:tc>
          <w:tcPr>
            <w:tcW w:w="292" w:type="pct"/>
            <w:vAlign w:val="center"/>
          </w:tcPr>
          <w:p w:rsidR="00EE50F8" w:rsidRDefault="00EE50F8" w:rsidP="003D0084">
            <w:pPr>
              <w:pStyle w:val="BodyText"/>
              <w:widowControl w:val="0"/>
            </w:pPr>
          </w:p>
        </w:tc>
        <w:tc>
          <w:tcPr>
            <w:tcW w:w="1271" w:type="pct"/>
            <w:vAlign w:val="center"/>
          </w:tcPr>
          <w:p w:rsidR="00EE50F8" w:rsidRPr="007E0383" w:rsidRDefault="00EE50F8" w:rsidP="003D0084">
            <w:pPr>
              <w:pStyle w:val="BodyText"/>
              <w:widowControl w:val="0"/>
            </w:pPr>
          </w:p>
        </w:tc>
        <w:tc>
          <w:tcPr>
            <w:tcW w:w="377" w:type="pct"/>
            <w:vAlign w:val="center"/>
          </w:tcPr>
          <w:p w:rsidR="00EE50F8" w:rsidRPr="007E0383" w:rsidRDefault="00EE50F8" w:rsidP="003D0084">
            <w:pPr>
              <w:pStyle w:val="BodyText"/>
              <w:widowControl w:val="0"/>
            </w:pPr>
          </w:p>
        </w:tc>
        <w:tc>
          <w:tcPr>
            <w:tcW w:w="299" w:type="pct"/>
            <w:vAlign w:val="center"/>
          </w:tcPr>
          <w:p w:rsidR="00EE50F8" w:rsidRPr="007E0383" w:rsidRDefault="00EE50F8" w:rsidP="003D0084">
            <w:pPr>
              <w:pStyle w:val="BodyText"/>
              <w:widowControl w:val="0"/>
            </w:pPr>
          </w:p>
        </w:tc>
        <w:tc>
          <w:tcPr>
            <w:tcW w:w="600" w:type="pct"/>
            <w:vAlign w:val="center"/>
          </w:tcPr>
          <w:p w:rsidR="00EE50F8" w:rsidRPr="007E0383" w:rsidRDefault="00EE50F8" w:rsidP="003D0084">
            <w:pPr>
              <w:pStyle w:val="BodyText"/>
              <w:widowControl w:val="0"/>
            </w:pPr>
          </w:p>
        </w:tc>
        <w:tc>
          <w:tcPr>
            <w:tcW w:w="302" w:type="pct"/>
            <w:vAlign w:val="center"/>
          </w:tcPr>
          <w:p w:rsidR="00EE50F8" w:rsidRPr="007E0383" w:rsidRDefault="00EE50F8" w:rsidP="003D0084">
            <w:pPr>
              <w:pStyle w:val="BodyText"/>
              <w:widowControl w:val="0"/>
            </w:pPr>
          </w:p>
        </w:tc>
        <w:tc>
          <w:tcPr>
            <w:tcW w:w="401" w:type="pct"/>
            <w:vAlign w:val="center"/>
          </w:tcPr>
          <w:p w:rsidR="00EE50F8" w:rsidRPr="007E0383" w:rsidRDefault="00EE50F8" w:rsidP="003D0084">
            <w:pPr>
              <w:jc w:val="center"/>
              <w:rPr>
                <w:u w:val="single"/>
              </w:rPr>
            </w:pPr>
          </w:p>
        </w:tc>
        <w:tc>
          <w:tcPr>
            <w:tcW w:w="480" w:type="pct"/>
            <w:vAlign w:val="center"/>
          </w:tcPr>
          <w:p w:rsidR="00EE50F8" w:rsidRPr="007E0383" w:rsidRDefault="00EE50F8" w:rsidP="003D0084">
            <w:pPr>
              <w:jc w:val="center"/>
              <w:rPr>
                <w:u w:val="single"/>
              </w:rPr>
            </w:pPr>
          </w:p>
        </w:tc>
        <w:tc>
          <w:tcPr>
            <w:tcW w:w="419" w:type="pct"/>
            <w:vAlign w:val="center"/>
          </w:tcPr>
          <w:p w:rsidR="00EE50F8" w:rsidRPr="007E0383" w:rsidRDefault="00EE50F8" w:rsidP="003D0084">
            <w:pPr>
              <w:pStyle w:val="BodyText"/>
              <w:widowControl w:val="0"/>
            </w:pPr>
          </w:p>
        </w:tc>
        <w:tc>
          <w:tcPr>
            <w:tcW w:w="413" w:type="pct"/>
            <w:vAlign w:val="center"/>
          </w:tcPr>
          <w:p w:rsidR="00EE50F8" w:rsidRPr="00C2109B" w:rsidRDefault="00EE50F8" w:rsidP="003D0084">
            <w:pPr>
              <w:jc w:val="center"/>
            </w:pPr>
          </w:p>
        </w:tc>
        <w:tc>
          <w:tcPr>
            <w:tcW w:w="147" w:type="pct"/>
            <w:vAlign w:val="center"/>
          </w:tcPr>
          <w:p w:rsidR="00EE50F8" w:rsidRPr="00C2109B" w:rsidRDefault="00EE50F8" w:rsidP="003D0084">
            <w:pPr>
              <w:jc w:val="center"/>
            </w:pPr>
          </w:p>
        </w:tc>
      </w:tr>
      <w:tr w:rsidR="00EE50F8" w:rsidRPr="00C2109B" w:rsidTr="00AA4DCA">
        <w:tc>
          <w:tcPr>
            <w:tcW w:w="5000" w:type="pct"/>
            <w:gridSpan w:val="11"/>
            <w:vAlign w:val="center"/>
          </w:tcPr>
          <w:p w:rsidR="00EE50F8" w:rsidRPr="004E3BBA" w:rsidRDefault="00EE50F8" w:rsidP="003D0084">
            <w:pPr>
              <w:rPr>
                <w:sz w:val="18"/>
                <w:szCs w:val="18"/>
              </w:rPr>
            </w:pPr>
            <w:r w:rsidRPr="004E3BBA">
              <w:rPr>
                <w:sz w:val="18"/>
                <w:szCs w:val="18"/>
              </w:rPr>
              <w:t xml:space="preserve">Notes: </w:t>
            </w:r>
          </w:p>
          <w:p w:rsidR="00EE50F8" w:rsidRPr="004E3BBA" w:rsidRDefault="00EE50F8" w:rsidP="003D0084">
            <w:pPr>
              <w:rPr>
                <w:sz w:val="18"/>
                <w:szCs w:val="18"/>
              </w:rPr>
            </w:pPr>
            <w:r w:rsidRPr="004E3BBA">
              <w:rPr>
                <w:sz w:val="18"/>
                <w:szCs w:val="18"/>
              </w:rPr>
              <w:t xml:space="preserve">a. Framing cavity or if continuous insulation is used then cavity + continuous </w:t>
            </w:r>
          </w:p>
          <w:p w:rsidR="00EE50F8" w:rsidRPr="004E3BBA" w:rsidRDefault="00EE50F8" w:rsidP="003D0084">
            <w:pPr>
              <w:rPr>
                <w:sz w:val="18"/>
                <w:szCs w:val="18"/>
              </w:rPr>
            </w:pPr>
            <w:r w:rsidRPr="004E3BBA">
              <w:rPr>
                <w:sz w:val="18"/>
                <w:szCs w:val="18"/>
              </w:rPr>
              <w:t>b. 30 or insulation sufficient to fill the framing cavity but no less than 19</w:t>
            </w:r>
          </w:p>
          <w:p w:rsidR="00EE50F8" w:rsidRDefault="009469B9" w:rsidP="003D0084">
            <w:pPr>
              <w:rPr>
                <w:sz w:val="18"/>
                <w:szCs w:val="18"/>
              </w:rPr>
            </w:pPr>
            <w:r>
              <w:rPr>
                <w:sz w:val="18"/>
                <w:szCs w:val="18"/>
              </w:rPr>
              <w:t>c. A</w:t>
            </w:r>
            <w:r w:rsidR="00EE50F8" w:rsidRPr="004E3BBA">
              <w:rPr>
                <w:sz w:val="18"/>
                <w:szCs w:val="18"/>
              </w:rPr>
              <w:t>ssume</w:t>
            </w:r>
            <w:r>
              <w:rPr>
                <w:sz w:val="18"/>
                <w:szCs w:val="18"/>
              </w:rPr>
              <w:t>s</w:t>
            </w:r>
            <w:r w:rsidR="00EE50F8" w:rsidRPr="004E3BBA">
              <w:rPr>
                <w:sz w:val="18"/>
                <w:szCs w:val="18"/>
              </w:rPr>
              <w:t xml:space="preserve"> continuous mechanical ventilation</w:t>
            </w:r>
            <w:r w:rsidR="00EE50F8">
              <w:rPr>
                <w:sz w:val="18"/>
                <w:szCs w:val="18"/>
              </w:rPr>
              <w:t xml:space="preserve"> </w:t>
            </w:r>
            <w:r w:rsidR="00EE50F8" w:rsidRPr="004E3BBA">
              <w:rPr>
                <w:sz w:val="18"/>
                <w:szCs w:val="18"/>
              </w:rPr>
              <w:t>for each unit per the MA code 8</w:t>
            </w:r>
            <w:r w:rsidR="00EE50F8" w:rsidRPr="004E3BBA">
              <w:rPr>
                <w:sz w:val="18"/>
                <w:szCs w:val="18"/>
                <w:vertAlign w:val="superscript"/>
              </w:rPr>
              <w:t>th</w:t>
            </w:r>
            <w:r w:rsidR="00EE50F8" w:rsidRPr="004E3BBA">
              <w:rPr>
                <w:sz w:val="18"/>
                <w:szCs w:val="18"/>
              </w:rPr>
              <w:t xml:space="preserve"> edition</w:t>
            </w:r>
          </w:p>
          <w:p w:rsidR="00EE50F8" w:rsidRDefault="00EE50F8" w:rsidP="00413209">
            <w:pPr>
              <w:rPr>
                <w:sz w:val="18"/>
                <w:szCs w:val="18"/>
              </w:rPr>
            </w:pPr>
            <w:r>
              <w:rPr>
                <w:sz w:val="18"/>
                <w:szCs w:val="18"/>
              </w:rPr>
              <w:t xml:space="preserve">d. </w:t>
            </w:r>
            <w:r w:rsidR="009469B9">
              <w:rPr>
                <w:sz w:val="18"/>
                <w:szCs w:val="18"/>
              </w:rPr>
              <w:t>A</w:t>
            </w:r>
            <w:r w:rsidR="00AA4DCA">
              <w:rPr>
                <w:sz w:val="18"/>
                <w:szCs w:val="18"/>
              </w:rPr>
              <w:t xml:space="preserve">ssumes natural gas as the fossil fuel for heating and values in </w:t>
            </w:r>
            <w:r w:rsidR="00413209">
              <w:rPr>
                <w:sz w:val="18"/>
                <w:szCs w:val="18"/>
              </w:rPr>
              <w:t>metric tons</w:t>
            </w:r>
            <w:r w:rsidR="00AA4DCA">
              <w:rPr>
                <w:sz w:val="18"/>
                <w:szCs w:val="18"/>
              </w:rPr>
              <w:t>.</w:t>
            </w:r>
          </w:p>
          <w:p w:rsidR="009469B9" w:rsidRPr="004E3BBA" w:rsidRDefault="009469B9" w:rsidP="00413209">
            <w:r>
              <w:rPr>
                <w:sz w:val="18"/>
                <w:szCs w:val="18"/>
              </w:rPr>
              <w:t>e. ‘hybrid’ indicates some variation on the requirements in IECC.</w:t>
            </w:r>
          </w:p>
        </w:tc>
      </w:tr>
    </w:tbl>
    <w:p w:rsidR="00EE50F8" w:rsidRDefault="00EE50F8" w:rsidP="006B7D67">
      <w:pPr>
        <w:jc w:val="center"/>
        <w:rPr>
          <w:b/>
          <w:bCs/>
        </w:rPr>
      </w:pPr>
    </w:p>
    <w:p w:rsidR="00EE50F8" w:rsidRPr="006B7D67" w:rsidRDefault="00EE50F8" w:rsidP="006B7D67">
      <w:pPr>
        <w:jc w:val="center"/>
        <w:rPr>
          <w:b/>
          <w:bCs/>
        </w:rPr>
      </w:pPr>
      <w:r w:rsidRPr="006B7D67">
        <w:rPr>
          <w:b/>
          <w:bCs/>
        </w:rPr>
        <w:t xml:space="preserve">Figure </w:t>
      </w:r>
      <w:proofErr w:type="gramStart"/>
      <w:r w:rsidRPr="006B7D67">
        <w:rPr>
          <w:b/>
          <w:bCs/>
        </w:rPr>
        <w:t>4c(</w:t>
      </w:r>
      <w:proofErr w:type="gramEnd"/>
      <w:r w:rsidRPr="006B7D67">
        <w:rPr>
          <w:b/>
          <w:bCs/>
        </w:rPr>
        <w:t>1)c</w:t>
      </w:r>
    </w:p>
    <w:p w:rsidR="00EE50F8" w:rsidRDefault="00EE50F8">
      <w:pPr>
        <w:pStyle w:val="Heading3"/>
      </w:pPr>
      <w:bookmarkStart w:id="30" w:name="_Toc381445076"/>
      <w:bookmarkStart w:id="31" w:name="_Toc387398757"/>
      <w:bookmarkEnd w:id="24"/>
      <w:r>
        <w:t xml:space="preserve">Section </w:t>
      </w:r>
      <w:proofErr w:type="gramStart"/>
      <w:r>
        <w:t>4c(</w:t>
      </w:r>
      <w:proofErr w:type="gramEnd"/>
      <w:r>
        <w:t>2): Mechanical Ventilation</w:t>
      </w:r>
      <w:bookmarkEnd w:id="30"/>
      <w:bookmarkEnd w:id="31"/>
    </w:p>
    <w:p w:rsidR="00EE50F8" w:rsidRDefault="00EE50F8" w:rsidP="005F21F4">
      <w:pPr>
        <w:tabs>
          <w:tab w:val="left" w:pos="600"/>
        </w:tabs>
      </w:pPr>
      <w:bookmarkStart w:id="32" w:name="_Toc381445077"/>
      <w:r>
        <w:t xml:space="preserve">Mandatory ventilation (exchanging indoor air with outdoor air) will be required in residential buildings on July 1, 2014 with the adoption of the IECC 2012. The requirement was the result of concerns with the quality of indoor air in buildings with low ‘natural’ air leakage through doors, windows, walls, floors, and ceilings. All of these components of the building thermal envelope </w:t>
      </w:r>
      <w:r>
        <w:lastRenderedPageBreak/>
        <w:t>are ‘sealed’ which has to be done to produce a building with a leakage of 3 ACH at 50 Pa. Further, a MA amendment offers a mechanical ventilation compliance method that is prescriptive and can be met by continuous (365/24/7) operation of a bathroom fan for example. The required airflow is dependent on several variables including the size and story location (1st, 2nd, or 3rd) of the dwelling unit, the location of the building in the state, and the air tightness (verified air leakage value) of the unit. For each building type (3, 4, or 6 unit) the mechanical flow rate is: the same for all 1</w:t>
      </w:r>
      <w:r>
        <w:rPr>
          <w:vertAlign w:val="superscript"/>
        </w:rPr>
        <w:t>st</w:t>
      </w:r>
      <w:r>
        <w:t xml:space="preserve"> floor units; the same for all 2</w:t>
      </w:r>
      <w:r>
        <w:rPr>
          <w:vertAlign w:val="superscript"/>
        </w:rPr>
        <w:t>nd</w:t>
      </w:r>
      <w:r>
        <w:t xml:space="preserve"> floor units; and the same for all 3</w:t>
      </w:r>
      <w:r>
        <w:rPr>
          <w:vertAlign w:val="superscript"/>
        </w:rPr>
        <w:t>rd</w:t>
      </w:r>
      <w:r>
        <w:t xml:space="preserve"> floor units.  Flow rate values</w:t>
      </w:r>
      <w:r>
        <w:rPr>
          <w:vertAlign w:val="superscript"/>
        </w:rPr>
        <w:t>16</w:t>
      </w:r>
      <w:r>
        <w:t xml:space="preserve"> were calculated for both 2 and 3 bedroom units but the model runs for this paper used only 2 bedroom values.</w:t>
      </w:r>
    </w:p>
    <w:p w:rsidR="00EE50F8" w:rsidRDefault="00EE50F8" w:rsidP="005F21F4">
      <w:pPr>
        <w:tabs>
          <w:tab w:val="left" w:pos="600"/>
        </w:tabs>
      </w:pPr>
      <w:r>
        <w:t xml:space="preserve">As was noted in the Section </w:t>
      </w:r>
      <w:proofErr w:type="gramStart"/>
      <w:r>
        <w:t>4c(</w:t>
      </w:r>
      <w:proofErr w:type="gramEnd"/>
      <w:r>
        <w:t xml:space="preserve">1) if continuous mechanical ventilation operates in a building then the annual heating and cooling loads will increase accordingly. It can be seen that if mechanical ventilation is included in the model, with all other variables held constant, then the annual heating loads are increased. For example, comparing runs 17 and 18 indicates that the annual heating load increases </w:t>
      </w:r>
      <w:r w:rsidR="00DC4DFC">
        <w:t>4.7</w:t>
      </w:r>
      <w:r>
        <w:t xml:space="preserve"> </w:t>
      </w:r>
      <w:proofErr w:type="spellStart"/>
      <w:r>
        <w:t>MMBtu</w:t>
      </w:r>
      <w:proofErr w:type="spellEnd"/>
      <w:r>
        <w:t>/year for a $</w:t>
      </w:r>
      <w:r w:rsidR="00DC4DFC">
        <w:t>50</w:t>
      </w:r>
      <w:r>
        <w:t xml:space="preserve"> total cost</w:t>
      </w:r>
      <w:r w:rsidRPr="00477E73">
        <w:rPr>
          <w:vertAlign w:val="superscript"/>
        </w:rPr>
        <w:t>17</w:t>
      </w:r>
      <w:r>
        <w:t xml:space="preserve"> per year to the occupants of the 3 unit building. The cost of control modifications to a bathroom fan, for example, to meet this requirement is relatively low. However, there is a flow verification test that will add to the cost of construction as well. As part of recommendation 2 a detailed review of the cost and effectiveness of mandatory mechanical ventilation requirements should be done, including whether or not a heat recovery ventilation system provides favorable return on investment (ROI).  </w:t>
      </w:r>
    </w:p>
    <w:p w:rsidR="00EE50F8" w:rsidRDefault="00EE50F8" w:rsidP="00CF3624">
      <w:pPr>
        <w:pStyle w:val="Heading3"/>
      </w:pPr>
      <w:bookmarkStart w:id="33" w:name="_Toc387398758"/>
      <w:r>
        <w:t xml:space="preserve">Section </w:t>
      </w:r>
      <w:proofErr w:type="gramStart"/>
      <w:r>
        <w:t>4c(</w:t>
      </w:r>
      <w:proofErr w:type="gramEnd"/>
      <w:r>
        <w:t xml:space="preserve">3): </w:t>
      </w:r>
      <w:bookmarkEnd w:id="32"/>
      <w:r>
        <w:t>Foundations</w:t>
      </w:r>
      <w:bookmarkEnd w:id="33"/>
    </w:p>
    <w:p w:rsidR="00EE50F8" w:rsidRPr="001F1581" w:rsidRDefault="00EE50F8" w:rsidP="001F1581">
      <w:r>
        <w:t xml:space="preserve">This paper assumes for all building types that the basement is not habitable space and is unheated and for modeling purposes </w:t>
      </w:r>
      <w:r w:rsidRPr="00F7417E">
        <w:t>is considered enclosed unconditioned space</w:t>
      </w:r>
      <w:r>
        <w:t xml:space="preserve">. Also as noted earlier </w:t>
      </w:r>
      <w:r w:rsidRPr="00F7417E">
        <w:t xml:space="preserve">a temperature of the space is not assumed or input in the software.  </w:t>
      </w:r>
      <w:r>
        <w:t xml:space="preserve"> In addition no detail on construction of the basement footings, walls, and floor slab is included. However, as part of the recommendation 2 a detailed review of the cost and effectiveness of insulation and moisture control requirements of these building components should be done.   </w:t>
      </w:r>
    </w:p>
    <w:p w:rsidR="00EE50F8" w:rsidRDefault="00EE50F8" w:rsidP="00CF3624"/>
    <w:p w:rsidR="00EE50F8" w:rsidRDefault="008171E5" w:rsidP="00CF3624">
      <w:pPr>
        <w:pStyle w:val="Heading1"/>
      </w:pPr>
      <w:bookmarkStart w:id="34" w:name="_Toc387398759"/>
      <w:bookmarkStart w:id="35" w:name="_Toc381445078"/>
      <w:r>
        <w:t>Conclusion 1</w:t>
      </w:r>
      <w:r w:rsidR="00EE50F8">
        <w:t>:</w:t>
      </w:r>
      <w:bookmarkEnd w:id="34"/>
    </w:p>
    <w:p w:rsidR="00EE50F8" w:rsidRDefault="00EE50F8" w:rsidP="00CF3624">
      <w:r>
        <w:t xml:space="preserve">The </w:t>
      </w:r>
      <w:r w:rsidR="00034DB7">
        <w:t>BBRS receives more comments and questions from builders, owners, designers and building officials on ECS than any other building system. These comments and questions are related to, and</w:t>
      </w:r>
      <w:r w:rsidR="00036557">
        <w:t xml:space="preserve"> arise as a result of </w:t>
      </w:r>
      <w:r w:rsidR="00034DB7">
        <w:t xml:space="preserve">the fact that two very different energy codes are in effect in the state and that effective dates of each code are not in synch. </w:t>
      </w:r>
    </w:p>
    <w:p w:rsidR="00EE50F8" w:rsidRDefault="00EE50F8" w:rsidP="00CF3624">
      <w:pPr>
        <w:pStyle w:val="Heading1"/>
      </w:pPr>
    </w:p>
    <w:p w:rsidR="00034DB7" w:rsidRDefault="00036557" w:rsidP="00034DB7">
      <w:pPr>
        <w:pStyle w:val="Heading1"/>
      </w:pPr>
      <w:bookmarkStart w:id="36" w:name="_Toc387398760"/>
      <w:r>
        <w:t>Conclusion 2</w:t>
      </w:r>
      <w:r w:rsidR="00034DB7">
        <w:t>:</w:t>
      </w:r>
      <w:bookmarkEnd w:id="36"/>
    </w:p>
    <w:p w:rsidR="00034DB7" w:rsidRDefault="00034DB7" w:rsidP="00034DB7">
      <w:r>
        <w:t xml:space="preserve">The code requirements of the building thermal envelope for 3 to 6 unit residential buildings are moving to diminishing ROI; that is more insulation, increased air tightness, or lower U-factor fenestration, which all increase the cost of construction, will not lower appreciably the annual and heating and cooling loads or the carbon footprint of the building. </w:t>
      </w:r>
    </w:p>
    <w:p w:rsidR="00034DB7" w:rsidRDefault="00034DB7" w:rsidP="00CF3624">
      <w:pPr>
        <w:pStyle w:val="Heading1"/>
      </w:pPr>
    </w:p>
    <w:p w:rsidR="00EE50F8" w:rsidRDefault="00036557" w:rsidP="00CF3624">
      <w:pPr>
        <w:pStyle w:val="Heading1"/>
      </w:pPr>
      <w:bookmarkStart w:id="37" w:name="_Toc387398761"/>
      <w:r>
        <w:t>Conclusion 3</w:t>
      </w:r>
      <w:r w:rsidR="00EE50F8">
        <w:t>:</w:t>
      </w:r>
      <w:bookmarkEnd w:id="37"/>
    </w:p>
    <w:p w:rsidR="00EE50F8" w:rsidRDefault="00EE50F8" w:rsidP="00CF3624">
      <w:pPr>
        <w:pStyle w:val="BodyText"/>
        <w:jc w:val="left"/>
      </w:pPr>
      <w:r>
        <w:t>Today’s energy conservation requirements may have a ripple effect on the cost of other building systems including:</w:t>
      </w:r>
    </w:p>
    <w:p w:rsidR="00EE50F8" w:rsidRDefault="00EE50F8" w:rsidP="00E6477A">
      <w:pPr>
        <w:pStyle w:val="BodyText"/>
        <w:numPr>
          <w:ilvl w:val="0"/>
          <w:numId w:val="26"/>
        </w:numPr>
        <w:tabs>
          <w:tab w:val="clear" w:pos="720"/>
        </w:tabs>
        <w:ind w:left="480"/>
        <w:jc w:val="left"/>
      </w:pPr>
      <w:r>
        <w:t xml:space="preserve">the building framing (2x6 vs. 2x4 for example), and </w:t>
      </w:r>
    </w:p>
    <w:p w:rsidR="00EE50F8" w:rsidRDefault="00EE50F8" w:rsidP="00E6477A">
      <w:pPr>
        <w:pStyle w:val="BodyText"/>
        <w:numPr>
          <w:ilvl w:val="0"/>
          <w:numId w:val="26"/>
        </w:numPr>
        <w:tabs>
          <w:tab w:val="clear" w:pos="720"/>
        </w:tabs>
        <w:ind w:left="480"/>
        <w:jc w:val="left"/>
      </w:pPr>
      <w:r>
        <w:lastRenderedPageBreak/>
        <w:t>finish carpentry for windows and doors, and</w:t>
      </w:r>
    </w:p>
    <w:p w:rsidR="00EE50F8" w:rsidRDefault="00EE50F8" w:rsidP="00E6477A">
      <w:pPr>
        <w:pStyle w:val="BodyText"/>
        <w:numPr>
          <w:ilvl w:val="0"/>
          <w:numId w:val="26"/>
        </w:numPr>
        <w:tabs>
          <w:tab w:val="clear" w:pos="720"/>
        </w:tabs>
        <w:ind w:left="480"/>
        <w:jc w:val="left"/>
      </w:pPr>
      <w:r>
        <w:t>foundations and basement slabs, and</w:t>
      </w:r>
    </w:p>
    <w:p w:rsidR="00EE50F8" w:rsidRDefault="00EE50F8" w:rsidP="00E6477A">
      <w:pPr>
        <w:pStyle w:val="BodyText"/>
        <w:numPr>
          <w:ilvl w:val="0"/>
          <w:numId w:val="26"/>
        </w:numPr>
        <w:tabs>
          <w:tab w:val="clear" w:pos="720"/>
        </w:tabs>
        <w:ind w:left="480"/>
        <w:jc w:val="left"/>
      </w:pPr>
      <w:r>
        <w:t>exterior siding and roof covering, and to a lesser extent</w:t>
      </w:r>
    </w:p>
    <w:p w:rsidR="00EE50F8" w:rsidRDefault="00EE50F8" w:rsidP="00E6477A">
      <w:pPr>
        <w:pStyle w:val="BodyText"/>
        <w:numPr>
          <w:ilvl w:val="0"/>
          <w:numId w:val="26"/>
        </w:numPr>
        <w:tabs>
          <w:tab w:val="clear" w:pos="720"/>
        </w:tabs>
        <w:ind w:left="480"/>
        <w:jc w:val="left"/>
      </w:pPr>
      <w:proofErr w:type="gramStart"/>
      <w:r>
        <w:t>plumbing</w:t>
      </w:r>
      <w:proofErr w:type="gramEnd"/>
      <w:r>
        <w:t xml:space="preserve"> and electrical systems.  </w:t>
      </w:r>
    </w:p>
    <w:p w:rsidR="00EE50F8" w:rsidRDefault="00EE50F8" w:rsidP="00CF3624">
      <w:pPr>
        <w:pStyle w:val="Heading1"/>
        <w:keepNext w:val="0"/>
      </w:pPr>
    </w:p>
    <w:p w:rsidR="00EE50F8" w:rsidRDefault="00EE50F8" w:rsidP="00CF3624">
      <w:pPr>
        <w:pStyle w:val="Heading1"/>
        <w:keepNext w:val="0"/>
      </w:pPr>
      <w:bookmarkStart w:id="38" w:name="_Toc381445079"/>
      <w:bookmarkStart w:id="39" w:name="_Toc387398762"/>
      <w:bookmarkEnd w:id="35"/>
      <w:r>
        <w:t>Recommendation</w:t>
      </w:r>
      <w:bookmarkEnd w:id="38"/>
      <w:r>
        <w:t xml:space="preserve"> 1:</w:t>
      </w:r>
      <w:bookmarkEnd w:id="39"/>
    </w:p>
    <w:p w:rsidR="00EE50F8" w:rsidRDefault="00EE50F8" w:rsidP="00E86AE9">
      <w:pPr>
        <w:pStyle w:val="BodyText"/>
        <w:jc w:val="left"/>
      </w:pPr>
      <w:r>
        <w:t xml:space="preserve">The BBRS should adopt a state-wide energy conservation code and fix it for a predetermined period of time. If a ‘stretch’ code is required and adopted it should be identical to the ‘base’ code with the exception of a single performance target value, and both codes should be in sync. This recommendation will eliminate much confusion, restore the ECS requirements to a near state-wide consistency, and enhance compliance and enforcement.  </w:t>
      </w:r>
    </w:p>
    <w:p w:rsidR="00EE50F8" w:rsidRPr="00E86AE9" w:rsidRDefault="00EE50F8" w:rsidP="00E86AE9"/>
    <w:p w:rsidR="00EE50F8" w:rsidRDefault="00EE50F8" w:rsidP="00DD4BA6">
      <w:pPr>
        <w:pStyle w:val="Heading1"/>
        <w:keepNext w:val="0"/>
      </w:pPr>
      <w:bookmarkStart w:id="40" w:name="_Toc387398763"/>
      <w:r>
        <w:t>Recommendation 2:</w:t>
      </w:r>
      <w:bookmarkEnd w:id="40"/>
    </w:p>
    <w:p w:rsidR="00EE50F8" w:rsidRDefault="00EE50F8" w:rsidP="00DD4BA6">
      <w:pPr>
        <w:pStyle w:val="BodyText"/>
        <w:jc w:val="left"/>
      </w:pPr>
      <w:r>
        <w:t>In order to foster cost effective energy conservation in wood frame 3 to 6 unit residential buildings the</w:t>
      </w:r>
      <w:r w:rsidR="006766E8">
        <w:t xml:space="preserve"> BBRS should</w:t>
      </w:r>
      <w:r>
        <w:t xml:space="preserve"> gather experienced builders, designers, and building officials to create construction details and other requirements as necessary, which reflect industry best practices in cost effective and reliable ECS for the thermal envelope and mechanical systems, if ne</w:t>
      </w:r>
      <w:r w:rsidR="00036557">
        <w:t>cessary, of these buildings. C</w:t>
      </w:r>
      <w:r>
        <w:t>ost offs</w:t>
      </w:r>
      <w:r w:rsidR="00036557">
        <w:t>ets will not be considered; instead</w:t>
      </w:r>
      <w:r>
        <w:t xml:space="preserve"> the effectiveness of any ECS should be compared to the direct cost of construction and ultimate price to the consumer and off set only by ROI that the consumer may see via reduction in utility or life cycle costs.  The recommendation </w:t>
      </w:r>
      <w:r w:rsidR="00036557">
        <w:t>to the BBRS shall</w:t>
      </w:r>
      <w:r>
        <w:t xml:space="preserve"> include but not be limited to a code change proposal</w:t>
      </w:r>
      <w:r w:rsidR="00036557">
        <w:t>(s)</w:t>
      </w:r>
      <w:r w:rsidR="0014622F">
        <w:t xml:space="preserve"> </w:t>
      </w:r>
      <w:r>
        <w:t xml:space="preserve">and construction drawings. </w:t>
      </w:r>
    </w:p>
    <w:p w:rsidR="00EE50F8" w:rsidRDefault="00EE50F8" w:rsidP="00CF3624"/>
    <w:p w:rsidR="00EE50F8" w:rsidRDefault="00EE50F8" w:rsidP="00BD51C4">
      <w:pPr>
        <w:pStyle w:val="Heading1"/>
        <w:keepNext w:val="0"/>
      </w:pPr>
      <w:r>
        <w:br w:type="page"/>
      </w:r>
      <w:bookmarkStart w:id="41" w:name="_Toc385312003"/>
      <w:bookmarkStart w:id="42" w:name="_Toc387398764"/>
      <w:bookmarkStart w:id="43" w:name="_Toc381445080"/>
      <w:r>
        <w:lastRenderedPageBreak/>
        <w:t>Notes to Section 1</w:t>
      </w:r>
      <w:bookmarkEnd w:id="41"/>
      <w:bookmarkEnd w:id="42"/>
      <w:r>
        <w:t xml:space="preserve"> </w:t>
      </w:r>
    </w:p>
    <w:p w:rsidR="00EE50F8" w:rsidRPr="009B20F0" w:rsidRDefault="00EE50F8" w:rsidP="0061296E">
      <w:pPr>
        <w:pStyle w:val="ListParagraph"/>
        <w:numPr>
          <w:ilvl w:val="0"/>
          <w:numId w:val="15"/>
        </w:numPr>
        <w:tabs>
          <w:tab w:val="clear" w:pos="720"/>
        </w:tabs>
        <w:spacing w:line="240" w:lineRule="auto"/>
        <w:rPr>
          <w:rFonts w:ascii="Times New Roman" w:hAnsi="Times New Roman" w:cs="Times New Roman"/>
          <w:w w:val="100"/>
          <w:sz w:val="24"/>
          <w:szCs w:val="24"/>
        </w:rPr>
      </w:pPr>
      <w:r w:rsidRPr="009B20F0">
        <w:rPr>
          <w:rFonts w:ascii="Times New Roman" w:hAnsi="Times New Roman" w:cs="Times New Roman"/>
          <w:w w:val="100"/>
          <w:sz w:val="24"/>
          <w:szCs w:val="24"/>
        </w:rPr>
        <w:t xml:space="preserve">Additionally the General Objectives of the BBRS pertaining to the cost of construction are found in </w:t>
      </w:r>
      <w:hyperlink r:id="rId32" w:history="1">
        <w:r w:rsidRPr="009B20F0">
          <w:rPr>
            <w:rStyle w:val="Hyperlink"/>
            <w:rFonts w:ascii="Times New Roman" w:hAnsi="Times New Roman" w:cs="Times New Roman"/>
            <w:w w:val="100"/>
            <w:sz w:val="24"/>
            <w:szCs w:val="24"/>
          </w:rPr>
          <w:t xml:space="preserve">M.G.L. c. 143, §95 (b) &amp; (c) </w:t>
        </w:r>
      </w:hyperlink>
    </w:p>
    <w:p w:rsidR="00EE50F8" w:rsidRPr="009B20F0" w:rsidRDefault="00EE50F8" w:rsidP="0061296E">
      <w:pPr>
        <w:pStyle w:val="ListParagraph"/>
        <w:numPr>
          <w:ilvl w:val="0"/>
          <w:numId w:val="15"/>
        </w:numPr>
        <w:tabs>
          <w:tab w:val="clear" w:pos="720"/>
        </w:tabs>
        <w:spacing w:line="240" w:lineRule="auto"/>
        <w:rPr>
          <w:rFonts w:ascii="Times New Roman" w:hAnsi="Times New Roman" w:cs="Times New Roman"/>
          <w:w w:val="100"/>
          <w:sz w:val="24"/>
          <w:szCs w:val="24"/>
        </w:rPr>
      </w:pPr>
      <w:r w:rsidRPr="009B20F0">
        <w:rPr>
          <w:rFonts w:ascii="Times New Roman" w:hAnsi="Times New Roman" w:cs="Times New Roman"/>
          <w:w w:val="100"/>
          <w:sz w:val="24"/>
          <w:szCs w:val="24"/>
        </w:rPr>
        <w:t xml:space="preserve">Discussions with several building departments, including those in Brockton, Northampton, and Holyoke revealed anecdotal evidence of this.  For example, some Brockton owners are converting 3 unit buildings to 2 family dwellings while some Northampton owners are doing the same thing or allowing buildings to sit vacant.  </w:t>
      </w:r>
    </w:p>
    <w:p w:rsidR="00EE50F8" w:rsidRPr="005C522F" w:rsidRDefault="00EE50F8" w:rsidP="0061296E">
      <w:pPr>
        <w:pStyle w:val="Heading1"/>
      </w:pPr>
      <w:bookmarkStart w:id="44" w:name="_Toc385312004"/>
      <w:bookmarkStart w:id="45" w:name="_Toc387398765"/>
      <w:r w:rsidRPr="005C522F">
        <w:t>Notes to Section 2</w:t>
      </w:r>
      <w:bookmarkEnd w:id="44"/>
      <w:bookmarkEnd w:id="45"/>
    </w:p>
    <w:p w:rsidR="00EE50F8" w:rsidRPr="00F64C4F" w:rsidRDefault="00EE50F8" w:rsidP="0061296E">
      <w:pPr>
        <w:pStyle w:val="ListParagraph"/>
        <w:numPr>
          <w:ilvl w:val="0"/>
          <w:numId w:val="32"/>
        </w:numPr>
        <w:spacing w:line="240" w:lineRule="auto"/>
        <w:rPr>
          <w:rFonts w:ascii="Times New Roman" w:hAnsi="Times New Roman" w:cs="Times New Roman"/>
          <w:w w:val="100"/>
          <w:sz w:val="24"/>
          <w:szCs w:val="24"/>
        </w:rPr>
      </w:pPr>
      <w:r w:rsidRPr="00F64C4F">
        <w:rPr>
          <w:rFonts w:ascii="Times New Roman" w:hAnsi="Times New Roman" w:cs="Times New Roman"/>
          <w:w w:val="100"/>
          <w:sz w:val="24"/>
          <w:szCs w:val="24"/>
        </w:rPr>
        <w:t xml:space="preserve">The dates shown should be considered approximations. For precise dates please check with the </w:t>
      </w:r>
      <w:hyperlink r:id="rId33" w:history="1">
        <w:r w:rsidRPr="00F64C4F">
          <w:rPr>
            <w:rStyle w:val="Hyperlink"/>
            <w:rFonts w:ascii="Times New Roman" w:hAnsi="Times New Roman" w:cs="Times New Roman"/>
            <w:w w:val="100"/>
            <w:sz w:val="24"/>
            <w:szCs w:val="24"/>
          </w:rPr>
          <w:t>Secretary of State</w:t>
        </w:r>
      </w:hyperlink>
      <w:r w:rsidRPr="00F64C4F">
        <w:rPr>
          <w:rFonts w:ascii="Times New Roman" w:hAnsi="Times New Roman" w:cs="Times New Roman"/>
          <w:w w:val="100"/>
          <w:sz w:val="24"/>
          <w:szCs w:val="24"/>
        </w:rPr>
        <w:t xml:space="preserve"> .</w:t>
      </w:r>
    </w:p>
    <w:p w:rsidR="00EE50F8" w:rsidRPr="00F64C4F" w:rsidRDefault="00EE50F8" w:rsidP="0061296E">
      <w:pPr>
        <w:pStyle w:val="ListParagraph"/>
        <w:numPr>
          <w:ilvl w:val="0"/>
          <w:numId w:val="32"/>
        </w:numPr>
        <w:spacing w:line="240" w:lineRule="auto"/>
        <w:rPr>
          <w:rFonts w:ascii="Times New Roman" w:hAnsi="Times New Roman" w:cs="Times New Roman"/>
          <w:w w:val="100"/>
          <w:sz w:val="24"/>
          <w:szCs w:val="24"/>
        </w:rPr>
      </w:pPr>
      <w:r w:rsidRPr="00F64C4F">
        <w:rPr>
          <w:rFonts w:ascii="Times New Roman" w:hAnsi="Times New Roman" w:cs="Times New Roman"/>
          <w:w w:val="100"/>
          <w:sz w:val="24"/>
          <w:szCs w:val="24"/>
        </w:rPr>
        <w:t xml:space="preserve">The Model 15 effort was approved at the September 2011 meeting and is copied here in part:  </w:t>
      </w:r>
    </w:p>
    <w:p w:rsidR="00EE50F8" w:rsidRDefault="00EE50F8" w:rsidP="0061296E">
      <w:pPr>
        <w:ind w:left="1440"/>
      </w:pPr>
      <w:r>
        <w:t>BBRS requests that the Energy Advisory Committee (EAC), the Structural Advisory Committee (SAC), the Geotechnical Advisory Committee (GAC), the Fire Prevention and Fire Protection Advisory Committee (FPFP), and the Chapter 34 Advisory Committee (34AC) to evaluate each current Massachusetts amendment to the model codes against the following questions:</w:t>
      </w:r>
    </w:p>
    <w:p w:rsidR="00EE50F8" w:rsidRDefault="00EE50F8" w:rsidP="0061296E">
      <w:pPr>
        <w:ind w:left="2160" w:hanging="360"/>
      </w:pPr>
      <w:r>
        <w:t>1.</w:t>
      </w:r>
      <w:r>
        <w:tab/>
        <w:t>Does the amendment reduce or show equivalency to construction costs relative to the 2009 ICC code?  (Y or N)</w:t>
      </w:r>
    </w:p>
    <w:p w:rsidR="00EE50F8" w:rsidRDefault="00EE50F8" w:rsidP="0061296E">
      <w:pPr>
        <w:ind w:left="2160" w:hanging="360"/>
      </w:pPr>
      <w:r>
        <w:t>2.</w:t>
      </w:r>
      <w:r>
        <w:tab/>
        <w:t>Does the amendment address the specific intent of MA General Law? (Y or N)</w:t>
      </w:r>
    </w:p>
    <w:p w:rsidR="00EE50F8" w:rsidRDefault="00EE50F8" w:rsidP="0061296E">
      <w:pPr>
        <w:ind w:left="2160" w:hanging="360"/>
      </w:pPr>
      <w:r>
        <w:t>3.</w:t>
      </w:r>
      <w:r>
        <w:tab/>
        <w:t>Does the amendment address a unique Massachusetts condition that warrants it? (Y or N)</w:t>
      </w:r>
    </w:p>
    <w:p w:rsidR="00EE50F8" w:rsidRDefault="00EE50F8" w:rsidP="0061296E">
      <w:pPr>
        <w:ind w:left="1440"/>
      </w:pPr>
      <w:r>
        <w:t>The initial selection filter is as follows:</w:t>
      </w:r>
    </w:p>
    <w:p w:rsidR="00EE50F8" w:rsidRDefault="00EE50F8" w:rsidP="0061296E">
      <w:pPr>
        <w:ind w:left="2340" w:hanging="180"/>
      </w:pPr>
      <w:r>
        <w:t xml:space="preserve">• If the answer is ‘yes’ to any of these questions the amendment may remain. If the amendment that remains adds cost then the committee will provide the cost increase analysis. </w:t>
      </w:r>
    </w:p>
    <w:p w:rsidR="00EE50F8" w:rsidRDefault="00EE50F8" w:rsidP="0061296E">
      <w:pPr>
        <w:ind w:left="2340" w:hanging="180"/>
      </w:pPr>
      <w:r>
        <w:t xml:space="preserve">• If the answer is ‘no’ to all three questions then the amendment may be deleted. However, if the BBRS is presented with valid life safety statistics that justify the increased initial construction costs and/or increased life cycle costs then the amendment shall remain. </w:t>
      </w:r>
    </w:p>
    <w:p w:rsidR="00EE50F8" w:rsidRDefault="00EE50F8" w:rsidP="0061296E">
      <w:pPr>
        <w:ind w:left="2340" w:hanging="180"/>
      </w:pPr>
      <w:r>
        <w:t>• If the amendment deletes an I-Code requirement then the committee shall identify the unique criteria as to why it is deleted.</w:t>
      </w:r>
    </w:p>
    <w:p w:rsidR="00EE50F8" w:rsidRPr="00F64C4F" w:rsidRDefault="00EE50F8" w:rsidP="0061296E">
      <w:pPr>
        <w:pStyle w:val="ListParagraph"/>
        <w:numPr>
          <w:ilvl w:val="0"/>
          <w:numId w:val="32"/>
        </w:numPr>
        <w:spacing w:line="240" w:lineRule="auto"/>
        <w:rPr>
          <w:rFonts w:ascii="Times New Roman" w:hAnsi="Times New Roman" w:cs="Times New Roman"/>
          <w:w w:val="100"/>
          <w:sz w:val="24"/>
          <w:szCs w:val="24"/>
        </w:rPr>
      </w:pPr>
      <w:r w:rsidRPr="00F64C4F">
        <w:rPr>
          <w:rFonts w:ascii="Times New Roman" w:hAnsi="Times New Roman" w:cs="Times New Roman"/>
          <w:w w:val="100"/>
          <w:sz w:val="24"/>
          <w:szCs w:val="24"/>
        </w:rPr>
        <w:t xml:space="preserve">Not included in this list are accessibility requirements which are governed by the </w:t>
      </w:r>
      <w:hyperlink r:id="rId34" w:history="1">
        <w:r w:rsidRPr="00F64C4F">
          <w:rPr>
            <w:rStyle w:val="Hyperlink"/>
            <w:rFonts w:ascii="Times New Roman" w:hAnsi="Times New Roman" w:cs="Times New Roman"/>
            <w:w w:val="100"/>
            <w:sz w:val="24"/>
            <w:szCs w:val="24"/>
          </w:rPr>
          <w:t>Architectural Access Board</w:t>
        </w:r>
      </w:hyperlink>
      <w:r w:rsidRPr="00F64C4F">
        <w:rPr>
          <w:rFonts w:ascii="Times New Roman" w:hAnsi="Times New Roman" w:cs="Times New Roman"/>
          <w:w w:val="100"/>
          <w:sz w:val="24"/>
          <w:szCs w:val="24"/>
        </w:rPr>
        <w:t xml:space="preserve"> and enforced by building officials. Since 1996 the Commonwealth has been a national leader via 521 CMR in providing access to its citizens with disabilities. </w:t>
      </w:r>
    </w:p>
    <w:p w:rsidR="00EE50F8" w:rsidRPr="00F64C4F" w:rsidRDefault="00EE50F8" w:rsidP="0061296E">
      <w:pPr>
        <w:pStyle w:val="ListParagraph"/>
        <w:numPr>
          <w:ilvl w:val="0"/>
          <w:numId w:val="32"/>
        </w:numPr>
        <w:spacing w:line="240" w:lineRule="auto"/>
        <w:rPr>
          <w:rFonts w:ascii="Times New Roman" w:hAnsi="Times New Roman" w:cs="Times New Roman"/>
          <w:w w:val="100"/>
          <w:sz w:val="24"/>
          <w:szCs w:val="24"/>
        </w:rPr>
      </w:pPr>
      <w:r w:rsidRPr="00F64C4F">
        <w:rPr>
          <w:rFonts w:ascii="Times New Roman" w:hAnsi="Times New Roman" w:cs="Times New Roman"/>
          <w:w w:val="100"/>
          <w:sz w:val="24"/>
          <w:szCs w:val="24"/>
        </w:rPr>
        <w:t xml:space="preserve">Overarching the code are requirements in Massachusetts General Law for sprinklers in buildings. </w:t>
      </w:r>
      <w:hyperlink r:id="rId35" w:history="1">
        <w:r w:rsidRPr="00F64C4F">
          <w:rPr>
            <w:rStyle w:val="Hyperlink"/>
            <w:rFonts w:ascii="Times New Roman" w:hAnsi="Times New Roman" w:cs="Times New Roman"/>
            <w:w w:val="100"/>
            <w:sz w:val="24"/>
            <w:szCs w:val="24"/>
          </w:rPr>
          <w:t xml:space="preserve">M.G.L. c.148 §26G </w:t>
        </w:r>
      </w:hyperlink>
      <w:r w:rsidRPr="00F64C4F">
        <w:rPr>
          <w:rFonts w:ascii="Times New Roman" w:hAnsi="Times New Roman" w:cs="Times New Roman"/>
          <w:w w:val="100"/>
          <w:sz w:val="24"/>
          <w:szCs w:val="24"/>
        </w:rPr>
        <w:t xml:space="preserve"> has been in effect statewide since January 1, 2010 , and requires sprinklers in new commercial buildings over 7500 sq. ft. as well as existing buildings undergoing significant renovations. It should be noted that this law does not allow the building to be separated with fire rated walls or ceilings. M.G.L. c.148, §26G</w:t>
      </w:r>
      <w:r w:rsidRPr="00F64C4F">
        <w:rPr>
          <w:rFonts w:ascii="Times New Roman" w:hAnsi="Times New Roman" w:cs="Times New Roman"/>
          <w:strike/>
          <w:w w:val="100"/>
          <w:sz w:val="24"/>
          <w:szCs w:val="24"/>
        </w:rPr>
        <w:t xml:space="preserve"> </w:t>
      </w:r>
      <w:r w:rsidRPr="00F64C4F">
        <w:rPr>
          <w:rFonts w:ascii="Times New Roman" w:hAnsi="Times New Roman" w:cs="Times New Roman"/>
          <w:w w:val="100"/>
          <w:sz w:val="24"/>
          <w:szCs w:val="24"/>
        </w:rPr>
        <w:t xml:space="preserve">came on the heels of a tragic fire in Newton where 5 lives were lost. MA State Representative Ruth </w:t>
      </w:r>
      <w:proofErr w:type="spellStart"/>
      <w:r w:rsidRPr="00F64C4F">
        <w:rPr>
          <w:rFonts w:ascii="Times New Roman" w:hAnsi="Times New Roman" w:cs="Times New Roman"/>
          <w:w w:val="100"/>
          <w:sz w:val="24"/>
          <w:szCs w:val="24"/>
        </w:rPr>
        <w:t>Balser</w:t>
      </w:r>
      <w:proofErr w:type="spellEnd"/>
      <w:r w:rsidRPr="00F64C4F">
        <w:rPr>
          <w:rFonts w:ascii="Times New Roman" w:hAnsi="Times New Roman" w:cs="Times New Roman"/>
          <w:w w:val="100"/>
          <w:sz w:val="24"/>
          <w:szCs w:val="24"/>
        </w:rPr>
        <w:t xml:space="preserve"> who has the city of Newton in her district was an instrumental figure in the passage of this legislative act. Her views on sprinklers can be seen at this </w:t>
      </w:r>
      <w:hyperlink r:id="rId36" w:history="1">
        <w:r w:rsidRPr="00F64C4F">
          <w:rPr>
            <w:rStyle w:val="Hyperlink"/>
            <w:rFonts w:ascii="Times New Roman" w:hAnsi="Times New Roman" w:cs="Times New Roman"/>
            <w:w w:val="100"/>
            <w:sz w:val="24"/>
            <w:szCs w:val="24"/>
          </w:rPr>
          <w:t>NFPA Sprinkler Blog</w:t>
        </w:r>
      </w:hyperlink>
      <w:r w:rsidRPr="00F64C4F">
        <w:rPr>
          <w:rFonts w:ascii="Times New Roman" w:hAnsi="Times New Roman" w:cs="Times New Roman"/>
          <w:w w:val="100"/>
          <w:sz w:val="24"/>
          <w:szCs w:val="24"/>
        </w:rPr>
        <w:t xml:space="preserve">. </w:t>
      </w:r>
    </w:p>
    <w:p w:rsidR="00EE50F8" w:rsidRDefault="00EE50F8" w:rsidP="00D27083">
      <w:pPr>
        <w:pStyle w:val="Heading1"/>
      </w:pPr>
      <w:bookmarkStart w:id="46" w:name="_Toc385312005"/>
      <w:bookmarkStart w:id="47" w:name="_Toc387398766"/>
      <w:r>
        <w:lastRenderedPageBreak/>
        <w:t>Notes to Section 3</w:t>
      </w:r>
      <w:bookmarkEnd w:id="46"/>
      <w:bookmarkEnd w:id="47"/>
      <w:r>
        <w:t xml:space="preserve"> </w:t>
      </w:r>
    </w:p>
    <w:p w:rsidR="00EE50F8" w:rsidRDefault="00EE50F8" w:rsidP="0061296E">
      <w:pPr>
        <w:numPr>
          <w:ilvl w:val="0"/>
          <w:numId w:val="33"/>
        </w:numPr>
      </w:pPr>
      <w:r>
        <w:t xml:space="preserve">This paper reviews and analyzes ‘raw’ data for the various topics addressed; a simpler path could have been to reference reports or papers or conclusions issued by Realtor groups, the National Fire Protection Association, the National Association of Home Builders, or other entities. However, business entities whether for profit and not for profit may have a bias on the subject matter within their scope. Feedback which examines data in an industry accepted manner on any topic in this paper is anticipated and welcome, as it will make this paper a more accurate and valuable document.    </w:t>
      </w:r>
    </w:p>
    <w:p w:rsidR="00EE50F8" w:rsidRDefault="00EE50F8" w:rsidP="0061296E">
      <w:pPr>
        <w:numPr>
          <w:ilvl w:val="0"/>
          <w:numId w:val="33"/>
        </w:numPr>
      </w:pPr>
      <w:r>
        <w:t xml:space="preserve">Many sources can be accessed for these data including the US Census. At this particular site </w:t>
      </w:r>
      <w:hyperlink r:id="rId37" w:history="1">
        <w:r>
          <w:rPr>
            <w:rStyle w:val="Hyperlink"/>
          </w:rPr>
          <w:t>http://www.russellsage.org/research/chartbook/social-inequality</w:t>
        </w:r>
      </w:hyperlink>
      <w:r>
        <w:t xml:space="preserve"> one can view income data from multiple perspectives and trends over time, and across gender and race. For this paper median values are used in order to be consistent with the median home price and home value data.</w:t>
      </w:r>
    </w:p>
    <w:p w:rsidR="00EE50F8" w:rsidRDefault="00EE50F8" w:rsidP="0061296E">
      <w:pPr>
        <w:numPr>
          <w:ilvl w:val="0"/>
          <w:numId w:val="33"/>
        </w:numPr>
      </w:pPr>
      <w:r>
        <w:t xml:space="preserve">US Census data on home values from 1940 to 2000 in adjusted and unadjusted dollars can be found at </w:t>
      </w:r>
      <w:hyperlink r:id="rId38" w:history="1">
        <w:r>
          <w:rPr>
            <w:rStyle w:val="Hyperlink"/>
          </w:rPr>
          <w:t>http://www.census.gov/hhes/www/housing/census/historic/values.html</w:t>
        </w:r>
      </w:hyperlink>
      <w:r>
        <w:t xml:space="preserve">. Ellen Wilson at the US Census Bureau indicated in a phone conversation on January 2, 2014 that the home value data is supplied by the US Census respondents on their census form, in response to what the value of the home would be on the local housing market. When asked: </w:t>
      </w:r>
      <w:r>
        <w:rPr>
          <w:i/>
          <w:iCs/>
        </w:rPr>
        <w:t>“Do these home values accurately reflect market home price?</w:t>
      </w:r>
      <w:r>
        <w:t>” Ellen indicated that they do. A comparison (see below) of sale price of homes in MA from 1970 to 2000 with US Census home values corroborates this opinion.</w:t>
      </w:r>
    </w:p>
    <w:p w:rsidR="00EE50F8" w:rsidRDefault="00EE50F8" w:rsidP="0061296E">
      <w:pPr>
        <w:ind w:left="360"/>
      </w:pPr>
    </w:p>
    <w:p w:rsidR="00EE50F8" w:rsidRDefault="008171E5" w:rsidP="0061296E">
      <w:pPr>
        <w:ind w:left="360" w:firstLine="450"/>
      </w:pPr>
      <w:r>
        <w:rPr>
          <w:noProof/>
        </w:rPr>
        <w:drawing>
          <wp:inline distT="0" distB="0" distL="0" distR="0">
            <wp:extent cx="5019675" cy="1457325"/>
            <wp:effectExtent l="19050" t="0" r="9525"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srcRect/>
                    <a:stretch>
                      <a:fillRect/>
                    </a:stretch>
                  </pic:blipFill>
                  <pic:spPr bwMode="auto">
                    <a:xfrm>
                      <a:off x="0" y="0"/>
                      <a:ext cx="5019675" cy="1457325"/>
                    </a:xfrm>
                    <a:prstGeom prst="rect">
                      <a:avLst/>
                    </a:prstGeom>
                    <a:noFill/>
                    <a:ln w="9525">
                      <a:noFill/>
                      <a:miter lim="800000"/>
                      <a:headEnd/>
                      <a:tailEnd/>
                    </a:ln>
                  </pic:spPr>
                </pic:pic>
              </a:graphicData>
            </a:graphic>
          </wp:inline>
        </w:drawing>
      </w:r>
    </w:p>
    <w:p w:rsidR="00EE50F8" w:rsidRPr="00F846B4" w:rsidRDefault="00EE50F8" w:rsidP="0061296E">
      <w:pPr>
        <w:numPr>
          <w:ilvl w:val="0"/>
          <w:numId w:val="33"/>
        </w:numPr>
      </w:pPr>
      <w:r w:rsidRPr="00F846B4">
        <w:t xml:space="preserve">John Dulczewski., the executive director of the Greater Boston Association of REALTORS has supplied Massachusetts home sale data which span the time frame 2005 to 2012 along with discrete data points of average home sale prices dating back to the 1940’s.  </w:t>
      </w:r>
    </w:p>
    <w:p w:rsidR="00EE50F8" w:rsidRPr="00F846B4" w:rsidRDefault="00EE50F8" w:rsidP="0061296E">
      <w:pPr>
        <w:numPr>
          <w:ilvl w:val="0"/>
          <w:numId w:val="33"/>
        </w:numPr>
      </w:pPr>
      <w:r w:rsidRPr="00F846B4">
        <w:t>American Community Survey</w:t>
      </w:r>
      <w:r w:rsidRPr="00F846B4">
        <w:rPr>
          <w:vertAlign w:val="superscript"/>
        </w:rPr>
        <w:t xml:space="preserve"> </w:t>
      </w:r>
      <w:r w:rsidRPr="00F846B4">
        <w:t xml:space="preserve">by the US Census Bureau can be found at </w:t>
      </w:r>
      <w:hyperlink r:id="rId40" w:history="1">
        <w:r w:rsidRPr="00F846B4">
          <w:rPr>
            <w:rStyle w:val="Hyperlink"/>
          </w:rPr>
          <w:t>http://www.census.gov/acs/www/</w:t>
        </w:r>
      </w:hyperlink>
      <w:r w:rsidRPr="00F846B4">
        <w:t xml:space="preserve"> </w:t>
      </w:r>
    </w:p>
    <w:p w:rsidR="00EE50F8" w:rsidRPr="00F846B4" w:rsidRDefault="00EE50F8" w:rsidP="0061296E">
      <w:pPr>
        <w:numPr>
          <w:ilvl w:val="0"/>
          <w:numId w:val="33"/>
        </w:numPr>
      </w:pPr>
      <w:r w:rsidRPr="00F846B4">
        <w:t xml:space="preserve">Home affordability tools are numerous. The one used for this study is found here: </w:t>
      </w:r>
      <w:hyperlink r:id="rId41" w:history="1">
        <w:r w:rsidRPr="00F846B4">
          <w:rPr>
            <w:rStyle w:val="Hyperlink"/>
          </w:rPr>
          <w:t>http://www.hsh.com/calc-howmuch.html</w:t>
        </w:r>
      </w:hyperlink>
      <w:r w:rsidRPr="00F846B4">
        <w:t xml:space="preserve">  </w:t>
      </w:r>
    </w:p>
    <w:p w:rsidR="00EE50F8" w:rsidRDefault="00EE50F8" w:rsidP="0061296E">
      <w:pPr>
        <w:numPr>
          <w:ilvl w:val="0"/>
          <w:numId w:val="33"/>
        </w:numPr>
      </w:pPr>
      <w:r w:rsidRPr="00A425B4">
        <w:t>As defined by the US Census Bureau</w:t>
      </w:r>
      <w:r>
        <w:t>…</w:t>
      </w:r>
      <w:r w:rsidRPr="00A425B4">
        <w:t xml:space="preserve"> </w:t>
      </w:r>
      <w:r w:rsidRPr="009756B1">
        <w:rPr>
          <w:i/>
          <w:iCs/>
        </w:rPr>
        <w:t>“</w:t>
      </w:r>
      <w:proofErr w:type="gramStart"/>
      <w:r w:rsidRPr="009756B1">
        <w:rPr>
          <w:i/>
          <w:iCs/>
        </w:rPr>
        <w:t>the</w:t>
      </w:r>
      <w:proofErr w:type="gramEnd"/>
      <w:r w:rsidRPr="009756B1">
        <w:rPr>
          <w:i/>
          <w:iCs/>
        </w:rPr>
        <w:t xml:space="preserve"> median household income includes the income of the householder and all other individuals 15 years old and over in the household, whether they are related to the householder or not. Because many households consist of only one person, average household income is usually less than average family income. The median divides the income distribution into two equal parts: one-half of the cases falling below the median income and one-half above the median. For households and families, the median income is based on the distribution of the total number of households and families including those with no income. The median income for </w:t>
      </w:r>
      <w:r w:rsidRPr="009756B1">
        <w:rPr>
          <w:i/>
          <w:iCs/>
        </w:rPr>
        <w:lastRenderedPageBreak/>
        <w:t xml:space="preserve">individuals is based on individuals 15 years old and over with income. Median income for households, families, and individuals </w:t>
      </w:r>
      <w:proofErr w:type="gramStart"/>
      <w:r w:rsidRPr="009756B1">
        <w:rPr>
          <w:i/>
          <w:iCs/>
        </w:rPr>
        <w:t>is</w:t>
      </w:r>
      <w:proofErr w:type="gramEnd"/>
      <w:r w:rsidRPr="009756B1">
        <w:rPr>
          <w:i/>
          <w:iCs/>
        </w:rPr>
        <w:t xml:space="preserve"> computed on the basis of a standard distribution.”</w:t>
      </w:r>
    </w:p>
    <w:p w:rsidR="00EE50F8" w:rsidRDefault="00EE50F8" w:rsidP="0061296E">
      <w:pPr>
        <w:numPr>
          <w:ilvl w:val="0"/>
          <w:numId w:val="33"/>
        </w:numPr>
      </w:pPr>
      <w:r w:rsidRPr="005C522F">
        <w:t xml:space="preserve">Rate of home ownership data were pulled from </w:t>
      </w:r>
      <w:hyperlink r:id="rId42" w:history="1">
        <w:r w:rsidRPr="005C522F">
          <w:rPr>
            <w:rStyle w:val="Hyperlink"/>
          </w:rPr>
          <w:t>http://www.census.gov/hhes/www/housing/census/historic/owner.html</w:t>
        </w:r>
      </w:hyperlink>
      <w:r w:rsidRPr="005C522F">
        <w:t xml:space="preserve">  </w:t>
      </w:r>
    </w:p>
    <w:p w:rsidR="00EE50F8" w:rsidRDefault="00EE50F8" w:rsidP="0061296E">
      <w:pPr>
        <w:numPr>
          <w:ilvl w:val="0"/>
          <w:numId w:val="33"/>
        </w:numPr>
      </w:pPr>
      <w:r>
        <w:t>For example the State House News recently issued this:</w:t>
      </w:r>
    </w:p>
    <w:p w:rsidR="00EE50F8" w:rsidRPr="00FB31F5" w:rsidRDefault="00EE50F8" w:rsidP="0061296E">
      <w:pPr>
        <w:ind w:left="1440"/>
        <w:rPr>
          <w:sz w:val="18"/>
          <w:szCs w:val="18"/>
        </w:rPr>
      </w:pPr>
      <w:r w:rsidRPr="00FB31F5">
        <w:rPr>
          <w:sz w:val="18"/>
          <w:szCs w:val="18"/>
        </w:rPr>
        <w:t>REPORT: HOUSING BOOM NEEDED TO FUEL STATE’S ECONOMY</w:t>
      </w:r>
    </w:p>
    <w:p w:rsidR="00EE50F8" w:rsidRPr="00FB31F5" w:rsidRDefault="00EE50F8" w:rsidP="0061296E">
      <w:pPr>
        <w:ind w:left="1440"/>
        <w:rPr>
          <w:sz w:val="18"/>
          <w:szCs w:val="18"/>
        </w:rPr>
      </w:pPr>
    </w:p>
    <w:p w:rsidR="00EE50F8" w:rsidRPr="00FB31F5" w:rsidRDefault="00EE50F8" w:rsidP="0061296E">
      <w:pPr>
        <w:ind w:left="1440"/>
        <w:rPr>
          <w:sz w:val="18"/>
          <w:szCs w:val="18"/>
        </w:rPr>
      </w:pPr>
      <w:r w:rsidRPr="00FB31F5">
        <w:rPr>
          <w:sz w:val="18"/>
          <w:szCs w:val="18"/>
        </w:rPr>
        <w:t>By Michael Norton</w:t>
      </w:r>
    </w:p>
    <w:p w:rsidR="00EE50F8" w:rsidRPr="00FB31F5" w:rsidRDefault="00EE50F8" w:rsidP="0061296E">
      <w:pPr>
        <w:ind w:left="1440"/>
        <w:rPr>
          <w:sz w:val="18"/>
          <w:szCs w:val="18"/>
        </w:rPr>
      </w:pPr>
      <w:r w:rsidRPr="00FB31F5">
        <w:rPr>
          <w:sz w:val="18"/>
          <w:szCs w:val="18"/>
        </w:rPr>
        <w:t>STATE HOUSE NEWS SERVICE</w:t>
      </w:r>
    </w:p>
    <w:p w:rsidR="00EE50F8" w:rsidRPr="00FB31F5" w:rsidRDefault="00EE50F8" w:rsidP="0061296E">
      <w:pPr>
        <w:ind w:left="1440"/>
        <w:rPr>
          <w:sz w:val="18"/>
          <w:szCs w:val="18"/>
        </w:rPr>
      </w:pPr>
    </w:p>
    <w:p w:rsidR="00EE50F8" w:rsidRPr="00FB31F5" w:rsidRDefault="00EE50F8" w:rsidP="0061296E">
      <w:pPr>
        <w:ind w:left="1440"/>
        <w:rPr>
          <w:sz w:val="18"/>
          <w:szCs w:val="18"/>
        </w:rPr>
      </w:pPr>
      <w:r w:rsidRPr="00FB31F5">
        <w:rPr>
          <w:sz w:val="18"/>
          <w:szCs w:val="18"/>
        </w:rPr>
        <w:t>STATE HOUSE, BOSTON, JAN. 16, 2014…Massachusetts must significantly boost its housing supply to attract the younger workers needed to increase its labor force and help drive economic growth in the next decades, according to a new report.</w:t>
      </w:r>
    </w:p>
    <w:p w:rsidR="00EE50F8" w:rsidRPr="00FB31F5" w:rsidRDefault="00EE50F8" w:rsidP="0061296E">
      <w:pPr>
        <w:ind w:left="1440"/>
        <w:rPr>
          <w:sz w:val="18"/>
          <w:szCs w:val="18"/>
        </w:rPr>
      </w:pPr>
    </w:p>
    <w:p w:rsidR="00EE50F8" w:rsidRPr="00FB31F5" w:rsidRDefault="00EE50F8" w:rsidP="0061296E">
      <w:pPr>
        <w:ind w:left="1440"/>
        <w:rPr>
          <w:sz w:val="18"/>
          <w:szCs w:val="18"/>
        </w:rPr>
      </w:pPr>
      <w:r w:rsidRPr="00FB31F5">
        <w:rPr>
          <w:sz w:val="18"/>
          <w:szCs w:val="18"/>
        </w:rPr>
        <w:t xml:space="preserve">The Metropolitan Area Planning Council report found the metro Boston area will need 435,000 new housing units by 2040 to attract younger workers while also accommodating the state’s growing senior population. The report suggests the new units would mostly be situated in multi-family settings and in urban areas. </w:t>
      </w:r>
    </w:p>
    <w:p w:rsidR="00EE50F8" w:rsidRPr="00FB31F5" w:rsidRDefault="00EE50F8" w:rsidP="0061296E">
      <w:pPr>
        <w:ind w:left="1440"/>
        <w:rPr>
          <w:sz w:val="18"/>
          <w:szCs w:val="18"/>
        </w:rPr>
      </w:pPr>
    </w:p>
    <w:p w:rsidR="00EE50F8" w:rsidRPr="00FB31F5" w:rsidRDefault="00EE50F8" w:rsidP="0061296E">
      <w:pPr>
        <w:ind w:left="1440"/>
        <w:rPr>
          <w:sz w:val="18"/>
          <w:szCs w:val="18"/>
        </w:rPr>
      </w:pPr>
      <w:r w:rsidRPr="00FB31F5">
        <w:rPr>
          <w:sz w:val="18"/>
          <w:szCs w:val="18"/>
        </w:rPr>
        <w:t>Under a slow-growth scenario the region’s population would grow 6.6 percent over three decades, with its 65 and older population increasing 82 percent and its working-age population essentially unchanged. Without an influx of younger workers, jobs in the region could grow by less than 1 percent from 2010 to 2040, the report said.</w:t>
      </w:r>
    </w:p>
    <w:p w:rsidR="00EE50F8" w:rsidRPr="00FB31F5" w:rsidRDefault="00EE50F8" w:rsidP="0061296E">
      <w:pPr>
        <w:ind w:left="1440"/>
        <w:rPr>
          <w:sz w:val="18"/>
          <w:szCs w:val="18"/>
        </w:rPr>
      </w:pPr>
    </w:p>
    <w:p w:rsidR="00EE50F8" w:rsidRPr="00FB31F5" w:rsidRDefault="00EE50F8" w:rsidP="0061296E">
      <w:pPr>
        <w:ind w:left="1440"/>
        <w:rPr>
          <w:sz w:val="18"/>
          <w:szCs w:val="18"/>
        </w:rPr>
      </w:pPr>
      <w:r w:rsidRPr="00FB31F5">
        <w:rPr>
          <w:sz w:val="18"/>
          <w:szCs w:val="18"/>
        </w:rPr>
        <w:t xml:space="preserve">The report’s “stronger region” growth scenario envisions a population increase of 12.6 percent, with the population between 25 and 64 years old increasing 7 percent and adding 175,000 new workers to the labor force. </w:t>
      </w:r>
    </w:p>
    <w:p w:rsidR="00EE50F8" w:rsidRPr="00FB31F5" w:rsidRDefault="00EE50F8" w:rsidP="0061296E">
      <w:pPr>
        <w:ind w:left="1440"/>
        <w:rPr>
          <w:sz w:val="18"/>
          <w:szCs w:val="18"/>
        </w:rPr>
      </w:pPr>
    </w:p>
    <w:p w:rsidR="00EE50F8" w:rsidRPr="00FB31F5" w:rsidRDefault="00EE50F8" w:rsidP="0061296E">
      <w:pPr>
        <w:ind w:left="1440"/>
        <w:rPr>
          <w:sz w:val="18"/>
          <w:szCs w:val="18"/>
        </w:rPr>
      </w:pPr>
      <w:r w:rsidRPr="00FB31F5">
        <w:rPr>
          <w:sz w:val="18"/>
          <w:szCs w:val="18"/>
        </w:rPr>
        <w:t>The report says 435,000 new housing units would be needed from 2010 to 2040 under the “stronger region” scenario and 305,000 under the slow-growth, “status quo” scenario, which would still represent a 17 percent increase. The demand exists for new housing, including apartments and condominiums, even though a “senior sell-off” may provide most of the single-family homes needed by younger families.</w:t>
      </w:r>
    </w:p>
    <w:p w:rsidR="00EE50F8" w:rsidRPr="00FB31F5" w:rsidRDefault="00EE50F8" w:rsidP="0061296E">
      <w:pPr>
        <w:ind w:left="1440"/>
        <w:rPr>
          <w:sz w:val="18"/>
          <w:szCs w:val="18"/>
        </w:rPr>
      </w:pPr>
    </w:p>
    <w:p w:rsidR="00EE50F8" w:rsidRPr="00FB31F5" w:rsidRDefault="00EE50F8" w:rsidP="0061296E">
      <w:pPr>
        <w:ind w:left="1440"/>
        <w:rPr>
          <w:sz w:val="18"/>
          <w:szCs w:val="18"/>
        </w:rPr>
      </w:pPr>
      <w:r w:rsidRPr="00FB31F5">
        <w:rPr>
          <w:sz w:val="18"/>
          <w:szCs w:val="18"/>
        </w:rPr>
        <w:t>“Which scenario is more likely to occur depends on decisions yet to be made,” the report said. “Individual households will make their own choices about where to live, but they will do so in a context influenced by public sector actions and investments. Policies to promote housing construction will facilitate the higher in-migration rates that characterize the Stronger Region scenario. Conversely, continued widespread opposition to new housing will likely result in less.”</w:t>
      </w:r>
    </w:p>
    <w:p w:rsidR="00EE50F8" w:rsidRPr="00FB31F5" w:rsidRDefault="00EE50F8" w:rsidP="0061296E">
      <w:pPr>
        <w:ind w:left="1440"/>
        <w:rPr>
          <w:sz w:val="18"/>
          <w:szCs w:val="18"/>
        </w:rPr>
      </w:pPr>
    </w:p>
    <w:p w:rsidR="00EE50F8" w:rsidRPr="00FB31F5" w:rsidRDefault="00EE50F8" w:rsidP="0061296E">
      <w:pPr>
        <w:ind w:left="1440"/>
        <w:rPr>
          <w:sz w:val="18"/>
          <w:szCs w:val="18"/>
        </w:rPr>
      </w:pPr>
      <w:r w:rsidRPr="00FB31F5">
        <w:rPr>
          <w:sz w:val="18"/>
          <w:szCs w:val="18"/>
        </w:rPr>
        <w:t>In the report, the council says it favor the “stronger region” approach for municipalities and says that approach is already the basis behind the state Executive Office of Housing and Economic Development’s multi-family housing production goals.</w:t>
      </w:r>
    </w:p>
    <w:p w:rsidR="00EE50F8" w:rsidRPr="00FB31F5" w:rsidRDefault="00EE50F8" w:rsidP="0061296E">
      <w:pPr>
        <w:ind w:left="1440"/>
        <w:rPr>
          <w:sz w:val="18"/>
          <w:szCs w:val="18"/>
        </w:rPr>
      </w:pPr>
    </w:p>
    <w:p w:rsidR="00EE50F8" w:rsidRPr="00FB31F5" w:rsidRDefault="00EE50F8" w:rsidP="0061296E">
      <w:pPr>
        <w:ind w:left="1440"/>
        <w:rPr>
          <w:sz w:val="18"/>
          <w:szCs w:val="18"/>
        </w:rPr>
      </w:pPr>
      <w:r w:rsidRPr="00FB31F5">
        <w:rPr>
          <w:sz w:val="18"/>
          <w:szCs w:val="18"/>
        </w:rPr>
        <w:t xml:space="preserve">“More than a million of the region’s workers will be retired by the year 2030,” Marc </w:t>
      </w:r>
      <w:proofErr w:type="spellStart"/>
      <w:r w:rsidRPr="00FB31F5">
        <w:rPr>
          <w:sz w:val="18"/>
          <w:szCs w:val="18"/>
        </w:rPr>
        <w:t>Draisen</w:t>
      </w:r>
      <w:proofErr w:type="spellEnd"/>
      <w:r w:rsidRPr="00FB31F5">
        <w:rPr>
          <w:sz w:val="18"/>
          <w:szCs w:val="18"/>
        </w:rPr>
        <w:t>, the council’s executive director, said in a statement. “To fill those jobs and grow the economy we need to reverse the trends that see so many young workers leaving Metro Boston.”</w:t>
      </w:r>
    </w:p>
    <w:p w:rsidR="00EE50F8" w:rsidRPr="00FB31F5" w:rsidRDefault="00EE50F8" w:rsidP="0061296E">
      <w:pPr>
        <w:ind w:left="1440"/>
        <w:rPr>
          <w:sz w:val="18"/>
          <w:szCs w:val="18"/>
        </w:rPr>
      </w:pPr>
    </w:p>
    <w:p w:rsidR="00EE50F8" w:rsidRPr="00FB31F5" w:rsidRDefault="00EE50F8" w:rsidP="0061296E">
      <w:pPr>
        <w:ind w:left="1440"/>
        <w:rPr>
          <w:sz w:val="18"/>
          <w:szCs w:val="18"/>
        </w:rPr>
      </w:pPr>
      <w:r w:rsidRPr="00FB31F5">
        <w:rPr>
          <w:sz w:val="18"/>
          <w:szCs w:val="18"/>
        </w:rPr>
        <w:t>The report, which includes projections by municipality, says the number of school-age children in the region peaked in 2000 and is likely to decline in the coming decades. It warns that without an effort to increase housing production, one of the state’s biggest assets - a skilled and educated workforce - is in jeopardy.</w:t>
      </w:r>
    </w:p>
    <w:p w:rsidR="00EE50F8" w:rsidRPr="00FB31F5" w:rsidRDefault="00EE50F8" w:rsidP="0061296E">
      <w:pPr>
        <w:ind w:left="1440"/>
        <w:rPr>
          <w:sz w:val="18"/>
          <w:szCs w:val="18"/>
        </w:rPr>
      </w:pPr>
    </w:p>
    <w:p w:rsidR="00EE50F8" w:rsidRPr="00FB31F5" w:rsidRDefault="00EE50F8" w:rsidP="0061296E">
      <w:pPr>
        <w:ind w:left="1440"/>
        <w:rPr>
          <w:sz w:val="18"/>
          <w:szCs w:val="18"/>
        </w:rPr>
      </w:pPr>
      <w:r w:rsidRPr="00FB31F5">
        <w:rPr>
          <w:sz w:val="18"/>
          <w:szCs w:val="18"/>
        </w:rPr>
        <w:t>END</w:t>
      </w:r>
    </w:p>
    <w:p w:rsidR="00EE50F8" w:rsidRDefault="00EE50F8" w:rsidP="0061296E">
      <w:pPr>
        <w:ind w:left="1440"/>
        <w:rPr>
          <w:sz w:val="18"/>
          <w:szCs w:val="18"/>
        </w:rPr>
      </w:pPr>
      <w:r w:rsidRPr="00FB31F5">
        <w:rPr>
          <w:sz w:val="18"/>
          <w:szCs w:val="18"/>
        </w:rPr>
        <w:t xml:space="preserve">01/16/2014  </w:t>
      </w:r>
    </w:p>
    <w:p w:rsidR="00EE50F8" w:rsidRDefault="00EE50F8" w:rsidP="0061296E">
      <w:pPr>
        <w:ind w:left="720"/>
      </w:pPr>
      <w:r w:rsidRPr="00FB31F5">
        <w:t xml:space="preserve">The full report is found here: </w:t>
      </w:r>
      <w:hyperlink r:id="rId43" w:history="1">
        <w:r w:rsidRPr="003F21E8">
          <w:rPr>
            <w:rStyle w:val="Hyperlink"/>
          </w:rPr>
          <w:t>http://www.mapc.org/data-services/available-data/projections</w:t>
        </w:r>
      </w:hyperlink>
      <w:r>
        <w:t xml:space="preserve">. </w:t>
      </w:r>
      <w:r w:rsidRPr="000D1AB4">
        <w:t xml:space="preserve">The Metropolitan Area Planning Council has statutory authority via </w:t>
      </w:r>
      <w:hyperlink r:id="rId44" w:history="1">
        <w:r w:rsidRPr="00526DBA">
          <w:rPr>
            <w:rStyle w:val="Hyperlink"/>
          </w:rPr>
          <w:t xml:space="preserve">M.G.L. c. 40B, §24 </w:t>
        </w:r>
      </w:hyperlink>
      <w:r>
        <w:t xml:space="preserve"> </w:t>
      </w:r>
    </w:p>
    <w:p w:rsidR="00EE50F8" w:rsidRPr="00672817" w:rsidRDefault="00EE50F8" w:rsidP="0061296E">
      <w:pPr>
        <w:pStyle w:val="ListParagraph"/>
        <w:numPr>
          <w:ilvl w:val="0"/>
          <w:numId w:val="33"/>
        </w:numPr>
        <w:spacing w:line="240" w:lineRule="auto"/>
        <w:rPr>
          <w:rFonts w:ascii="Times New Roman" w:hAnsi="Times New Roman" w:cs="Times New Roman"/>
          <w:w w:val="100"/>
          <w:sz w:val="24"/>
        </w:rPr>
      </w:pPr>
      <w:r w:rsidRPr="00672817">
        <w:rPr>
          <w:rFonts w:ascii="Times New Roman" w:hAnsi="Times New Roman" w:cs="Times New Roman"/>
          <w:w w:val="100"/>
          <w:sz w:val="24"/>
        </w:rPr>
        <w:lastRenderedPageBreak/>
        <w:t>A November 2013 report issued Barry Bluestone, Director of the Dukakis Center for Urban &amp; Regional Policy, is another source on this subject. It has a lot of data in chart form but is relatively easy to understand and follow. The report is found here:</w:t>
      </w:r>
    </w:p>
    <w:p w:rsidR="00EE50F8" w:rsidRDefault="0033095E" w:rsidP="0061296E">
      <w:pPr>
        <w:ind w:left="720"/>
      </w:pPr>
      <w:hyperlink r:id="rId45" w:history="1">
        <w:r w:rsidR="00EE50F8" w:rsidRPr="003F21E8">
          <w:rPr>
            <w:rStyle w:val="Hyperlink"/>
          </w:rPr>
          <w:t>http://www.gbreb.com/uploadedFiles/GBAR/GBAR_Education_and_Events/BBLUESTONEPRES2014.pdf?n=5679</w:t>
        </w:r>
      </w:hyperlink>
      <w:r w:rsidR="00EE50F8">
        <w:t xml:space="preserve"> </w:t>
      </w:r>
      <w:r w:rsidR="00EE50F8">
        <w:tab/>
        <w:t xml:space="preserve">Particular attention should be paid to pages 30 and 31.  </w:t>
      </w:r>
    </w:p>
    <w:p w:rsidR="00EE50F8" w:rsidRDefault="00EE50F8" w:rsidP="00CF3624">
      <w:pPr>
        <w:pStyle w:val="Heading1"/>
        <w:keepNext w:val="0"/>
      </w:pPr>
    </w:p>
    <w:p w:rsidR="00EE50F8" w:rsidRDefault="00EE50F8" w:rsidP="00CF3624">
      <w:pPr>
        <w:pStyle w:val="Heading1"/>
        <w:keepNext w:val="0"/>
      </w:pPr>
      <w:bookmarkStart w:id="48" w:name="_Toc387398767"/>
      <w:r>
        <w:t>Notes to Section 4</w:t>
      </w:r>
      <w:bookmarkEnd w:id="43"/>
      <w:bookmarkEnd w:id="48"/>
    </w:p>
    <w:p w:rsidR="00EE50F8" w:rsidRPr="00955B2C" w:rsidRDefault="00955B2C" w:rsidP="009B20F0">
      <w:pPr>
        <w:pStyle w:val="ListParagraph"/>
        <w:numPr>
          <w:ilvl w:val="3"/>
          <w:numId w:val="32"/>
        </w:numPr>
        <w:spacing w:line="240" w:lineRule="auto"/>
        <w:ind w:left="720"/>
        <w:rPr>
          <w:rFonts w:ascii="Times New Roman" w:hAnsi="Times New Roman" w:cs="Times New Roman"/>
          <w:w w:val="100"/>
          <w:sz w:val="24"/>
        </w:rPr>
      </w:pPr>
      <w:r>
        <w:rPr>
          <w:rFonts w:ascii="Times New Roman" w:hAnsi="Times New Roman" w:cs="Times New Roman"/>
          <w:w w:val="100"/>
          <w:sz w:val="24"/>
        </w:rPr>
        <w:t xml:space="preserve">As just one example, </w:t>
      </w:r>
      <w:r w:rsidR="00705D93">
        <w:rPr>
          <w:rFonts w:ascii="Times New Roman" w:hAnsi="Times New Roman" w:cs="Times New Roman"/>
          <w:w w:val="100"/>
          <w:sz w:val="24"/>
        </w:rPr>
        <w:t xml:space="preserve">an </w:t>
      </w:r>
      <w:r>
        <w:rPr>
          <w:rFonts w:ascii="Times New Roman" w:hAnsi="Times New Roman" w:cs="Times New Roman"/>
          <w:w w:val="100"/>
          <w:sz w:val="24"/>
        </w:rPr>
        <w:t>understanding</w:t>
      </w:r>
      <w:r w:rsidR="00705D93">
        <w:rPr>
          <w:rFonts w:ascii="Times New Roman" w:hAnsi="Times New Roman" w:cs="Times New Roman"/>
          <w:w w:val="100"/>
          <w:sz w:val="24"/>
        </w:rPr>
        <w:t xml:space="preserve"> of</w:t>
      </w:r>
      <w:r w:rsidR="00EE50F8" w:rsidRPr="00955B2C">
        <w:rPr>
          <w:rFonts w:ascii="Times New Roman" w:hAnsi="Times New Roman" w:cs="Times New Roman"/>
          <w:w w:val="100"/>
          <w:sz w:val="24"/>
        </w:rPr>
        <w:t xml:space="preserve"> the movement of air and water vapor through buildings </w:t>
      </w:r>
      <w:r>
        <w:rPr>
          <w:rFonts w:ascii="Times New Roman" w:hAnsi="Times New Roman" w:cs="Times New Roman"/>
          <w:w w:val="100"/>
          <w:sz w:val="24"/>
        </w:rPr>
        <w:t xml:space="preserve">has always been necessary and is needed to avoid moisture problems and serious issues that may arise when construction is done without this knowledge. The varied products </w:t>
      </w:r>
      <w:r w:rsidR="00EF1BB7">
        <w:rPr>
          <w:rFonts w:ascii="Times New Roman" w:hAnsi="Times New Roman" w:cs="Times New Roman"/>
          <w:w w:val="100"/>
          <w:sz w:val="24"/>
        </w:rPr>
        <w:t xml:space="preserve">and installation methods used today </w:t>
      </w:r>
      <w:r>
        <w:rPr>
          <w:rFonts w:ascii="Times New Roman" w:hAnsi="Times New Roman" w:cs="Times New Roman"/>
          <w:w w:val="100"/>
          <w:sz w:val="24"/>
        </w:rPr>
        <w:t xml:space="preserve">for insulation and sealing require a </w:t>
      </w:r>
      <w:r w:rsidR="00705D93">
        <w:rPr>
          <w:rFonts w:ascii="Times New Roman" w:hAnsi="Times New Roman" w:cs="Times New Roman"/>
          <w:w w:val="100"/>
          <w:sz w:val="24"/>
        </w:rPr>
        <w:t>very</w:t>
      </w:r>
      <w:r>
        <w:rPr>
          <w:rFonts w:ascii="Times New Roman" w:hAnsi="Times New Roman" w:cs="Times New Roman"/>
          <w:w w:val="100"/>
          <w:sz w:val="24"/>
        </w:rPr>
        <w:t xml:space="preserve"> extensive knowledge base.   </w:t>
      </w:r>
    </w:p>
    <w:p w:rsidR="00EE50F8" w:rsidRDefault="00EF1BB7" w:rsidP="009B20F0">
      <w:pPr>
        <w:pStyle w:val="BodyTextIndent"/>
        <w:widowControl/>
        <w:numPr>
          <w:ilvl w:val="0"/>
          <w:numId w:val="35"/>
        </w:numPr>
      </w:pPr>
      <w:r>
        <w:t>E</w:t>
      </w:r>
      <w:r w:rsidR="00EE50F8">
        <w:t xml:space="preserve">nergy codes play an important role in the design and cost of multifamily buildings. The </w:t>
      </w:r>
      <w:r w:rsidR="00EE50F8" w:rsidRPr="00B71641">
        <w:rPr>
          <w:i/>
          <w:iCs/>
        </w:rPr>
        <w:t xml:space="preserve">International Energy Conservation Code </w:t>
      </w:r>
      <w:r w:rsidR="00EE50F8">
        <w:t xml:space="preserve">(IECC) is the most widely adopted of these codes, and is published by the International Code Council. The IECC focuses on the construction of the building envelope, building insulation, efficiencies in mechanical systems and efficiencies in power systems. The code is broken into Residential </w:t>
      </w:r>
      <w:r w:rsidR="000637D1">
        <w:t>and Commercial chapters, and</w:t>
      </w:r>
      <w:r w:rsidR="00EE50F8">
        <w:t xml:space="preserve"> builders must focus on both. Multi-unit buildings of three stories or less (commonly called low-rise) follow the residential provisions, while multi-unit buildings of four stories or more fall into the commercial chapter. It also separates the country into climate zones, which provide differing requirements for building components based on geographic area. The requirements listed in the IECC are intended to provide minimum design and construction standards. State and local jurisdictions can adopt the code in whole, in part, with amendments or adopt provisions that exceed the code minimums. New IECC editions are typically adopted several years after their publication, and each state has its own system for code adoption, implementation, and enforcement. </w:t>
      </w:r>
    </w:p>
    <w:p w:rsidR="00EF1BB7" w:rsidRDefault="00EE50F8" w:rsidP="00D75258">
      <w:pPr>
        <w:numPr>
          <w:ilvl w:val="0"/>
          <w:numId w:val="15"/>
        </w:numPr>
      </w:pPr>
      <w:r>
        <w:t xml:space="preserve">For example, the IECC 2012 requires R-49 ceiling and attic insulation compared to R-38 for the IECC 2009 for buildings up to three stories in height. For residential building over 3 stories in height the IECC 2009 </w:t>
      </w:r>
      <w:r w:rsidR="00EF1BB7">
        <w:t xml:space="preserve"> (Table 502.2(1) </w:t>
      </w:r>
      <w:r>
        <w:t>requires</w:t>
      </w:r>
      <w:r w:rsidR="00EF1BB7">
        <w:t>:</w:t>
      </w:r>
    </w:p>
    <w:p w:rsidR="00EF1BB7" w:rsidRDefault="00EE50F8" w:rsidP="00EF1BB7">
      <w:pPr>
        <w:numPr>
          <w:ilvl w:val="1"/>
          <w:numId w:val="15"/>
        </w:numPr>
      </w:pPr>
      <w:r>
        <w:t xml:space="preserve">R-13 </w:t>
      </w:r>
      <w:r w:rsidR="00C403FD">
        <w:t xml:space="preserve">in the stud cavity and R-3.8 </w:t>
      </w:r>
      <w:proofErr w:type="spellStart"/>
      <w:r w:rsidR="00C403FD">
        <w:t>ci</w:t>
      </w:r>
      <w:proofErr w:type="spellEnd"/>
      <w:r w:rsidR="00C403FD">
        <w:t>*</w:t>
      </w:r>
      <w:r w:rsidR="007E0C30">
        <w:t xml:space="preserve"> </w:t>
      </w:r>
      <w:r w:rsidR="003A5CF9">
        <w:t>wall insulation (increased from R-13)</w:t>
      </w:r>
      <w:r w:rsidR="00EF1BB7">
        <w:t>,</w:t>
      </w:r>
    </w:p>
    <w:p w:rsidR="005D22ED" w:rsidRDefault="00EF1BB7" w:rsidP="00EF1BB7">
      <w:pPr>
        <w:numPr>
          <w:ilvl w:val="1"/>
          <w:numId w:val="15"/>
        </w:numPr>
      </w:pPr>
      <w:r>
        <w:t xml:space="preserve">R-38 </w:t>
      </w:r>
      <w:r w:rsidR="00EE50F8">
        <w:t xml:space="preserve">ceiling/attic insulation </w:t>
      </w:r>
      <w:r>
        <w:t>(increased from R-30)</w:t>
      </w:r>
      <w:r w:rsidR="005D22ED">
        <w:t>,</w:t>
      </w:r>
    </w:p>
    <w:p w:rsidR="007E0C30" w:rsidRDefault="003A5CF9" w:rsidP="00EF1BB7">
      <w:pPr>
        <w:numPr>
          <w:ilvl w:val="1"/>
          <w:numId w:val="15"/>
        </w:numPr>
      </w:pPr>
      <w:r>
        <w:t>R-7.5</w:t>
      </w:r>
      <w:r w:rsidR="00C403FD">
        <w:t xml:space="preserve"> </w:t>
      </w:r>
      <w:proofErr w:type="spellStart"/>
      <w:r w:rsidR="00C403FD">
        <w:t>ci</w:t>
      </w:r>
      <w:proofErr w:type="spellEnd"/>
      <w:r>
        <w:t xml:space="preserve"> for below grade walls </w:t>
      </w:r>
      <w:r w:rsidR="007E0C30">
        <w:t>(not required in the IECC 2003),</w:t>
      </w:r>
    </w:p>
    <w:p w:rsidR="007E0C30" w:rsidRDefault="00C403FD" w:rsidP="007E0C30">
      <w:pPr>
        <w:ind w:left="1080"/>
      </w:pPr>
      <w:r>
        <w:t xml:space="preserve">      </w:t>
      </w:r>
      <w:proofErr w:type="gramStart"/>
      <w:r w:rsidR="007E0C30">
        <w:t>and</w:t>
      </w:r>
      <w:proofErr w:type="gramEnd"/>
      <w:r w:rsidR="007E0C30">
        <w:t xml:space="preserve"> for the IECC </w:t>
      </w:r>
      <w:r w:rsidR="00EE50F8">
        <w:t>2012</w:t>
      </w:r>
    </w:p>
    <w:p w:rsidR="00C403FD" w:rsidRDefault="007E0C30" w:rsidP="00C403FD">
      <w:pPr>
        <w:ind w:left="1440" w:hanging="360"/>
      </w:pPr>
      <w:proofErr w:type="gramStart"/>
      <w:r>
        <w:t>a</w:t>
      </w:r>
      <w:proofErr w:type="gramEnd"/>
      <w:r>
        <w:t>.</w:t>
      </w:r>
      <w:r w:rsidR="00EE50F8">
        <w:t xml:space="preserve"> </w:t>
      </w:r>
      <w:r w:rsidR="00C403FD">
        <w:t xml:space="preserve">  </w:t>
      </w:r>
      <w:r w:rsidR="00EE50F8">
        <w:t>wall insula</w:t>
      </w:r>
      <w:r w:rsidR="00C403FD">
        <w:t>tion requirements increase</w:t>
      </w:r>
      <w:r w:rsidR="00EE50F8">
        <w:t xml:space="preserve"> to: R-13 cavity and R-7.5</w:t>
      </w:r>
      <w:r w:rsidR="00C403FD">
        <w:t>**</w:t>
      </w:r>
      <w:r w:rsidR="00EE50F8">
        <w:t xml:space="preserve"> </w:t>
      </w:r>
      <w:proofErr w:type="spellStart"/>
      <w:r w:rsidR="00EE50F8">
        <w:t>ci</w:t>
      </w:r>
      <w:proofErr w:type="spellEnd"/>
      <w:r w:rsidR="00EE50F8">
        <w:t xml:space="preserve"> or R-20 cavity and R-3.8 </w:t>
      </w:r>
      <w:proofErr w:type="spellStart"/>
      <w:r w:rsidR="00EE50F8">
        <w:t>ci</w:t>
      </w:r>
      <w:proofErr w:type="spellEnd"/>
      <w:r w:rsidR="00C403FD">
        <w:t>,</w:t>
      </w:r>
      <w:r w:rsidR="00EE50F8">
        <w:t xml:space="preserve"> </w:t>
      </w:r>
      <w:r w:rsidR="00C403FD">
        <w:t>and</w:t>
      </w:r>
    </w:p>
    <w:p w:rsidR="00C403FD" w:rsidRDefault="00C403FD" w:rsidP="00C403FD">
      <w:pPr>
        <w:ind w:left="1440" w:hanging="360"/>
      </w:pPr>
      <w:proofErr w:type="gramStart"/>
      <w:r>
        <w:t>b</w:t>
      </w:r>
      <w:proofErr w:type="gramEnd"/>
      <w:r>
        <w:t>.   the ceiling/attic insulation requirements increase to R-49.</w:t>
      </w:r>
    </w:p>
    <w:p w:rsidR="00EE50F8" w:rsidRPr="00C403FD" w:rsidRDefault="00C403FD" w:rsidP="00C403FD">
      <w:pPr>
        <w:ind w:left="1440" w:hanging="360"/>
        <w:rPr>
          <w:sz w:val="20"/>
        </w:rPr>
      </w:pPr>
      <w:r>
        <w:t xml:space="preserve">     </w:t>
      </w:r>
      <w:r w:rsidRPr="00C403FD">
        <w:rPr>
          <w:sz w:val="20"/>
        </w:rPr>
        <w:t xml:space="preserve">* </w:t>
      </w:r>
      <w:proofErr w:type="gramStart"/>
      <w:r w:rsidRPr="00C403FD">
        <w:rPr>
          <w:sz w:val="20"/>
        </w:rPr>
        <w:t>continuous</w:t>
      </w:r>
      <w:proofErr w:type="gramEnd"/>
      <w:r w:rsidRPr="00C403FD">
        <w:rPr>
          <w:sz w:val="20"/>
        </w:rPr>
        <w:t xml:space="preserve"> insulation   **</w:t>
      </w:r>
      <w:r w:rsidR="00EE50F8" w:rsidRPr="00C403FD">
        <w:rPr>
          <w:sz w:val="20"/>
        </w:rPr>
        <w:t xml:space="preserve"> R-7.5 continuous insulation is typically 1 ½ inch thick and may cause builders to </w:t>
      </w:r>
      <w:r w:rsidRPr="00C403FD">
        <w:rPr>
          <w:sz w:val="20"/>
        </w:rPr>
        <w:t>modify</w:t>
      </w:r>
      <w:r w:rsidR="00EE50F8" w:rsidRPr="00C403FD">
        <w:rPr>
          <w:sz w:val="20"/>
        </w:rPr>
        <w:t xml:space="preserve"> door and window systems</w:t>
      </w:r>
      <w:r w:rsidRPr="00C403FD">
        <w:rPr>
          <w:sz w:val="20"/>
        </w:rPr>
        <w:t xml:space="preserve"> and </w:t>
      </w:r>
      <w:r w:rsidR="006C5F24">
        <w:rPr>
          <w:sz w:val="20"/>
        </w:rPr>
        <w:t>the finish trim</w:t>
      </w:r>
      <w:r w:rsidRPr="00C403FD">
        <w:rPr>
          <w:sz w:val="20"/>
        </w:rPr>
        <w:t>.</w:t>
      </w:r>
      <w:r w:rsidR="00EE50F8" w:rsidRPr="00C403FD">
        <w:rPr>
          <w:sz w:val="20"/>
        </w:rPr>
        <w:t xml:space="preserve"> </w:t>
      </w:r>
    </w:p>
    <w:p w:rsidR="00EE50F8" w:rsidRDefault="0020215D" w:rsidP="0020215D">
      <w:pPr>
        <w:pStyle w:val="BodyTextIndent"/>
        <w:widowControl/>
        <w:numPr>
          <w:ilvl w:val="0"/>
          <w:numId w:val="15"/>
        </w:numPr>
      </w:pPr>
      <w:r>
        <w:t xml:space="preserve">The ‘Base’ energy code is effective in about 2/3 of the municipalities across the state and the ‘Stretch’ energy code is effective </w:t>
      </w:r>
      <w:r w:rsidR="007D67C2">
        <w:t>(</w:t>
      </w:r>
      <w:r>
        <w:t>by local option</w:t>
      </w:r>
      <w:r w:rsidR="007D67C2">
        <w:t>)</w:t>
      </w:r>
      <w:r>
        <w:t xml:space="preserve"> in the remaining 1/3. </w:t>
      </w:r>
      <w:r w:rsidR="007D67C2">
        <w:t>Feedback includes a</w:t>
      </w:r>
      <w:r w:rsidR="00EE50F8">
        <w:t xml:space="preserve"> letter dated March 11, 2014, titled ‘</w:t>
      </w:r>
      <w:r w:rsidR="00EE50F8" w:rsidRPr="0020215D">
        <w:rPr>
          <w:i/>
          <w:iCs/>
        </w:rPr>
        <w:t>Real Estate Industry Opposition to the Stretch Energy Code</w:t>
      </w:r>
      <w:r w:rsidR="00EE50F8">
        <w:t xml:space="preserve">’ to Mark Sylvia, Commissioner of the MA Department of </w:t>
      </w:r>
      <w:r w:rsidR="00EE50F8" w:rsidRPr="00123AA3">
        <w:t xml:space="preserve">Energy Resources and </w:t>
      </w:r>
      <w:proofErr w:type="spellStart"/>
      <w:r w:rsidR="00EE50F8" w:rsidRPr="00123AA3">
        <w:t>cc’d</w:t>
      </w:r>
      <w:proofErr w:type="spellEnd"/>
      <w:r w:rsidR="00EE50F8" w:rsidRPr="00123AA3">
        <w:t xml:space="preserve"> to </w:t>
      </w:r>
      <w:r w:rsidR="00EE50F8">
        <w:t>the BBRS Chair</w:t>
      </w:r>
      <w:r w:rsidR="00EE50F8" w:rsidRPr="00123AA3">
        <w:t xml:space="preserve"> from NAIOP,  Greater Boston Real Estate Board, MA Association of Realtors, and the MA Home Builders Association and discussed at </w:t>
      </w:r>
      <w:r w:rsidR="00EE50F8" w:rsidRPr="00123AA3">
        <w:lastRenderedPageBreak/>
        <w:t>the April 8 BBRS meeting, and</w:t>
      </w:r>
      <w:r w:rsidR="000637D1">
        <w:t xml:space="preserve"> </w:t>
      </w:r>
      <w:r w:rsidR="007D67C2">
        <w:t xml:space="preserve">a small sample </w:t>
      </w:r>
      <w:r w:rsidR="000637D1">
        <w:t xml:space="preserve">of emails sent to DPS </w:t>
      </w:r>
      <w:r w:rsidR="007D67C2">
        <w:t>in March/April 2014</w:t>
      </w:r>
      <w:r w:rsidR="00EE50F8">
        <w:t>:</w:t>
      </w:r>
    </w:p>
    <w:p w:rsidR="007D67C2" w:rsidRDefault="007D67C2" w:rsidP="007D67C2">
      <w:pPr>
        <w:pStyle w:val="BodyTextIndent"/>
        <w:widowControl/>
        <w:ind w:left="720"/>
      </w:pPr>
    </w:p>
    <w:p w:rsidR="00EE50F8" w:rsidRPr="003B16EF" w:rsidRDefault="00EE50F8" w:rsidP="003B16EF">
      <w:pPr>
        <w:pStyle w:val="BodyTextIndent"/>
        <w:ind w:left="1080"/>
        <w:rPr>
          <w:sz w:val="20"/>
          <w:szCs w:val="20"/>
        </w:rPr>
      </w:pPr>
      <w:r w:rsidRPr="003B16EF">
        <w:rPr>
          <w:sz w:val="20"/>
          <w:szCs w:val="20"/>
        </w:rPr>
        <w:t>I have been following the BBRS website, including the link below.  I see the 12/6/2013 Change that has IECC 2012, with amendments</w:t>
      </w:r>
      <w:r>
        <w:rPr>
          <w:sz w:val="20"/>
          <w:szCs w:val="20"/>
        </w:rPr>
        <w:t xml:space="preserve"> </w:t>
      </w:r>
      <w:r w:rsidRPr="003B16EF">
        <w:rPr>
          <w:sz w:val="20"/>
          <w:szCs w:val="20"/>
        </w:rPr>
        <w:t>(all of which appear to apply to the Commercial buildings secti</w:t>
      </w:r>
      <w:r>
        <w:rPr>
          <w:sz w:val="20"/>
          <w:szCs w:val="20"/>
        </w:rPr>
        <w:t>on) going into effect 7/1/2014.</w:t>
      </w:r>
    </w:p>
    <w:p w:rsidR="00EE50F8" w:rsidRPr="003B16EF" w:rsidRDefault="00EE50F8" w:rsidP="003B16EF">
      <w:pPr>
        <w:pStyle w:val="BodyTextIndent"/>
        <w:ind w:left="1080"/>
        <w:rPr>
          <w:sz w:val="20"/>
          <w:szCs w:val="20"/>
        </w:rPr>
      </w:pPr>
      <w:r w:rsidRPr="003B16EF">
        <w:rPr>
          <w:sz w:val="20"/>
          <w:szCs w:val="20"/>
        </w:rPr>
        <w:t xml:space="preserve">However, I still see no changes to the Stretch Energy Code, Appendix </w:t>
      </w:r>
      <w:proofErr w:type="gramStart"/>
      <w:r w:rsidRPr="003B16EF">
        <w:rPr>
          <w:sz w:val="20"/>
          <w:szCs w:val="20"/>
        </w:rPr>
        <w:t>AA(</w:t>
      </w:r>
      <w:proofErr w:type="gramEnd"/>
      <w:r w:rsidRPr="003B16EF">
        <w:rPr>
          <w:sz w:val="20"/>
          <w:szCs w:val="20"/>
        </w:rPr>
        <w:t xml:space="preserve">780 CMR 115.AA), and no mention of discussion of such changes in any of the recent BBRS minutes or agendas.  Will there be a revised Stretch Energy Code going into effect 7/1/2014, or has there been a decision made, conscious or otherwise, to put off the implementation of a new Stretch Energy Code to a later date? </w:t>
      </w:r>
    </w:p>
    <w:p w:rsidR="00EE50F8" w:rsidRPr="003B16EF" w:rsidRDefault="00EE50F8" w:rsidP="003B16EF">
      <w:pPr>
        <w:pStyle w:val="BodyTextIndent"/>
        <w:ind w:left="1080"/>
        <w:rPr>
          <w:sz w:val="20"/>
          <w:szCs w:val="20"/>
        </w:rPr>
      </w:pPr>
      <w:r w:rsidRPr="003B16EF">
        <w:rPr>
          <w:sz w:val="20"/>
          <w:szCs w:val="20"/>
        </w:rPr>
        <w:t>We are down to just over 3 months to 7/1/2014 and I want to let the builders that I work with know how to plan their projects for the rest of 2014.</w:t>
      </w:r>
    </w:p>
    <w:p w:rsidR="00EE50F8" w:rsidRPr="003B16EF" w:rsidRDefault="00EE50F8" w:rsidP="003B16EF">
      <w:pPr>
        <w:pStyle w:val="BodyTextIndent"/>
        <w:ind w:left="1080"/>
        <w:rPr>
          <w:sz w:val="20"/>
          <w:szCs w:val="20"/>
        </w:rPr>
      </w:pPr>
      <w:r w:rsidRPr="003B16EF">
        <w:rPr>
          <w:sz w:val="20"/>
          <w:szCs w:val="20"/>
        </w:rPr>
        <w:t>Thanks,</w:t>
      </w:r>
    </w:p>
    <w:p w:rsidR="00EE50F8" w:rsidRPr="003B16EF" w:rsidRDefault="00EE50F8" w:rsidP="003B16EF">
      <w:pPr>
        <w:pStyle w:val="BodyTextIndent"/>
        <w:ind w:left="1080"/>
        <w:rPr>
          <w:sz w:val="20"/>
          <w:szCs w:val="20"/>
        </w:rPr>
      </w:pPr>
      <w:r>
        <w:rPr>
          <w:sz w:val="20"/>
          <w:szCs w:val="20"/>
        </w:rPr>
        <w:t>Name withheld</w:t>
      </w:r>
    </w:p>
    <w:p w:rsidR="000637D1" w:rsidRDefault="000637D1" w:rsidP="003B16EF">
      <w:pPr>
        <w:pStyle w:val="BodyTextIndent"/>
        <w:ind w:left="1080"/>
        <w:rPr>
          <w:sz w:val="20"/>
          <w:szCs w:val="20"/>
        </w:rPr>
      </w:pPr>
    </w:p>
    <w:p w:rsidR="00EE50F8" w:rsidRPr="003B16EF" w:rsidRDefault="00EE50F8" w:rsidP="003B16EF">
      <w:pPr>
        <w:pStyle w:val="BodyTextIndent"/>
        <w:ind w:left="1080"/>
        <w:rPr>
          <w:sz w:val="20"/>
          <w:szCs w:val="20"/>
        </w:rPr>
      </w:pPr>
      <w:r w:rsidRPr="003B16EF">
        <w:rPr>
          <w:sz w:val="20"/>
          <w:szCs w:val="20"/>
        </w:rPr>
        <w:t>I am aware of the current concurrency period for the IECC 2009 and IECC 2012 which in effect until July of this year.</w:t>
      </w:r>
    </w:p>
    <w:p w:rsidR="00EE50F8" w:rsidRPr="003B16EF" w:rsidRDefault="00EE50F8" w:rsidP="003B16EF">
      <w:pPr>
        <w:pStyle w:val="BodyTextIndent"/>
        <w:ind w:left="1080"/>
        <w:rPr>
          <w:sz w:val="20"/>
          <w:szCs w:val="20"/>
        </w:rPr>
      </w:pPr>
      <w:r w:rsidRPr="003B16EF">
        <w:rPr>
          <w:sz w:val="20"/>
          <w:szCs w:val="20"/>
        </w:rPr>
        <w:t>My question is regarding projects that are new commercial additions or new buildings which are in the late design stage and lik</w:t>
      </w:r>
      <w:r>
        <w:rPr>
          <w:sz w:val="20"/>
          <w:szCs w:val="20"/>
        </w:rPr>
        <w:t>ely to bid out between now and J</w:t>
      </w:r>
      <w:r w:rsidRPr="003B16EF">
        <w:rPr>
          <w:sz w:val="20"/>
          <w:szCs w:val="20"/>
        </w:rPr>
        <w:t>uly.</w:t>
      </w:r>
    </w:p>
    <w:p w:rsidR="00EE50F8" w:rsidRPr="003B16EF" w:rsidRDefault="00EE50F8" w:rsidP="003B16EF">
      <w:pPr>
        <w:pStyle w:val="BodyTextIndent"/>
        <w:ind w:left="1080"/>
        <w:rPr>
          <w:sz w:val="20"/>
          <w:szCs w:val="20"/>
        </w:rPr>
      </w:pPr>
      <w:r w:rsidRPr="003B16EF">
        <w:rPr>
          <w:sz w:val="20"/>
          <w:szCs w:val="20"/>
        </w:rPr>
        <w:t xml:space="preserve">Does the permit of the project establish if the project can be designed to IECC2009 and if the project’s permit is filed after </w:t>
      </w:r>
      <w:r>
        <w:rPr>
          <w:sz w:val="20"/>
          <w:szCs w:val="20"/>
        </w:rPr>
        <w:t>J</w:t>
      </w:r>
      <w:r w:rsidRPr="003B16EF">
        <w:rPr>
          <w:sz w:val="20"/>
          <w:szCs w:val="20"/>
        </w:rPr>
        <w:t>uly 2014, then the IECC2012 becomes the only code in effect.</w:t>
      </w:r>
    </w:p>
    <w:p w:rsidR="00EE50F8" w:rsidRPr="003B16EF" w:rsidRDefault="00EE50F8" w:rsidP="003B16EF">
      <w:pPr>
        <w:pStyle w:val="BodyTextIndent"/>
        <w:ind w:left="1080"/>
        <w:rPr>
          <w:sz w:val="20"/>
          <w:szCs w:val="20"/>
        </w:rPr>
      </w:pPr>
      <w:r w:rsidRPr="003B16EF">
        <w:rPr>
          <w:sz w:val="20"/>
          <w:szCs w:val="20"/>
        </w:rPr>
        <w:t>Am I correct to assume that when the IECC 2012 is the only code based on permit filing date?</w:t>
      </w:r>
    </w:p>
    <w:p w:rsidR="00EE50F8" w:rsidRPr="003B16EF" w:rsidRDefault="00EE50F8" w:rsidP="003B16EF">
      <w:pPr>
        <w:pStyle w:val="BodyTextIndent"/>
        <w:ind w:left="1080"/>
        <w:rPr>
          <w:sz w:val="20"/>
          <w:szCs w:val="20"/>
        </w:rPr>
      </w:pPr>
      <w:r w:rsidRPr="003B16EF">
        <w:rPr>
          <w:sz w:val="20"/>
          <w:szCs w:val="20"/>
        </w:rPr>
        <w:t>I can’t find anything on the BBRS to define this.</w:t>
      </w:r>
    </w:p>
    <w:p w:rsidR="00EE50F8" w:rsidRDefault="00EE50F8" w:rsidP="00006337">
      <w:pPr>
        <w:pStyle w:val="BodyTextIndent"/>
        <w:ind w:left="1080"/>
        <w:rPr>
          <w:sz w:val="20"/>
          <w:szCs w:val="20"/>
        </w:rPr>
      </w:pPr>
      <w:r w:rsidRPr="003B16EF">
        <w:rPr>
          <w:sz w:val="20"/>
          <w:szCs w:val="20"/>
        </w:rPr>
        <w:t xml:space="preserve">Thx, </w:t>
      </w:r>
    </w:p>
    <w:p w:rsidR="00EE50F8" w:rsidRPr="003B16EF" w:rsidRDefault="00EE50F8" w:rsidP="00006337">
      <w:pPr>
        <w:pStyle w:val="BodyTextIndent"/>
        <w:ind w:left="1080"/>
        <w:rPr>
          <w:sz w:val="20"/>
          <w:szCs w:val="20"/>
        </w:rPr>
      </w:pPr>
      <w:r>
        <w:rPr>
          <w:sz w:val="20"/>
          <w:szCs w:val="20"/>
        </w:rPr>
        <w:t>Name withheld</w:t>
      </w:r>
    </w:p>
    <w:p w:rsidR="00EE50F8" w:rsidRDefault="00EE50F8" w:rsidP="003B16EF">
      <w:pPr>
        <w:pStyle w:val="BodyTextIndent"/>
        <w:ind w:left="1080"/>
        <w:rPr>
          <w:sz w:val="20"/>
          <w:szCs w:val="20"/>
        </w:rPr>
      </w:pPr>
    </w:p>
    <w:p w:rsidR="00EE50F8" w:rsidRPr="003B16EF" w:rsidRDefault="00EE50F8" w:rsidP="003B16EF">
      <w:pPr>
        <w:pStyle w:val="BodyTextIndent"/>
        <w:ind w:left="1080"/>
        <w:rPr>
          <w:sz w:val="20"/>
          <w:szCs w:val="20"/>
        </w:rPr>
      </w:pPr>
      <w:r w:rsidRPr="003B16EF">
        <w:rPr>
          <w:sz w:val="20"/>
          <w:szCs w:val="20"/>
        </w:rPr>
        <w:t>My firm is working on a number of DCAMM state projects that are in the design phase – not yet permitted.  With the switch of the MA Energy Code (780 CMR) to IECC 2012 projects in Massachusetts will now reference ASHRAE 90.1-2010.  It is my understanding that Stretch Code communities will continue to reference IECC 2009 and subsequently 20% more efficient than ASHRAE 90.1-2007 until an agreed upon “stretch” percentage above the new standards can be determined.</w:t>
      </w:r>
    </w:p>
    <w:p w:rsidR="00EE50F8" w:rsidRPr="003B16EF" w:rsidRDefault="00EE50F8" w:rsidP="003B16EF">
      <w:pPr>
        <w:pStyle w:val="BodyTextIndent"/>
        <w:ind w:left="1080"/>
        <w:rPr>
          <w:sz w:val="20"/>
          <w:szCs w:val="20"/>
        </w:rPr>
      </w:pPr>
      <w:r w:rsidRPr="003B16EF">
        <w:rPr>
          <w:sz w:val="20"/>
          <w:szCs w:val="20"/>
        </w:rPr>
        <w:t>But, what about State projects, those governed by Executive Order 484?  These are not projects in jurisdiction complying with Stretch Code.  However the mandate reference 20% more efficient than “current code.”  Should our project team assume we are referencing ASHRAE 90.1-2010?</w:t>
      </w:r>
    </w:p>
    <w:p w:rsidR="00EE50F8" w:rsidRPr="003B16EF" w:rsidRDefault="00EE50F8" w:rsidP="003B16EF">
      <w:pPr>
        <w:pStyle w:val="BodyTextIndent"/>
        <w:ind w:left="1080"/>
        <w:rPr>
          <w:sz w:val="20"/>
          <w:szCs w:val="20"/>
        </w:rPr>
      </w:pPr>
      <w:r w:rsidRPr="003B16EF">
        <w:rPr>
          <w:sz w:val="20"/>
          <w:szCs w:val="20"/>
        </w:rPr>
        <w:t>I tried to review the MGL 143-94, which I believe governs Stretch Code.  But I was unable to determine if this is applicable to DCAMM projects as well.</w:t>
      </w:r>
    </w:p>
    <w:p w:rsidR="00EE50F8" w:rsidRPr="003B16EF" w:rsidRDefault="00EE50F8" w:rsidP="003B16EF">
      <w:pPr>
        <w:pStyle w:val="BodyTextIndent"/>
        <w:ind w:left="1080"/>
        <w:rPr>
          <w:sz w:val="20"/>
          <w:szCs w:val="20"/>
        </w:rPr>
      </w:pPr>
      <w:r w:rsidRPr="003B16EF">
        <w:rPr>
          <w:sz w:val="20"/>
          <w:szCs w:val="20"/>
        </w:rPr>
        <w:t>Can you help me sort this out or provide me with a contact that might be able to provide direction?</w:t>
      </w:r>
    </w:p>
    <w:p w:rsidR="00EE50F8" w:rsidRDefault="00EE50F8" w:rsidP="003B16EF">
      <w:pPr>
        <w:pStyle w:val="BodyTextIndent"/>
        <w:ind w:left="1080"/>
        <w:rPr>
          <w:sz w:val="20"/>
          <w:szCs w:val="20"/>
        </w:rPr>
      </w:pPr>
      <w:r w:rsidRPr="003B16EF">
        <w:rPr>
          <w:sz w:val="20"/>
          <w:szCs w:val="20"/>
        </w:rPr>
        <w:t xml:space="preserve">There is such thing. </w:t>
      </w:r>
    </w:p>
    <w:p w:rsidR="00EE50F8" w:rsidRPr="003B16EF" w:rsidRDefault="00EE50F8" w:rsidP="00006337">
      <w:pPr>
        <w:pStyle w:val="BodyTextIndent"/>
        <w:ind w:left="1080"/>
        <w:rPr>
          <w:sz w:val="20"/>
          <w:szCs w:val="20"/>
        </w:rPr>
      </w:pPr>
      <w:r>
        <w:rPr>
          <w:sz w:val="20"/>
          <w:szCs w:val="20"/>
        </w:rPr>
        <w:t>Name withheld</w:t>
      </w:r>
    </w:p>
    <w:p w:rsidR="00EE50F8" w:rsidRDefault="00EE50F8" w:rsidP="003B16EF">
      <w:pPr>
        <w:pStyle w:val="BodyTextIndent"/>
        <w:ind w:left="1080"/>
        <w:rPr>
          <w:sz w:val="20"/>
          <w:szCs w:val="20"/>
        </w:rPr>
      </w:pPr>
    </w:p>
    <w:p w:rsidR="00EE50F8" w:rsidRPr="003B16EF" w:rsidRDefault="00EE50F8" w:rsidP="003B16EF">
      <w:pPr>
        <w:pStyle w:val="BodyTextIndent"/>
        <w:ind w:left="1080"/>
        <w:rPr>
          <w:sz w:val="20"/>
          <w:szCs w:val="20"/>
        </w:rPr>
      </w:pPr>
      <w:r>
        <w:rPr>
          <w:sz w:val="20"/>
          <w:szCs w:val="20"/>
        </w:rPr>
        <w:t>T</w:t>
      </w:r>
      <w:r w:rsidRPr="003B16EF">
        <w:rPr>
          <w:sz w:val="20"/>
          <w:szCs w:val="20"/>
        </w:rPr>
        <w:t>he Stretch Code referred</w:t>
      </w:r>
      <w:r>
        <w:rPr>
          <w:sz w:val="20"/>
          <w:szCs w:val="20"/>
        </w:rPr>
        <w:t xml:space="preserve"> </w:t>
      </w:r>
      <w:r w:rsidRPr="003B16EF">
        <w:rPr>
          <w:sz w:val="20"/>
          <w:szCs w:val="20"/>
        </w:rPr>
        <w:t xml:space="preserve">to the bypass v enclosure </w:t>
      </w:r>
      <w:r>
        <w:rPr>
          <w:sz w:val="20"/>
          <w:szCs w:val="20"/>
        </w:rPr>
        <w:t>checklist. Which is the one to use</w:t>
      </w:r>
      <w:proofErr w:type="gramStart"/>
      <w:r>
        <w:rPr>
          <w:sz w:val="20"/>
          <w:szCs w:val="20"/>
        </w:rPr>
        <w:t>?...</w:t>
      </w:r>
      <w:proofErr w:type="gramEnd"/>
      <w:r w:rsidRPr="003B16EF">
        <w:rPr>
          <w:sz w:val="20"/>
          <w:szCs w:val="20"/>
        </w:rPr>
        <w:t xml:space="preserve">There are very big differences in the two check lists from what my HERS rater tells me so I was just making sure. </w:t>
      </w:r>
    </w:p>
    <w:p w:rsidR="00EE50F8" w:rsidRPr="003B16EF" w:rsidRDefault="00EE50F8" w:rsidP="003B16EF">
      <w:pPr>
        <w:pStyle w:val="BodyTextIndent"/>
        <w:ind w:left="1080"/>
        <w:rPr>
          <w:sz w:val="20"/>
          <w:szCs w:val="20"/>
        </w:rPr>
      </w:pPr>
      <w:r w:rsidRPr="003B16EF">
        <w:rPr>
          <w:sz w:val="20"/>
          <w:szCs w:val="20"/>
        </w:rPr>
        <w:t>Thanks.</w:t>
      </w:r>
    </w:p>
    <w:p w:rsidR="00EE50F8" w:rsidRPr="003B16EF" w:rsidRDefault="00EE50F8" w:rsidP="00006337">
      <w:pPr>
        <w:pStyle w:val="BodyTextIndent"/>
        <w:ind w:left="1080"/>
        <w:rPr>
          <w:sz w:val="20"/>
          <w:szCs w:val="20"/>
        </w:rPr>
      </w:pPr>
      <w:r>
        <w:rPr>
          <w:sz w:val="20"/>
          <w:szCs w:val="20"/>
        </w:rPr>
        <w:t>Name withheld</w:t>
      </w:r>
    </w:p>
    <w:p w:rsidR="00EE50F8" w:rsidRPr="003B16EF" w:rsidRDefault="00EE50F8" w:rsidP="003B16EF">
      <w:pPr>
        <w:pStyle w:val="BodyTextIndent"/>
        <w:ind w:left="1080"/>
        <w:rPr>
          <w:sz w:val="20"/>
          <w:szCs w:val="20"/>
        </w:rPr>
      </w:pPr>
    </w:p>
    <w:p w:rsidR="00EE50F8" w:rsidRPr="003B16EF" w:rsidRDefault="00EE50F8" w:rsidP="003B16EF">
      <w:pPr>
        <w:pStyle w:val="BodyTextIndent"/>
        <w:ind w:left="1080"/>
        <w:rPr>
          <w:sz w:val="20"/>
          <w:szCs w:val="20"/>
        </w:rPr>
      </w:pPr>
      <w:r w:rsidRPr="003B16EF">
        <w:rPr>
          <w:sz w:val="20"/>
          <w:szCs w:val="20"/>
        </w:rPr>
        <w:t>Trying to nail down a definitive answer in regards to whether the current 2009 IECC / ASHRAE 90.1-2007 based Stretch Energy Code will still be applicable in stretch communities on and after July 1 this year.</w:t>
      </w:r>
    </w:p>
    <w:p w:rsidR="00EE50F8" w:rsidRPr="003B16EF" w:rsidRDefault="00EE50F8" w:rsidP="003B16EF">
      <w:pPr>
        <w:pStyle w:val="BodyTextIndent"/>
        <w:ind w:left="1080"/>
        <w:rPr>
          <w:sz w:val="20"/>
          <w:szCs w:val="20"/>
        </w:rPr>
      </w:pPr>
      <w:r w:rsidRPr="003B16EF">
        <w:rPr>
          <w:sz w:val="20"/>
          <w:szCs w:val="20"/>
        </w:rPr>
        <w:t xml:space="preserve">Or if the current Stretch Code </w:t>
      </w:r>
      <w:proofErr w:type="gramStart"/>
      <w:r w:rsidRPr="003B16EF">
        <w:rPr>
          <w:sz w:val="20"/>
          <w:szCs w:val="20"/>
        </w:rPr>
        <w:t>will</w:t>
      </w:r>
      <w:proofErr w:type="gramEnd"/>
      <w:r w:rsidRPr="003B16EF">
        <w:rPr>
          <w:sz w:val="20"/>
          <w:szCs w:val="20"/>
        </w:rPr>
        <w:t xml:space="preserve"> sunset and everyone will be required to use the new 2012 IECC until a new Stretch Energy Code is promulgated.</w:t>
      </w:r>
    </w:p>
    <w:p w:rsidR="00EE50F8" w:rsidRPr="003B16EF" w:rsidRDefault="00EE50F8" w:rsidP="003B16EF">
      <w:pPr>
        <w:pStyle w:val="BodyTextIndent"/>
        <w:ind w:left="1080"/>
        <w:rPr>
          <w:sz w:val="20"/>
          <w:szCs w:val="20"/>
        </w:rPr>
      </w:pPr>
      <w:r w:rsidRPr="003B16EF">
        <w:rPr>
          <w:sz w:val="20"/>
          <w:szCs w:val="20"/>
        </w:rPr>
        <w:t>Thanks in advance for your assistance.</w:t>
      </w:r>
    </w:p>
    <w:p w:rsidR="00EE50F8" w:rsidRDefault="00EE50F8" w:rsidP="003B16EF">
      <w:pPr>
        <w:pStyle w:val="BodyTextIndent"/>
        <w:ind w:left="1080"/>
        <w:rPr>
          <w:sz w:val="20"/>
          <w:szCs w:val="20"/>
        </w:rPr>
      </w:pPr>
      <w:r w:rsidRPr="003B16EF">
        <w:rPr>
          <w:sz w:val="20"/>
          <w:szCs w:val="20"/>
        </w:rPr>
        <w:t>I hope that this email finds you well.</w:t>
      </w:r>
    </w:p>
    <w:p w:rsidR="00EE50F8" w:rsidRPr="003B16EF" w:rsidRDefault="00EE50F8" w:rsidP="00006337">
      <w:pPr>
        <w:pStyle w:val="BodyTextIndent"/>
        <w:ind w:left="1080"/>
        <w:rPr>
          <w:sz w:val="20"/>
          <w:szCs w:val="20"/>
        </w:rPr>
      </w:pPr>
      <w:r>
        <w:rPr>
          <w:sz w:val="20"/>
          <w:szCs w:val="20"/>
        </w:rPr>
        <w:t>Name withheld</w:t>
      </w:r>
    </w:p>
    <w:p w:rsidR="00EE50F8" w:rsidRPr="003B16EF" w:rsidRDefault="00EE50F8" w:rsidP="000637D1">
      <w:pPr>
        <w:pStyle w:val="BodyTextIndent"/>
        <w:ind w:left="0"/>
        <w:rPr>
          <w:sz w:val="20"/>
          <w:szCs w:val="20"/>
        </w:rPr>
      </w:pPr>
    </w:p>
    <w:p w:rsidR="00EE50F8" w:rsidRPr="003B16EF" w:rsidRDefault="00EE50F8" w:rsidP="003B16EF">
      <w:pPr>
        <w:pStyle w:val="BodyTextIndent"/>
        <w:ind w:left="1080"/>
        <w:rPr>
          <w:sz w:val="20"/>
          <w:szCs w:val="20"/>
        </w:rPr>
      </w:pPr>
      <w:r w:rsidRPr="003B16EF">
        <w:rPr>
          <w:sz w:val="20"/>
          <w:szCs w:val="20"/>
        </w:rPr>
        <w:t>Beginning in July, the 2012 IECC as adopted and amended by Massachusetts will be in force in non-stretch code communities.  When the 2012 IECC makes reference to another code such as International Mechanical Code we want to confirm that the reference is to the Mechanical Code adopted by the State of Massachusetts (2009 IMC).  Here is a specific example:</w:t>
      </w:r>
    </w:p>
    <w:p w:rsidR="00EE50F8" w:rsidRPr="003B16EF" w:rsidRDefault="00EE50F8" w:rsidP="003B16EF">
      <w:pPr>
        <w:pStyle w:val="BodyTextIndent"/>
        <w:ind w:left="1080"/>
        <w:rPr>
          <w:sz w:val="20"/>
          <w:szCs w:val="20"/>
        </w:rPr>
      </w:pPr>
      <w:r w:rsidRPr="003B16EF">
        <w:rPr>
          <w:sz w:val="20"/>
          <w:szCs w:val="20"/>
        </w:rPr>
        <w:t>Section C403.2.5 of the IECC states:</w:t>
      </w:r>
      <w:r>
        <w:rPr>
          <w:sz w:val="20"/>
          <w:szCs w:val="20"/>
        </w:rPr>
        <w:t xml:space="preserve">  </w:t>
      </w:r>
      <w:r w:rsidRPr="003B16EF">
        <w:rPr>
          <w:sz w:val="20"/>
          <w:szCs w:val="20"/>
        </w:rPr>
        <w:t>“Ventilation, either natural or mechanical shall be provided in accordance of Chapter 4 of the International Mechanical Code.  Where mechanic ventilation is provided the system shall provide the capability to reduce the outdoor air supply to the minimum required by Chapter 4 of the International Mechanical Code.”</w:t>
      </w:r>
    </w:p>
    <w:p w:rsidR="00EE50F8" w:rsidRPr="00E74F8B" w:rsidRDefault="00EE50F8" w:rsidP="003B16EF">
      <w:pPr>
        <w:pStyle w:val="BodyTextIndent"/>
        <w:ind w:left="1080"/>
        <w:rPr>
          <w:sz w:val="20"/>
          <w:szCs w:val="20"/>
        </w:rPr>
      </w:pPr>
      <w:r w:rsidRPr="003B16EF">
        <w:rPr>
          <w:sz w:val="20"/>
          <w:szCs w:val="20"/>
        </w:rPr>
        <w:t xml:space="preserve">We want to confirm that the reference to the mechanical code means the 2009 Edition of the IMC as </w:t>
      </w:r>
      <w:r w:rsidRPr="00E74F8B">
        <w:rPr>
          <w:sz w:val="20"/>
          <w:szCs w:val="20"/>
        </w:rPr>
        <w:t>currently adopted by the State and not the 2012 Edition of the IMC, which is referenced by the 2012 IECC.</w:t>
      </w:r>
    </w:p>
    <w:p w:rsidR="00EE50F8" w:rsidRDefault="00EE50F8" w:rsidP="00BF51E2">
      <w:pPr>
        <w:pStyle w:val="BodyTextIndent"/>
        <w:ind w:left="1080"/>
        <w:rPr>
          <w:sz w:val="20"/>
          <w:szCs w:val="20"/>
        </w:rPr>
      </w:pPr>
      <w:r w:rsidRPr="00E74F8B">
        <w:rPr>
          <w:sz w:val="20"/>
          <w:szCs w:val="20"/>
        </w:rPr>
        <w:t>Name withhe</w:t>
      </w:r>
      <w:r>
        <w:rPr>
          <w:sz w:val="20"/>
          <w:szCs w:val="20"/>
        </w:rPr>
        <w:t>ld</w:t>
      </w:r>
    </w:p>
    <w:p w:rsidR="00EE50F8" w:rsidRDefault="00EE50F8" w:rsidP="00BF51E2">
      <w:pPr>
        <w:pStyle w:val="BodyTextIndent"/>
        <w:ind w:left="1080"/>
        <w:rPr>
          <w:sz w:val="20"/>
          <w:szCs w:val="20"/>
        </w:rPr>
      </w:pPr>
    </w:p>
    <w:p w:rsidR="00EE50F8" w:rsidRPr="00BF51E2" w:rsidRDefault="00EE50F8" w:rsidP="00BF51E2">
      <w:pPr>
        <w:pStyle w:val="BodyTextIndent"/>
        <w:ind w:left="1080"/>
        <w:rPr>
          <w:sz w:val="20"/>
          <w:szCs w:val="20"/>
        </w:rPr>
      </w:pPr>
      <w:r w:rsidRPr="00BF51E2">
        <w:rPr>
          <w:sz w:val="20"/>
          <w:szCs w:val="20"/>
        </w:rPr>
        <w:t>Can you please advise whether or not a newly constructed skating rink (not heated or cooled, but dehumidified) qualifies for exemption from the stretch energy code, or whether a code variance would be required to exempt such a building?</w:t>
      </w:r>
    </w:p>
    <w:p w:rsidR="00EE50F8" w:rsidRPr="00BF51E2" w:rsidRDefault="00EE50F8" w:rsidP="00BF51E2">
      <w:pPr>
        <w:pStyle w:val="BodyTextIndent"/>
        <w:ind w:left="1080"/>
        <w:rPr>
          <w:sz w:val="20"/>
          <w:szCs w:val="20"/>
        </w:rPr>
      </w:pPr>
      <w:r w:rsidRPr="00BF51E2">
        <w:rPr>
          <w:sz w:val="20"/>
          <w:szCs w:val="20"/>
        </w:rPr>
        <w:t xml:space="preserve"> Best regards,</w:t>
      </w:r>
    </w:p>
    <w:p w:rsidR="00EE50F8" w:rsidRPr="00E74F8B" w:rsidRDefault="00EE50F8" w:rsidP="003B16EF">
      <w:pPr>
        <w:pStyle w:val="BodyTextIndent"/>
        <w:ind w:left="1080"/>
        <w:rPr>
          <w:sz w:val="20"/>
          <w:szCs w:val="20"/>
        </w:rPr>
      </w:pPr>
      <w:r w:rsidRPr="00BF51E2">
        <w:rPr>
          <w:sz w:val="20"/>
          <w:szCs w:val="20"/>
        </w:rPr>
        <w:t xml:space="preserve"> </w:t>
      </w:r>
      <w:r w:rsidRPr="00E74F8B">
        <w:rPr>
          <w:sz w:val="20"/>
          <w:szCs w:val="20"/>
        </w:rPr>
        <w:t>Name withhe</w:t>
      </w:r>
      <w:r>
        <w:rPr>
          <w:sz w:val="20"/>
          <w:szCs w:val="20"/>
        </w:rPr>
        <w:t>l</w:t>
      </w:r>
      <w:r w:rsidRPr="00E74F8B">
        <w:rPr>
          <w:sz w:val="20"/>
          <w:szCs w:val="20"/>
        </w:rPr>
        <w:t>d</w:t>
      </w:r>
    </w:p>
    <w:p w:rsidR="00EE50F8" w:rsidRPr="00E74F8B" w:rsidRDefault="00EE50F8" w:rsidP="0072178C">
      <w:pPr>
        <w:pStyle w:val="BodyTextIndent"/>
        <w:widowControl/>
        <w:numPr>
          <w:ilvl w:val="0"/>
          <w:numId w:val="15"/>
        </w:numPr>
      </w:pPr>
      <w:r w:rsidRPr="00E74F8B">
        <w:t xml:space="preserve">To get a general idea of what a blower door test entails there are numerous videos including this </w:t>
      </w:r>
      <w:hyperlink r:id="rId46" w:history="1">
        <w:r w:rsidRPr="00E74F8B">
          <w:rPr>
            <w:rStyle w:val="Hyperlink"/>
          </w:rPr>
          <w:t>https://www.youtube.com/watch?v=icZG05XU9pM</w:t>
        </w:r>
      </w:hyperlink>
      <w:r w:rsidRPr="00E74F8B">
        <w:t xml:space="preserve">    </w:t>
      </w:r>
    </w:p>
    <w:p w:rsidR="00EE50F8" w:rsidRPr="00BD70C8" w:rsidRDefault="00EE50F8" w:rsidP="0072178C">
      <w:pPr>
        <w:pStyle w:val="BodyTextIndent"/>
        <w:widowControl/>
        <w:numPr>
          <w:ilvl w:val="0"/>
          <w:numId w:val="15"/>
        </w:numPr>
      </w:pPr>
      <w:r w:rsidRPr="00E74F8B">
        <w:t xml:space="preserve">For example a report by </w:t>
      </w:r>
      <w:proofErr w:type="spellStart"/>
      <w:r w:rsidRPr="00E74F8B">
        <w:t>Ekotrope</w:t>
      </w:r>
      <w:proofErr w:type="spellEnd"/>
      <w:r w:rsidRPr="00E74F8B">
        <w:t xml:space="preserve"> commissioned by the Home Builders Association of MA (HBAM) was presented to the BBRS in May 2013. It is titled “Cost of Building Energy Codes in MA” and indicates that</w:t>
      </w:r>
      <w:r>
        <w:t xml:space="preserve"> </w:t>
      </w:r>
      <w:r w:rsidRPr="004C4D32">
        <w:rPr>
          <w:i/>
          <w:iCs/>
        </w:rPr>
        <w:t>“the 8</w:t>
      </w:r>
      <w:r w:rsidRPr="004C4D32">
        <w:rPr>
          <w:i/>
          <w:iCs/>
          <w:vertAlign w:val="superscript"/>
        </w:rPr>
        <w:t>th</w:t>
      </w:r>
      <w:r w:rsidRPr="004C4D32">
        <w:rPr>
          <w:i/>
          <w:iCs/>
        </w:rPr>
        <w:t xml:space="preserve"> edition MA Energy Code can be met via three paths: Prescriptive, Performance, or HERS Alternative Performance….and ….that the HERS Alternative Performance Path was the least expensive route, a full $5,000 less expensive than the Prescriptive Path.”</w:t>
      </w:r>
      <w:r>
        <w:rPr>
          <w:i/>
          <w:iCs/>
        </w:rPr>
        <w:t xml:space="preserve"> </w:t>
      </w:r>
      <w:r>
        <w:t xml:space="preserve">Although this study examined single family homes it is relevant to small multi-unit residential buildings because many of the cost </w:t>
      </w:r>
      <w:r w:rsidRPr="00BD70C8">
        <w:t xml:space="preserve">trade-offs are relevant since the construction techniques of these building types can be similar. </w:t>
      </w:r>
    </w:p>
    <w:p w:rsidR="00EE50F8" w:rsidRPr="00BD70C8" w:rsidRDefault="00EE50F8" w:rsidP="00B71641">
      <w:pPr>
        <w:pStyle w:val="BodyTextIndent"/>
        <w:widowControl/>
        <w:numPr>
          <w:ilvl w:val="0"/>
          <w:numId w:val="15"/>
        </w:numPr>
      </w:pPr>
      <w:r>
        <w:t xml:space="preserve">For example, The </w:t>
      </w:r>
      <w:proofErr w:type="spellStart"/>
      <w:r>
        <w:t>Benningfield</w:t>
      </w:r>
      <w:proofErr w:type="spellEnd"/>
      <w:r>
        <w:t xml:space="preserve"> Group, Inc. in 2009 examined the  </w:t>
      </w:r>
      <w:hyperlink r:id="rId47" w:history="1">
        <w:r>
          <w:rPr>
            <w:rStyle w:val="Hyperlink"/>
          </w:rPr>
          <w:t xml:space="preserve">US Multi Family Energy Efficiency Potential by 2020 </w:t>
        </w:r>
      </w:hyperlink>
      <w:r>
        <w:t xml:space="preserve"> </w:t>
      </w:r>
    </w:p>
    <w:p w:rsidR="00EE50F8" w:rsidRDefault="00EE50F8" w:rsidP="00B913BC">
      <w:pPr>
        <w:numPr>
          <w:ilvl w:val="0"/>
          <w:numId w:val="15"/>
        </w:numPr>
      </w:pPr>
      <w:r>
        <w:t xml:space="preserve">The </w:t>
      </w:r>
      <w:r w:rsidRPr="00BD70C8">
        <w:t xml:space="preserve">US Census </w:t>
      </w:r>
      <w:r>
        <w:t xml:space="preserve">has data for 2012 here </w:t>
      </w:r>
      <w:hyperlink r:id="rId48" w:history="1">
        <w:r w:rsidRPr="006C738D">
          <w:rPr>
            <w:rStyle w:val="Hyperlink"/>
          </w:rPr>
          <w:t>http://quickfacts.census.gov/qfd/states/00000.html</w:t>
        </w:r>
      </w:hyperlink>
      <w:r>
        <w:t xml:space="preserve"> </w:t>
      </w:r>
    </w:p>
    <w:p w:rsidR="00EE50F8" w:rsidRPr="00BD70C8" w:rsidRDefault="00EE50F8" w:rsidP="00551893">
      <w:pPr>
        <w:ind w:left="720"/>
      </w:pPr>
      <w:proofErr w:type="gramStart"/>
      <w:r>
        <w:t>which</w:t>
      </w:r>
      <w:proofErr w:type="gramEnd"/>
      <w:r>
        <w:t xml:space="preserve"> indicate a total of </w:t>
      </w:r>
      <w:r w:rsidRPr="00551893">
        <w:t>132,452,405</w:t>
      </w:r>
      <w:r>
        <w:t xml:space="preserve"> housing units. Of this total, 25.9% are</w:t>
      </w:r>
      <w:r w:rsidRPr="002F5891">
        <w:t xml:space="preserve"> units in mul</w:t>
      </w:r>
      <w:r>
        <w:t xml:space="preserve">ti-unit structures which are </w:t>
      </w:r>
      <w:r w:rsidRPr="002F5891">
        <w:t>structures containing 2 or more housing units.</w:t>
      </w:r>
      <w:r>
        <w:t xml:space="preserve"> So the majority of homes (74.1%) are single unit dwellings. </w:t>
      </w:r>
    </w:p>
    <w:p w:rsidR="00EE50F8" w:rsidRPr="00300459" w:rsidRDefault="00EE50F8" w:rsidP="00B913BC">
      <w:pPr>
        <w:numPr>
          <w:ilvl w:val="0"/>
          <w:numId w:val="15"/>
        </w:numPr>
      </w:pPr>
      <w:r w:rsidRPr="00BD70C8">
        <w:t xml:space="preserve">The US Census has data on this at </w:t>
      </w:r>
      <w:hyperlink r:id="rId49" w:history="1">
        <w:r w:rsidRPr="00BD70C8">
          <w:rPr>
            <w:rStyle w:val="Hyperlink"/>
          </w:rPr>
          <w:t>https://www.census.gov/construction/chars/mfu.html</w:t>
        </w:r>
      </w:hyperlink>
      <w:r w:rsidRPr="00BD70C8">
        <w:t xml:space="preserve"> which indicates that the median size of new single family homes in the northeast in 2012 was 2302 sq ft versus 1148 sq ft for the median</w:t>
      </w:r>
      <w:r w:rsidRPr="00300459">
        <w:t xml:space="preserve"> size of new units in multi unit residential buildings in the northeast in 2012. </w:t>
      </w:r>
    </w:p>
    <w:p w:rsidR="00EE50F8" w:rsidRDefault="00EE50F8" w:rsidP="00727448">
      <w:pPr>
        <w:pStyle w:val="BodyTextIndent"/>
        <w:widowControl/>
        <w:numPr>
          <w:ilvl w:val="0"/>
          <w:numId w:val="15"/>
        </w:numPr>
      </w:pPr>
      <w:r>
        <w:t xml:space="preserve">Conditioned space as defined by IECC 2009 is </w:t>
      </w:r>
      <w:r w:rsidRPr="00B9309C">
        <w:t xml:space="preserve">an area or room within a building being heated or cooled, containing </w:t>
      </w:r>
      <w:proofErr w:type="spellStart"/>
      <w:r w:rsidRPr="00B9309C">
        <w:t>uninsulated</w:t>
      </w:r>
      <w:proofErr w:type="spellEnd"/>
      <w:r w:rsidRPr="00B9309C">
        <w:t xml:space="preserve"> ducts, or with a fixed opening directly into an adjacent conditioned space.</w:t>
      </w:r>
    </w:p>
    <w:p w:rsidR="00EE50F8" w:rsidRDefault="00EE50F8" w:rsidP="00177D5D">
      <w:pPr>
        <w:pStyle w:val="BodyTextIndent"/>
        <w:widowControl/>
        <w:numPr>
          <w:ilvl w:val="0"/>
          <w:numId w:val="15"/>
        </w:numPr>
        <w:tabs>
          <w:tab w:val="clear" w:pos="720"/>
        </w:tabs>
      </w:pPr>
      <w:r>
        <w:t xml:space="preserve">Economic </w:t>
      </w:r>
      <w:r w:rsidRPr="00B9309C">
        <w:t>constraints</w:t>
      </w:r>
      <w:r>
        <w:t xml:space="preserve"> of the local market, including costs associated with building codes and other regulatory requirements, typically are recognized by</w:t>
      </w:r>
      <w:r w:rsidRPr="00B9309C">
        <w:t xml:space="preserve"> </w:t>
      </w:r>
      <w:r>
        <w:t>owners of any building project. In addition an owner/developer of multi-unit residential buildings look to offset and recapture building and others costs to determine whether a project will even move forward and they may n</w:t>
      </w:r>
      <w:r w:rsidRPr="00727448">
        <w:t xml:space="preserve">ot directly benefit from operational savings stemming from reduced energy usage, as building residents </w:t>
      </w:r>
      <w:r>
        <w:t>may be</w:t>
      </w:r>
      <w:r w:rsidRPr="00727448">
        <w:t xml:space="preserve"> billed for their individual utility use. Therefore, the up-front capital costs of code-required energy improvements must be </w:t>
      </w:r>
      <w:r w:rsidRPr="00727448">
        <w:lastRenderedPageBreak/>
        <w:t>recouped through other means including higher rents, the use of subs</w:t>
      </w:r>
      <w:r>
        <w:t xml:space="preserve">idies like tax benefits, </w:t>
      </w:r>
      <w:r w:rsidRPr="00727448">
        <w:t>or other financial incentives and, possibly, enhanced building valu</w:t>
      </w:r>
      <w:r>
        <w:t>e</w:t>
      </w:r>
      <w:r w:rsidRPr="00727448">
        <w:t xml:space="preserve">. </w:t>
      </w:r>
    </w:p>
    <w:p w:rsidR="00AA5870" w:rsidRDefault="00EE50F8" w:rsidP="00B9309C">
      <w:pPr>
        <w:pStyle w:val="BodyTextIndent"/>
        <w:widowControl/>
        <w:numPr>
          <w:ilvl w:val="0"/>
          <w:numId w:val="15"/>
        </w:numPr>
      </w:pPr>
      <w:r>
        <w:t>A</w:t>
      </w:r>
      <w:r w:rsidRPr="00852A13">
        <w:t xml:space="preserve"> 4 minute video of a builder describing a building thermal envelope is a useful primer </w:t>
      </w:r>
      <w:hyperlink r:id="rId50" w:history="1">
        <w:r w:rsidRPr="00852A13">
          <w:rPr>
            <w:rStyle w:val="Hyperlink"/>
          </w:rPr>
          <w:t>https://www.youtube.com/watch?v=zYiymdjTKH8</w:t>
        </w:r>
      </w:hyperlink>
    </w:p>
    <w:p w:rsidR="00EE50F8" w:rsidRPr="00852A13" w:rsidRDefault="00BD51C4" w:rsidP="00BD51C4">
      <w:pPr>
        <w:pStyle w:val="BodyTextIndent"/>
        <w:widowControl/>
        <w:ind w:left="720" w:hanging="360"/>
      </w:pPr>
      <w:r>
        <w:t>12a.The EPA</w:t>
      </w:r>
      <w:r w:rsidR="00AA5870">
        <w:t xml:space="preserve"> </w:t>
      </w:r>
      <w:hyperlink r:id="rId51" w:history="1">
        <w:r w:rsidR="00AA5870" w:rsidRPr="00331A68">
          <w:rPr>
            <w:rStyle w:val="Hyperlink"/>
          </w:rPr>
          <w:t>http://www.epa.gov/cleanenergy/energy-resources/refs.html</w:t>
        </w:r>
      </w:hyperlink>
      <w:r w:rsidR="00C770D4">
        <w:t xml:space="preserve"> has conversion examples. One </w:t>
      </w:r>
      <w:proofErr w:type="spellStart"/>
      <w:r>
        <w:t>MMBtu</w:t>
      </w:r>
      <w:proofErr w:type="spellEnd"/>
      <w:r>
        <w:t xml:space="preserve"> of natural gas contains 14.46 kg of carbon and the molecular weight of CO2 to </w:t>
      </w:r>
      <w:r w:rsidR="00C770D4">
        <w:t>C is 44/12, and therefore 1</w:t>
      </w:r>
      <w:r>
        <w:t xml:space="preserve"> </w:t>
      </w:r>
      <w:proofErr w:type="spellStart"/>
      <w:r>
        <w:t>MMBtu</w:t>
      </w:r>
      <w:proofErr w:type="spellEnd"/>
      <w:r>
        <w:t xml:space="preserve"> of natural gas produces 53 kg of CO2.</w:t>
      </w:r>
      <w:r w:rsidR="00EE50F8" w:rsidRPr="00852A13">
        <w:t xml:space="preserve">  </w:t>
      </w:r>
    </w:p>
    <w:p w:rsidR="00EE50F8" w:rsidRPr="0000010B" w:rsidRDefault="00EE50F8" w:rsidP="00B9309C">
      <w:pPr>
        <w:pStyle w:val="BodyTextIndent"/>
        <w:widowControl/>
        <w:numPr>
          <w:ilvl w:val="0"/>
          <w:numId w:val="15"/>
        </w:numPr>
      </w:pPr>
      <w:r w:rsidRPr="00363748">
        <w:t xml:space="preserve">For </w:t>
      </w:r>
      <w:r>
        <w:t>example,</w:t>
      </w:r>
      <w:r w:rsidRPr="00D514B8">
        <w:t xml:space="preserve"> </w:t>
      </w:r>
      <w:hyperlink r:id="rId52" w:history="1">
        <w:r>
          <w:rPr>
            <w:rStyle w:val="Hyperlink"/>
          </w:rPr>
          <w:t xml:space="preserve">M.G.L. c. 25a, § 10 </w:t>
        </w:r>
      </w:hyperlink>
      <w:r>
        <w:t xml:space="preserve"> </w:t>
      </w:r>
      <w:r w:rsidRPr="00D514B8">
        <w:t>contains</w:t>
      </w:r>
      <w:r w:rsidRPr="00363748">
        <w:t xml:space="preserve"> provi</w:t>
      </w:r>
      <w:r>
        <w:t>sions which must be met for a city or town</w:t>
      </w:r>
      <w:r w:rsidRPr="00363748">
        <w:t xml:space="preserve"> to qualify as a Green Community, and was the basis for creation of the MA </w:t>
      </w:r>
      <w:r w:rsidRPr="0000010B">
        <w:t>Stretch Code</w:t>
      </w:r>
      <w:r>
        <w:t xml:space="preserve"> found at </w:t>
      </w:r>
      <w:hyperlink r:id="rId53" w:history="1">
        <w:r>
          <w:rPr>
            <w:rStyle w:val="Hyperlink"/>
          </w:rPr>
          <w:t xml:space="preserve">780 CMR 115AA </w:t>
        </w:r>
      </w:hyperlink>
      <w:r>
        <w:t xml:space="preserve"> </w:t>
      </w:r>
      <w:r w:rsidRPr="0000010B">
        <w:t>.</w:t>
      </w:r>
    </w:p>
    <w:p w:rsidR="00EE50F8" w:rsidRDefault="00EE50F8" w:rsidP="00B71641">
      <w:pPr>
        <w:pStyle w:val="BodyTextIndent"/>
        <w:widowControl/>
        <w:numPr>
          <w:ilvl w:val="0"/>
          <w:numId w:val="15"/>
        </w:numPr>
      </w:pPr>
      <w:r w:rsidRPr="0000010B">
        <w:t>See table below:</w:t>
      </w:r>
    </w:p>
    <w:tbl>
      <w:tblPr>
        <w:tblpPr w:leftFromText="180" w:rightFromText="180" w:vertAnchor="text" w:horzAnchor="margin" w:tblpY="103"/>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8"/>
        <w:gridCol w:w="3480"/>
        <w:gridCol w:w="4200"/>
        <w:gridCol w:w="240"/>
        <w:gridCol w:w="240"/>
      </w:tblGrid>
      <w:tr w:rsidR="00BD51C4" w:rsidTr="00C770D4">
        <w:trPr>
          <w:cantSplit/>
          <w:trHeight w:val="353"/>
        </w:trPr>
        <w:tc>
          <w:tcPr>
            <w:tcW w:w="9228" w:type="dxa"/>
            <w:gridSpan w:val="5"/>
            <w:vAlign w:val="center"/>
          </w:tcPr>
          <w:p w:rsidR="00BD51C4" w:rsidRDefault="00BD51C4" w:rsidP="00C770D4">
            <w:pPr>
              <w:pStyle w:val="BodyText"/>
              <w:rPr>
                <w:b/>
                <w:bCs/>
              </w:rPr>
            </w:pPr>
            <w:r>
              <w:rPr>
                <w:b/>
                <w:bCs/>
              </w:rPr>
              <w:t>Building Thermal Envelope: Air Leakage</w:t>
            </w:r>
          </w:p>
        </w:tc>
      </w:tr>
      <w:tr w:rsidR="00BD51C4" w:rsidTr="00C770D4">
        <w:trPr>
          <w:cantSplit/>
        </w:trPr>
        <w:tc>
          <w:tcPr>
            <w:tcW w:w="1068" w:type="dxa"/>
            <w:vAlign w:val="center"/>
          </w:tcPr>
          <w:p w:rsidR="00BD51C4" w:rsidRDefault="00BD51C4" w:rsidP="00C770D4">
            <w:pPr>
              <w:pStyle w:val="BodyText"/>
              <w:rPr>
                <w:b/>
                <w:bCs/>
              </w:rPr>
            </w:pPr>
            <w:r>
              <w:rPr>
                <w:b/>
                <w:bCs/>
              </w:rPr>
              <w:t>IECC</w:t>
            </w:r>
          </w:p>
        </w:tc>
        <w:tc>
          <w:tcPr>
            <w:tcW w:w="3480" w:type="dxa"/>
            <w:vAlign w:val="center"/>
          </w:tcPr>
          <w:p w:rsidR="00BD51C4" w:rsidRPr="00897861" w:rsidRDefault="00BD51C4" w:rsidP="00C770D4">
            <w:pPr>
              <w:pStyle w:val="BodyText"/>
              <w:rPr>
                <w:b/>
                <w:bCs/>
              </w:rPr>
            </w:pPr>
            <w:r>
              <w:rPr>
                <w:b/>
                <w:bCs/>
              </w:rPr>
              <w:t>Verification</w:t>
            </w:r>
          </w:p>
        </w:tc>
        <w:tc>
          <w:tcPr>
            <w:tcW w:w="4200" w:type="dxa"/>
            <w:vAlign w:val="center"/>
          </w:tcPr>
          <w:p w:rsidR="00BD51C4" w:rsidRPr="00897861" w:rsidRDefault="00BD51C4" w:rsidP="00C770D4">
            <w:pPr>
              <w:pStyle w:val="BodyText"/>
              <w:rPr>
                <w:b/>
                <w:bCs/>
              </w:rPr>
            </w:pPr>
            <w:r>
              <w:rPr>
                <w:b/>
                <w:bCs/>
              </w:rPr>
              <w:t>Value</w:t>
            </w:r>
            <w:r w:rsidRPr="00A05402">
              <w:rPr>
                <w:b/>
                <w:bCs/>
                <w:sz w:val="28"/>
                <w:szCs w:val="28"/>
                <w:vertAlign w:val="superscript"/>
              </w:rPr>
              <w:t>1</w:t>
            </w:r>
          </w:p>
        </w:tc>
        <w:tc>
          <w:tcPr>
            <w:tcW w:w="240" w:type="dxa"/>
            <w:vAlign w:val="center"/>
          </w:tcPr>
          <w:p w:rsidR="00BD51C4" w:rsidRDefault="00BD51C4" w:rsidP="00C770D4">
            <w:pPr>
              <w:pStyle w:val="BodyText"/>
              <w:rPr>
                <w:b/>
                <w:bCs/>
              </w:rPr>
            </w:pPr>
          </w:p>
        </w:tc>
        <w:tc>
          <w:tcPr>
            <w:tcW w:w="240" w:type="dxa"/>
            <w:vAlign w:val="center"/>
          </w:tcPr>
          <w:p w:rsidR="00BD51C4" w:rsidRDefault="00BD51C4" w:rsidP="00C770D4">
            <w:pPr>
              <w:pStyle w:val="BodyText"/>
              <w:rPr>
                <w:b/>
                <w:bCs/>
              </w:rPr>
            </w:pPr>
          </w:p>
        </w:tc>
      </w:tr>
      <w:tr w:rsidR="00BD51C4" w:rsidTr="00C770D4">
        <w:trPr>
          <w:cantSplit/>
        </w:trPr>
        <w:tc>
          <w:tcPr>
            <w:tcW w:w="1068" w:type="dxa"/>
            <w:vAlign w:val="center"/>
          </w:tcPr>
          <w:p w:rsidR="00BD51C4" w:rsidRDefault="00BD51C4" w:rsidP="00C770D4">
            <w:pPr>
              <w:pStyle w:val="BodyText"/>
              <w:rPr>
                <w:b/>
                <w:bCs/>
              </w:rPr>
            </w:pPr>
            <w:r>
              <w:rPr>
                <w:b/>
                <w:bCs/>
              </w:rPr>
              <w:t>2003</w:t>
            </w:r>
          </w:p>
        </w:tc>
        <w:tc>
          <w:tcPr>
            <w:tcW w:w="3480" w:type="dxa"/>
            <w:vAlign w:val="center"/>
          </w:tcPr>
          <w:p w:rsidR="00BD51C4" w:rsidRDefault="00BD51C4" w:rsidP="00C770D4">
            <w:pPr>
              <w:pStyle w:val="BodyText"/>
            </w:pPr>
            <w:r>
              <w:t>N/A</w:t>
            </w:r>
            <w:r w:rsidRPr="00A05402">
              <w:rPr>
                <w:vertAlign w:val="superscript"/>
              </w:rPr>
              <w:t>2</w:t>
            </w:r>
          </w:p>
        </w:tc>
        <w:tc>
          <w:tcPr>
            <w:tcW w:w="4200" w:type="dxa"/>
            <w:vAlign w:val="center"/>
          </w:tcPr>
          <w:p w:rsidR="00BD51C4" w:rsidRDefault="00BD51C4" w:rsidP="00C770D4">
            <w:pPr>
              <w:pStyle w:val="BodyText"/>
            </w:pPr>
            <w:r>
              <w:t>~8 ACH at 50 Pa</w:t>
            </w:r>
          </w:p>
        </w:tc>
        <w:tc>
          <w:tcPr>
            <w:tcW w:w="240" w:type="dxa"/>
            <w:vAlign w:val="center"/>
          </w:tcPr>
          <w:p w:rsidR="00BD51C4" w:rsidRDefault="00BD51C4" w:rsidP="00C770D4">
            <w:pPr>
              <w:pStyle w:val="BodyText"/>
            </w:pPr>
          </w:p>
        </w:tc>
        <w:tc>
          <w:tcPr>
            <w:tcW w:w="240" w:type="dxa"/>
            <w:vAlign w:val="center"/>
          </w:tcPr>
          <w:p w:rsidR="00BD51C4" w:rsidRDefault="00BD51C4" w:rsidP="00C770D4">
            <w:pPr>
              <w:pStyle w:val="BodyText"/>
            </w:pPr>
          </w:p>
        </w:tc>
      </w:tr>
      <w:tr w:rsidR="00BD51C4" w:rsidTr="00C770D4">
        <w:trPr>
          <w:cantSplit/>
        </w:trPr>
        <w:tc>
          <w:tcPr>
            <w:tcW w:w="1068" w:type="dxa"/>
            <w:vAlign w:val="center"/>
          </w:tcPr>
          <w:p w:rsidR="00BD51C4" w:rsidRDefault="00BD51C4" w:rsidP="00C770D4">
            <w:pPr>
              <w:pStyle w:val="BodyText"/>
              <w:rPr>
                <w:b/>
                <w:bCs/>
              </w:rPr>
            </w:pPr>
            <w:r>
              <w:rPr>
                <w:b/>
                <w:bCs/>
              </w:rPr>
              <w:t>2006</w:t>
            </w:r>
          </w:p>
        </w:tc>
        <w:tc>
          <w:tcPr>
            <w:tcW w:w="3480" w:type="dxa"/>
            <w:vAlign w:val="center"/>
          </w:tcPr>
          <w:p w:rsidR="00BD51C4" w:rsidRDefault="00BD51C4" w:rsidP="00C770D4">
            <w:pPr>
              <w:pStyle w:val="BodyText"/>
            </w:pPr>
            <w:r>
              <w:t>N/A</w:t>
            </w:r>
            <w:r w:rsidRPr="00A05402">
              <w:rPr>
                <w:vertAlign w:val="superscript"/>
              </w:rPr>
              <w:t>2</w:t>
            </w:r>
          </w:p>
        </w:tc>
        <w:tc>
          <w:tcPr>
            <w:tcW w:w="4200" w:type="dxa"/>
            <w:vAlign w:val="center"/>
          </w:tcPr>
          <w:p w:rsidR="00BD51C4" w:rsidRDefault="00BD51C4" w:rsidP="00C770D4">
            <w:pPr>
              <w:pStyle w:val="BodyText"/>
            </w:pPr>
            <w:r>
              <w:t>~7 ACH at 50 Pa</w:t>
            </w:r>
          </w:p>
        </w:tc>
        <w:tc>
          <w:tcPr>
            <w:tcW w:w="240" w:type="dxa"/>
            <w:vAlign w:val="center"/>
          </w:tcPr>
          <w:p w:rsidR="00BD51C4" w:rsidRDefault="00BD51C4" w:rsidP="00C770D4">
            <w:pPr>
              <w:pStyle w:val="BodyText"/>
            </w:pPr>
          </w:p>
        </w:tc>
        <w:tc>
          <w:tcPr>
            <w:tcW w:w="240" w:type="dxa"/>
            <w:vAlign w:val="center"/>
          </w:tcPr>
          <w:p w:rsidR="00BD51C4" w:rsidRDefault="00BD51C4" w:rsidP="00C770D4">
            <w:pPr>
              <w:pStyle w:val="BodyText"/>
            </w:pPr>
          </w:p>
        </w:tc>
      </w:tr>
      <w:tr w:rsidR="00BD51C4" w:rsidTr="00C770D4">
        <w:trPr>
          <w:cantSplit/>
        </w:trPr>
        <w:tc>
          <w:tcPr>
            <w:tcW w:w="1068" w:type="dxa"/>
            <w:vAlign w:val="center"/>
          </w:tcPr>
          <w:p w:rsidR="00BD51C4" w:rsidRDefault="00BD51C4" w:rsidP="00C770D4">
            <w:pPr>
              <w:pStyle w:val="BodyText"/>
              <w:rPr>
                <w:b/>
                <w:bCs/>
              </w:rPr>
            </w:pPr>
            <w:r>
              <w:rPr>
                <w:b/>
                <w:bCs/>
              </w:rPr>
              <w:t xml:space="preserve">2009 </w:t>
            </w:r>
          </w:p>
        </w:tc>
        <w:tc>
          <w:tcPr>
            <w:tcW w:w="3480" w:type="dxa"/>
            <w:vAlign w:val="center"/>
          </w:tcPr>
          <w:p w:rsidR="00BD51C4" w:rsidRDefault="00BD51C4" w:rsidP="00C770D4">
            <w:pPr>
              <w:pStyle w:val="BodyText"/>
            </w:pPr>
            <w:r>
              <w:t xml:space="preserve">Testing or Inspection </w:t>
            </w:r>
          </w:p>
        </w:tc>
        <w:tc>
          <w:tcPr>
            <w:tcW w:w="4200" w:type="dxa"/>
            <w:vAlign w:val="center"/>
          </w:tcPr>
          <w:p w:rsidR="00BD51C4" w:rsidRDefault="00BD51C4" w:rsidP="00C770D4">
            <w:pPr>
              <w:pStyle w:val="BodyText"/>
            </w:pPr>
            <w:r>
              <w:t>7 ACH at 50 Pa</w:t>
            </w:r>
          </w:p>
        </w:tc>
        <w:tc>
          <w:tcPr>
            <w:tcW w:w="240" w:type="dxa"/>
            <w:vAlign w:val="center"/>
          </w:tcPr>
          <w:p w:rsidR="00BD51C4" w:rsidRDefault="00BD51C4" w:rsidP="00C770D4">
            <w:pPr>
              <w:pStyle w:val="BodyText"/>
            </w:pPr>
          </w:p>
        </w:tc>
        <w:tc>
          <w:tcPr>
            <w:tcW w:w="240" w:type="dxa"/>
            <w:vAlign w:val="center"/>
          </w:tcPr>
          <w:p w:rsidR="00BD51C4" w:rsidRDefault="00BD51C4" w:rsidP="00C770D4">
            <w:pPr>
              <w:pStyle w:val="BodyText"/>
            </w:pPr>
          </w:p>
        </w:tc>
      </w:tr>
      <w:tr w:rsidR="00BD51C4" w:rsidTr="00C770D4">
        <w:trPr>
          <w:cantSplit/>
        </w:trPr>
        <w:tc>
          <w:tcPr>
            <w:tcW w:w="1068" w:type="dxa"/>
            <w:vAlign w:val="center"/>
          </w:tcPr>
          <w:p w:rsidR="00BD51C4" w:rsidRDefault="00BD51C4" w:rsidP="00C770D4">
            <w:pPr>
              <w:pStyle w:val="BodyText"/>
              <w:rPr>
                <w:b/>
                <w:bCs/>
              </w:rPr>
            </w:pPr>
            <w:r>
              <w:rPr>
                <w:b/>
                <w:bCs/>
              </w:rPr>
              <w:t xml:space="preserve">2012 </w:t>
            </w:r>
          </w:p>
        </w:tc>
        <w:tc>
          <w:tcPr>
            <w:tcW w:w="3480" w:type="dxa"/>
            <w:vAlign w:val="center"/>
          </w:tcPr>
          <w:p w:rsidR="00BD51C4" w:rsidRDefault="00BD51C4" w:rsidP="00C770D4">
            <w:pPr>
              <w:pStyle w:val="BodyText"/>
            </w:pPr>
            <w:r>
              <w:t xml:space="preserve">Testing </w:t>
            </w:r>
          </w:p>
        </w:tc>
        <w:tc>
          <w:tcPr>
            <w:tcW w:w="4200" w:type="dxa"/>
            <w:vAlign w:val="center"/>
          </w:tcPr>
          <w:p w:rsidR="00BD51C4" w:rsidRDefault="00BD51C4" w:rsidP="00C770D4">
            <w:pPr>
              <w:pStyle w:val="BodyText"/>
            </w:pPr>
            <w:r w:rsidRPr="00C2605F">
              <w:t>3</w:t>
            </w:r>
            <w:r>
              <w:t xml:space="preserve"> ACH at 50 Pa</w:t>
            </w:r>
            <w:r w:rsidRPr="00C2605F">
              <w:rPr>
                <w:vertAlign w:val="superscript"/>
              </w:rPr>
              <w:t>3</w:t>
            </w:r>
          </w:p>
        </w:tc>
        <w:tc>
          <w:tcPr>
            <w:tcW w:w="240" w:type="dxa"/>
            <w:vAlign w:val="center"/>
          </w:tcPr>
          <w:p w:rsidR="00BD51C4" w:rsidRDefault="00BD51C4" w:rsidP="00C770D4">
            <w:pPr>
              <w:pStyle w:val="BodyText"/>
            </w:pPr>
          </w:p>
        </w:tc>
        <w:tc>
          <w:tcPr>
            <w:tcW w:w="240" w:type="dxa"/>
            <w:vAlign w:val="center"/>
          </w:tcPr>
          <w:p w:rsidR="00BD51C4" w:rsidRDefault="00BD51C4" w:rsidP="00C770D4">
            <w:pPr>
              <w:pStyle w:val="BodyText"/>
            </w:pPr>
          </w:p>
        </w:tc>
      </w:tr>
      <w:tr w:rsidR="00BD51C4" w:rsidTr="00C770D4">
        <w:trPr>
          <w:cantSplit/>
        </w:trPr>
        <w:tc>
          <w:tcPr>
            <w:tcW w:w="1068" w:type="dxa"/>
            <w:vAlign w:val="center"/>
          </w:tcPr>
          <w:p w:rsidR="00BD51C4" w:rsidRDefault="00BD51C4" w:rsidP="00C770D4">
            <w:pPr>
              <w:pStyle w:val="BodyText"/>
              <w:rPr>
                <w:b/>
                <w:bCs/>
              </w:rPr>
            </w:pPr>
            <w:r>
              <w:rPr>
                <w:b/>
                <w:bCs/>
              </w:rPr>
              <w:t>2015</w:t>
            </w:r>
          </w:p>
        </w:tc>
        <w:tc>
          <w:tcPr>
            <w:tcW w:w="3480" w:type="dxa"/>
            <w:vAlign w:val="center"/>
          </w:tcPr>
          <w:p w:rsidR="00BD51C4" w:rsidRDefault="00BD51C4" w:rsidP="00C770D4">
            <w:pPr>
              <w:pStyle w:val="BodyText"/>
            </w:pPr>
            <w:r>
              <w:t xml:space="preserve">Testing </w:t>
            </w:r>
          </w:p>
        </w:tc>
        <w:tc>
          <w:tcPr>
            <w:tcW w:w="4200" w:type="dxa"/>
            <w:vAlign w:val="center"/>
          </w:tcPr>
          <w:p w:rsidR="00BD51C4" w:rsidRDefault="00BD51C4" w:rsidP="00C770D4">
            <w:pPr>
              <w:pStyle w:val="BodyText"/>
            </w:pPr>
            <w:r>
              <w:t>3 ACH at 50 Pa</w:t>
            </w:r>
          </w:p>
        </w:tc>
        <w:tc>
          <w:tcPr>
            <w:tcW w:w="240" w:type="dxa"/>
            <w:vAlign w:val="center"/>
          </w:tcPr>
          <w:p w:rsidR="00BD51C4" w:rsidRDefault="00BD51C4" w:rsidP="00C770D4">
            <w:pPr>
              <w:pStyle w:val="BodyText"/>
            </w:pPr>
          </w:p>
        </w:tc>
        <w:tc>
          <w:tcPr>
            <w:tcW w:w="240" w:type="dxa"/>
            <w:vAlign w:val="center"/>
          </w:tcPr>
          <w:p w:rsidR="00BD51C4" w:rsidRDefault="00BD51C4" w:rsidP="00C770D4">
            <w:pPr>
              <w:pStyle w:val="BodyText"/>
            </w:pPr>
          </w:p>
        </w:tc>
      </w:tr>
      <w:tr w:rsidR="00BD51C4" w:rsidTr="00C770D4">
        <w:trPr>
          <w:cantSplit/>
        </w:trPr>
        <w:tc>
          <w:tcPr>
            <w:tcW w:w="9228" w:type="dxa"/>
            <w:gridSpan w:val="5"/>
            <w:vAlign w:val="center"/>
          </w:tcPr>
          <w:p w:rsidR="00BD51C4" w:rsidRPr="00897861" w:rsidRDefault="00BD51C4" w:rsidP="00C770D4">
            <w:pPr>
              <w:pStyle w:val="BodyText"/>
              <w:jc w:val="left"/>
              <w:rPr>
                <w:sz w:val="18"/>
                <w:szCs w:val="18"/>
              </w:rPr>
            </w:pPr>
            <w:r w:rsidRPr="00897861">
              <w:rPr>
                <w:sz w:val="18"/>
                <w:szCs w:val="18"/>
              </w:rPr>
              <w:t xml:space="preserve">Notes: </w:t>
            </w:r>
          </w:p>
          <w:p w:rsidR="00BD51C4" w:rsidRPr="00C2605F" w:rsidRDefault="00BD51C4" w:rsidP="00C770D4">
            <w:pPr>
              <w:pStyle w:val="BodyText"/>
              <w:ind w:left="360"/>
              <w:jc w:val="left"/>
              <w:rPr>
                <w:sz w:val="18"/>
                <w:szCs w:val="18"/>
              </w:rPr>
            </w:pPr>
            <w:r w:rsidRPr="00C2605F">
              <w:rPr>
                <w:sz w:val="18"/>
                <w:szCs w:val="18"/>
              </w:rPr>
              <w:t>1. “~” indicates estimate</w:t>
            </w:r>
          </w:p>
          <w:p w:rsidR="00BD51C4" w:rsidRDefault="00BD51C4" w:rsidP="00C770D4">
            <w:pPr>
              <w:pStyle w:val="BodyText"/>
              <w:ind w:left="360"/>
              <w:jc w:val="left"/>
              <w:rPr>
                <w:sz w:val="18"/>
                <w:szCs w:val="18"/>
              </w:rPr>
            </w:pPr>
            <w:r w:rsidRPr="00C2605F">
              <w:rPr>
                <w:sz w:val="18"/>
                <w:szCs w:val="18"/>
              </w:rPr>
              <w:t xml:space="preserve">2. IECC </w:t>
            </w:r>
            <w:r>
              <w:rPr>
                <w:sz w:val="18"/>
                <w:szCs w:val="18"/>
              </w:rPr>
              <w:t>2006 has</w:t>
            </w:r>
            <w:r w:rsidRPr="00C2605F">
              <w:rPr>
                <w:sz w:val="18"/>
                <w:szCs w:val="18"/>
              </w:rPr>
              <w:t xml:space="preserve"> a list of 10 items to be caulked, </w:t>
            </w:r>
            <w:proofErr w:type="spellStart"/>
            <w:r w:rsidRPr="00C2605F">
              <w:rPr>
                <w:sz w:val="18"/>
                <w:szCs w:val="18"/>
              </w:rPr>
              <w:t>gasketed</w:t>
            </w:r>
            <w:proofErr w:type="spellEnd"/>
            <w:r w:rsidRPr="00C2605F">
              <w:rPr>
                <w:sz w:val="18"/>
                <w:szCs w:val="18"/>
              </w:rPr>
              <w:t>, or otherwise sealed; two less than IECC 2009 which adds ‘attic access openings’ and ‘rim joist junction’.  IECC 2003</w:t>
            </w:r>
            <w:r>
              <w:rPr>
                <w:sz w:val="18"/>
                <w:szCs w:val="18"/>
              </w:rPr>
              <w:t xml:space="preserve"> specifies certain items to be sealed but is less clear than IECC 2006.</w:t>
            </w:r>
            <w:r w:rsidRPr="00C2605F">
              <w:rPr>
                <w:sz w:val="18"/>
                <w:szCs w:val="18"/>
              </w:rPr>
              <w:t xml:space="preserve"> It is assumed that with these sealing requirements the leakage rates for </w:t>
            </w:r>
            <w:r>
              <w:rPr>
                <w:sz w:val="18"/>
                <w:szCs w:val="18"/>
              </w:rPr>
              <w:t xml:space="preserve">the IECC 2003 and </w:t>
            </w:r>
            <w:r w:rsidRPr="00C2605F">
              <w:rPr>
                <w:sz w:val="18"/>
                <w:szCs w:val="18"/>
              </w:rPr>
              <w:t>2006 are approximately 8 and 7 ACH at 50 Pa, respectively.</w:t>
            </w:r>
          </w:p>
          <w:p w:rsidR="00BD51C4" w:rsidRPr="00576A3A" w:rsidRDefault="00BD51C4" w:rsidP="00C770D4">
            <w:pPr>
              <w:pStyle w:val="BodyText"/>
              <w:ind w:left="360"/>
              <w:jc w:val="left"/>
              <w:rPr>
                <w:sz w:val="18"/>
                <w:szCs w:val="18"/>
              </w:rPr>
            </w:pPr>
            <w:r>
              <w:rPr>
                <w:sz w:val="18"/>
                <w:szCs w:val="18"/>
              </w:rPr>
              <w:t>3. To examine the effectiveness of air leakage, 5</w:t>
            </w:r>
            <w:r w:rsidRPr="00C2605F">
              <w:rPr>
                <w:sz w:val="18"/>
                <w:szCs w:val="18"/>
              </w:rPr>
              <w:t xml:space="preserve"> ACH at 50 Pa</w:t>
            </w:r>
            <w:r>
              <w:rPr>
                <w:sz w:val="18"/>
                <w:szCs w:val="18"/>
              </w:rPr>
              <w:t xml:space="preserve"> was used in some cases. </w:t>
            </w:r>
          </w:p>
        </w:tc>
      </w:tr>
    </w:tbl>
    <w:p w:rsidR="00EE50F8" w:rsidRPr="00CA3A78" w:rsidRDefault="00EE50F8" w:rsidP="00F64C4F">
      <w:pPr>
        <w:pStyle w:val="BodyTextIndent"/>
        <w:numPr>
          <w:ilvl w:val="0"/>
          <w:numId w:val="15"/>
        </w:numPr>
      </w:pPr>
      <w:r>
        <w:t xml:space="preserve">Since IECC 2006 door leakage </w:t>
      </w:r>
      <w:r>
        <w:rPr>
          <w:u w:val="single"/>
        </w:rPr>
        <w:t>&lt;</w:t>
      </w:r>
      <w:r>
        <w:t xml:space="preserve">0.5 </w:t>
      </w:r>
      <w:proofErr w:type="spellStart"/>
      <w:r>
        <w:t>cfm</w:t>
      </w:r>
      <w:proofErr w:type="spellEnd"/>
      <w:r>
        <w:t>/ft</w:t>
      </w:r>
      <w:r w:rsidRPr="00CA3A78">
        <w:rPr>
          <w:vertAlign w:val="superscript"/>
        </w:rPr>
        <w:t>2</w:t>
      </w:r>
      <w:r>
        <w:t xml:space="preserve"> and window leakage </w:t>
      </w:r>
      <w:r>
        <w:rPr>
          <w:u w:val="single"/>
        </w:rPr>
        <w:t>&lt;</w:t>
      </w:r>
      <w:r>
        <w:t xml:space="preserve">0.3 </w:t>
      </w:r>
      <w:proofErr w:type="spellStart"/>
      <w:r>
        <w:t>cfm</w:t>
      </w:r>
      <w:proofErr w:type="spellEnd"/>
      <w:r>
        <w:t>/ft</w:t>
      </w:r>
      <w:r w:rsidRPr="00CA3A78">
        <w:rPr>
          <w:vertAlign w:val="superscript"/>
        </w:rPr>
        <w:t>2</w:t>
      </w:r>
      <w:r>
        <w:rPr>
          <w:vertAlign w:val="superscript"/>
        </w:rPr>
        <w:t xml:space="preserve"> </w:t>
      </w:r>
      <w:r>
        <w:t xml:space="preserve">have remained unchanged. </w:t>
      </w:r>
    </w:p>
    <w:p w:rsidR="00EE50F8" w:rsidRPr="008473BC" w:rsidRDefault="00EE50F8" w:rsidP="008473BC">
      <w:pPr>
        <w:pStyle w:val="BodyTextIndent"/>
        <w:widowControl/>
        <w:numPr>
          <w:ilvl w:val="0"/>
          <w:numId w:val="15"/>
        </w:numPr>
      </w:pPr>
      <w:r w:rsidRPr="008473BC">
        <w:rPr>
          <w:b/>
          <w:bCs/>
        </w:rPr>
        <w:t>R403.5</w:t>
      </w:r>
      <w:r w:rsidRPr="008473BC">
        <w:t xml:space="preserve"> Replace as follows but retain R403.5.1:</w:t>
      </w:r>
    </w:p>
    <w:p w:rsidR="00EE50F8" w:rsidRPr="00297FD4" w:rsidRDefault="00EE50F8" w:rsidP="008473BC">
      <w:pPr>
        <w:autoSpaceDE w:val="0"/>
        <w:autoSpaceDN w:val="0"/>
        <w:ind w:left="1440"/>
        <w:rPr>
          <w:b/>
          <w:bCs/>
          <w:sz w:val="16"/>
          <w:szCs w:val="16"/>
        </w:rPr>
      </w:pPr>
      <w:proofErr w:type="gramStart"/>
      <w:r w:rsidRPr="00297FD4">
        <w:rPr>
          <w:b/>
          <w:bCs/>
          <w:sz w:val="16"/>
          <w:szCs w:val="16"/>
        </w:rPr>
        <w:t>R403.5 Mechanical ventilation (Mandatory).</w:t>
      </w:r>
      <w:proofErr w:type="gramEnd"/>
      <w:r w:rsidRPr="00297FD4">
        <w:rPr>
          <w:b/>
          <w:bCs/>
          <w:sz w:val="16"/>
          <w:szCs w:val="16"/>
        </w:rPr>
        <w:t xml:space="preserve"> </w:t>
      </w:r>
    </w:p>
    <w:p w:rsidR="00EE50F8" w:rsidRPr="00297FD4" w:rsidRDefault="00EE50F8" w:rsidP="008473BC">
      <w:pPr>
        <w:autoSpaceDE w:val="0"/>
        <w:autoSpaceDN w:val="0"/>
        <w:ind w:left="1440"/>
        <w:rPr>
          <w:sz w:val="16"/>
          <w:szCs w:val="16"/>
        </w:rPr>
      </w:pPr>
      <w:r w:rsidRPr="00297FD4">
        <w:rPr>
          <w:sz w:val="16"/>
          <w:szCs w:val="16"/>
        </w:rPr>
        <w:t xml:space="preserve">Each </w:t>
      </w:r>
      <w:r w:rsidRPr="00297FD4">
        <w:rPr>
          <w:i/>
          <w:iCs/>
          <w:sz w:val="16"/>
          <w:szCs w:val="16"/>
        </w:rPr>
        <w:t>dwelling unit</w:t>
      </w:r>
      <w:r w:rsidRPr="00297FD4">
        <w:rPr>
          <w:sz w:val="16"/>
          <w:szCs w:val="16"/>
        </w:rPr>
        <w:t xml:space="preserve"> of a </w:t>
      </w:r>
      <w:r w:rsidRPr="00297FD4">
        <w:rPr>
          <w:i/>
          <w:iCs/>
          <w:sz w:val="16"/>
          <w:szCs w:val="16"/>
        </w:rPr>
        <w:t>residential building</w:t>
      </w:r>
      <w:r w:rsidRPr="00297FD4">
        <w:rPr>
          <w:sz w:val="16"/>
          <w:szCs w:val="16"/>
        </w:rPr>
        <w:t xml:space="preserve"> shall be provided with continuously operating exhaust or balanced mechanical ventilation that has been site verified to meet a minimum airflow per</w:t>
      </w:r>
    </w:p>
    <w:p w:rsidR="00EE50F8" w:rsidRPr="00297FD4" w:rsidRDefault="00EE50F8" w:rsidP="008473BC">
      <w:pPr>
        <w:numPr>
          <w:ilvl w:val="0"/>
          <w:numId w:val="29"/>
        </w:numPr>
        <w:tabs>
          <w:tab w:val="clear" w:pos="1080"/>
          <w:tab w:val="num" w:pos="2520"/>
        </w:tabs>
        <w:autoSpaceDE w:val="0"/>
        <w:autoSpaceDN w:val="0"/>
        <w:ind w:left="2520"/>
        <w:rPr>
          <w:sz w:val="16"/>
          <w:szCs w:val="16"/>
        </w:rPr>
      </w:pPr>
      <w:r w:rsidRPr="00297FD4">
        <w:rPr>
          <w:sz w:val="16"/>
          <w:szCs w:val="16"/>
        </w:rPr>
        <w:t>the Energy Star Homes’ Version 3 or</w:t>
      </w:r>
    </w:p>
    <w:p w:rsidR="00EE50F8" w:rsidRPr="00297FD4" w:rsidRDefault="00EE50F8" w:rsidP="008473BC">
      <w:pPr>
        <w:numPr>
          <w:ilvl w:val="0"/>
          <w:numId w:val="29"/>
        </w:numPr>
        <w:tabs>
          <w:tab w:val="clear" w:pos="1080"/>
          <w:tab w:val="num" w:pos="2520"/>
        </w:tabs>
        <w:autoSpaceDE w:val="0"/>
        <w:autoSpaceDN w:val="0"/>
        <w:ind w:left="2520"/>
        <w:rPr>
          <w:sz w:val="16"/>
          <w:szCs w:val="16"/>
        </w:rPr>
      </w:pPr>
      <w:r w:rsidRPr="00297FD4">
        <w:rPr>
          <w:sz w:val="16"/>
          <w:szCs w:val="16"/>
        </w:rPr>
        <w:t>ASHRAE 62.2 - 2013 or</w:t>
      </w:r>
    </w:p>
    <w:p w:rsidR="00EE50F8" w:rsidRPr="00AA5870" w:rsidRDefault="00EE50F8" w:rsidP="00AA5870">
      <w:pPr>
        <w:numPr>
          <w:ilvl w:val="0"/>
          <w:numId w:val="29"/>
        </w:numPr>
        <w:tabs>
          <w:tab w:val="clear" w:pos="1080"/>
          <w:tab w:val="num" w:pos="2520"/>
        </w:tabs>
        <w:autoSpaceDE w:val="0"/>
        <w:autoSpaceDN w:val="0"/>
        <w:ind w:left="2520"/>
        <w:rPr>
          <w:sz w:val="16"/>
          <w:szCs w:val="16"/>
        </w:rPr>
      </w:pPr>
      <w:r w:rsidRPr="00297FD4">
        <w:rPr>
          <w:sz w:val="16"/>
          <w:szCs w:val="16"/>
        </w:rPr>
        <w:t xml:space="preserve">the following formula for one- and two-family dwellings and townhouses of three or less </w:t>
      </w:r>
      <w:r w:rsidRPr="00297FD4">
        <w:rPr>
          <w:i/>
          <w:iCs/>
          <w:sz w:val="16"/>
          <w:szCs w:val="16"/>
        </w:rPr>
        <w:t>stories above grade plane</w:t>
      </w:r>
      <w:r w:rsidRPr="00297FD4">
        <w:rPr>
          <w:sz w:val="16"/>
          <w:szCs w:val="16"/>
        </w:rPr>
        <w:t>:</w:t>
      </w:r>
      <w:r w:rsidR="00AA5870">
        <w:rPr>
          <w:sz w:val="16"/>
          <w:szCs w:val="16"/>
        </w:rPr>
        <w:t xml:space="preserve">         </w:t>
      </w:r>
      <w:r w:rsidRPr="00AA5870">
        <w:rPr>
          <w:sz w:val="16"/>
          <w:szCs w:val="16"/>
        </w:rPr>
        <w:t>Q = .03 x CFA + 7.5 x (</w:t>
      </w:r>
      <w:proofErr w:type="spellStart"/>
      <w:r w:rsidRPr="00AA5870">
        <w:rPr>
          <w:sz w:val="16"/>
          <w:szCs w:val="16"/>
        </w:rPr>
        <w:t>N</w:t>
      </w:r>
      <w:r w:rsidRPr="00AA5870">
        <w:rPr>
          <w:sz w:val="16"/>
          <w:szCs w:val="16"/>
          <w:vertAlign w:val="subscript"/>
        </w:rPr>
        <w:t>br</w:t>
      </w:r>
      <w:proofErr w:type="spellEnd"/>
      <w:r w:rsidRPr="00AA5870">
        <w:rPr>
          <w:sz w:val="16"/>
          <w:szCs w:val="16"/>
        </w:rPr>
        <w:t xml:space="preserve"> +1) - 0.052 x Q</w:t>
      </w:r>
      <w:r w:rsidRPr="00AA5870">
        <w:rPr>
          <w:sz w:val="16"/>
          <w:szCs w:val="16"/>
          <w:vertAlign w:val="subscript"/>
        </w:rPr>
        <w:t>50</w:t>
      </w:r>
      <w:r w:rsidRPr="00AA5870">
        <w:rPr>
          <w:sz w:val="16"/>
          <w:szCs w:val="16"/>
        </w:rPr>
        <w:t xml:space="preserve"> x S x WSF</w:t>
      </w:r>
    </w:p>
    <w:p w:rsidR="00EE50F8" w:rsidRPr="00297FD4" w:rsidRDefault="00EE50F8" w:rsidP="008473BC">
      <w:pPr>
        <w:ind w:left="1440"/>
        <w:rPr>
          <w:sz w:val="16"/>
          <w:szCs w:val="16"/>
        </w:rPr>
      </w:pPr>
    </w:p>
    <w:p w:rsidR="00EE50F8" w:rsidRPr="00297FD4" w:rsidRDefault="00EE50F8" w:rsidP="008473BC">
      <w:pPr>
        <w:ind w:left="2880" w:firstLine="720"/>
        <w:rPr>
          <w:sz w:val="16"/>
          <w:szCs w:val="16"/>
        </w:rPr>
      </w:pPr>
      <w:r w:rsidRPr="00297FD4">
        <w:rPr>
          <w:sz w:val="16"/>
          <w:szCs w:val="16"/>
        </w:rPr>
        <w:t>Where:</w:t>
      </w:r>
      <w:r w:rsidRPr="00297FD4">
        <w:rPr>
          <w:sz w:val="16"/>
          <w:szCs w:val="16"/>
        </w:rPr>
        <w:tab/>
        <w:t xml:space="preserve">CFA is the </w:t>
      </w:r>
      <w:r w:rsidRPr="00297FD4">
        <w:rPr>
          <w:i/>
          <w:iCs/>
          <w:sz w:val="16"/>
          <w:szCs w:val="16"/>
        </w:rPr>
        <w:t>conditioned floor area</w:t>
      </w:r>
      <w:r w:rsidRPr="00297FD4">
        <w:rPr>
          <w:sz w:val="16"/>
          <w:szCs w:val="16"/>
        </w:rPr>
        <w:t xml:space="preserve"> in sq ft</w:t>
      </w:r>
    </w:p>
    <w:p w:rsidR="00EE50F8" w:rsidRPr="00297FD4" w:rsidRDefault="00EE50F8" w:rsidP="008473BC">
      <w:pPr>
        <w:ind w:left="3600" w:firstLine="720"/>
        <w:rPr>
          <w:sz w:val="16"/>
          <w:szCs w:val="16"/>
        </w:rPr>
      </w:pPr>
      <w:proofErr w:type="spellStart"/>
      <w:r w:rsidRPr="00297FD4">
        <w:rPr>
          <w:sz w:val="16"/>
          <w:szCs w:val="16"/>
        </w:rPr>
        <w:t>N</w:t>
      </w:r>
      <w:r w:rsidRPr="00297FD4">
        <w:rPr>
          <w:sz w:val="16"/>
          <w:szCs w:val="16"/>
          <w:vertAlign w:val="subscript"/>
        </w:rPr>
        <w:t>br</w:t>
      </w:r>
      <w:proofErr w:type="spellEnd"/>
      <w:r w:rsidRPr="00297FD4">
        <w:rPr>
          <w:sz w:val="16"/>
          <w:szCs w:val="16"/>
        </w:rPr>
        <w:t xml:space="preserve"> is the number of bedrooms</w:t>
      </w:r>
    </w:p>
    <w:p w:rsidR="00EE50F8" w:rsidRPr="00297FD4" w:rsidRDefault="00EE50F8" w:rsidP="008473BC">
      <w:pPr>
        <w:ind w:left="4320"/>
        <w:rPr>
          <w:sz w:val="16"/>
          <w:szCs w:val="16"/>
        </w:rPr>
      </w:pPr>
      <w:r w:rsidRPr="00297FD4">
        <w:rPr>
          <w:sz w:val="16"/>
          <w:szCs w:val="16"/>
        </w:rPr>
        <w:t>Q</w:t>
      </w:r>
      <w:r w:rsidRPr="00297FD4">
        <w:rPr>
          <w:sz w:val="16"/>
          <w:szCs w:val="16"/>
          <w:vertAlign w:val="subscript"/>
        </w:rPr>
        <w:t>50</w:t>
      </w:r>
      <w:r w:rsidRPr="00297FD4">
        <w:rPr>
          <w:sz w:val="16"/>
          <w:szCs w:val="16"/>
        </w:rPr>
        <w:t xml:space="preserve"> is the verified blower door air leakage rate in </w:t>
      </w:r>
      <w:proofErr w:type="spellStart"/>
      <w:r w:rsidRPr="00297FD4">
        <w:rPr>
          <w:sz w:val="16"/>
          <w:szCs w:val="16"/>
        </w:rPr>
        <w:t>cfm</w:t>
      </w:r>
      <w:proofErr w:type="spellEnd"/>
      <w:r w:rsidRPr="00297FD4">
        <w:rPr>
          <w:sz w:val="16"/>
          <w:szCs w:val="16"/>
        </w:rPr>
        <w:t xml:space="preserve"> measured</w:t>
      </w:r>
    </w:p>
    <w:p w:rsidR="00EE50F8" w:rsidRPr="00297FD4" w:rsidRDefault="00EE50F8" w:rsidP="008473BC">
      <w:pPr>
        <w:ind w:left="4320" w:firstLine="720"/>
        <w:rPr>
          <w:sz w:val="16"/>
          <w:szCs w:val="16"/>
        </w:rPr>
      </w:pPr>
      <w:proofErr w:type="gramStart"/>
      <w:r w:rsidRPr="00297FD4">
        <w:rPr>
          <w:sz w:val="16"/>
          <w:szCs w:val="16"/>
        </w:rPr>
        <w:t>at</w:t>
      </w:r>
      <w:proofErr w:type="gramEnd"/>
      <w:r w:rsidRPr="00297FD4">
        <w:rPr>
          <w:sz w:val="16"/>
          <w:szCs w:val="16"/>
        </w:rPr>
        <w:t xml:space="preserve"> 50 </w:t>
      </w:r>
      <w:proofErr w:type="spellStart"/>
      <w:r w:rsidRPr="00297FD4">
        <w:rPr>
          <w:sz w:val="16"/>
          <w:szCs w:val="16"/>
        </w:rPr>
        <w:t>Pascals</w:t>
      </w:r>
      <w:proofErr w:type="spellEnd"/>
    </w:p>
    <w:p w:rsidR="00EE50F8" w:rsidRPr="00297FD4" w:rsidRDefault="00EE50F8" w:rsidP="008473BC">
      <w:pPr>
        <w:ind w:left="3600" w:firstLine="720"/>
        <w:rPr>
          <w:sz w:val="16"/>
          <w:szCs w:val="16"/>
        </w:rPr>
      </w:pPr>
      <w:r w:rsidRPr="00297FD4">
        <w:rPr>
          <w:sz w:val="16"/>
          <w:szCs w:val="16"/>
        </w:rPr>
        <w:t>S is the building height factor determined by this table:</w:t>
      </w:r>
    </w:p>
    <w:tbl>
      <w:tblPr>
        <w:tblpPr w:leftFromText="180" w:rightFromText="180" w:vertAnchor="text" w:horzAnchor="page" w:tblpX="5653" w:tblpY="125"/>
        <w:tblW w:w="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4"/>
        <w:gridCol w:w="636"/>
        <w:gridCol w:w="709"/>
        <w:gridCol w:w="636"/>
      </w:tblGrid>
      <w:tr w:rsidR="00EE50F8" w:rsidRPr="00297FD4">
        <w:tc>
          <w:tcPr>
            <w:tcW w:w="2144" w:type="dxa"/>
          </w:tcPr>
          <w:p w:rsidR="00EE50F8" w:rsidRPr="00297FD4" w:rsidRDefault="00EE50F8" w:rsidP="006B7D67">
            <w:pPr>
              <w:jc w:val="center"/>
              <w:rPr>
                <w:sz w:val="16"/>
                <w:szCs w:val="16"/>
              </w:rPr>
            </w:pPr>
            <w:r w:rsidRPr="00297FD4">
              <w:rPr>
                <w:sz w:val="16"/>
                <w:szCs w:val="16"/>
              </w:rPr>
              <w:t>stories above grade plane</w:t>
            </w:r>
          </w:p>
        </w:tc>
        <w:tc>
          <w:tcPr>
            <w:tcW w:w="636" w:type="dxa"/>
            <w:vAlign w:val="center"/>
          </w:tcPr>
          <w:p w:rsidR="00EE50F8" w:rsidRPr="00297FD4" w:rsidRDefault="00EE50F8" w:rsidP="006B7D67">
            <w:pPr>
              <w:jc w:val="center"/>
              <w:rPr>
                <w:sz w:val="16"/>
                <w:szCs w:val="16"/>
              </w:rPr>
            </w:pPr>
            <w:r w:rsidRPr="00297FD4">
              <w:rPr>
                <w:sz w:val="16"/>
                <w:szCs w:val="16"/>
              </w:rPr>
              <w:t>1</w:t>
            </w:r>
          </w:p>
        </w:tc>
        <w:tc>
          <w:tcPr>
            <w:tcW w:w="709" w:type="dxa"/>
            <w:vAlign w:val="center"/>
          </w:tcPr>
          <w:p w:rsidR="00EE50F8" w:rsidRPr="00297FD4" w:rsidRDefault="00EE50F8" w:rsidP="006B7D67">
            <w:pPr>
              <w:jc w:val="center"/>
              <w:rPr>
                <w:sz w:val="16"/>
                <w:szCs w:val="16"/>
              </w:rPr>
            </w:pPr>
            <w:r w:rsidRPr="00297FD4">
              <w:rPr>
                <w:sz w:val="16"/>
                <w:szCs w:val="16"/>
              </w:rPr>
              <w:t>2</w:t>
            </w:r>
          </w:p>
        </w:tc>
        <w:tc>
          <w:tcPr>
            <w:tcW w:w="636" w:type="dxa"/>
            <w:vAlign w:val="center"/>
          </w:tcPr>
          <w:p w:rsidR="00EE50F8" w:rsidRPr="00297FD4" w:rsidRDefault="00EE50F8" w:rsidP="006B7D67">
            <w:pPr>
              <w:jc w:val="center"/>
              <w:rPr>
                <w:sz w:val="16"/>
                <w:szCs w:val="16"/>
              </w:rPr>
            </w:pPr>
            <w:r w:rsidRPr="00297FD4">
              <w:rPr>
                <w:sz w:val="16"/>
                <w:szCs w:val="16"/>
              </w:rPr>
              <w:t>3</w:t>
            </w:r>
          </w:p>
        </w:tc>
      </w:tr>
      <w:tr w:rsidR="00EE50F8" w:rsidRPr="00297FD4">
        <w:tc>
          <w:tcPr>
            <w:tcW w:w="2144" w:type="dxa"/>
          </w:tcPr>
          <w:p w:rsidR="00EE50F8" w:rsidRPr="00297FD4" w:rsidRDefault="00EE50F8" w:rsidP="006B7D67">
            <w:pPr>
              <w:jc w:val="center"/>
              <w:rPr>
                <w:sz w:val="16"/>
                <w:szCs w:val="16"/>
              </w:rPr>
            </w:pPr>
            <w:r w:rsidRPr="00297FD4">
              <w:rPr>
                <w:sz w:val="16"/>
                <w:szCs w:val="16"/>
              </w:rPr>
              <w:t>S</w:t>
            </w:r>
          </w:p>
        </w:tc>
        <w:tc>
          <w:tcPr>
            <w:tcW w:w="636" w:type="dxa"/>
          </w:tcPr>
          <w:p w:rsidR="00EE50F8" w:rsidRPr="00297FD4" w:rsidRDefault="00EE50F8" w:rsidP="006B7D67">
            <w:pPr>
              <w:jc w:val="center"/>
              <w:rPr>
                <w:sz w:val="16"/>
                <w:szCs w:val="16"/>
              </w:rPr>
            </w:pPr>
            <w:r w:rsidRPr="00297FD4">
              <w:rPr>
                <w:sz w:val="16"/>
                <w:szCs w:val="16"/>
              </w:rPr>
              <w:t>1.00</w:t>
            </w:r>
          </w:p>
        </w:tc>
        <w:tc>
          <w:tcPr>
            <w:tcW w:w="709" w:type="dxa"/>
          </w:tcPr>
          <w:p w:rsidR="00EE50F8" w:rsidRPr="00297FD4" w:rsidRDefault="00EE50F8" w:rsidP="006B7D67">
            <w:pPr>
              <w:jc w:val="center"/>
              <w:rPr>
                <w:sz w:val="16"/>
                <w:szCs w:val="16"/>
              </w:rPr>
            </w:pPr>
            <w:r w:rsidRPr="00297FD4">
              <w:rPr>
                <w:sz w:val="16"/>
                <w:szCs w:val="16"/>
              </w:rPr>
              <w:t>1.32</w:t>
            </w:r>
          </w:p>
        </w:tc>
        <w:tc>
          <w:tcPr>
            <w:tcW w:w="636" w:type="dxa"/>
          </w:tcPr>
          <w:p w:rsidR="00EE50F8" w:rsidRPr="00297FD4" w:rsidRDefault="00EE50F8" w:rsidP="006B7D67">
            <w:pPr>
              <w:jc w:val="center"/>
              <w:rPr>
                <w:sz w:val="16"/>
                <w:szCs w:val="16"/>
              </w:rPr>
            </w:pPr>
            <w:r w:rsidRPr="00297FD4">
              <w:rPr>
                <w:sz w:val="16"/>
                <w:szCs w:val="16"/>
              </w:rPr>
              <w:t>1.55</w:t>
            </w:r>
          </w:p>
        </w:tc>
      </w:tr>
    </w:tbl>
    <w:p w:rsidR="00EE50F8" w:rsidRPr="00297FD4" w:rsidRDefault="00EE50F8" w:rsidP="008473BC">
      <w:pPr>
        <w:ind w:left="3600" w:firstLine="720"/>
        <w:rPr>
          <w:sz w:val="16"/>
          <w:szCs w:val="16"/>
        </w:rPr>
      </w:pPr>
    </w:p>
    <w:p w:rsidR="00EE50F8" w:rsidRPr="00297FD4" w:rsidRDefault="00EE50F8" w:rsidP="008473BC">
      <w:pPr>
        <w:ind w:left="3600" w:firstLine="720"/>
        <w:rPr>
          <w:sz w:val="16"/>
          <w:szCs w:val="16"/>
        </w:rPr>
      </w:pPr>
    </w:p>
    <w:p w:rsidR="00EE50F8" w:rsidRPr="00297FD4" w:rsidRDefault="00EE50F8" w:rsidP="008473BC">
      <w:pPr>
        <w:ind w:left="3600" w:firstLine="720"/>
        <w:rPr>
          <w:sz w:val="16"/>
          <w:szCs w:val="16"/>
        </w:rPr>
      </w:pPr>
      <w:r w:rsidRPr="00297FD4">
        <w:rPr>
          <w:sz w:val="16"/>
          <w:szCs w:val="16"/>
        </w:rPr>
        <w:t>WSF is the shielded weather factor as determined by this table:</w:t>
      </w:r>
    </w:p>
    <w:tbl>
      <w:tblPr>
        <w:tblW w:w="0" w:type="auto"/>
        <w:tblInd w:w="4754" w:type="dxa"/>
        <w:tblCellMar>
          <w:left w:w="0" w:type="dxa"/>
          <w:right w:w="0" w:type="dxa"/>
        </w:tblCellMar>
        <w:tblLook w:val="00A0"/>
      </w:tblPr>
      <w:tblGrid>
        <w:gridCol w:w="1006"/>
        <w:gridCol w:w="720"/>
        <w:gridCol w:w="990"/>
        <w:gridCol w:w="900"/>
      </w:tblGrid>
      <w:tr w:rsidR="00EE50F8" w:rsidRPr="00297FD4" w:rsidTr="004E7B48">
        <w:tc>
          <w:tcPr>
            <w:tcW w:w="1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E50F8" w:rsidRPr="00C770D4" w:rsidRDefault="00EE50F8" w:rsidP="005E55A7">
            <w:pPr>
              <w:jc w:val="center"/>
              <w:rPr>
                <w:b/>
                <w:bCs/>
                <w:sz w:val="16"/>
                <w:szCs w:val="16"/>
              </w:rPr>
            </w:pPr>
            <w:r w:rsidRPr="00C770D4">
              <w:rPr>
                <w:b/>
                <w:bCs/>
                <w:sz w:val="16"/>
                <w:szCs w:val="16"/>
              </w:rPr>
              <w:t>County</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E50F8" w:rsidRPr="00C770D4" w:rsidRDefault="00EE50F8" w:rsidP="005E55A7">
            <w:pPr>
              <w:jc w:val="center"/>
              <w:rPr>
                <w:b/>
                <w:bCs/>
                <w:sz w:val="16"/>
                <w:szCs w:val="16"/>
              </w:rPr>
            </w:pPr>
            <w:r w:rsidRPr="00C770D4">
              <w:rPr>
                <w:b/>
                <w:bCs/>
                <w:sz w:val="16"/>
                <w:szCs w:val="16"/>
              </w:rPr>
              <w:t>WSF</w:t>
            </w:r>
          </w:p>
        </w:tc>
        <w:tc>
          <w:tcPr>
            <w:tcW w:w="990" w:type="dxa"/>
            <w:tcBorders>
              <w:top w:val="single" w:sz="8" w:space="0" w:color="auto"/>
              <w:left w:val="nil"/>
              <w:bottom w:val="single" w:sz="8" w:space="0" w:color="auto"/>
              <w:right w:val="single" w:sz="8" w:space="0" w:color="auto"/>
            </w:tcBorders>
            <w:vAlign w:val="center"/>
          </w:tcPr>
          <w:p w:rsidR="00EE50F8" w:rsidRPr="00C770D4" w:rsidRDefault="00EE50F8" w:rsidP="005E55A7">
            <w:pPr>
              <w:jc w:val="center"/>
              <w:rPr>
                <w:b/>
                <w:bCs/>
                <w:sz w:val="16"/>
                <w:szCs w:val="16"/>
              </w:rPr>
            </w:pPr>
            <w:r w:rsidRPr="00C770D4">
              <w:rPr>
                <w:b/>
                <w:bCs/>
                <w:sz w:val="16"/>
                <w:szCs w:val="16"/>
              </w:rPr>
              <w:t>County</w:t>
            </w:r>
          </w:p>
        </w:tc>
        <w:tc>
          <w:tcPr>
            <w:tcW w:w="900" w:type="dxa"/>
            <w:tcBorders>
              <w:top w:val="single" w:sz="8" w:space="0" w:color="auto"/>
              <w:left w:val="nil"/>
              <w:bottom w:val="single" w:sz="8" w:space="0" w:color="auto"/>
              <w:right w:val="single" w:sz="8" w:space="0" w:color="auto"/>
            </w:tcBorders>
            <w:vAlign w:val="center"/>
          </w:tcPr>
          <w:p w:rsidR="00EE50F8" w:rsidRPr="00C770D4" w:rsidRDefault="00EE50F8" w:rsidP="005E55A7">
            <w:pPr>
              <w:jc w:val="center"/>
              <w:rPr>
                <w:b/>
                <w:bCs/>
                <w:sz w:val="16"/>
                <w:szCs w:val="16"/>
              </w:rPr>
            </w:pPr>
            <w:r w:rsidRPr="00C770D4">
              <w:rPr>
                <w:b/>
                <w:bCs/>
                <w:sz w:val="16"/>
                <w:szCs w:val="16"/>
              </w:rPr>
              <w:t>WSF</w:t>
            </w:r>
          </w:p>
        </w:tc>
      </w:tr>
      <w:tr w:rsidR="00EE50F8" w:rsidRPr="00297FD4" w:rsidTr="004E7B48">
        <w:tc>
          <w:tcPr>
            <w:tcW w:w="1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E50F8" w:rsidRPr="00C770D4" w:rsidRDefault="00EE50F8" w:rsidP="005E55A7">
            <w:pPr>
              <w:jc w:val="center"/>
              <w:rPr>
                <w:sz w:val="16"/>
                <w:szCs w:val="16"/>
              </w:rPr>
            </w:pPr>
            <w:r w:rsidRPr="00C770D4">
              <w:rPr>
                <w:sz w:val="16"/>
                <w:szCs w:val="16"/>
              </w:rPr>
              <w:t>Barnstable</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EE50F8" w:rsidRPr="00C770D4" w:rsidRDefault="00EE50F8" w:rsidP="005E55A7">
            <w:pPr>
              <w:jc w:val="center"/>
              <w:rPr>
                <w:sz w:val="16"/>
                <w:szCs w:val="16"/>
              </w:rPr>
            </w:pPr>
            <w:r w:rsidRPr="00C770D4">
              <w:rPr>
                <w:sz w:val="16"/>
                <w:szCs w:val="16"/>
              </w:rPr>
              <w:t>0.60</w:t>
            </w:r>
          </w:p>
        </w:tc>
        <w:tc>
          <w:tcPr>
            <w:tcW w:w="990" w:type="dxa"/>
            <w:tcBorders>
              <w:top w:val="nil"/>
              <w:left w:val="nil"/>
              <w:bottom w:val="single" w:sz="8" w:space="0" w:color="auto"/>
              <w:right w:val="single" w:sz="8" w:space="0" w:color="auto"/>
            </w:tcBorders>
            <w:vAlign w:val="center"/>
          </w:tcPr>
          <w:p w:rsidR="00EE50F8" w:rsidRPr="00C770D4" w:rsidRDefault="00EE50F8" w:rsidP="005E55A7">
            <w:pPr>
              <w:jc w:val="center"/>
              <w:rPr>
                <w:sz w:val="16"/>
                <w:szCs w:val="16"/>
              </w:rPr>
            </w:pPr>
            <w:r w:rsidRPr="00C770D4">
              <w:rPr>
                <w:sz w:val="16"/>
                <w:szCs w:val="16"/>
              </w:rPr>
              <w:t>Hampshire</w:t>
            </w:r>
          </w:p>
        </w:tc>
        <w:tc>
          <w:tcPr>
            <w:tcW w:w="900" w:type="dxa"/>
            <w:tcBorders>
              <w:top w:val="nil"/>
              <w:left w:val="nil"/>
              <w:bottom w:val="single" w:sz="8" w:space="0" w:color="auto"/>
              <w:right w:val="single" w:sz="8" w:space="0" w:color="auto"/>
            </w:tcBorders>
            <w:vAlign w:val="center"/>
          </w:tcPr>
          <w:p w:rsidR="00EE50F8" w:rsidRPr="00C770D4" w:rsidRDefault="00EE50F8" w:rsidP="005E55A7">
            <w:pPr>
              <w:jc w:val="center"/>
              <w:rPr>
                <w:sz w:val="16"/>
                <w:szCs w:val="16"/>
              </w:rPr>
            </w:pPr>
            <w:r w:rsidRPr="00C770D4">
              <w:rPr>
                <w:sz w:val="16"/>
                <w:szCs w:val="16"/>
              </w:rPr>
              <w:t>0.59</w:t>
            </w:r>
          </w:p>
        </w:tc>
      </w:tr>
      <w:tr w:rsidR="00EE50F8" w:rsidRPr="00297FD4" w:rsidTr="004E7B48">
        <w:tc>
          <w:tcPr>
            <w:tcW w:w="1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E50F8" w:rsidRPr="00C770D4" w:rsidRDefault="00EE50F8" w:rsidP="005E55A7">
            <w:pPr>
              <w:jc w:val="center"/>
              <w:rPr>
                <w:sz w:val="16"/>
                <w:szCs w:val="16"/>
              </w:rPr>
            </w:pPr>
            <w:r w:rsidRPr="00C770D4">
              <w:rPr>
                <w:sz w:val="16"/>
                <w:szCs w:val="16"/>
              </w:rPr>
              <w:t>Berkshire</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EE50F8" w:rsidRPr="00C770D4" w:rsidRDefault="00EE50F8" w:rsidP="005E55A7">
            <w:pPr>
              <w:jc w:val="center"/>
              <w:rPr>
                <w:sz w:val="16"/>
                <w:szCs w:val="16"/>
              </w:rPr>
            </w:pPr>
            <w:r w:rsidRPr="00C770D4">
              <w:rPr>
                <w:sz w:val="16"/>
                <w:szCs w:val="16"/>
              </w:rPr>
              <w:t>0.52</w:t>
            </w:r>
          </w:p>
        </w:tc>
        <w:tc>
          <w:tcPr>
            <w:tcW w:w="990" w:type="dxa"/>
            <w:tcBorders>
              <w:top w:val="nil"/>
              <w:left w:val="nil"/>
              <w:bottom w:val="single" w:sz="8" w:space="0" w:color="auto"/>
              <w:right w:val="single" w:sz="8" w:space="0" w:color="auto"/>
            </w:tcBorders>
            <w:vAlign w:val="center"/>
          </w:tcPr>
          <w:p w:rsidR="00EE50F8" w:rsidRPr="00C770D4" w:rsidRDefault="00EE50F8" w:rsidP="005E55A7">
            <w:pPr>
              <w:jc w:val="center"/>
              <w:rPr>
                <w:sz w:val="16"/>
                <w:szCs w:val="16"/>
              </w:rPr>
            </w:pPr>
            <w:r w:rsidRPr="00C770D4">
              <w:rPr>
                <w:sz w:val="16"/>
                <w:szCs w:val="16"/>
              </w:rPr>
              <w:t>Middlesex</w:t>
            </w:r>
          </w:p>
        </w:tc>
        <w:tc>
          <w:tcPr>
            <w:tcW w:w="900" w:type="dxa"/>
            <w:tcBorders>
              <w:top w:val="nil"/>
              <w:left w:val="nil"/>
              <w:bottom w:val="single" w:sz="8" w:space="0" w:color="auto"/>
              <w:right w:val="single" w:sz="8" w:space="0" w:color="auto"/>
            </w:tcBorders>
            <w:vAlign w:val="center"/>
          </w:tcPr>
          <w:p w:rsidR="00EE50F8" w:rsidRPr="00C770D4" w:rsidRDefault="00EE50F8" w:rsidP="005E55A7">
            <w:pPr>
              <w:jc w:val="center"/>
              <w:rPr>
                <w:sz w:val="16"/>
                <w:szCs w:val="16"/>
              </w:rPr>
            </w:pPr>
            <w:r w:rsidRPr="00C770D4">
              <w:rPr>
                <w:sz w:val="16"/>
                <w:szCs w:val="16"/>
              </w:rPr>
              <w:t>0.55</w:t>
            </w:r>
          </w:p>
        </w:tc>
      </w:tr>
      <w:tr w:rsidR="00EE50F8" w:rsidRPr="00297FD4" w:rsidTr="004E7B48">
        <w:tc>
          <w:tcPr>
            <w:tcW w:w="1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E50F8" w:rsidRPr="00C770D4" w:rsidRDefault="00EE50F8" w:rsidP="005E55A7">
            <w:pPr>
              <w:jc w:val="center"/>
              <w:rPr>
                <w:sz w:val="16"/>
                <w:szCs w:val="16"/>
              </w:rPr>
            </w:pPr>
            <w:r w:rsidRPr="00C770D4">
              <w:rPr>
                <w:sz w:val="16"/>
                <w:szCs w:val="16"/>
              </w:rPr>
              <w:t>Bristol</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EE50F8" w:rsidRPr="00C770D4" w:rsidRDefault="00EE50F8" w:rsidP="005E55A7">
            <w:pPr>
              <w:jc w:val="center"/>
              <w:rPr>
                <w:sz w:val="16"/>
                <w:szCs w:val="16"/>
              </w:rPr>
            </w:pPr>
            <w:r w:rsidRPr="00C770D4">
              <w:rPr>
                <w:sz w:val="16"/>
                <w:szCs w:val="16"/>
              </w:rPr>
              <w:t>0.54</w:t>
            </w:r>
          </w:p>
        </w:tc>
        <w:tc>
          <w:tcPr>
            <w:tcW w:w="990" w:type="dxa"/>
            <w:tcBorders>
              <w:top w:val="nil"/>
              <w:left w:val="nil"/>
              <w:bottom w:val="single" w:sz="8" w:space="0" w:color="auto"/>
              <w:right w:val="single" w:sz="8" w:space="0" w:color="auto"/>
            </w:tcBorders>
            <w:vAlign w:val="center"/>
          </w:tcPr>
          <w:p w:rsidR="00EE50F8" w:rsidRPr="00C770D4" w:rsidRDefault="00EE50F8" w:rsidP="005E55A7">
            <w:pPr>
              <w:jc w:val="center"/>
              <w:rPr>
                <w:sz w:val="16"/>
                <w:szCs w:val="16"/>
              </w:rPr>
            </w:pPr>
            <w:r w:rsidRPr="00C770D4">
              <w:rPr>
                <w:sz w:val="16"/>
                <w:szCs w:val="16"/>
              </w:rPr>
              <w:t>Nantucket</w:t>
            </w:r>
          </w:p>
        </w:tc>
        <w:tc>
          <w:tcPr>
            <w:tcW w:w="900" w:type="dxa"/>
            <w:tcBorders>
              <w:top w:val="nil"/>
              <w:left w:val="nil"/>
              <w:bottom w:val="single" w:sz="8" w:space="0" w:color="auto"/>
              <w:right w:val="single" w:sz="8" w:space="0" w:color="auto"/>
            </w:tcBorders>
            <w:vAlign w:val="center"/>
          </w:tcPr>
          <w:p w:rsidR="00EE50F8" w:rsidRPr="00C770D4" w:rsidRDefault="00EE50F8" w:rsidP="005E55A7">
            <w:pPr>
              <w:jc w:val="center"/>
              <w:rPr>
                <w:sz w:val="16"/>
                <w:szCs w:val="16"/>
              </w:rPr>
            </w:pPr>
            <w:r w:rsidRPr="00C770D4">
              <w:rPr>
                <w:sz w:val="16"/>
                <w:szCs w:val="16"/>
              </w:rPr>
              <w:t>0.61</w:t>
            </w:r>
          </w:p>
        </w:tc>
      </w:tr>
      <w:tr w:rsidR="00EE50F8" w:rsidRPr="00297FD4" w:rsidTr="004E7B48">
        <w:tc>
          <w:tcPr>
            <w:tcW w:w="1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E50F8" w:rsidRPr="00C770D4" w:rsidRDefault="00EE50F8" w:rsidP="005E55A7">
            <w:pPr>
              <w:jc w:val="center"/>
              <w:rPr>
                <w:sz w:val="16"/>
                <w:szCs w:val="16"/>
              </w:rPr>
            </w:pPr>
            <w:r w:rsidRPr="00C770D4">
              <w:rPr>
                <w:sz w:val="16"/>
                <w:szCs w:val="16"/>
              </w:rPr>
              <w:t>Dukes</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EE50F8" w:rsidRPr="00C770D4" w:rsidRDefault="00EE50F8" w:rsidP="005E55A7">
            <w:pPr>
              <w:jc w:val="center"/>
              <w:rPr>
                <w:sz w:val="16"/>
                <w:szCs w:val="16"/>
              </w:rPr>
            </w:pPr>
            <w:r w:rsidRPr="00C770D4">
              <w:rPr>
                <w:sz w:val="16"/>
                <w:szCs w:val="16"/>
              </w:rPr>
              <w:t>0.59</w:t>
            </w:r>
          </w:p>
        </w:tc>
        <w:tc>
          <w:tcPr>
            <w:tcW w:w="990" w:type="dxa"/>
            <w:tcBorders>
              <w:top w:val="nil"/>
              <w:left w:val="nil"/>
              <w:bottom w:val="single" w:sz="8" w:space="0" w:color="auto"/>
              <w:right w:val="single" w:sz="8" w:space="0" w:color="auto"/>
            </w:tcBorders>
            <w:vAlign w:val="center"/>
          </w:tcPr>
          <w:p w:rsidR="00EE50F8" w:rsidRPr="00C770D4" w:rsidRDefault="00EE50F8" w:rsidP="005E55A7">
            <w:pPr>
              <w:jc w:val="center"/>
              <w:rPr>
                <w:sz w:val="16"/>
                <w:szCs w:val="16"/>
              </w:rPr>
            </w:pPr>
            <w:r w:rsidRPr="00C770D4">
              <w:rPr>
                <w:sz w:val="16"/>
                <w:szCs w:val="16"/>
              </w:rPr>
              <w:t>Norfolk</w:t>
            </w:r>
          </w:p>
        </w:tc>
        <w:tc>
          <w:tcPr>
            <w:tcW w:w="900" w:type="dxa"/>
            <w:tcBorders>
              <w:top w:val="nil"/>
              <w:left w:val="nil"/>
              <w:bottom w:val="single" w:sz="8" w:space="0" w:color="auto"/>
              <w:right w:val="single" w:sz="8" w:space="0" w:color="auto"/>
            </w:tcBorders>
            <w:vAlign w:val="center"/>
          </w:tcPr>
          <w:p w:rsidR="00EE50F8" w:rsidRPr="00C770D4" w:rsidRDefault="00EE50F8" w:rsidP="005E55A7">
            <w:pPr>
              <w:jc w:val="center"/>
              <w:rPr>
                <w:sz w:val="16"/>
                <w:szCs w:val="16"/>
              </w:rPr>
            </w:pPr>
            <w:r w:rsidRPr="00C770D4">
              <w:rPr>
                <w:sz w:val="16"/>
                <w:szCs w:val="16"/>
              </w:rPr>
              <w:t>0.52</w:t>
            </w:r>
          </w:p>
        </w:tc>
      </w:tr>
      <w:tr w:rsidR="00EE50F8" w:rsidRPr="00297FD4" w:rsidTr="004E7B48">
        <w:tc>
          <w:tcPr>
            <w:tcW w:w="1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E50F8" w:rsidRPr="00C770D4" w:rsidRDefault="00EE50F8" w:rsidP="005E55A7">
            <w:pPr>
              <w:jc w:val="center"/>
              <w:rPr>
                <w:sz w:val="16"/>
                <w:szCs w:val="16"/>
              </w:rPr>
            </w:pPr>
            <w:r w:rsidRPr="00C770D4">
              <w:rPr>
                <w:sz w:val="16"/>
                <w:szCs w:val="16"/>
              </w:rPr>
              <w:t>Essex</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EE50F8" w:rsidRPr="00C770D4" w:rsidRDefault="00EE50F8" w:rsidP="005E55A7">
            <w:pPr>
              <w:jc w:val="center"/>
              <w:rPr>
                <w:sz w:val="16"/>
                <w:szCs w:val="16"/>
              </w:rPr>
            </w:pPr>
            <w:r w:rsidRPr="00C770D4">
              <w:rPr>
                <w:sz w:val="16"/>
                <w:szCs w:val="16"/>
              </w:rPr>
              <w:t>0.58</w:t>
            </w:r>
          </w:p>
        </w:tc>
        <w:tc>
          <w:tcPr>
            <w:tcW w:w="990" w:type="dxa"/>
            <w:tcBorders>
              <w:top w:val="nil"/>
              <w:left w:val="nil"/>
              <w:bottom w:val="single" w:sz="8" w:space="0" w:color="auto"/>
              <w:right w:val="single" w:sz="8" w:space="0" w:color="auto"/>
            </w:tcBorders>
            <w:vAlign w:val="center"/>
          </w:tcPr>
          <w:p w:rsidR="00EE50F8" w:rsidRPr="00C770D4" w:rsidRDefault="00EE50F8" w:rsidP="005E55A7">
            <w:pPr>
              <w:jc w:val="center"/>
              <w:rPr>
                <w:sz w:val="16"/>
                <w:szCs w:val="16"/>
              </w:rPr>
            </w:pPr>
            <w:r w:rsidRPr="00C770D4">
              <w:rPr>
                <w:sz w:val="16"/>
                <w:szCs w:val="16"/>
              </w:rPr>
              <w:t>Plymouth</w:t>
            </w:r>
          </w:p>
        </w:tc>
        <w:tc>
          <w:tcPr>
            <w:tcW w:w="900" w:type="dxa"/>
            <w:tcBorders>
              <w:top w:val="nil"/>
              <w:left w:val="nil"/>
              <w:bottom w:val="single" w:sz="8" w:space="0" w:color="auto"/>
              <w:right w:val="single" w:sz="8" w:space="0" w:color="auto"/>
            </w:tcBorders>
            <w:vAlign w:val="center"/>
          </w:tcPr>
          <w:p w:rsidR="00EE50F8" w:rsidRPr="00C770D4" w:rsidRDefault="00EE50F8" w:rsidP="005E55A7">
            <w:pPr>
              <w:jc w:val="center"/>
              <w:rPr>
                <w:sz w:val="16"/>
                <w:szCs w:val="16"/>
              </w:rPr>
            </w:pPr>
            <w:r w:rsidRPr="00C770D4">
              <w:rPr>
                <w:sz w:val="16"/>
                <w:szCs w:val="16"/>
              </w:rPr>
              <w:t>0.53</w:t>
            </w:r>
          </w:p>
        </w:tc>
      </w:tr>
      <w:tr w:rsidR="00EE50F8" w:rsidRPr="00297FD4" w:rsidTr="004E7B48">
        <w:tc>
          <w:tcPr>
            <w:tcW w:w="1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E50F8" w:rsidRPr="00C770D4" w:rsidRDefault="00EE50F8" w:rsidP="005E55A7">
            <w:pPr>
              <w:jc w:val="center"/>
              <w:rPr>
                <w:sz w:val="16"/>
                <w:szCs w:val="16"/>
              </w:rPr>
            </w:pPr>
            <w:r w:rsidRPr="00C770D4">
              <w:rPr>
                <w:sz w:val="16"/>
                <w:szCs w:val="16"/>
              </w:rPr>
              <w:t>Franklin</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EE50F8" w:rsidRPr="00C770D4" w:rsidRDefault="00EE50F8" w:rsidP="005E55A7">
            <w:pPr>
              <w:jc w:val="center"/>
              <w:rPr>
                <w:sz w:val="16"/>
                <w:szCs w:val="16"/>
              </w:rPr>
            </w:pPr>
            <w:r w:rsidRPr="00C770D4">
              <w:rPr>
                <w:sz w:val="16"/>
                <w:szCs w:val="16"/>
              </w:rPr>
              <w:t>0.52</w:t>
            </w:r>
          </w:p>
        </w:tc>
        <w:tc>
          <w:tcPr>
            <w:tcW w:w="990" w:type="dxa"/>
            <w:tcBorders>
              <w:top w:val="nil"/>
              <w:left w:val="nil"/>
              <w:bottom w:val="single" w:sz="8" w:space="0" w:color="auto"/>
              <w:right w:val="single" w:sz="8" w:space="0" w:color="auto"/>
            </w:tcBorders>
            <w:vAlign w:val="center"/>
          </w:tcPr>
          <w:p w:rsidR="00EE50F8" w:rsidRPr="00C770D4" w:rsidRDefault="00EE50F8" w:rsidP="005E55A7">
            <w:pPr>
              <w:jc w:val="center"/>
              <w:rPr>
                <w:sz w:val="16"/>
                <w:szCs w:val="16"/>
              </w:rPr>
            </w:pPr>
            <w:r w:rsidRPr="00C770D4">
              <w:rPr>
                <w:sz w:val="16"/>
                <w:szCs w:val="16"/>
              </w:rPr>
              <w:t>Suffolk</w:t>
            </w:r>
          </w:p>
        </w:tc>
        <w:tc>
          <w:tcPr>
            <w:tcW w:w="900" w:type="dxa"/>
            <w:tcBorders>
              <w:top w:val="nil"/>
              <w:left w:val="nil"/>
              <w:bottom w:val="single" w:sz="8" w:space="0" w:color="auto"/>
              <w:right w:val="single" w:sz="8" w:space="0" w:color="auto"/>
            </w:tcBorders>
            <w:vAlign w:val="center"/>
          </w:tcPr>
          <w:p w:rsidR="00EE50F8" w:rsidRPr="00C770D4" w:rsidRDefault="00EE50F8" w:rsidP="005E55A7">
            <w:pPr>
              <w:jc w:val="center"/>
              <w:rPr>
                <w:sz w:val="16"/>
                <w:szCs w:val="16"/>
              </w:rPr>
            </w:pPr>
            <w:r w:rsidRPr="00C770D4">
              <w:rPr>
                <w:sz w:val="16"/>
                <w:szCs w:val="16"/>
              </w:rPr>
              <w:t>0.66</w:t>
            </w:r>
          </w:p>
        </w:tc>
      </w:tr>
      <w:tr w:rsidR="00EE50F8" w:rsidRPr="00297FD4" w:rsidTr="004E7B48">
        <w:tc>
          <w:tcPr>
            <w:tcW w:w="10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E50F8" w:rsidRPr="00C770D4" w:rsidRDefault="00EE50F8" w:rsidP="005E55A7">
            <w:pPr>
              <w:jc w:val="center"/>
              <w:rPr>
                <w:sz w:val="16"/>
                <w:szCs w:val="16"/>
              </w:rPr>
            </w:pPr>
            <w:r w:rsidRPr="00C770D4">
              <w:rPr>
                <w:sz w:val="16"/>
                <w:szCs w:val="16"/>
              </w:rPr>
              <w:t>Hampden</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EE50F8" w:rsidRPr="00C770D4" w:rsidRDefault="00EE50F8" w:rsidP="005E55A7">
            <w:pPr>
              <w:jc w:val="center"/>
              <w:rPr>
                <w:sz w:val="16"/>
                <w:szCs w:val="16"/>
              </w:rPr>
            </w:pPr>
            <w:r w:rsidRPr="00C770D4">
              <w:rPr>
                <w:sz w:val="16"/>
                <w:szCs w:val="16"/>
              </w:rPr>
              <w:t>0.49</w:t>
            </w:r>
          </w:p>
        </w:tc>
        <w:tc>
          <w:tcPr>
            <w:tcW w:w="990" w:type="dxa"/>
            <w:tcBorders>
              <w:top w:val="nil"/>
              <w:left w:val="nil"/>
              <w:bottom w:val="single" w:sz="8" w:space="0" w:color="auto"/>
              <w:right w:val="single" w:sz="8" w:space="0" w:color="auto"/>
            </w:tcBorders>
            <w:vAlign w:val="center"/>
          </w:tcPr>
          <w:p w:rsidR="00EE50F8" w:rsidRPr="00C770D4" w:rsidRDefault="00EE50F8" w:rsidP="005E55A7">
            <w:pPr>
              <w:jc w:val="center"/>
              <w:rPr>
                <w:sz w:val="16"/>
                <w:szCs w:val="16"/>
              </w:rPr>
            </w:pPr>
            <w:r w:rsidRPr="00C770D4">
              <w:rPr>
                <w:sz w:val="16"/>
                <w:szCs w:val="16"/>
              </w:rPr>
              <w:t>Worcester</w:t>
            </w:r>
          </w:p>
        </w:tc>
        <w:tc>
          <w:tcPr>
            <w:tcW w:w="900" w:type="dxa"/>
            <w:tcBorders>
              <w:top w:val="nil"/>
              <w:left w:val="nil"/>
              <w:bottom w:val="single" w:sz="8" w:space="0" w:color="auto"/>
              <w:right w:val="single" w:sz="8" w:space="0" w:color="auto"/>
            </w:tcBorders>
            <w:vAlign w:val="center"/>
          </w:tcPr>
          <w:p w:rsidR="00EE50F8" w:rsidRPr="00C770D4" w:rsidRDefault="00EE50F8" w:rsidP="005E55A7">
            <w:pPr>
              <w:jc w:val="center"/>
              <w:rPr>
                <w:sz w:val="16"/>
                <w:szCs w:val="16"/>
              </w:rPr>
            </w:pPr>
            <w:r w:rsidRPr="00C770D4">
              <w:rPr>
                <w:sz w:val="16"/>
                <w:szCs w:val="16"/>
              </w:rPr>
              <w:t>0.59</w:t>
            </w:r>
          </w:p>
        </w:tc>
      </w:tr>
    </w:tbl>
    <w:p w:rsidR="00EE50F8" w:rsidRDefault="008171E5" w:rsidP="0029343A">
      <w:pPr>
        <w:pStyle w:val="BodyTextIndent"/>
        <w:widowControl/>
        <w:ind w:left="720"/>
      </w:pPr>
      <w:r>
        <w:rPr>
          <w:noProof/>
        </w:rPr>
        <w:lastRenderedPageBreak/>
        <w:drawing>
          <wp:inline distT="0" distB="0" distL="0" distR="0">
            <wp:extent cx="4686300" cy="376237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srcRect/>
                    <a:stretch>
                      <a:fillRect/>
                    </a:stretch>
                  </pic:blipFill>
                  <pic:spPr bwMode="auto">
                    <a:xfrm>
                      <a:off x="0" y="0"/>
                      <a:ext cx="4686300" cy="3762375"/>
                    </a:xfrm>
                    <a:prstGeom prst="rect">
                      <a:avLst/>
                    </a:prstGeom>
                    <a:noFill/>
                    <a:ln w="9525">
                      <a:noFill/>
                      <a:miter lim="800000"/>
                      <a:headEnd/>
                      <a:tailEnd/>
                    </a:ln>
                  </pic:spPr>
                </pic:pic>
              </a:graphicData>
            </a:graphic>
          </wp:inline>
        </w:drawing>
      </w:r>
    </w:p>
    <w:p w:rsidR="00EE50F8" w:rsidRDefault="00EE50F8" w:rsidP="0029343A">
      <w:pPr>
        <w:pStyle w:val="BodyTextIndent"/>
        <w:widowControl/>
        <w:ind w:left="720"/>
      </w:pPr>
    </w:p>
    <w:p w:rsidR="00EE50F8" w:rsidRDefault="00EE50F8" w:rsidP="008473BC">
      <w:pPr>
        <w:pStyle w:val="BodyTextIndent"/>
        <w:widowControl/>
        <w:numPr>
          <w:ilvl w:val="0"/>
          <w:numId w:val="15"/>
        </w:numPr>
      </w:pPr>
      <w:r>
        <w:t xml:space="preserve">The US Energy Information Administration (EIA), an arm of the US Department of Energy, provides statistics and information on many energy topics including energy conversion methods. For example, to assign a ‘price’ to the heating loads produced by this paper, start here </w:t>
      </w:r>
      <w:hyperlink r:id="rId55" w:history="1">
        <w:r w:rsidRPr="00A40C4D">
          <w:rPr>
            <w:rStyle w:val="Hyperlink"/>
          </w:rPr>
          <w:t>http://www.eia.gov/tools/faqs/faq.cfm?id=45&amp;t=8</w:t>
        </w:r>
      </w:hyperlink>
      <w:r>
        <w:t xml:space="preserve"> with EIA’s frequently asked questions. Gas utilities essentially compute billing price on a dollar amount per </w:t>
      </w:r>
      <w:r w:rsidRPr="008A230B">
        <w:rPr>
          <w:i/>
        </w:rPr>
        <w:t>delivered</w:t>
      </w:r>
      <w:r>
        <w:t xml:space="preserve"> Therm. One </w:t>
      </w:r>
      <w:proofErr w:type="spellStart"/>
      <w:r>
        <w:t>Therm</w:t>
      </w:r>
      <w:proofErr w:type="spellEnd"/>
      <w:r>
        <w:t xml:space="preserve"> is equivalent to 100,000 Btu or 0.10 </w:t>
      </w:r>
      <w:proofErr w:type="spellStart"/>
      <w:r>
        <w:t>MMBtu</w:t>
      </w:r>
      <w:proofErr w:type="spellEnd"/>
      <w:r>
        <w:t xml:space="preserve">, and a gas utility bill </w:t>
      </w:r>
      <w:r w:rsidR="000637D1">
        <w:t xml:space="preserve">(NSTAR) </w:t>
      </w:r>
      <w:r>
        <w:t xml:space="preserve">for March 2014 indicates that one </w:t>
      </w:r>
      <w:proofErr w:type="spellStart"/>
      <w:r>
        <w:t>Therm</w:t>
      </w:r>
      <w:proofErr w:type="spellEnd"/>
      <w:r>
        <w:t xml:space="preserve"> is priced at $1.03,</w:t>
      </w:r>
      <w:r w:rsidR="000637D1">
        <w:t xml:space="preserve"> while another (</w:t>
      </w:r>
      <w:proofErr w:type="spellStart"/>
      <w:r w:rsidR="000637D1">
        <w:t>NationalGrid</w:t>
      </w:r>
      <w:proofErr w:type="spellEnd"/>
      <w:r w:rsidR="000637D1">
        <w:t xml:space="preserve">) has a </w:t>
      </w:r>
      <w:proofErr w:type="spellStart"/>
      <w:r w:rsidR="000637D1">
        <w:t>Therm</w:t>
      </w:r>
      <w:proofErr w:type="spellEnd"/>
      <w:r w:rsidR="000637D1">
        <w:t xml:space="preserve"> priced at </w:t>
      </w:r>
      <w:r w:rsidR="008A230B">
        <w:t>$1.70. An average of $1.37</w:t>
      </w:r>
      <w:r>
        <w:t xml:space="preserve"> and therefo</w:t>
      </w:r>
      <w:r w:rsidR="008A230B">
        <w:t xml:space="preserve">re 1 </w:t>
      </w:r>
      <w:proofErr w:type="spellStart"/>
      <w:r w:rsidR="008A230B">
        <w:t>MMBtu</w:t>
      </w:r>
      <w:proofErr w:type="spellEnd"/>
      <w:r w:rsidR="008A230B">
        <w:t xml:space="preserve"> will be priced at $13.7</w:t>
      </w:r>
      <w:r>
        <w:t>0. Natural gas prices swing up and down through the year but for the purpose of this paper, $1</w:t>
      </w:r>
      <w:r w:rsidR="008A230B">
        <w:t>3.7</w:t>
      </w:r>
      <w:r>
        <w:t xml:space="preserve">0 will be used to compute price for each 1 </w:t>
      </w:r>
      <w:proofErr w:type="spellStart"/>
      <w:r>
        <w:t>MMBtu</w:t>
      </w:r>
      <w:proofErr w:type="spellEnd"/>
      <w:r>
        <w:t xml:space="preserve"> of annual heating load. No price computations for electricity or fuel oil or other will be done.   </w:t>
      </w:r>
    </w:p>
    <w:p w:rsidR="00EE50F8" w:rsidRDefault="00EE50F8" w:rsidP="008473BC">
      <w:pPr>
        <w:pStyle w:val="BodyTextIndent"/>
        <w:widowControl/>
        <w:numPr>
          <w:ilvl w:val="0"/>
          <w:numId w:val="15"/>
        </w:numPr>
      </w:pPr>
      <w:r>
        <w:t xml:space="preserve">For example, </w:t>
      </w:r>
      <w:r w:rsidR="000637D1">
        <w:t>an NSTAR utility customer received</w:t>
      </w:r>
      <w:r>
        <w:t xml:space="preserve"> a monthly notice from this utility indicating in graphical form how much more natural gas his building has used compared to </w:t>
      </w:r>
      <w:r w:rsidRPr="00545649">
        <w:rPr>
          <w:i/>
          <w:iCs/>
        </w:rPr>
        <w:t>‘all neighbors’</w:t>
      </w:r>
      <w:r>
        <w:t xml:space="preserve"> and </w:t>
      </w:r>
      <w:r w:rsidRPr="00545649">
        <w:rPr>
          <w:i/>
          <w:iCs/>
        </w:rPr>
        <w:t>‘efficient neighbors’</w:t>
      </w:r>
      <w:r>
        <w:t xml:space="preserve">. In this particular case irrelevant information </w:t>
      </w:r>
      <w:r w:rsidR="000637D1">
        <w:t>was</w:t>
      </w:r>
      <w:r>
        <w:t xml:space="preserve"> provided since a single boiler supplies the entire building (two-units) with heat and hot water versus a typical two-unit building individually metered. If the only cost passed to the consumer is the $.49 for postage (clearly this is unreasonably low because the paper, printing ink, software and personnel to generate the data all have costs associated with these monthly mailings) then each customer is charged $6 per year. With </w:t>
      </w:r>
      <w:r w:rsidRPr="00D03C3B">
        <w:t>approximately 300,000</w:t>
      </w:r>
      <w:r>
        <w:t xml:space="preserve"> NSTAR natural gas customers this amounts to $1.8M per year. </w:t>
      </w:r>
    </w:p>
    <w:p w:rsidR="00EE50F8" w:rsidRPr="00253451" w:rsidRDefault="00EE50F8" w:rsidP="000A55FB"/>
    <w:p w:rsidR="00EE50F8" w:rsidRPr="00773EBB" w:rsidRDefault="00EE50F8" w:rsidP="000A55FB">
      <w:pPr>
        <w:autoSpaceDE w:val="0"/>
        <w:autoSpaceDN w:val="0"/>
        <w:ind w:left="360"/>
        <w:rPr>
          <w:strike/>
        </w:rPr>
      </w:pPr>
    </w:p>
    <w:p w:rsidR="00EE50F8" w:rsidRDefault="00EE50F8" w:rsidP="007F729C"/>
    <w:sectPr w:rsidR="00EE50F8" w:rsidSect="00C371E8">
      <w:headerReference w:type="even" r:id="rId56"/>
      <w:headerReference w:type="default" r:id="rId57"/>
      <w:footerReference w:type="default" r:id="rId58"/>
      <w:headerReference w:type="first" r:id="rId5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596" w:rsidRDefault="00795596" w:rsidP="00B71641">
      <w:r>
        <w:separator/>
      </w:r>
    </w:p>
  </w:endnote>
  <w:endnote w:type="continuationSeparator" w:id="0">
    <w:p w:rsidR="00795596" w:rsidRDefault="00795596" w:rsidP="00B716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481" w:rsidRDefault="003464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596" w:rsidRDefault="0033095E">
    <w:pPr>
      <w:pStyle w:val="Footer"/>
      <w:pBdr>
        <w:top w:val="single" w:sz="4" w:space="1" w:color="D9D9D9"/>
      </w:pBdr>
      <w:rPr>
        <w:b/>
        <w:bCs/>
      </w:rPr>
    </w:pPr>
    <w:fldSimple w:instr=" PAGE   \* MERGEFORMAT ">
      <w:r w:rsidR="00346481" w:rsidRPr="00346481">
        <w:rPr>
          <w:b/>
          <w:bCs/>
          <w:noProof/>
        </w:rPr>
        <w:t>4</w:t>
      </w:r>
    </w:fldSimple>
    <w:r w:rsidR="00795596">
      <w:rPr>
        <w:b/>
        <w:bCs/>
      </w:rPr>
      <w:t xml:space="preserve"> | </w:t>
    </w:r>
    <w:r w:rsidR="00795596">
      <w:rPr>
        <w:color w:val="7F7F7F"/>
        <w:spacing w:val="60"/>
      </w:rPr>
      <w:t>Page</w:t>
    </w:r>
  </w:p>
  <w:p w:rsidR="00795596" w:rsidRDefault="007955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481" w:rsidRDefault="0034648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596" w:rsidRDefault="0033095E">
    <w:pPr>
      <w:pStyle w:val="Footer"/>
      <w:pBdr>
        <w:top w:val="single" w:sz="4" w:space="1" w:color="D9D9D9"/>
      </w:pBdr>
      <w:rPr>
        <w:b/>
        <w:bCs/>
      </w:rPr>
    </w:pPr>
    <w:fldSimple w:instr=" PAGE   \* MERGEFORMAT ">
      <w:r w:rsidR="00346481" w:rsidRPr="00346481">
        <w:rPr>
          <w:b/>
          <w:bCs/>
          <w:noProof/>
        </w:rPr>
        <w:t>12</w:t>
      </w:r>
    </w:fldSimple>
    <w:r w:rsidR="00795596">
      <w:rPr>
        <w:b/>
        <w:bCs/>
      </w:rPr>
      <w:t xml:space="preserve"> | </w:t>
    </w:r>
    <w:r w:rsidR="00795596">
      <w:rPr>
        <w:color w:val="7F7F7F"/>
        <w:spacing w:val="60"/>
      </w:rPr>
      <w:t>Page</w:t>
    </w:r>
  </w:p>
  <w:p w:rsidR="00795596" w:rsidRDefault="007955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596" w:rsidRDefault="00795596" w:rsidP="00B71641">
      <w:r>
        <w:separator/>
      </w:r>
    </w:p>
  </w:footnote>
  <w:footnote w:type="continuationSeparator" w:id="0">
    <w:p w:rsidR="00795596" w:rsidRDefault="00795596" w:rsidP="00B716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481" w:rsidRDefault="003464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596" w:rsidRDefault="003309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38153" o:spid="_x0000_s2049"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Preliminar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481" w:rsidRDefault="0034648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481" w:rsidRDefault="0034648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481" w:rsidRDefault="0034648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481" w:rsidRDefault="003464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273B1"/>
    <w:multiLevelType w:val="hybridMultilevel"/>
    <w:tmpl w:val="4D004E40"/>
    <w:lvl w:ilvl="0" w:tplc="AA0C228A">
      <w:start w:val="1"/>
      <w:numFmt w:val="bullet"/>
      <w:lvlText w:val=""/>
      <w:lvlJc w:val="left"/>
      <w:pPr>
        <w:tabs>
          <w:tab w:val="num" w:pos="1080"/>
        </w:tabs>
        <w:ind w:left="1080" w:hanging="360"/>
      </w:pPr>
      <w:rPr>
        <w:rFonts w:ascii="Symbol" w:hAnsi="Symbol" w:cs="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F404AE8"/>
    <w:multiLevelType w:val="hybridMultilevel"/>
    <w:tmpl w:val="C22EDD4C"/>
    <w:lvl w:ilvl="0" w:tplc="B4686FF0">
      <w:start w:val="3"/>
      <w:numFmt w:val="bullet"/>
      <w:lvlText w:val="-"/>
      <w:lvlJc w:val="left"/>
      <w:pPr>
        <w:ind w:left="795" w:hanging="360"/>
      </w:pPr>
      <w:rPr>
        <w:rFonts w:ascii="Times New Roman" w:eastAsia="Times New Roman" w:hAnsi="Times New Roman"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cs="Wingdings" w:hint="default"/>
      </w:rPr>
    </w:lvl>
    <w:lvl w:ilvl="3" w:tplc="04090001">
      <w:start w:val="1"/>
      <w:numFmt w:val="bullet"/>
      <w:lvlText w:val=""/>
      <w:lvlJc w:val="left"/>
      <w:pPr>
        <w:ind w:left="2955" w:hanging="360"/>
      </w:pPr>
      <w:rPr>
        <w:rFonts w:ascii="Symbol" w:hAnsi="Symbol" w:cs="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cs="Wingdings" w:hint="default"/>
      </w:rPr>
    </w:lvl>
    <w:lvl w:ilvl="6" w:tplc="04090001">
      <w:start w:val="1"/>
      <w:numFmt w:val="bullet"/>
      <w:lvlText w:val=""/>
      <w:lvlJc w:val="left"/>
      <w:pPr>
        <w:ind w:left="5115" w:hanging="360"/>
      </w:pPr>
      <w:rPr>
        <w:rFonts w:ascii="Symbol" w:hAnsi="Symbol" w:cs="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cs="Wingdings" w:hint="default"/>
      </w:rPr>
    </w:lvl>
  </w:abstractNum>
  <w:abstractNum w:abstractNumId="2">
    <w:nsid w:val="0FE918FC"/>
    <w:multiLevelType w:val="hybridMultilevel"/>
    <w:tmpl w:val="5A4A26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3067A92"/>
    <w:multiLevelType w:val="hybridMultilevel"/>
    <w:tmpl w:val="18C48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223D37"/>
    <w:multiLevelType w:val="hybridMultilevel"/>
    <w:tmpl w:val="89CE42A8"/>
    <w:lvl w:ilvl="0" w:tplc="9A30AF0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B959D8"/>
    <w:multiLevelType w:val="hybridMultilevel"/>
    <w:tmpl w:val="E5EC3288"/>
    <w:lvl w:ilvl="0" w:tplc="AA0C228A">
      <w:start w:val="1"/>
      <w:numFmt w:val="bullet"/>
      <w:lvlText w:val=""/>
      <w:lvlJc w:val="left"/>
      <w:pPr>
        <w:tabs>
          <w:tab w:val="num" w:pos="360"/>
        </w:tabs>
        <w:ind w:left="360" w:hanging="360"/>
      </w:pPr>
      <w:rPr>
        <w:rFonts w:ascii="Symbol" w:hAnsi="Symbol" w:cs="Symbol" w:hint="default"/>
        <w:sz w:val="22"/>
        <w:szCs w:val="22"/>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2160"/>
        </w:tabs>
        <w:ind w:left="216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6">
    <w:nsid w:val="14582054"/>
    <w:multiLevelType w:val="hybridMultilevel"/>
    <w:tmpl w:val="F4620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6836543"/>
    <w:multiLevelType w:val="hybridMultilevel"/>
    <w:tmpl w:val="21F0785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1DD35704"/>
    <w:multiLevelType w:val="hybridMultilevel"/>
    <w:tmpl w:val="05F25DEE"/>
    <w:lvl w:ilvl="0" w:tplc="AA0C228A">
      <w:start w:val="1"/>
      <w:numFmt w:val="bullet"/>
      <w:lvlText w:val=""/>
      <w:lvlJc w:val="left"/>
      <w:pPr>
        <w:tabs>
          <w:tab w:val="num" w:pos="1080"/>
        </w:tabs>
        <w:ind w:left="1080" w:hanging="360"/>
      </w:pPr>
      <w:rPr>
        <w:rFonts w:ascii="Symbol" w:hAnsi="Symbol" w:cs="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1E376597"/>
    <w:multiLevelType w:val="hybridMultilevel"/>
    <w:tmpl w:val="23CA6B4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0F">
      <w:start w:val="1"/>
      <w:numFmt w:val="decimal"/>
      <w:lvlText w:val="%3."/>
      <w:lvlJc w:val="left"/>
      <w:pPr>
        <w:tabs>
          <w:tab w:val="num" w:pos="360"/>
        </w:tabs>
        <w:ind w:left="360" w:hanging="360"/>
      </w:pPr>
    </w:lvl>
    <w:lvl w:ilvl="3" w:tplc="04090019">
      <w:start w:val="1"/>
      <w:numFmt w:val="lowerLetter"/>
      <w:lvlText w:val="%4."/>
      <w:lvlJc w:val="left"/>
      <w:pPr>
        <w:tabs>
          <w:tab w:val="num" w:pos="2160"/>
        </w:tabs>
        <w:ind w:left="2160" w:hanging="360"/>
      </w:pPr>
    </w:lvl>
    <w:lvl w:ilvl="4" w:tplc="04090013">
      <w:start w:val="1"/>
      <w:numFmt w:val="upperRoman"/>
      <w:lvlText w:val="%5."/>
      <w:lvlJc w:val="right"/>
      <w:pPr>
        <w:tabs>
          <w:tab w:val="num" w:pos="2700"/>
        </w:tabs>
        <w:ind w:left="2700" w:hanging="180"/>
      </w:p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10">
    <w:nsid w:val="2CA14704"/>
    <w:multiLevelType w:val="hybridMultilevel"/>
    <w:tmpl w:val="1952E844"/>
    <w:lvl w:ilvl="0" w:tplc="0409000F">
      <w:start w:val="1"/>
      <w:numFmt w:val="decimal"/>
      <w:lvlText w:val="%1."/>
      <w:lvlJc w:val="left"/>
      <w:pPr>
        <w:ind w:left="775" w:hanging="360"/>
      </w:pPr>
    </w:lvl>
    <w:lvl w:ilvl="1" w:tplc="04090019">
      <w:start w:val="1"/>
      <w:numFmt w:val="lowerLetter"/>
      <w:lvlText w:val="%2."/>
      <w:lvlJc w:val="left"/>
      <w:pPr>
        <w:ind w:left="1495" w:hanging="360"/>
      </w:pPr>
    </w:lvl>
    <w:lvl w:ilvl="2" w:tplc="0409001B">
      <w:start w:val="1"/>
      <w:numFmt w:val="lowerRoman"/>
      <w:lvlText w:val="%3."/>
      <w:lvlJc w:val="right"/>
      <w:pPr>
        <w:ind w:left="2215" w:hanging="180"/>
      </w:pPr>
    </w:lvl>
    <w:lvl w:ilvl="3" w:tplc="0409000F">
      <w:start w:val="1"/>
      <w:numFmt w:val="decimal"/>
      <w:lvlText w:val="%4."/>
      <w:lvlJc w:val="left"/>
      <w:pPr>
        <w:ind w:left="2935" w:hanging="360"/>
      </w:pPr>
    </w:lvl>
    <w:lvl w:ilvl="4" w:tplc="04090019">
      <w:start w:val="1"/>
      <w:numFmt w:val="lowerLetter"/>
      <w:lvlText w:val="%5."/>
      <w:lvlJc w:val="left"/>
      <w:pPr>
        <w:ind w:left="3655" w:hanging="360"/>
      </w:pPr>
    </w:lvl>
    <w:lvl w:ilvl="5" w:tplc="0409001B">
      <w:start w:val="1"/>
      <w:numFmt w:val="lowerRoman"/>
      <w:lvlText w:val="%6."/>
      <w:lvlJc w:val="right"/>
      <w:pPr>
        <w:ind w:left="4375" w:hanging="180"/>
      </w:pPr>
    </w:lvl>
    <w:lvl w:ilvl="6" w:tplc="0409000F">
      <w:start w:val="1"/>
      <w:numFmt w:val="decimal"/>
      <w:lvlText w:val="%7."/>
      <w:lvlJc w:val="left"/>
      <w:pPr>
        <w:ind w:left="5095" w:hanging="360"/>
      </w:pPr>
    </w:lvl>
    <w:lvl w:ilvl="7" w:tplc="04090019">
      <w:start w:val="1"/>
      <w:numFmt w:val="lowerLetter"/>
      <w:lvlText w:val="%8."/>
      <w:lvlJc w:val="left"/>
      <w:pPr>
        <w:ind w:left="5815" w:hanging="360"/>
      </w:pPr>
    </w:lvl>
    <w:lvl w:ilvl="8" w:tplc="0409001B">
      <w:start w:val="1"/>
      <w:numFmt w:val="lowerRoman"/>
      <w:lvlText w:val="%9."/>
      <w:lvlJc w:val="right"/>
      <w:pPr>
        <w:ind w:left="6535" w:hanging="180"/>
      </w:pPr>
    </w:lvl>
  </w:abstractNum>
  <w:abstractNum w:abstractNumId="11">
    <w:nsid w:val="2F563E50"/>
    <w:multiLevelType w:val="hybridMultilevel"/>
    <w:tmpl w:val="545EFC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42E7681"/>
    <w:multiLevelType w:val="hybridMultilevel"/>
    <w:tmpl w:val="ED1271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ADA7E07"/>
    <w:multiLevelType w:val="hybridMultilevel"/>
    <w:tmpl w:val="F4620BB2"/>
    <w:lvl w:ilvl="0" w:tplc="0409000F">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C57246C"/>
    <w:multiLevelType w:val="hybridMultilevel"/>
    <w:tmpl w:val="05AA86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3D4B1904"/>
    <w:multiLevelType w:val="hybridMultilevel"/>
    <w:tmpl w:val="BAAAA996"/>
    <w:lvl w:ilvl="0" w:tplc="B3EE3302">
      <w:start w:val="1"/>
      <w:numFmt w:val="decimal"/>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E592399"/>
    <w:multiLevelType w:val="hybridMultilevel"/>
    <w:tmpl w:val="54C8F7A8"/>
    <w:lvl w:ilvl="0" w:tplc="897A6E0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40CB601C"/>
    <w:multiLevelType w:val="hybridMultilevel"/>
    <w:tmpl w:val="A2BC958A"/>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0F">
      <w:start w:val="1"/>
      <w:numFmt w:val="decimal"/>
      <w:lvlText w:val="%3."/>
      <w:lvlJc w:val="left"/>
      <w:pPr>
        <w:tabs>
          <w:tab w:val="num" w:pos="360"/>
        </w:tabs>
        <w:ind w:left="360" w:hanging="360"/>
      </w:pPr>
    </w:lvl>
    <w:lvl w:ilvl="3" w:tplc="04090019">
      <w:start w:val="1"/>
      <w:numFmt w:val="lowerLetter"/>
      <w:lvlText w:val="%4."/>
      <w:lvlJc w:val="left"/>
      <w:pPr>
        <w:tabs>
          <w:tab w:val="num" w:pos="2160"/>
        </w:tabs>
        <w:ind w:left="2160" w:hanging="360"/>
      </w:pPr>
    </w:lvl>
    <w:lvl w:ilvl="4" w:tplc="075241BE">
      <w:start w:val="1"/>
      <w:numFmt w:val="lowerRoman"/>
      <w:lvlText w:val="%5"/>
      <w:lvlJc w:val="left"/>
      <w:pPr>
        <w:tabs>
          <w:tab w:val="num" w:pos="2700"/>
        </w:tabs>
        <w:ind w:left="2700" w:hanging="180"/>
      </w:pPr>
      <w:rPr>
        <w:rFonts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18">
    <w:nsid w:val="46B13ED9"/>
    <w:multiLevelType w:val="hybridMultilevel"/>
    <w:tmpl w:val="961C5E34"/>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0F">
      <w:start w:val="1"/>
      <w:numFmt w:val="decimal"/>
      <w:lvlText w:val="%3."/>
      <w:lvlJc w:val="left"/>
      <w:pPr>
        <w:tabs>
          <w:tab w:val="num" w:pos="360"/>
        </w:tabs>
        <w:ind w:left="360" w:hanging="360"/>
      </w:pPr>
    </w:lvl>
    <w:lvl w:ilvl="3" w:tplc="04090019">
      <w:start w:val="1"/>
      <w:numFmt w:val="lowerLetter"/>
      <w:lvlText w:val="%4."/>
      <w:lvlJc w:val="left"/>
      <w:pPr>
        <w:tabs>
          <w:tab w:val="num" w:pos="2160"/>
        </w:tabs>
        <w:ind w:left="2160" w:hanging="360"/>
      </w:pPr>
    </w:lvl>
    <w:lvl w:ilvl="4" w:tplc="075241BE">
      <w:start w:val="1"/>
      <w:numFmt w:val="lowerRoman"/>
      <w:lvlText w:val="%5"/>
      <w:lvlJc w:val="left"/>
      <w:pPr>
        <w:tabs>
          <w:tab w:val="num" w:pos="2700"/>
        </w:tabs>
        <w:ind w:left="2700" w:hanging="180"/>
      </w:pPr>
      <w:rPr>
        <w:rFonts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19">
    <w:nsid w:val="494655E2"/>
    <w:multiLevelType w:val="hybridMultilevel"/>
    <w:tmpl w:val="1E2001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50E51E31"/>
    <w:multiLevelType w:val="hybridMultilevel"/>
    <w:tmpl w:val="C9D6A87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5B285775"/>
    <w:multiLevelType w:val="hybridMultilevel"/>
    <w:tmpl w:val="111836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5F1F70AE"/>
    <w:multiLevelType w:val="hybridMultilevel"/>
    <w:tmpl w:val="479E10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5FA746C3"/>
    <w:multiLevelType w:val="hybridMultilevel"/>
    <w:tmpl w:val="C100D47A"/>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0F">
      <w:start w:val="1"/>
      <w:numFmt w:val="decimal"/>
      <w:lvlText w:val="%3."/>
      <w:lvlJc w:val="left"/>
      <w:pPr>
        <w:tabs>
          <w:tab w:val="num" w:pos="360"/>
        </w:tabs>
        <w:ind w:left="360" w:hanging="360"/>
      </w:pPr>
    </w:lvl>
    <w:lvl w:ilvl="3" w:tplc="075241BE">
      <w:start w:val="1"/>
      <w:numFmt w:val="lowerRoman"/>
      <w:lvlText w:val="%4"/>
      <w:lvlJc w:val="left"/>
      <w:pPr>
        <w:tabs>
          <w:tab w:val="num" w:pos="2160"/>
        </w:tabs>
        <w:ind w:left="2160" w:hanging="360"/>
      </w:pPr>
      <w:rPr>
        <w:rFonts w:hint="default"/>
      </w:rPr>
    </w:lvl>
    <w:lvl w:ilvl="4" w:tplc="075241BE">
      <w:start w:val="1"/>
      <w:numFmt w:val="lowerRoman"/>
      <w:lvlText w:val="%5"/>
      <w:lvlJc w:val="left"/>
      <w:pPr>
        <w:tabs>
          <w:tab w:val="num" w:pos="2700"/>
        </w:tabs>
        <w:ind w:left="2700" w:hanging="180"/>
      </w:pPr>
      <w:rPr>
        <w:rFonts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24">
    <w:nsid w:val="60114929"/>
    <w:multiLevelType w:val="hybridMultilevel"/>
    <w:tmpl w:val="E230E66E"/>
    <w:lvl w:ilvl="0" w:tplc="0409000F">
      <w:start w:val="1"/>
      <w:numFmt w:val="decimal"/>
      <w:lvlText w:val="%1."/>
      <w:lvlJc w:val="left"/>
      <w:pPr>
        <w:ind w:left="720" w:hanging="360"/>
      </w:pPr>
    </w:lvl>
    <w:lvl w:ilvl="1" w:tplc="C122B4CC">
      <w:start w:val="4"/>
      <w:numFmt w:val="bullet"/>
      <w:lvlText w:val="•"/>
      <w:lvlJc w:val="left"/>
      <w:pPr>
        <w:ind w:left="1440" w:hanging="360"/>
      </w:pPr>
      <w:rPr>
        <w:rFonts w:ascii="Times New Roman" w:eastAsia="Times New Roman" w:hAnsi="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1246515"/>
    <w:multiLevelType w:val="hybridMultilevel"/>
    <w:tmpl w:val="9594B370"/>
    <w:lvl w:ilvl="0" w:tplc="0262D17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69E7DBF"/>
    <w:multiLevelType w:val="hybridMultilevel"/>
    <w:tmpl w:val="B372D1AC"/>
    <w:lvl w:ilvl="0" w:tplc="AA0C228A">
      <w:start w:val="1"/>
      <w:numFmt w:val="bullet"/>
      <w:lvlText w:val=""/>
      <w:lvlJc w:val="left"/>
      <w:pPr>
        <w:tabs>
          <w:tab w:val="num" w:pos="1080"/>
        </w:tabs>
        <w:ind w:left="1080" w:hanging="360"/>
      </w:pPr>
      <w:rPr>
        <w:rFonts w:ascii="Symbol" w:hAnsi="Symbol" w:cs="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67015136"/>
    <w:multiLevelType w:val="hybridMultilevel"/>
    <w:tmpl w:val="9E9AE730"/>
    <w:lvl w:ilvl="0" w:tplc="0409000F">
      <w:start w:val="1"/>
      <w:numFmt w:val="decimal"/>
      <w:lvlText w:val="%1."/>
      <w:lvlJc w:val="left"/>
      <w:pPr>
        <w:ind w:left="144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28">
    <w:nsid w:val="68A5462A"/>
    <w:multiLevelType w:val="hybridMultilevel"/>
    <w:tmpl w:val="1952E844"/>
    <w:lvl w:ilvl="0" w:tplc="0409000F">
      <w:start w:val="1"/>
      <w:numFmt w:val="decimal"/>
      <w:lvlText w:val="%1."/>
      <w:lvlJc w:val="left"/>
      <w:pPr>
        <w:ind w:left="775" w:hanging="360"/>
      </w:pPr>
    </w:lvl>
    <w:lvl w:ilvl="1" w:tplc="04090019">
      <w:start w:val="1"/>
      <w:numFmt w:val="lowerLetter"/>
      <w:lvlText w:val="%2."/>
      <w:lvlJc w:val="left"/>
      <w:pPr>
        <w:ind w:left="1495" w:hanging="360"/>
      </w:pPr>
    </w:lvl>
    <w:lvl w:ilvl="2" w:tplc="0409001B">
      <w:start w:val="1"/>
      <w:numFmt w:val="lowerRoman"/>
      <w:lvlText w:val="%3."/>
      <w:lvlJc w:val="right"/>
      <w:pPr>
        <w:ind w:left="2215" w:hanging="180"/>
      </w:pPr>
    </w:lvl>
    <w:lvl w:ilvl="3" w:tplc="0409000F">
      <w:start w:val="1"/>
      <w:numFmt w:val="decimal"/>
      <w:lvlText w:val="%4."/>
      <w:lvlJc w:val="left"/>
      <w:pPr>
        <w:ind w:left="2935" w:hanging="360"/>
      </w:pPr>
    </w:lvl>
    <w:lvl w:ilvl="4" w:tplc="04090019">
      <w:start w:val="1"/>
      <w:numFmt w:val="lowerLetter"/>
      <w:lvlText w:val="%5."/>
      <w:lvlJc w:val="left"/>
      <w:pPr>
        <w:ind w:left="3655" w:hanging="360"/>
      </w:pPr>
    </w:lvl>
    <w:lvl w:ilvl="5" w:tplc="0409001B">
      <w:start w:val="1"/>
      <w:numFmt w:val="lowerRoman"/>
      <w:lvlText w:val="%6."/>
      <w:lvlJc w:val="right"/>
      <w:pPr>
        <w:ind w:left="4375" w:hanging="180"/>
      </w:pPr>
    </w:lvl>
    <w:lvl w:ilvl="6" w:tplc="0409000F">
      <w:start w:val="1"/>
      <w:numFmt w:val="decimal"/>
      <w:lvlText w:val="%7."/>
      <w:lvlJc w:val="left"/>
      <w:pPr>
        <w:ind w:left="5095" w:hanging="360"/>
      </w:pPr>
    </w:lvl>
    <w:lvl w:ilvl="7" w:tplc="04090019">
      <w:start w:val="1"/>
      <w:numFmt w:val="lowerLetter"/>
      <w:lvlText w:val="%8."/>
      <w:lvlJc w:val="left"/>
      <w:pPr>
        <w:ind w:left="5815" w:hanging="360"/>
      </w:pPr>
    </w:lvl>
    <w:lvl w:ilvl="8" w:tplc="0409001B">
      <w:start w:val="1"/>
      <w:numFmt w:val="lowerRoman"/>
      <w:lvlText w:val="%9."/>
      <w:lvlJc w:val="right"/>
      <w:pPr>
        <w:ind w:left="6535" w:hanging="180"/>
      </w:pPr>
    </w:lvl>
  </w:abstractNum>
  <w:abstractNum w:abstractNumId="29">
    <w:nsid w:val="6E4C348E"/>
    <w:multiLevelType w:val="hybridMultilevel"/>
    <w:tmpl w:val="545EFC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2075128"/>
    <w:multiLevelType w:val="hybridMultilevel"/>
    <w:tmpl w:val="E7487AE4"/>
    <w:lvl w:ilvl="0" w:tplc="AADC5C9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nsid w:val="744850B3"/>
    <w:multiLevelType w:val="hybridMultilevel"/>
    <w:tmpl w:val="713ED598"/>
    <w:lvl w:ilvl="0" w:tplc="AA0C228A">
      <w:start w:val="1"/>
      <w:numFmt w:val="bullet"/>
      <w:lvlText w:val=""/>
      <w:lvlJc w:val="left"/>
      <w:pPr>
        <w:tabs>
          <w:tab w:val="num" w:pos="1080"/>
        </w:tabs>
        <w:ind w:left="1080" w:hanging="360"/>
      </w:pPr>
      <w:rPr>
        <w:rFonts w:ascii="Symbol" w:hAnsi="Symbol" w:cs="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754821B8"/>
    <w:multiLevelType w:val="hybridMultilevel"/>
    <w:tmpl w:val="F8100EBA"/>
    <w:lvl w:ilvl="0" w:tplc="B3EE3302">
      <w:start w:val="1"/>
      <w:numFmt w:val="decimal"/>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C1E5042"/>
    <w:multiLevelType w:val="hybridMultilevel"/>
    <w:tmpl w:val="E89EA0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nsid w:val="7E347764"/>
    <w:multiLevelType w:val="hybridMultilevel"/>
    <w:tmpl w:val="2E4C78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0"/>
  </w:num>
  <w:num w:numId="3">
    <w:abstractNumId w:val="9"/>
  </w:num>
  <w:num w:numId="4">
    <w:abstractNumId w:val="18"/>
  </w:num>
  <w:num w:numId="5">
    <w:abstractNumId w:val="23"/>
  </w:num>
  <w:num w:numId="6">
    <w:abstractNumId w:val="17"/>
  </w:num>
  <w:num w:numId="7">
    <w:abstractNumId w:val="21"/>
  </w:num>
  <w:num w:numId="8">
    <w:abstractNumId w:val="22"/>
  </w:num>
  <w:num w:numId="9">
    <w:abstractNumId w:val="28"/>
  </w:num>
  <w:num w:numId="10">
    <w:abstractNumId w:val="1"/>
  </w:num>
  <w:num w:numId="11">
    <w:abstractNumId w:val="33"/>
  </w:num>
  <w:num w:numId="12">
    <w:abstractNumId w:val="16"/>
  </w:num>
  <w:num w:numId="13">
    <w:abstractNumId w:val="12"/>
  </w:num>
  <w:num w:numId="14">
    <w:abstractNumId w:val="14"/>
  </w:num>
  <w:num w:numId="15">
    <w:abstractNumId w:val="13"/>
  </w:num>
  <w:num w:numId="16">
    <w:abstractNumId w:val="10"/>
  </w:num>
  <w:num w:numId="17">
    <w:abstractNumId w:val="8"/>
  </w:num>
  <w:num w:numId="18">
    <w:abstractNumId w:val="11"/>
  </w:num>
  <w:num w:numId="19">
    <w:abstractNumId w:val="26"/>
  </w:num>
  <w:num w:numId="20">
    <w:abstractNumId w:val="31"/>
  </w:num>
  <w:num w:numId="21">
    <w:abstractNumId w:val="24"/>
  </w:num>
  <w:num w:numId="22">
    <w:abstractNumId w:val="29"/>
  </w:num>
  <w:num w:numId="23">
    <w:abstractNumId w:val="32"/>
  </w:num>
  <w:num w:numId="24">
    <w:abstractNumId w:val="15"/>
  </w:num>
  <w:num w:numId="25">
    <w:abstractNumId w:val="7"/>
  </w:num>
  <w:num w:numId="26">
    <w:abstractNumId w:val="34"/>
  </w:num>
  <w:num w:numId="27">
    <w:abstractNumId w:val="19"/>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0"/>
  </w:num>
  <w:num w:numId="31">
    <w:abstractNumId w:val="2"/>
  </w:num>
  <w:num w:numId="32">
    <w:abstractNumId w:val="3"/>
  </w:num>
  <w:num w:numId="33">
    <w:abstractNumId w:val="6"/>
  </w:num>
  <w:num w:numId="34">
    <w:abstractNumId w:val="4"/>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rsids>
    <w:rsidRoot w:val="00C22A56"/>
    <w:rsid w:val="0000010B"/>
    <w:rsid w:val="00004D68"/>
    <w:rsid w:val="00006337"/>
    <w:rsid w:val="0001250D"/>
    <w:rsid w:val="00022B39"/>
    <w:rsid w:val="000236B1"/>
    <w:rsid w:val="000255B2"/>
    <w:rsid w:val="00034DB7"/>
    <w:rsid w:val="00036557"/>
    <w:rsid w:val="0003693D"/>
    <w:rsid w:val="00040A4D"/>
    <w:rsid w:val="00043911"/>
    <w:rsid w:val="00044B6B"/>
    <w:rsid w:val="0005351E"/>
    <w:rsid w:val="00057DD6"/>
    <w:rsid w:val="000637D1"/>
    <w:rsid w:val="00081C03"/>
    <w:rsid w:val="00087844"/>
    <w:rsid w:val="00091032"/>
    <w:rsid w:val="00091F28"/>
    <w:rsid w:val="0009245D"/>
    <w:rsid w:val="000A55FB"/>
    <w:rsid w:val="000B4EA2"/>
    <w:rsid w:val="000B5B3B"/>
    <w:rsid w:val="000D1AB4"/>
    <w:rsid w:val="000E2FDD"/>
    <w:rsid w:val="000F0EE7"/>
    <w:rsid w:val="00105A9A"/>
    <w:rsid w:val="00112C3E"/>
    <w:rsid w:val="00115C1B"/>
    <w:rsid w:val="00117471"/>
    <w:rsid w:val="00123AA3"/>
    <w:rsid w:val="00140D0E"/>
    <w:rsid w:val="001411D2"/>
    <w:rsid w:val="0014275E"/>
    <w:rsid w:val="0014622F"/>
    <w:rsid w:val="00147C7E"/>
    <w:rsid w:val="0015272C"/>
    <w:rsid w:val="00160131"/>
    <w:rsid w:val="00162C11"/>
    <w:rsid w:val="00170C86"/>
    <w:rsid w:val="00174D28"/>
    <w:rsid w:val="00177D5D"/>
    <w:rsid w:val="00182378"/>
    <w:rsid w:val="001A47C6"/>
    <w:rsid w:val="001B0A77"/>
    <w:rsid w:val="001C3DC9"/>
    <w:rsid w:val="001C675B"/>
    <w:rsid w:val="001E792E"/>
    <w:rsid w:val="001F1581"/>
    <w:rsid w:val="001F7580"/>
    <w:rsid w:val="0020215D"/>
    <w:rsid w:val="002113AA"/>
    <w:rsid w:val="00220934"/>
    <w:rsid w:val="002252A6"/>
    <w:rsid w:val="00227907"/>
    <w:rsid w:val="00233B0A"/>
    <w:rsid w:val="0023512A"/>
    <w:rsid w:val="0024497F"/>
    <w:rsid w:val="002514C5"/>
    <w:rsid w:val="00252EC6"/>
    <w:rsid w:val="00253451"/>
    <w:rsid w:val="00254E37"/>
    <w:rsid w:val="00257BA2"/>
    <w:rsid w:val="002644CF"/>
    <w:rsid w:val="00264AB2"/>
    <w:rsid w:val="00272C21"/>
    <w:rsid w:val="0027305B"/>
    <w:rsid w:val="00274A16"/>
    <w:rsid w:val="00274E21"/>
    <w:rsid w:val="002803CB"/>
    <w:rsid w:val="0028076A"/>
    <w:rsid w:val="0028197B"/>
    <w:rsid w:val="00283F50"/>
    <w:rsid w:val="002929FD"/>
    <w:rsid w:val="0029343A"/>
    <w:rsid w:val="00297575"/>
    <w:rsid w:val="00297FD4"/>
    <w:rsid w:val="002A128D"/>
    <w:rsid w:val="002A7919"/>
    <w:rsid w:val="002B355E"/>
    <w:rsid w:val="002B37EA"/>
    <w:rsid w:val="002B4222"/>
    <w:rsid w:val="002B6FA6"/>
    <w:rsid w:val="002D7807"/>
    <w:rsid w:val="002E0178"/>
    <w:rsid w:val="002E4A60"/>
    <w:rsid w:val="002E4DDC"/>
    <w:rsid w:val="002E52CD"/>
    <w:rsid w:val="002E6A8F"/>
    <w:rsid w:val="002F14D9"/>
    <w:rsid w:val="002F5891"/>
    <w:rsid w:val="00300459"/>
    <w:rsid w:val="00305C8A"/>
    <w:rsid w:val="00310761"/>
    <w:rsid w:val="00311669"/>
    <w:rsid w:val="0033095E"/>
    <w:rsid w:val="00333A63"/>
    <w:rsid w:val="003422FC"/>
    <w:rsid w:val="00343F53"/>
    <w:rsid w:val="003445A8"/>
    <w:rsid w:val="00346481"/>
    <w:rsid w:val="00354B71"/>
    <w:rsid w:val="0035590A"/>
    <w:rsid w:val="00356BD4"/>
    <w:rsid w:val="00362AEA"/>
    <w:rsid w:val="00363748"/>
    <w:rsid w:val="003663B9"/>
    <w:rsid w:val="00372123"/>
    <w:rsid w:val="003849A6"/>
    <w:rsid w:val="003874FC"/>
    <w:rsid w:val="00396281"/>
    <w:rsid w:val="00396F5B"/>
    <w:rsid w:val="003A5CF9"/>
    <w:rsid w:val="003B16EF"/>
    <w:rsid w:val="003C28BA"/>
    <w:rsid w:val="003D0084"/>
    <w:rsid w:val="003D7D9F"/>
    <w:rsid w:val="003E4124"/>
    <w:rsid w:val="003F0D94"/>
    <w:rsid w:val="003F21E8"/>
    <w:rsid w:val="003F4187"/>
    <w:rsid w:val="00400877"/>
    <w:rsid w:val="0040615B"/>
    <w:rsid w:val="00413209"/>
    <w:rsid w:val="0042417C"/>
    <w:rsid w:val="00425BEA"/>
    <w:rsid w:val="00426FB5"/>
    <w:rsid w:val="00450412"/>
    <w:rsid w:val="004543D3"/>
    <w:rsid w:val="0046062D"/>
    <w:rsid w:val="00461603"/>
    <w:rsid w:val="00462B4B"/>
    <w:rsid w:val="00466C36"/>
    <w:rsid w:val="004768B7"/>
    <w:rsid w:val="004777DC"/>
    <w:rsid w:val="00477E73"/>
    <w:rsid w:val="0048023C"/>
    <w:rsid w:val="00483D1A"/>
    <w:rsid w:val="00484560"/>
    <w:rsid w:val="00485740"/>
    <w:rsid w:val="00493A67"/>
    <w:rsid w:val="00495F23"/>
    <w:rsid w:val="004A4C4D"/>
    <w:rsid w:val="004B7EC1"/>
    <w:rsid w:val="004C4D32"/>
    <w:rsid w:val="004C597C"/>
    <w:rsid w:val="004C6BC0"/>
    <w:rsid w:val="004C7575"/>
    <w:rsid w:val="004D2638"/>
    <w:rsid w:val="004D2A44"/>
    <w:rsid w:val="004E3BBA"/>
    <w:rsid w:val="004E4ED3"/>
    <w:rsid w:val="004E7B48"/>
    <w:rsid w:val="004F117D"/>
    <w:rsid w:val="004F5D79"/>
    <w:rsid w:val="00502F57"/>
    <w:rsid w:val="00526DBA"/>
    <w:rsid w:val="0053799A"/>
    <w:rsid w:val="00537AAF"/>
    <w:rsid w:val="0054149C"/>
    <w:rsid w:val="0054177C"/>
    <w:rsid w:val="00543F35"/>
    <w:rsid w:val="00545649"/>
    <w:rsid w:val="00546203"/>
    <w:rsid w:val="00550754"/>
    <w:rsid w:val="00551095"/>
    <w:rsid w:val="00551893"/>
    <w:rsid w:val="0055349C"/>
    <w:rsid w:val="00557CBB"/>
    <w:rsid w:val="005603F9"/>
    <w:rsid w:val="00561947"/>
    <w:rsid w:val="0056741E"/>
    <w:rsid w:val="00576A3A"/>
    <w:rsid w:val="005A6589"/>
    <w:rsid w:val="005C522F"/>
    <w:rsid w:val="005D09C3"/>
    <w:rsid w:val="005D22ED"/>
    <w:rsid w:val="005E53FB"/>
    <w:rsid w:val="005E55A7"/>
    <w:rsid w:val="005F0223"/>
    <w:rsid w:val="005F21F4"/>
    <w:rsid w:val="005F3E97"/>
    <w:rsid w:val="005F6318"/>
    <w:rsid w:val="006032C0"/>
    <w:rsid w:val="0061296E"/>
    <w:rsid w:val="00617588"/>
    <w:rsid w:val="00617BCF"/>
    <w:rsid w:val="00621AD1"/>
    <w:rsid w:val="00624223"/>
    <w:rsid w:val="006357EC"/>
    <w:rsid w:val="0064012A"/>
    <w:rsid w:val="00642403"/>
    <w:rsid w:val="006525C5"/>
    <w:rsid w:val="00672817"/>
    <w:rsid w:val="006766E8"/>
    <w:rsid w:val="00681F3F"/>
    <w:rsid w:val="00682DAF"/>
    <w:rsid w:val="006B7D67"/>
    <w:rsid w:val="006C5F24"/>
    <w:rsid w:val="006C738D"/>
    <w:rsid w:val="006D7AB7"/>
    <w:rsid w:val="00705D93"/>
    <w:rsid w:val="007110F5"/>
    <w:rsid w:val="0072178C"/>
    <w:rsid w:val="00725BE1"/>
    <w:rsid w:val="00727448"/>
    <w:rsid w:val="00730961"/>
    <w:rsid w:val="00733AD5"/>
    <w:rsid w:val="00740181"/>
    <w:rsid w:val="00750CD7"/>
    <w:rsid w:val="007546AB"/>
    <w:rsid w:val="007601E8"/>
    <w:rsid w:val="0076060F"/>
    <w:rsid w:val="00760C3F"/>
    <w:rsid w:val="00773EBB"/>
    <w:rsid w:val="00787C64"/>
    <w:rsid w:val="00795596"/>
    <w:rsid w:val="007958C5"/>
    <w:rsid w:val="00796C75"/>
    <w:rsid w:val="007A7908"/>
    <w:rsid w:val="007C38E8"/>
    <w:rsid w:val="007D5DE9"/>
    <w:rsid w:val="007D60E1"/>
    <w:rsid w:val="007D67C2"/>
    <w:rsid w:val="007E0383"/>
    <w:rsid w:val="007E0C30"/>
    <w:rsid w:val="007E3C42"/>
    <w:rsid w:val="007E4D24"/>
    <w:rsid w:val="007F729C"/>
    <w:rsid w:val="007F7A3F"/>
    <w:rsid w:val="0080232D"/>
    <w:rsid w:val="00803588"/>
    <w:rsid w:val="00806485"/>
    <w:rsid w:val="008171E5"/>
    <w:rsid w:val="0082166A"/>
    <w:rsid w:val="00825F40"/>
    <w:rsid w:val="00832D5F"/>
    <w:rsid w:val="0083494E"/>
    <w:rsid w:val="0083666E"/>
    <w:rsid w:val="008376EB"/>
    <w:rsid w:val="00843A84"/>
    <w:rsid w:val="00845C3B"/>
    <w:rsid w:val="008473BC"/>
    <w:rsid w:val="00852A13"/>
    <w:rsid w:val="00853631"/>
    <w:rsid w:val="00862084"/>
    <w:rsid w:val="00866314"/>
    <w:rsid w:val="00867DD8"/>
    <w:rsid w:val="008716EB"/>
    <w:rsid w:val="00895AD3"/>
    <w:rsid w:val="00897861"/>
    <w:rsid w:val="008A230B"/>
    <w:rsid w:val="008A2ED8"/>
    <w:rsid w:val="008B282B"/>
    <w:rsid w:val="008B2ADE"/>
    <w:rsid w:val="008C21BB"/>
    <w:rsid w:val="008C4A00"/>
    <w:rsid w:val="008E66D8"/>
    <w:rsid w:val="008F0CDC"/>
    <w:rsid w:val="008F7F88"/>
    <w:rsid w:val="00901B3B"/>
    <w:rsid w:val="00904506"/>
    <w:rsid w:val="00905B17"/>
    <w:rsid w:val="0090637C"/>
    <w:rsid w:val="009262BF"/>
    <w:rsid w:val="009362B9"/>
    <w:rsid w:val="00944039"/>
    <w:rsid w:val="009469B9"/>
    <w:rsid w:val="0095229B"/>
    <w:rsid w:val="009529D7"/>
    <w:rsid w:val="00955B2C"/>
    <w:rsid w:val="00956068"/>
    <w:rsid w:val="00956E0E"/>
    <w:rsid w:val="00957E5E"/>
    <w:rsid w:val="009756B1"/>
    <w:rsid w:val="00977436"/>
    <w:rsid w:val="00984351"/>
    <w:rsid w:val="00985053"/>
    <w:rsid w:val="00991A9B"/>
    <w:rsid w:val="009943A5"/>
    <w:rsid w:val="009944CA"/>
    <w:rsid w:val="009A3BEB"/>
    <w:rsid w:val="009A757A"/>
    <w:rsid w:val="009B20F0"/>
    <w:rsid w:val="009B7E26"/>
    <w:rsid w:val="009C280B"/>
    <w:rsid w:val="009C3EF5"/>
    <w:rsid w:val="009D1965"/>
    <w:rsid w:val="009D3A52"/>
    <w:rsid w:val="009D5A40"/>
    <w:rsid w:val="009E7FE3"/>
    <w:rsid w:val="00A05402"/>
    <w:rsid w:val="00A117BA"/>
    <w:rsid w:val="00A11880"/>
    <w:rsid w:val="00A12891"/>
    <w:rsid w:val="00A248BD"/>
    <w:rsid w:val="00A263F0"/>
    <w:rsid w:val="00A30CAD"/>
    <w:rsid w:val="00A32129"/>
    <w:rsid w:val="00A33A0C"/>
    <w:rsid w:val="00A35C37"/>
    <w:rsid w:val="00A40C4D"/>
    <w:rsid w:val="00A425B4"/>
    <w:rsid w:val="00A46342"/>
    <w:rsid w:val="00A569F5"/>
    <w:rsid w:val="00A61179"/>
    <w:rsid w:val="00A62FE7"/>
    <w:rsid w:val="00A82E2E"/>
    <w:rsid w:val="00A8648D"/>
    <w:rsid w:val="00A93A1A"/>
    <w:rsid w:val="00AA4DCA"/>
    <w:rsid w:val="00AA5870"/>
    <w:rsid w:val="00AA7D09"/>
    <w:rsid w:val="00AB11EA"/>
    <w:rsid w:val="00AC1048"/>
    <w:rsid w:val="00AC2E49"/>
    <w:rsid w:val="00AC722C"/>
    <w:rsid w:val="00AE0486"/>
    <w:rsid w:val="00AE1E75"/>
    <w:rsid w:val="00AE59DA"/>
    <w:rsid w:val="00AF028E"/>
    <w:rsid w:val="00AF32A1"/>
    <w:rsid w:val="00AF5A3B"/>
    <w:rsid w:val="00B07B68"/>
    <w:rsid w:val="00B10681"/>
    <w:rsid w:val="00B11D1D"/>
    <w:rsid w:val="00B157D3"/>
    <w:rsid w:val="00B2713C"/>
    <w:rsid w:val="00B31B85"/>
    <w:rsid w:val="00B359A7"/>
    <w:rsid w:val="00B36F99"/>
    <w:rsid w:val="00B40917"/>
    <w:rsid w:val="00B4142B"/>
    <w:rsid w:val="00B42F42"/>
    <w:rsid w:val="00B5637B"/>
    <w:rsid w:val="00B71641"/>
    <w:rsid w:val="00B74091"/>
    <w:rsid w:val="00B76D6C"/>
    <w:rsid w:val="00B913BC"/>
    <w:rsid w:val="00B9309C"/>
    <w:rsid w:val="00BA358F"/>
    <w:rsid w:val="00BA39E7"/>
    <w:rsid w:val="00BD14CC"/>
    <w:rsid w:val="00BD51C4"/>
    <w:rsid w:val="00BD70C8"/>
    <w:rsid w:val="00BE06BE"/>
    <w:rsid w:val="00BE0D80"/>
    <w:rsid w:val="00BE3AA8"/>
    <w:rsid w:val="00BF51E2"/>
    <w:rsid w:val="00BF527F"/>
    <w:rsid w:val="00BF61EE"/>
    <w:rsid w:val="00C00C07"/>
    <w:rsid w:val="00C01B49"/>
    <w:rsid w:val="00C0498B"/>
    <w:rsid w:val="00C06962"/>
    <w:rsid w:val="00C11D0A"/>
    <w:rsid w:val="00C164F9"/>
    <w:rsid w:val="00C2109B"/>
    <w:rsid w:val="00C22A56"/>
    <w:rsid w:val="00C258BE"/>
    <w:rsid w:val="00C2605F"/>
    <w:rsid w:val="00C31789"/>
    <w:rsid w:val="00C34C0F"/>
    <w:rsid w:val="00C371E8"/>
    <w:rsid w:val="00C403FD"/>
    <w:rsid w:val="00C40630"/>
    <w:rsid w:val="00C463AF"/>
    <w:rsid w:val="00C512E6"/>
    <w:rsid w:val="00C5532F"/>
    <w:rsid w:val="00C57B76"/>
    <w:rsid w:val="00C630A0"/>
    <w:rsid w:val="00C72E6B"/>
    <w:rsid w:val="00C73824"/>
    <w:rsid w:val="00C770D4"/>
    <w:rsid w:val="00C80269"/>
    <w:rsid w:val="00C82F21"/>
    <w:rsid w:val="00C92356"/>
    <w:rsid w:val="00C95850"/>
    <w:rsid w:val="00C958D0"/>
    <w:rsid w:val="00C9745D"/>
    <w:rsid w:val="00CA2BDF"/>
    <w:rsid w:val="00CA3A78"/>
    <w:rsid w:val="00CA798C"/>
    <w:rsid w:val="00CB723B"/>
    <w:rsid w:val="00CC2F75"/>
    <w:rsid w:val="00CD482A"/>
    <w:rsid w:val="00CE05BF"/>
    <w:rsid w:val="00CE11E2"/>
    <w:rsid w:val="00CF3624"/>
    <w:rsid w:val="00CF46B0"/>
    <w:rsid w:val="00CF53B5"/>
    <w:rsid w:val="00D014FD"/>
    <w:rsid w:val="00D03C3B"/>
    <w:rsid w:val="00D114BF"/>
    <w:rsid w:val="00D15CE2"/>
    <w:rsid w:val="00D26139"/>
    <w:rsid w:val="00D27083"/>
    <w:rsid w:val="00D32810"/>
    <w:rsid w:val="00D37935"/>
    <w:rsid w:val="00D37BB9"/>
    <w:rsid w:val="00D44CF0"/>
    <w:rsid w:val="00D514B8"/>
    <w:rsid w:val="00D51AF9"/>
    <w:rsid w:val="00D56551"/>
    <w:rsid w:val="00D72717"/>
    <w:rsid w:val="00D74683"/>
    <w:rsid w:val="00D75258"/>
    <w:rsid w:val="00D93B22"/>
    <w:rsid w:val="00D953D6"/>
    <w:rsid w:val="00DA0381"/>
    <w:rsid w:val="00DA33E6"/>
    <w:rsid w:val="00DB654C"/>
    <w:rsid w:val="00DB72C0"/>
    <w:rsid w:val="00DC0D28"/>
    <w:rsid w:val="00DC4DFC"/>
    <w:rsid w:val="00DC7A1B"/>
    <w:rsid w:val="00DD0842"/>
    <w:rsid w:val="00DD4BA6"/>
    <w:rsid w:val="00DE56D4"/>
    <w:rsid w:val="00DF25BD"/>
    <w:rsid w:val="00DF297F"/>
    <w:rsid w:val="00DF68F0"/>
    <w:rsid w:val="00DF6B22"/>
    <w:rsid w:val="00E02E76"/>
    <w:rsid w:val="00E03691"/>
    <w:rsid w:val="00E075FC"/>
    <w:rsid w:val="00E100BC"/>
    <w:rsid w:val="00E14FFD"/>
    <w:rsid w:val="00E27B38"/>
    <w:rsid w:val="00E27F86"/>
    <w:rsid w:val="00E32619"/>
    <w:rsid w:val="00E36CCE"/>
    <w:rsid w:val="00E410AE"/>
    <w:rsid w:val="00E4589B"/>
    <w:rsid w:val="00E50031"/>
    <w:rsid w:val="00E6477A"/>
    <w:rsid w:val="00E674EF"/>
    <w:rsid w:val="00E712D4"/>
    <w:rsid w:val="00E74F8B"/>
    <w:rsid w:val="00E75CC0"/>
    <w:rsid w:val="00E7601A"/>
    <w:rsid w:val="00E83747"/>
    <w:rsid w:val="00E86AE9"/>
    <w:rsid w:val="00E95BB4"/>
    <w:rsid w:val="00EA258F"/>
    <w:rsid w:val="00EA2F32"/>
    <w:rsid w:val="00EB0903"/>
    <w:rsid w:val="00EC6736"/>
    <w:rsid w:val="00ED6480"/>
    <w:rsid w:val="00EE36C9"/>
    <w:rsid w:val="00EE50F8"/>
    <w:rsid w:val="00EE5444"/>
    <w:rsid w:val="00EE5C5C"/>
    <w:rsid w:val="00EE69BC"/>
    <w:rsid w:val="00EF1BB7"/>
    <w:rsid w:val="00EF2A9F"/>
    <w:rsid w:val="00EF55A9"/>
    <w:rsid w:val="00EF5B1C"/>
    <w:rsid w:val="00F127E8"/>
    <w:rsid w:val="00F1311B"/>
    <w:rsid w:val="00F22AEB"/>
    <w:rsid w:val="00F36EEE"/>
    <w:rsid w:val="00F62C21"/>
    <w:rsid w:val="00F63631"/>
    <w:rsid w:val="00F64C4F"/>
    <w:rsid w:val="00F7417E"/>
    <w:rsid w:val="00F800FC"/>
    <w:rsid w:val="00F83C1F"/>
    <w:rsid w:val="00F846B4"/>
    <w:rsid w:val="00F857FD"/>
    <w:rsid w:val="00F873B3"/>
    <w:rsid w:val="00F91598"/>
    <w:rsid w:val="00FB31F5"/>
    <w:rsid w:val="00FB7170"/>
    <w:rsid w:val="00FC3AA0"/>
    <w:rsid w:val="00FD3B51"/>
    <w:rsid w:val="00FE2546"/>
    <w:rsid w:val="00FF6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445A8"/>
    <w:rPr>
      <w:sz w:val="24"/>
      <w:szCs w:val="24"/>
    </w:rPr>
  </w:style>
  <w:style w:type="paragraph" w:styleId="Heading1">
    <w:name w:val="heading 1"/>
    <w:basedOn w:val="Normal"/>
    <w:next w:val="Normal"/>
    <w:link w:val="Heading1Char"/>
    <w:uiPriority w:val="99"/>
    <w:qFormat/>
    <w:rsid w:val="003445A8"/>
    <w:pPr>
      <w:keepNext/>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3445A8"/>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3445A8"/>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3445A8"/>
    <w:pPr>
      <w:keepNext/>
      <w:spacing w:before="240" w:after="60"/>
      <w:outlineLvl w:val="3"/>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45A8"/>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3445A8"/>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445A8"/>
    <w:rPr>
      <w:rFonts w:ascii="Cambria" w:hAnsi="Cambria" w:cs="Cambria"/>
      <w:b/>
      <w:bCs/>
      <w:sz w:val="26"/>
      <w:szCs w:val="26"/>
    </w:rPr>
  </w:style>
  <w:style w:type="character" w:customStyle="1" w:styleId="Heading4Char">
    <w:name w:val="Heading 4 Char"/>
    <w:basedOn w:val="DefaultParagraphFont"/>
    <w:link w:val="Heading4"/>
    <w:uiPriority w:val="99"/>
    <w:locked/>
    <w:rsid w:val="003445A8"/>
    <w:rPr>
      <w:rFonts w:ascii="Calibri" w:hAnsi="Calibri" w:cs="Calibri"/>
      <w:b/>
      <w:bCs/>
      <w:sz w:val="28"/>
      <w:szCs w:val="28"/>
    </w:rPr>
  </w:style>
  <w:style w:type="paragraph" w:styleId="BodyText">
    <w:name w:val="Body Text"/>
    <w:basedOn w:val="Normal"/>
    <w:link w:val="BodyTextChar"/>
    <w:uiPriority w:val="99"/>
    <w:semiHidden/>
    <w:rsid w:val="003445A8"/>
    <w:pPr>
      <w:jc w:val="center"/>
    </w:pPr>
  </w:style>
  <w:style w:type="character" w:customStyle="1" w:styleId="BodyTextChar">
    <w:name w:val="Body Text Char"/>
    <w:basedOn w:val="DefaultParagraphFont"/>
    <w:link w:val="BodyText"/>
    <w:uiPriority w:val="99"/>
    <w:semiHidden/>
    <w:locked/>
    <w:rsid w:val="00426FB5"/>
    <w:rPr>
      <w:sz w:val="24"/>
      <w:szCs w:val="24"/>
    </w:rPr>
  </w:style>
  <w:style w:type="paragraph" w:styleId="TOC1">
    <w:name w:val="toc 1"/>
    <w:basedOn w:val="Normal"/>
    <w:next w:val="Normal"/>
    <w:autoRedefine/>
    <w:uiPriority w:val="39"/>
    <w:rsid w:val="003445A8"/>
    <w:pPr>
      <w:tabs>
        <w:tab w:val="right" w:leader="dot" w:pos="9360"/>
      </w:tabs>
    </w:pPr>
  </w:style>
  <w:style w:type="character" w:styleId="Hyperlink">
    <w:name w:val="Hyperlink"/>
    <w:basedOn w:val="DefaultParagraphFont"/>
    <w:uiPriority w:val="99"/>
    <w:rsid w:val="003445A8"/>
    <w:rPr>
      <w:color w:val="0000FF"/>
      <w:u w:val="single"/>
    </w:rPr>
  </w:style>
  <w:style w:type="character" w:styleId="FollowedHyperlink">
    <w:name w:val="FollowedHyperlink"/>
    <w:basedOn w:val="DefaultParagraphFont"/>
    <w:uiPriority w:val="99"/>
    <w:semiHidden/>
    <w:rsid w:val="003445A8"/>
    <w:rPr>
      <w:color w:val="800080"/>
      <w:u w:val="single"/>
    </w:rPr>
  </w:style>
  <w:style w:type="paragraph" w:styleId="TOC2">
    <w:name w:val="toc 2"/>
    <w:basedOn w:val="Normal"/>
    <w:next w:val="Normal"/>
    <w:autoRedefine/>
    <w:uiPriority w:val="39"/>
    <w:rsid w:val="003445A8"/>
    <w:pPr>
      <w:ind w:left="240"/>
    </w:pPr>
  </w:style>
  <w:style w:type="paragraph" w:styleId="TOC3">
    <w:name w:val="toc 3"/>
    <w:basedOn w:val="Normal"/>
    <w:next w:val="Normal"/>
    <w:autoRedefine/>
    <w:uiPriority w:val="39"/>
    <w:rsid w:val="003445A8"/>
    <w:pPr>
      <w:ind w:left="480"/>
    </w:pPr>
  </w:style>
  <w:style w:type="paragraph" w:styleId="Title">
    <w:name w:val="Title"/>
    <w:basedOn w:val="Normal"/>
    <w:next w:val="Normal"/>
    <w:link w:val="TitleChar"/>
    <w:uiPriority w:val="99"/>
    <w:qFormat/>
    <w:rsid w:val="003445A8"/>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3445A8"/>
    <w:rPr>
      <w:rFonts w:ascii="Cambria" w:hAnsi="Cambria" w:cs="Cambria"/>
      <w:b/>
      <w:bCs/>
      <w:kern w:val="28"/>
      <w:sz w:val="32"/>
      <w:szCs w:val="32"/>
    </w:rPr>
  </w:style>
  <w:style w:type="paragraph" w:styleId="Subtitle">
    <w:name w:val="Subtitle"/>
    <w:basedOn w:val="Normal"/>
    <w:next w:val="Normal"/>
    <w:link w:val="SubtitleChar"/>
    <w:uiPriority w:val="99"/>
    <w:qFormat/>
    <w:rsid w:val="003445A8"/>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sid w:val="003445A8"/>
    <w:rPr>
      <w:rFonts w:ascii="Cambria" w:hAnsi="Cambria" w:cs="Cambria"/>
      <w:sz w:val="24"/>
      <w:szCs w:val="24"/>
    </w:rPr>
  </w:style>
  <w:style w:type="paragraph" w:styleId="BodyTextIndent">
    <w:name w:val="Body Text Indent"/>
    <w:basedOn w:val="Normal"/>
    <w:link w:val="BodyTextIndentChar"/>
    <w:uiPriority w:val="99"/>
    <w:semiHidden/>
    <w:rsid w:val="003445A8"/>
    <w:pPr>
      <w:widowControl w:val="0"/>
      <w:ind w:left="360"/>
    </w:pPr>
  </w:style>
  <w:style w:type="character" w:customStyle="1" w:styleId="BodyTextIndentChar">
    <w:name w:val="Body Text Indent Char"/>
    <w:basedOn w:val="DefaultParagraphFont"/>
    <w:link w:val="BodyTextIndent"/>
    <w:uiPriority w:val="99"/>
    <w:semiHidden/>
    <w:locked/>
    <w:rsid w:val="00426FB5"/>
    <w:rPr>
      <w:sz w:val="24"/>
      <w:szCs w:val="24"/>
    </w:rPr>
  </w:style>
  <w:style w:type="paragraph" w:styleId="BodyTextIndent2">
    <w:name w:val="Body Text Indent 2"/>
    <w:basedOn w:val="Normal"/>
    <w:link w:val="BodyTextIndent2Char"/>
    <w:uiPriority w:val="99"/>
    <w:semiHidden/>
    <w:rsid w:val="003445A8"/>
    <w:pPr>
      <w:widowControl w:val="0"/>
      <w:ind w:left="720" w:hanging="360"/>
    </w:pPr>
  </w:style>
  <w:style w:type="character" w:customStyle="1" w:styleId="BodyTextIndent2Char">
    <w:name w:val="Body Text Indent 2 Char"/>
    <w:basedOn w:val="DefaultParagraphFont"/>
    <w:link w:val="BodyTextIndent2"/>
    <w:uiPriority w:val="99"/>
    <w:semiHidden/>
    <w:locked/>
    <w:rsid w:val="00426FB5"/>
    <w:rPr>
      <w:sz w:val="24"/>
      <w:szCs w:val="24"/>
    </w:rPr>
  </w:style>
  <w:style w:type="paragraph" w:styleId="DocumentMap">
    <w:name w:val="Document Map"/>
    <w:basedOn w:val="Normal"/>
    <w:link w:val="DocumentMapChar"/>
    <w:uiPriority w:val="99"/>
    <w:semiHidden/>
    <w:rsid w:val="00C22A5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22A56"/>
    <w:rPr>
      <w:rFonts w:ascii="Tahoma" w:hAnsi="Tahoma" w:cs="Tahoma"/>
      <w:sz w:val="24"/>
      <w:szCs w:val="24"/>
      <w:shd w:val="clear" w:color="auto" w:fill="000080"/>
    </w:rPr>
  </w:style>
  <w:style w:type="paragraph" w:styleId="BalloonText">
    <w:name w:val="Balloon Text"/>
    <w:basedOn w:val="Normal"/>
    <w:link w:val="BalloonTextChar"/>
    <w:uiPriority w:val="99"/>
    <w:semiHidden/>
    <w:rsid w:val="00C22A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2A56"/>
    <w:rPr>
      <w:rFonts w:ascii="Tahoma" w:hAnsi="Tahoma" w:cs="Tahoma"/>
      <w:sz w:val="16"/>
      <w:szCs w:val="16"/>
    </w:rPr>
  </w:style>
  <w:style w:type="paragraph" w:styleId="Header">
    <w:name w:val="header"/>
    <w:basedOn w:val="Normal"/>
    <w:link w:val="HeaderChar"/>
    <w:uiPriority w:val="99"/>
    <w:semiHidden/>
    <w:rsid w:val="00B71641"/>
    <w:pPr>
      <w:tabs>
        <w:tab w:val="center" w:pos="4680"/>
        <w:tab w:val="right" w:pos="9360"/>
      </w:tabs>
    </w:pPr>
  </w:style>
  <w:style w:type="character" w:customStyle="1" w:styleId="HeaderChar">
    <w:name w:val="Header Char"/>
    <w:basedOn w:val="DefaultParagraphFont"/>
    <w:link w:val="Header"/>
    <w:uiPriority w:val="99"/>
    <w:semiHidden/>
    <w:locked/>
    <w:rsid w:val="00B71641"/>
    <w:rPr>
      <w:sz w:val="24"/>
      <w:szCs w:val="24"/>
    </w:rPr>
  </w:style>
  <w:style w:type="paragraph" w:styleId="Footer">
    <w:name w:val="footer"/>
    <w:basedOn w:val="Normal"/>
    <w:link w:val="FooterChar"/>
    <w:uiPriority w:val="99"/>
    <w:rsid w:val="00B71641"/>
    <w:pPr>
      <w:tabs>
        <w:tab w:val="center" w:pos="4680"/>
        <w:tab w:val="right" w:pos="9360"/>
      </w:tabs>
    </w:pPr>
  </w:style>
  <w:style w:type="character" w:customStyle="1" w:styleId="FooterChar">
    <w:name w:val="Footer Char"/>
    <w:basedOn w:val="DefaultParagraphFont"/>
    <w:link w:val="Footer"/>
    <w:uiPriority w:val="99"/>
    <w:locked/>
    <w:rsid w:val="00B71641"/>
    <w:rPr>
      <w:sz w:val="24"/>
      <w:szCs w:val="24"/>
    </w:rPr>
  </w:style>
  <w:style w:type="paragraph" w:styleId="ListParagraph">
    <w:name w:val="List Paragraph"/>
    <w:basedOn w:val="Normal"/>
    <w:uiPriority w:val="99"/>
    <w:qFormat/>
    <w:rsid w:val="000A55FB"/>
    <w:pPr>
      <w:spacing w:line="360" w:lineRule="auto"/>
      <w:ind w:left="720" w:hanging="360"/>
    </w:pPr>
    <w:rPr>
      <w:rFonts w:ascii="Calibri" w:hAnsi="Calibri" w:cs="Calibri"/>
      <w:color w:val="000000"/>
      <w:w w:val="87"/>
      <w:sz w:val="22"/>
      <w:szCs w:val="22"/>
    </w:rPr>
  </w:style>
  <w:style w:type="character" w:customStyle="1" w:styleId="Heading2Char1">
    <w:name w:val="Heading 2 Char1"/>
    <w:basedOn w:val="DefaultParagraphFont"/>
    <w:uiPriority w:val="99"/>
    <w:locked/>
    <w:rsid w:val="00901B3B"/>
    <w:rPr>
      <w:rFonts w:ascii="Cambria" w:hAnsi="Cambria" w:cs="Cambria"/>
      <w:b/>
      <w:bCs/>
      <w:i/>
      <w:iCs/>
      <w:sz w:val="28"/>
      <w:szCs w:val="28"/>
      <w:lang w:val="en-US" w:eastAsia="en-US"/>
    </w:rPr>
  </w:style>
  <w:style w:type="paragraph" w:styleId="EndnoteText">
    <w:name w:val="endnote text"/>
    <w:basedOn w:val="Normal"/>
    <w:link w:val="EndnoteTextChar"/>
    <w:uiPriority w:val="99"/>
    <w:semiHidden/>
    <w:unhideWhenUsed/>
    <w:locked/>
    <w:rsid w:val="00257BA2"/>
    <w:rPr>
      <w:sz w:val="20"/>
      <w:szCs w:val="20"/>
    </w:rPr>
  </w:style>
  <w:style w:type="character" w:customStyle="1" w:styleId="EndnoteTextChar">
    <w:name w:val="Endnote Text Char"/>
    <w:basedOn w:val="DefaultParagraphFont"/>
    <w:link w:val="EndnoteText"/>
    <w:uiPriority w:val="99"/>
    <w:semiHidden/>
    <w:rsid w:val="00257BA2"/>
    <w:rPr>
      <w:sz w:val="20"/>
      <w:szCs w:val="20"/>
    </w:rPr>
  </w:style>
  <w:style w:type="character" w:styleId="EndnoteReference">
    <w:name w:val="endnote reference"/>
    <w:basedOn w:val="DefaultParagraphFont"/>
    <w:uiPriority w:val="99"/>
    <w:semiHidden/>
    <w:unhideWhenUsed/>
    <w:locked/>
    <w:rsid w:val="00257BA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malegislature.gov/Laws/GeneralLaws/PartI/TitleXX/Chapter143/Section93"/>
  <Relationship Id="rId11" Type="http://schemas.openxmlformats.org/officeDocument/2006/relationships/hyperlink" TargetMode="External" Target="https://malegislature.gov/Laws/GeneralLaws/PartI/TitleXX/Chapter143/Section94"/>
  <Relationship Id="rId12" Type="http://schemas.openxmlformats.org/officeDocument/2006/relationships/hyperlink" TargetMode="External" Target="https://malegislature.gov/Laws/GeneralLaws/PartI/TitleXX/Chapter143/Section94"/>
  <Relationship Id="rId13" Type="http://schemas.openxmlformats.org/officeDocument/2006/relationships/hyperlink" TargetMode="External" Target="https://malegislature.gov/Laws/GeneralLaws/PartI/TitleIII/Chapter30A/Section20"/>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numbering" Target="numbering.xml"/>
  <Relationship Id="rId20" Type="http://schemas.openxmlformats.org/officeDocument/2006/relationships/hyperlink" TargetMode="External" Target="http://www.mass.gov/eopss/consumer-prot-and-bus-lic/license-type/csl/8th-edition-base-code.html"/>
  <Relationship Id="rId21" Type="http://schemas.openxmlformats.org/officeDocument/2006/relationships/image" Target="media/image1.wmf"/>
  <Relationship Id="rId22" Type="http://schemas.openxmlformats.org/officeDocument/2006/relationships/image" Target="media/image2.wmf"/>
  <Relationship Id="rId23" Type="http://schemas.openxmlformats.org/officeDocument/2006/relationships/image" Target="media/image3.wmf"/>
  <Relationship Id="rId24" Type="http://schemas.openxmlformats.org/officeDocument/2006/relationships/image" Target="media/image4.wmf"/>
  <Relationship Id="rId25" Type="http://schemas.openxmlformats.org/officeDocument/2006/relationships/image" Target="media/image5.jpeg"/>
  <Relationship Id="rId26" Type="http://schemas.openxmlformats.org/officeDocument/2006/relationships/image" Target="media/image6.emf"/>
  <Relationship Id="rId27" Type="http://schemas.openxmlformats.org/officeDocument/2006/relationships/oleObject" Target="embeddings/oleObject1.bin"/>
  <Relationship Id="rId28" Type="http://schemas.openxmlformats.org/officeDocument/2006/relationships/image" Target="media/image7.emf"/>
  <Relationship Id="rId29" Type="http://schemas.openxmlformats.org/officeDocument/2006/relationships/hyperlink" TargetMode="External" Target="http://www.google.com/url?sa=t&amp;rct=j&amp;q=&amp;esrc=s&amp;source=web&amp;cd=1&amp;cad=rja&amp;ved=0CCkQFjAA&amp;url=http%3A%2F%2Fwww.massgrowth.net%2Fwritable%2Fresources%2Fdocument%2Fa_f_housingreport.pdf&amp;ei=rrnmUrrqGbStsQSeh4CACg&amp;usg=AFQjCNG6YxL5fT9PoQyaW8x0eHTlGHL-Eg&amp;sig2=RPEJDXW1cCyN-y5ApA2Mww&amp;bvm=bv.59930103,d.cWc"/>
  <Relationship Id="rId3" Type="http://schemas.openxmlformats.org/officeDocument/2006/relationships/styles" Target="styles.xml"/>
  <Relationship Id="rId30" Type="http://schemas.openxmlformats.org/officeDocument/2006/relationships/hyperlink" TargetMode="External" Target="https://malegislature.gov/Laws/GeneralLaws/PartI/TitleVII/Chapter40B/Section21"/>
  <Relationship Id="rId31" Type="http://schemas.openxmlformats.org/officeDocument/2006/relationships/image" Target="media/image8.emf"/>
  <Relationship Id="rId32" Type="http://schemas.openxmlformats.org/officeDocument/2006/relationships/hyperlink" TargetMode="External" Target="https://malegislature.gov/Laws/GeneralLaws/PartI/TitleXX/Chapter143/Section95"/>
  <Relationship Id="rId33" Type="http://schemas.openxmlformats.org/officeDocument/2006/relationships/hyperlink" TargetMode="External" Target="http://www.sec.state.ma.us/"/>
  <Relationship Id="rId34" Type="http://schemas.openxmlformats.org/officeDocument/2006/relationships/hyperlink" TargetMode="External" Target="http://www.mass.gov/eopss/architectural-access-board.html"/>
  <Relationship Id="rId35" Type="http://schemas.openxmlformats.org/officeDocument/2006/relationships/hyperlink" TargetMode="External" Target="https://malegislature.gov/Laws/GeneralLaws/PartI/TitleXX/Chapter148/Section26G"/>
  <Relationship Id="rId36" Type="http://schemas.openxmlformats.org/officeDocument/2006/relationships/hyperlink" TargetMode="External" Target="http://sprinkler.blog.nfpa.org/2013/04/change-on-the-way-after-fatal-newton-ma-fire.html"/>
  <Relationship Id="rId37" Type="http://schemas.openxmlformats.org/officeDocument/2006/relationships/hyperlink" TargetMode="External" Target="http://www.russellsage.org/research/chartbook/social-inequality"/>
  <Relationship Id="rId38" Type="http://schemas.openxmlformats.org/officeDocument/2006/relationships/hyperlink" TargetMode="External" Target="http://www.census.gov/hhes/www/housing/census/historic/values.html"/>
  <Relationship Id="rId39" Type="http://schemas.openxmlformats.org/officeDocument/2006/relationships/image" Target="media/image9.wmf"/>
  <Relationship Id="rId4" Type="http://schemas.openxmlformats.org/officeDocument/2006/relationships/settings" Target="settings.xml"/>
  <Relationship Id="rId40" Type="http://schemas.openxmlformats.org/officeDocument/2006/relationships/hyperlink" TargetMode="External" Target="http://www.census.gov/acs/www/"/>
  <Relationship Id="rId41" Type="http://schemas.openxmlformats.org/officeDocument/2006/relationships/hyperlink" TargetMode="External" Target="http://www.hsh.com/calc-howmuch.html"/>
  <Relationship Id="rId42" Type="http://schemas.openxmlformats.org/officeDocument/2006/relationships/hyperlink" TargetMode="External" Target="http://www.census.gov/hhes/www/housing/census/historic/owner.html"/>
  <Relationship Id="rId43" Type="http://schemas.openxmlformats.org/officeDocument/2006/relationships/hyperlink" TargetMode="External" Target="http://www.mapc.org/data-services/available-data/projections"/>
  <Relationship Id="rId44" Type="http://schemas.openxmlformats.org/officeDocument/2006/relationships/hyperlink" TargetMode="External" Target="https://malegislature.gov/Laws/GeneralLaws/PartI/TitleVII/Chapter40B/Section24"/>
  <Relationship Id="rId45" Type="http://schemas.openxmlformats.org/officeDocument/2006/relationships/hyperlink" TargetMode="External" Target="http://www.gbreb.com/uploadedFiles/GBAR/GBAR_Education_and_Events/BBLUESTONEPRES2014.pdf?n=5679"/>
  <Relationship Id="rId46" Type="http://schemas.openxmlformats.org/officeDocument/2006/relationships/hyperlink" TargetMode="External" Target="https://www.youtube.com/watch?v=icZG05XU9pM"/>
  <Relationship Id="rId47" Type="http://schemas.openxmlformats.org/officeDocument/2006/relationships/hyperlink" TargetMode="External" Target="http://www.google.com/url?sa=t&amp;rct=j&amp;q=&amp;esrc=s&amp;source=web&amp;cd=9&amp;ved=0CGIQFjAI&amp;url=http%3A%2F%2Fwww.benningfieldgroup.com%2Fdocs%2FFinal_MF_EE_Potential_Report_Oct_2009_v2.pdf&amp;ei=jO1jU8qrJrPKsQSh6YDgBQ&amp;usg=AFQjCNF410rsYwfPoZoYlwxo-qPf0bTuWQ&amp;sig2=L0HjBGjQkCH6jwOS5CLAPA&amp;bvm=bv.65788261,d.cWc&amp;cad=rja"/>
  <Relationship Id="rId48" Type="http://schemas.openxmlformats.org/officeDocument/2006/relationships/hyperlink" TargetMode="External" Target="http://quickfacts.census.gov/qfd/states/00000.html"/>
  <Relationship Id="rId49" Type="http://schemas.openxmlformats.org/officeDocument/2006/relationships/hyperlink" TargetMode="External" Target="https://www.census.gov/construction/chars/mfu.html"/>
  <Relationship Id="rId5" Type="http://schemas.openxmlformats.org/officeDocument/2006/relationships/webSettings" Target="webSettings.xml"/>
  <Relationship Id="rId50" Type="http://schemas.openxmlformats.org/officeDocument/2006/relationships/hyperlink" TargetMode="External" Target="https://www.youtube.com/watch?v=zYiymdjTKH8"/>
  <Relationship Id="rId51" Type="http://schemas.openxmlformats.org/officeDocument/2006/relationships/hyperlink" TargetMode="External" Target="http://www.epa.gov/cleanenergy/energy-resources/refs.html"/>
  <Relationship Id="rId52" Type="http://schemas.openxmlformats.org/officeDocument/2006/relationships/hyperlink" TargetMode="External" Target="https://malegislature.gov/Laws/GeneralLaws/PartI/TitleII/Chapter25A/Section10"/>
  <Relationship Id="rId53" Type="http://schemas.openxmlformats.org/officeDocument/2006/relationships/hyperlink" TargetMode="External" Target="http://www.mass.gov/eopss/docs/dps/8th-edition/115-appendices.pdf"/>
  <Relationship Id="rId54" Type="http://schemas.openxmlformats.org/officeDocument/2006/relationships/image" Target="media/image10.wmf"/>
  <Relationship Id="rId55" Type="http://schemas.openxmlformats.org/officeDocument/2006/relationships/hyperlink" TargetMode="External" Target="http://www.eia.gov/tools/faqs/faq.cfm?id=45&amp;t=8"/>
  <Relationship Id="rId56" Type="http://schemas.openxmlformats.org/officeDocument/2006/relationships/header" Target="header4.xml"/>
  <Relationship Id="rId57" Type="http://schemas.openxmlformats.org/officeDocument/2006/relationships/header" Target="header5.xml"/>
  <Relationship Id="rId58" Type="http://schemas.openxmlformats.org/officeDocument/2006/relationships/footer" Target="footer4.xml"/>
  <Relationship Id="rId59" Type="http://schemas.openxmlformats.org/officeDocument/2006/relationships/header" Target="header6.xml"/>
  <Relationship Id="rId6" Type="http://schemas.openxmlformats.org/officeDocument/2006/relationships/footnotes" Target="footnotes.xml"/>
  <Relationship Id="rId60" Type="http://schemas.openxmlformats.org/officeDocument/2006/relationships/fontTable" Target="fontTable.xml"/>
  <Relationship Id="rId61" Type="http://schemas.openxmlformats.org/officeDocument/2006/relationships/theme" Target="theme/theme1.xml"/>
  <Relationship Id="rId7" Type="http://schemas.openxmlformats.org/officeDocument/2006/relationships/endnotes" Target="endnotes.xml"/>
  <Relationship Id="rId8" Type="http://schemas.openxmlformats.org/officeDocument/2006/relationships/hyperlink" TargetMode="External" Target="https://malegislature.gov/Laws/GeneralLaws/PartI/TitleXX/Chapter143/Section93"/>
  <Relationship Id="rId9" Type="http://schemas.openxmlformats.org/officeDocument/2006/relationships/hyperlink" TargetMode="External" Target="mailto:mike.guigli@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94C07-068A-4A57-B423-A929E556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26</Pages>
  <Words>10974</Words>
  <Characters>60253</Characters>
  <Application>Microsoft Office Word</Application>
  <DocSecurity>0</DocSecurity>
  <Lines>502</Lines>
  <Paragraphs>142</Paragraphs>
  <ScaleCrop>false</ScaleCrop>
  <HeadingPairs>
    <vt:vector size="2" baseType="variant">
      <vt:variant>
        <vt:lpstr>Title</vt:lpstr>
      </vt:variant>
      <vt:variant>
        <vt:i4>1</vt:i4>
      </vt:variant>
    </vt:vector>
  </HeadingPairs>
  <TitlesOfParts>
    <vt:vector size="1" baseType="lpstr">
      <vt:lpstr>Draft Outline</vt:lpstr>
    </vt:vector>
  </TitlesOfParts>
  <Company>Somerville Public Library</Company>
  <LinksUpToDate>false</LinksUpToDate>
  <CharactersWithSpaces>71085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2014-05-08T18:39:00Z</dcterms:created>
  <dc:creator>Public</dc:creator>
  <lastModifiedBy>mguigli</lastModifiedBy>
  <lastPrinted>2014-05-09T13:11:00Z</lastPrinted>
  <dcterms:modified xsi:type="dcterms:W3CDTF">2014-05-15T12:58:00Z</dcterms:modified>
  <revision>11</revision>
  <dc:title>Draft Outline</dc:title>
</coreProperties>
</file>