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9D8CA" w14:textId="77777777" w:rsidR="00B4199E" w:rsidRDefault="00B4199E"/>
    <w:p w14:paraId="5B2E95B9" w14:textId="77777777" w:rsidR="00B4199E" w:rsidRDefault="00B4199E"/>
    <w:p w14:paraId="2532B9F8" w14:textId="77777777" w:rsidR="00B4199E" w:rsidRDefault="004F67BE">
      <w:r>
        <w:t>William Anderson</w:t>
      </w:r>
    </w:p>
    <w:p w14:paraId="261517D1" w14:textId="77777777" w:rsidR="00B4199E" w:rsidRDefault="004F67BE">
      <w:r>
        <w:t>Office of the General Counsel</w:t>
      </w:r>
    </w:p>
    <w:p w14:paraId="123F73A9" w14:textId="77777777" w:rsidR="00B4199E" w:rsidRDefault="004F67BE">
      <w:r>
        <w:t>Department of Public Health</w:t>
      </w:r>
    </w:p>
    <w:p w14:paraId="2744DFDB" w14:textId="77777777" w:rsidR="00B4199E" w:rsidRDefault="004F67BE">
      <w:r>
        <w:t>250 Washington Street</w:t>
      </w:r>
    </w:p>
    <w:p w14:paraId="184C96A6" w14:textId="77777777" w:rsidR="00B4199E" w:rsidRDefault="004F67BE">
      <w:r>
        <w:t>Boston, MA 02108</w:t>
      </w:r>
    </w:p>
    <w:p w14:paraId="4D3C19B9" w14:textId="77777777" w:rsidR="00B4199E" w:rsidRDefault="004F67BE">
      <w:pPr>
        <w:spacing w:before="240" w:after="240"/>
        <w:rPr>
          <w:b/>
          <w:bCs/>
        </w:rPr>
      </w:pPr>
      <w:r>
        <w:rPr>
          <w:b/>
          <w:bCs/>
        </w:rPr>
        <w:t>RE: Formal Written Testimony Regarding Proposed Amendments to 105 CMR 168.000</w:t>
      </w:r>
    </w:p>
    <w:p w14:paraId="15B3A99F" w14:textId="77777777" w:rsidR="00B4199E" w:rsidRDefault="004F67BE">
      <w:pPr>
        <w:spacing w:before="240" w:after="240"/>
      </w:pPr>
      <w:r>
        <w:t>Dear Mr. Anderson,</w:t>
      </w:r>
    </w:p>
    <w:p w14:paraId="287F0351" w14:textId="77777777" w:rsidR="00B4199E" w:rsidRDefault="004F67BE">
      <w:pPr>
        <w:spacing w:before="240" w:after="240"/>
      </w:pPr>
      <w:r>
        <w:t xml:space="preserve">I am writing to provide detailed testimony regarding the proposed revisions to 105 CMR 168.000. As a Licensed Alcohol and Drug Counselor I (LADC-I) in private practice in Beverly, as well as the President of Region 1 of the Massachusetts Association of Alcohol and Drug Counselors (MAADAC), I urge the Department to revise the proposed scope of practice in </w:t>
      </w:r>
      <w:r>
        <w:rPr>
          <w:b/>
          <w:bCs/>
        </w:rPr>
        <w:t>Section 168.026</w:t>
      </w:r>
      <w:r>
        <w:t xml:space="preserve"> to ensure true clinical parity and alignment with established regulatory models in our neighboring states.</w:t>
      </w:r>
    </w:p>
    <w:p w14:paraId="2BAF0A00" w14:textId="77777777" w:rsidR="00B4199E" w:rsidRDefault="004F67BE">
      <w:pPr>
        <w:spacing w:before="240" w:after="240"/>
      </w:pPr>
      <w:r>
        <w:t>The need for this change is underscored by a significant regulatory imbalance within the current Massachusetts licensing framework. While Licensed Mental Health Counselors (LMHCs) and Licensed Independent Clinical Social Workers (LICSWs) are permitted to treat substance use disorders regardless of their specific training in addiction, LADC-</w:t>
      </w:r>
      <w:proofErr w:type="gramStart"/>
      <w:r>
        <w:t>Is remain</w:t>
      </w:r>
      <w:proofErr w:type="gramEnd"/>
      <w:r>
        <w:t xml:space="preserve"> restricted. Despite holding master’s degrees in behavioral science and passing the rigorous IC&amp;RC Advanced Alcohol and Drug Counselor (AADC) examination, LADC-Is are currently limited in their ability to independently treat the very conditions—such as depression and PTSD—that are primary drivers of a patient’s substance use.</w:t>
      </w:r>
    </w:p>
    <w:p w14:paraId="751F7817" w14:textId="77777777" w:rsidR="00B4199E" w:rsidRDefault="004F67BE">
      <w:pPr>
        <w:spacing w:before="240"/>
      </w:pPr>
      <w:r>
        <w:t xml:space="preserve">Massachusetts has a unique opportunity to join our neighbors in adopting modern regulatory standards that address this exact issue. In New Hampshire, for example, RSA 330-C:10 recognizes the Master Licensed Alcohol and Drug Counselor (MLADC) as a tier prepared for broad clinical responsibility, granting them explicit authority to treat mental health disorders both with and without the context of a substance use disorder. The qualifications to obtain an MLADC license are remarkably similar to our </w:t>
      </w:r>
      <w:proofErr w:type="gramStart"/>
      <w:r>
        <w:t>states</w:t>
      </w:r>
      <w:proofErr w:type="gramEnd"/>
      <w:r>
        <w:t xml:space="preserve"> LADC I requirements, and NH even grants parity to LADC I holders. Similarly, Vermont law provides a definitive model for parity under </w:t>
      </w:r>
    </w:p>
    <w:p w14:paraId="534EFF3E" w14:textId="77777777" w:rsidR="00B4199E" w:rsidRDefault="004F67BE">
      <w:pPr>
        <w:spacing w:after="240"/>
      </w:pPr>
      <w:r>
        <w:t xml:space="preserve">26 V.S.A. § 3231(5) and § 3234, which define the practice to include psychotherapy for both dependency and process disorders. This language effectively eliminates artificial barriers by establishing a unified standard of care based on the clinician’s master's-level training. </w:t>
      </w:r>
    </w:p>
    <w:p w14:paraId="18A2D527" w14:textId="77777777" w:rsidR="00B4199E" w:rsidRDefault="00B4199E">
      <w:pPr>
        <w:spacing w:after="240"/>
      </w:pPr>
    </w:p>
    <w:p w14:paraId="39D7F4A9" w14:textId="77777777" w:rsidR="00B4199E" w:rsidRDefault="004F67BE">
      <w:pPr>
        <w:spacing w:after="240"/>
      </w:pPr>
      <w:r>
        <w:lastRenderedPageBreak/>
        <w:t>Furthermore, Connecticut law, under Conn. Gen. Stat. § 20-74s, provides the explicit diagnostic authority necessary for integrated care by including the treatment of co-occurring disorders within the licensee's scope.</w:t>
      </w:r>
    </w:p>
    <w:p w14:paraId="2CD1D9C7" w14:textId="77777777" w:rsidR="00B4199E" w:rsidRDefault="004F67BE">
      <w:pPr>
        <w:spacing w:after="240"/>
      </w:pPr>
      <w:r>
        <w:t xml:space="preserve">To resolve these imbalances and improve access to care, I specifically propose that </w:t>
      </w:r>
      <w:r>
        <w:rPr>
          <w:b/>
        </w:rPr>
        <w:t>Section 168.026</w:t>
      </w:r>
      <w:r>
        <w:t xml:space="preserve"> be amended to state that the practice of alcohol and drug counseling includes the treatment of </w:t>
      </w:r>
      <w:r>
        <w:rPr>
          <w:b/>
        </w:rPr>
        <w:t>“substance use disorders and related mental and emotional disorders within the scope of the licensee’s education, training, and clinical competence.”</w:t>
      </w:r>
      <w:r>
        <w:t xml:space="preserve"> This competence-based guardrail is the same standard already applied to LMHCs and would allow LADC-Is to fully utilize their advanced training to treat the whole person while ethically referring out for conditions beyond their individual skill set.</w:t>
      </w:r>
    </w:p>
    <w:p w14:paraId="099C6DBB" w14:textId="77777777" w:rsidR="00B4199E" w:rsidRDefault="004F67BE">
      <w:pPr>
        <w:spacing w:before="240" w:after="240"/>
      </w:pPr>
      <w:r>
        <w:t>Maintaining a restrictive, "disorder-based" scope in 2026 unnecessarily limits the Commonwealth's behavioral health workforce at a time of unprecedented demand. I respectfully urge the Department to adopt a framework that ensures parity, reflects our advanced training, and aligns with the successful models of our neighbors.</w:t>
      </w:r>
    </w:p>
    <w:p w14:paraId="512A4885" w14:textId="77777777" w:rsidR="00B4199E" w:rsidRDefault="004F67BE">
      <w:pPr>
        <w:spacing w:before="240" w:after="240"/>
      </w:pPr>
      <w:r>
        <w:t>Sincerely,</w:t>
      </w:r>
    </w:p>
    <w:p w14:paraId="5E2CE8E3" w14:textId="77777777" w:rsidR="00B4199E" w:rsidRDefault="004F67BE">
      <w:pPr>
        <w:spacing w:before="240" w:after="240"/>
      </w:pPr>
      <w:r>
        <w:rPr>
          <w:noProof/>
        </w:rPr>
        <w:drawing>
          <wp:inline distT="114300" distB="114300" distL="114300" distR="114300" wp14:anchorId="01C4501E" wp14:editId="2C987B19">
            <wp:extent cx="2842260" cy="368935"/>
            <wp:effectExtent l="0" t="0" r="0" b="0"/>
            <wp:docPr id="1" name="image1.jpg" descr="Signature - Patrick Willwerth"/>
            <wp:cNvGraphicFramePr/>
            <a:graphic xmlns:a="http://schemas.openxmlformats.org/drawingml/2006/main">
              <a:graphicData uri="http://schemas.openxmlformats.org/drawingml/2006/picture">
                <pic:pic xmlns:pic="http://schemas.openxmlformats.org/drawingml/2006/picture">
                  <pic:nvPicPr>
                    <pic:cNvPr id="1" name="image1.jpg" descr="Signature - Patrick Willwerth"/>
                    <pic:cNvPicPr preferRelativeResize="0"/>
                  </pic:nvPicPr>
                  <pic:blipFill>
                    <a:blip r:embed="rId7"/>
                    <a:srcRect/>
                    <a:stretch>
                      <a:fillRect/>
                    </a:stretch>
                  </pic:blipFill>
                  <pic:spPr>
                    <a:xfrm>
                      <a:off x="0" y="0"/>
                      <a:ext cx="2842278" cy="368950"/>
                    </a:xfrm>
                    <a:prstGeom prst="rect">
                      <a:avLst/>
                    </a:prstGeom>
                    <a:ln/>
                  </pic:spPr>
                </pic:pic>
              </a:graphicData>
            </a:graphic>
          </wp:inline>
        </w:drawing>
      </w:r>
    </w:p>
    <w:p w14:paraId="7BEF2CBF" w14:textId="77777777" w:rsidR="00B4199E" w:rsidRDefault="004F67BE">
      <w:r>
        <w:t xml:space="preserve">Patrick Willwerth </w:t>
      </w:r>
    </w:p>
    <w:p w14:paraId="219484E3" w14:textId="77777777" w:rsidR="00B4199E" w:rsidRDefault="004F67BE">
      <w:r>
        <w:t>Licensed Alcohol and Drug Counselor I</w:t>
      </w:r>
    </w:p>
    <w:p w14:paraId="59BAC8B6" w14:textId="77777777" w:rsidR="00B4199E" w:rsidRDefault="004F67BE">
      <w:r>
        <w:t>President, Region 1 MAADAC</w:t>
      </w:r>
    </w:p>
    <w:p w14:paraId="6DB2DC8F" w14:textId="77777777" w:rsidR="00B4199E" w:rsidRDefault="00B4199E"/>
    <w:sectPr w:rsidR="00B4199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8BEC1" w14:textId="77777777" w:rsidR="004F67BE" w:rsidRDefault="004F67BE">
      <w:pPr>
        <w:spacing w:line="240" w:lineRule="auto"/>
      </w:pPr>
      <w:r>
        <w:separator/>
      </w:r>
    </w:p>
  </w:endnote>
  <w:endnote w:type="continuationSeparator" w:id="0">
    <w:p w14:paraId="4A71550B" w14:textId="77777777" w:rsidR="004F67BE" w:rsidRDefault="004F67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B Garamond SemiBold">
    <w:charset w:val="00"/>
    <w:family w:val="auto"/>
    <w:pitch w:val="variable"/>
    <w:sig w:usb0="E00002FF" w:usb1="02000413" w:usb2="00000000" w:usb3="00000000" w:csb0="0000019F" w:csb1="00000000"/>
    <w:embedRegular r:id="rId1" w:fontKey="{312C0DCE-0411-4556-82D2-C91E845682E2}"/>
  </w:font>
  <w:font w:name="EB Garamond Medium">
    <w:charset w:val="00"/>
    <w:family w:val="auto"/>
    <w:pitch w:val="variable"/>
    <w:sig w:usb0="E00002FF" w:usb1="02000413" w:usb2="00000000" w:usb3="00000000" w:csb0="0000019F" w:csb1="00000000"/>
    <w:embedRegular r:id="rId2" w:fontKey="{050FC2FF-41D9-45C9-8E0B-7C45111AD074}"/>
  </w:font>
  <w:font w:name="Calibri">
    <w:panose1 w:val="020F0502020204030204"/>
    <w:charset w:val="00"/>
    <w:family w:val="swiss"/>
    <w:pitch w:val="variable"/>
    <w:sig w:usb0="E4002EFF" w:usb1="C200247B" w:usb2="00000009" w:usb3="00000000" w:csb0="000001FF" w:csb1="00000000"/>
    <w:embedRegular r:id="rId3" w:fontKey="{A3D4B048-5A89-4888-BDE8-B53D5B7489DD}"/>
  </w:font>
  <w:font w:name="Cambria">
    <w:panose1 w:val="02040503050406030204"/>
    <w:charset w:val="00"/>
    <w:family w:val="roman"/>
    <w:pitch w:val="variable"/>
    <w:sig w:usb0="E00006FF" w:usb1="420024FF" w:usb2="02000000" w:usb3="00000000" w:csb0="0000019F" w:csb1="00000000"/>
    <w:embedRegular r:id="rId4" w:fontKey="{02D81246-6B65-4791-996E-0DEE163C37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D071" w14:textId="77777777" w:rsidR="004F67BE" w:rsidRDefault="004F67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DC4E8" w14:textId="77777777" w:rsidR="004F67BE" w:rsidRDefault="004F67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478C" w14:textId="77777777" w:rsidR="004F67BE" w:rsidRDefault="004F67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AFC16" w14:textId="77777777" w:rsidR="004F67BE" w:rsidRDefault="004F67BE">
      <w:pPr>
        <w:spacing w:line="240" w:lineRule="auto"/>
      </w:pPr>
      <w:r>
        <w:separator/>
      </w:r>
    </w:p>
  </w:footnote>
  <w:footnote w:type="continuationSeparator" w:id="0">
    <w:p w14:paraId="3F6A9D31" w14:textId="77777777" w:rsidR="004F67BE" w:rsidRDefault="004F67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9C16" w14:textId="77777777" w:rsidR="004F67BE" w:rsidRDefault="004F67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8643" w14:textId="77777777" w:rsidR="00B4199E" w:rsidRDefault="004F67BE">
    <w:pPr>
      <w:rPr>
        <w:rFonts w:ascii="EB Garamond SemiBold" w:eastAsia="EB Garamond SemiBold" w:hAnsi="EB Garamond SemiBold" w:cs="EB Garamond SemiBold"/>
        <w:color w:val="5A7D34"/>
        <w:sz w:val="52"/>
        <w:szCs w:val="52"/>
      </w:rPr>
    </w:pPr>
    <w:r>
      <w:rPr>
        <w:rFonts w:ascii="EB Garamond SemiBold" w:eastAsia="EB Garamond SemiBold" w:hAnsi="EB Garamond SemiBold" w:cs="EB Garamond SemiBold"/>
        <w:color w:val="5A7D34"/>
        <w:sz w:val="52"/>
        <w:szCs w:val="52"/>
      </w:rPr>
      <w:t>Kettle Cove Counseling</w:t>
    </w:r>
  </w:p>
  <w:p w14:paraId="6AD3794D" w14:textId="77777777" w:rsidR="00B4199E" w:rsidRDefault="004F67BE">
    <w:pPr>
      <w:rPr>
        <w:rFonts w:ascii="EB Garamond Medium" w:eastAsia="EB Garamond Medium" w:hAnsi="EB Garamond Medium" w:cs="EB Garamond Medium"/>
        <w:sz w:val="24"/>
        <w:szCs w:val="24"/>
      </w:rPr>
    </w:pPr>
    <w:r>
      <w:rPr>
        <w:rFonts w:ascii="EB Garamond Medium" w:eastAsia="EB Garamond Medium" w:hAnsi="EB Garamond Medium" w:cs="EB Garamond Medium"/>
        <w:sz w:val="24"/>
        <w:szCs w:val="24"/>
      </w:rPr>
      <w:t>Patrick Willwerth, M.Ed., LADC-I – (617) 209-9330</w:t>
    </w:r>
  </w:p>
  <w:p w14:paraId="4DE16B52" w14:textId="77777777" w:rsidR="00B4199E" w:rsidRDefault="004F67BE">
    <w:r>
      <w:rPr>
        <w:rFonts w:ascii="EB Garamond Medium" w:eastAsia="EB Garamond Medium" w:hAnsi="EB Garamond Medium" w:cs="EB Garamond Medium"/>
        <w:sz w:val="24"/>
        <w:szCs w:val="24"/>
      </w:rPr>
      <w:t>8 Thorndike Street; Beverly, MA 01915 – Patrick@KettleCoveCounseling.com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62BF" w14:textId="77777777" w:rsidR="004F67BE" w:rsidRDefault="004F67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4F8"/>
    <w:multiLevelType w:val="hybridMultilevel"/>
    <w:tmpl w:val="605AEA54"/>
    <w:lvl w:ilvl="0" w:tplc="4DD0B6B8">
      <w:numFmt w:val="bullet"/>
      <w:lvlText w:val=""/>
      <w:lvlJc w:val="left"/>
      <w:pPr>
        <w:ind w:left="720" w:hanging="360"/>
      </w:pPr>
      <w:rPr>
        <w:rFonts w:ascii="Symbol" w:hAnsi="Symbol"/>
      </w:rPr>
    </w:lvl>
    <w:lvl w:ilvl="1" w:tplc="1F8CBBD2">
      <w:numFmt w:val="bullet"/>
      <w:lvlText w:val="o"/>
      <w:lvlJc w:val="left"/>
      <w:pPr>
        <w:ind w:left="1440" w:hanging="1080"/>
      </w:pPr>
      <w:rPr>
        <w:rFonts w:ascii="Courier New" w:hAnsi="Courier New"/>
      </w:rPr>
    </w:lvl>
    <w:lvl w:ilvl="2" w:tplc="D9A0692C">
      <w:numFmt w:val="bullet"/>
      <w:lvlText w:val=""/>
      <w:lvlJc w:val="left"/>
      <w:pPr>
        <w:ind w:left="2160" w:hanging="1800"/>
      </w:pPr>
    </w:lvl>
    <w:lvl w:ilvl="3" w:tplc="5802D5B6">
      <w:numFmt w:val="bullet"/>
      <w:lvlText w:val=""/>
      <w:lvlJc w:val="left"/>
      <w:pPr>
        <w:ind w:left="2880" w:hanging="2520"/>
      </w:pPr>
      <w:rPr>
        <w:rFonts w:ascii="Symbol" w:hAnsi="Symbol"/>
      </w:rPr>
    </w:lvl>
    <w:lvl w:ilvl="4" w:tplc="3646899A">
      <w:numFmt w:val="bullet"/>
      <w:lvlText w:val="o"/>
      <w:lvlJc w:val="left"/>
      <w:pPr>
        <w:ind w:left="3600" w:hanging="3240"/>
      </w:pPr>
      <w:rPr>
        <w:rFonts w:ascii="Courier New" w:hAnsi="Courier New"/>
      </w:rPr>
    </w:lvl>
    <w:lvl w:ilvl="5" w:tplc="80ACBCE6">
      <w:numFmt w:val="bullet"/>
      <w:lvlText w:val=""/>
      <w:lvlJc w:val="left"/>
      <w:pPr>
        <w:ind w:left="4320" w:hanging="3960"/>
      </w:pPr>
    </w:lvl>
    <w:lvl w:ilvl="6" w:tplc="530A3974">
      <w:numFmt w:val="bullet"/>
      <w:lvlText w:val=""/>
      <w:lvlJc w:val="left"/>
      <w:pPr>
        <w:ind w:left="5040" w:hanging="4680"/>
      </w:pPr>
      <w:rPr>
        <w:rFonts w:ascii="Symbol" w:hAnsi="Symbol"/>
      </w:rPr>
    </w:lvl>
    <w:lvl w:ilvl="7" w:tplc="9CFE621A">
      <w:numFmt w:val="bullet"/>
      <w:lvlText w:val="o"/>
      <w:lvlJc w:val="left"/>
      <w:pPr>
        <w:ind w:left="5760" w:hanging="5400"/>
      </w:pPr>
      <w:rPr>
        <w:rFonts w:ascii="Courier New" w:hAnsi="Courier New"/>
      </w:rPr>
    </w:lvl>
    <w:lvl w:ilvl="8" w:tplc="DCFEB9E2">
      <w:numFmt w:val="bullet"/>
      <w:lvlText w:val=""/>
      <w:lvlJc w:val="left"/>
      <w:pPr>
        <w:ind w:left="6480" w:hanging="6120"/>
      </w:pPr>
    </w:lvl>
  </w:abstractNum>
  <w:abstractNum w:abstractNumId="1" w15:restartNumberingAfterBreak="0">
    <w:nsid w:val="538D125B"/>
    <w:multiLevelType w:val="hybridMultilevel"/>
    <w:tmpl w:val="C91CBCC8"/>
    <w:lvl w:ilvl="0" w:tplc="E4566C92">
      <w:start w:val="1"/>
      <w:numFmt w:val="decimal"/>
      <w:lvlText w:val="%1."/>
      <w:lvlJc w:val="left"/>
      <w:pPr>
        <w:ind w:left="720" w:hanging="360"/>
      </w:pPr>
    </w:lvl>
    <w:lvl w:ilvl="1" w:tplc="8502363E">
      <w:start w:val="1"/>
      <w:numFmt w:val="decimal"/>
      <w:lvlText w:val="%2."/>
      <w:lvlJc w:val="left"/>
      <w:pPr>
        <w:ind w:left="1440" w:hanging="1080"/>
      </w:pPr>
    </w:lvl>
    <w:lvl w:ilvl="2" w:tplc="616E31F6">
      <w:start w:val="1"/>
      <w:numFmt w:val="decimal"/>
      <w:lvlText w:val="%3."/>
      <w:lvlJc w:val="left"/>
      <w:pPr>
        <w:ind w:left="2160" w:hanging="1980"/>
      </w:pPr>
    </w:lvl>
    <w:lvl w:ilvl="3" w:tplc="FD00772C">
      <w:start w:val="1"/>
      <w:numFmt w:val="decimal"/>
      <w:lvlText w:val="%4."/>
      <w:lvlJc w:val="left"/>
      <w:pPr>
        <w:ind w:left="2880" w:hanging="2520"/>
      </w:pPr>
    </w:lvl>
    <w:lvl w:ilvl="4" w:tplc="6C90480A">
      <w:start w:val="1"/>
      <w:numFmt w:val="decimal"/>
      <w:lvlText w:val="%5."/>
      <w:lvlJc w:val="left"/>
      <w:pPr>
        <w:ind w:left="3600" w:hanging="3240"/>
      </w:pPr>
    </w:lvl>
    <w:lvl w:ilvl="5" w:tplc="0706C9AC">
      <w:start w:val="1"/>
      <w:numFmt w:val="decimal"/>
      <w:lvlText w:val="%6."/>
      <w:lvlJc w:val="left"/>
      <w:pPr>
        <w:ind w:left="4320" w:hanging="4140"/>
      </w:pPr>
    </w:lvl>
    <w:lvl w:ilvl="6" w:tplc="5DF26F6A">
      <w:start w:val="1"/>
      <w:numFmt w:val="decimal"/>
      <w:lvlText w:val="%7."/>
      <w:lvlJc w:val="left"/>
      <w:pPr>
        <w:ind w:left="5040" w:hanging="4680"/>
      </w:pPr>
    </w:lvl>
    <w:lvl w:ilvl="7" w:tplc="B074CA0A">
      <w:start w:val="1"/>
      <w:numFmt w:val="decimal"/>
      <w:lvlText w:val="%8."/>
      <w:lvlJc w:val="left"/>
      <w:pPr>
        <w:ind w:left="5760" w:hanging="5400"/>
      </w:pPr>
    </w:lvl>
    <w:lvl w:ilvl="8" w:tplc="840C53F4">
      <w:start w:val="1"/>
      <w:numFmt w:val="decimal"/>
      <w:lvlText w:val="%9."/>
      <w:lvlJc w:val="left"/>
      <w:pPr>
        <w:ind w:left="6480" w:hanging="6300"/>
      </w:pPr>
    </w:lvl>
  </w:abstractNum>
  <w:num w:numId="1" w16cid:durableId="1787313275">
    <w:abstractNumId w:val="0"/>
  </w:num>
  <w:num w:numId="2" w16cid:durableId="1693413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99E"/>
    <w:rsid w:val="004F67BE"/>
    <w:rsid w:val="00A45C6A"/>
    <w:rsid w:val="00B4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D1ED0F"/>
  <w15:docId w15:val="{1B3F5BAC-0A21-4B56-9E0C-ED515347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F67BE"/>
    <w:pPr>
      <w:tabs>
        <w:tab w:val="center" w:pos="4680"/>
        <w:tab w:val="right" w:pos="9360"/>
      </w:tabs>
      <w:spacing w:line="240" w:lineRule="auto"/>
    </w:pPr>
  </w:style>
  <w:style w:type="character" w:customStyle="1" w:styleId="HeaderChar">
    <w:name w:val="Header Char"/>
    <w:basedOn w:val="DefaultParagraphFont"/>
    <w:link w:val="Header"/>
    <w:uiPriority w:val="99"/>
    <w:rsid w:val="004F67BE"/>
  </w:style>
  <w:style w:type="paragraph" w:styleId="Footer">
    <w:name w:val="footer"/>
    <w:basedOn w:val="Normal"/>
    <w:link w:val="FooterChar"/>
    <w:uiPriority w:val="99"/>
    <w:unhideWhenUsed/>
    <w:rsid w:val="004F67BE"/>
    <w:pPr>
      <w:tabs>
        <w:tab w:val="center" w:pos="4680"/>
        <w:tab w:val="right" w:pos="9360"/>
      </w:tabs>
      <w:spacing w:line="240" w:lineRule="auto"/>
    </w:pPr>
  </w:style>
  <w:style w:type="character" w:customStyle="1" w:styleId="FooterChar">
    <w:name w:val="Footer Char"/>
    <w:basedOn w:val="DefaultParagraphFont"/>
    <w:link w:val="Footer"/>
    <w:uiPriority w:val="99"/>
    <w:rsid w:val="004F6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3003</Characters>
  <Application>Microsoft Office Word</Application>
  <DocSecurity>0</DocSecurity>
  <Lines>25</Lines>
  <Paragraphs>7</Paragraphs>
  <ScaleCrop>false</ScaleCrop>
  <Company>Commonwealth of Massachusetts</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Anderson, William (DPH)</cp:lastModifiedBy>
  <cp:revision>2</cp:revision>
  <dcterms:created xsi:type="dcterms:W3CDTF">2026-05-01T17:25:00Z</dcterms:created>
  <dcterms:modified xsi:type="dcterms:W3CDTF">2026-05-01T17:26:00Z</dcterms:modified>
</cp:coreProperties>
</file>