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69DD" w14:textId="10ED4C38" w:rsidR="00C6661C" w:rsidRPr="007915CE" w:rsidRDefault="00C6661C" w:rsidP="00C6661C">
      <w:pPr>
        <w:rPr>
          <w:rFonts w:cstheme="minorHAnsi"/>
          <w:b/>
          <w:bCs/>
          <w:sz w:val="24"/>
          <w:szCs w:val="24"/>
        </w:rPr>
      </w:pPr>
      <w:r w:rsidRPr="007915CE">
        <w:rPr>
          <w:rFonts w:cstheme="minorHAnsi"/>
          <w:b/>
          <w:bCs/>
          <w:sz w:val="24"/>
          <w:szCs w:val="24"/>
        </w:rPr>
        <w:t xml:space="preserve">APPLICANT </w:t>
      </w:r>
      <w:r w:rsidR="00F07021" w:rsidRPr="007915CE">
        <w:rPr>
          <w:rFonts w:cstheme="minorHAnsi"/>
          <w:b/>
          <w:bCs/>
          <w:sz w:val="24"/>
          <w:szCs w:val="24"/>
        </w:rPr>
        <w:t xml:space="preserve">RESPONSES </w:t>
      </w:r>
    </w:p>
    <w:p w14:paraId="1A501A34" w14:textId="77777777" w:rsidR="00C6661C" w:rsidRPr="007915CE" w:rsidRDefault="00C6661C" w:rsidP="00C6661C">
      <w:pPr>
        <w:rPr>
          <w:rFonts w:cstheme="minorHAnsi"/>
          <w:sz w:val="24"/>
          <w:szCs w:val="24"/>
        </w:rPr>
      </w:pPr>
      <w:r w:rsidRPr="007915CE">
        <w:rPr>
          <w:rFonts w:cstheme="minorHAnsi"/>
          <w:i/>
          <w:iCs/>
          <w:sz w:val="24"/>
          <w:szCs w:val="24"/>
        </w:rPr>
        <w:t xml:space="preserve">Responses should be sent to DoN staff at </w:t>
      </w:r>
      <w:hyperlink r:id="rId8" w:history="1">
        <w:r w:rsidRPr="007915CE">
          <w:rPr>
            <w:rStyle w:val="Hyperlink"/>
            <w:rFonts w:cstheme="minorHAnsi"/>
            <w:color w:val="auto"/>
            <w:sz w:val="24"/>
            <w:szCs w:val="24"/>
          </w:rPr>
          <w:t>DPH.DON@State.MA.US</w:t>
        </w:r>
      </w:hyperlink>
    </w:p>
    <w:tbl>
      <w:tblPr>
        <w:tblStyle w:val="TableGrid"/>
        <w:tblW w:w="0" w:type="auto"/>
        <w:jc w:val="center"/>
        <w:tblLook w:val="04A0" w:firstRow="1" w:lastRow="0" w:firstColumn="1" w:lastColumn="0" w:noHBand="0" w:noVBand="1"/>
      </w:tblPr>
      <w:tblGrid>
        <w:gridCol w:w="9350"/>
      </w:tblGrid>
      <w:tr w:rsidR="00C6661C" w:rsidRPr="007915CE" w14:paraId="36C69A59" w14:textId="77777777" w:rsidTr="00FD1466">
        <w:trPr>
          <w:jc w:val="center"/>
        </w:trPr>
        <w:tc>
          <w:tcPr>
            <w:tcW w:w="9350" w:type="dxa"/>
          </w:tcPr>
          <w:p w14:paraId="0E0A0B58" w14:textId="77777777" w:rsidR="00C6661C" w:rsidRPr="007915CE" w:rsidRDefault="00C6661C" w:rsidP="00853112">
            <w:pPr>
              <w:spacing w:after="160"/>
              <w:rPr>
                <w:rFonts w:cstheme="minorHAnsi"/>
                <w:bCs/>
                <w:sz w:val="24"/>
                <w:szCs w:val="24"/>
              </w:rPr>
            </w:pPr>
            <w:r w:rsidRPr="007915CE">
              <w:rPr>
                <w:rFonts w:cstheme="minorHAnsi"/>
                <w:bCs/>
                <w:sz w:val="24"/>
                <w:szCs w:val="24"/>
              </w:rPr>
              <w:t xml:space="preserve">While you may submit each answer as available, please </w:t>
            </w:r>
          </w:p>
          <w:p w14:paraId="3261E944" w14:textId="77777777" w:rsidR="00C6661C" w:rsidRPr="007915CE" w:rsidRDefault="00C6661C" w:rsidP="00853112">
            <w:pPr>
              <w:numPr>
                <w:ilvl w:val="0"/>
                <w:numId w:val="1"/>
              </w:numPr>
              <w:spacing w:after="160"/>
              <w:rPr>
                <w:rFonts w:cstheme="minorHAnsi"/>
                <w:bCs/>
                <w:sz w:val="24"/>
                <w:szCs w:val="24"/>
              </w:rPr>
            </w:pPr>
            <w:r w:rsidRPr="007915CE">
              <w:rPr>
                <w:rFonts w:cstheme="minorHAnsi"/>
                <w:bCs/>
                <w:sz w:val="24"/>
                <w:szCs w:val="24"/>
              </w:rPr>
              <w:t xml:space="preserve">List question number and question for each answer you provide </w:t>
            </w:r>
          </w:p>
          <w:p w14:paraId="713E9551" w14:textId="77777777" w:rsidR="00C6661C" w:rsidRPr="007915CE" w:rsidRDefault="00C6661C" w:rsidP="00853112">
            <w:pPr>
              <w:numPr>
                <w:ilvl w:val="0"/>
                <w:numId w:val="1"/>
              </w:numPr>
              <w:spacing w:after="160"/>
              <w:rPr>
                <w:rFonts w:cstheme="minorHAnsi"/>
                <w:bCs/>
                <w:sz w:val="24"/>
                <w:szCs w:val="24"/>
              </w:rPr>
            </w:pPr>
            <w:r w:rsidRPr="007915CE">
              <w:rPr>
                <w:rFonts w:cstheme="minorHAnsi"/>
                <w:bCs/>
                <w:sz w:val="24"/>
                <w:szCs w:val="24"/>
              </w:rPr>
              <w:t xml:space="preserve">Submit responses as a separate word document, using the above application title and number as a running header and page numbers in the footer </w:t>
            </w:r>
          </w:p>
          <w:p w14:paraId="08F32670" w14:textId="77777777" w:rsidR="00C6661C" w:rsidRPr="007915CE" w:rsidRDefault="00C6661C" w:rsidP="00853112">
            <w:pPr>
              <w:numPr>
                <w:ilvl w:val="0"/>
                <w:numId w:val="1"/>
              </w:numPr>
              <w:spacing w:after="160"/>
              <w:rPr>
                <w:rFonts w:cstheme="minorHAnsi"/>
                <w:bCs/>
                <w:sz w:val="24"/>
                <w:szCs w:val="24"/>
              </w:rPr>
            </w:pPr>
            <w:r w:rsidRPr="007915CE">
              <w:rPr>
                <w:rFonts w:cstheme="minorHAnsi"/>
                <w:bCs/>
                <w:sz w:val="24"/>
                <w:szCs w:val="24"/>
              </w:rPr>
              <w:t>We accept answers on a rolling basis however, when providing the answer to the final question, submit all questions and answers in order in one final document.</w:t>
            </w:r>
          </w:p>
          <w:p w14:paraId="73163A47" w14:textId="77777777" w:rsidR="00C6661C" w:rsidRPr="007915CE" w:rsidRDefault="00C6661C" w:rsidP="00853112">
            <w:pPr>
              <w:numPr>
                <w:ilvl w:val="0"/>
                <w:numId w:val="1"/>
              </w:numPr>
              <w:spacing w:after="160"/>
              <w:rPr>
                <w:rFonts w:cstheme="minorHAnsi"/>
                <w:b/>
                <w:sz w:val="24"/>
                <w:szCs w:val="24"/>
              </w:rPr>
            </w:pPr>
            <w:r w:rsidRPr="007915CE">
              <w:rPr>
                <w:rFonts w:cstheme="minorHAnsi"/>
                <w:bCs/>
                <w:sz w:val="24"/>
                <w:szCs w:val="24"/>
              </w:rPr>
              <w:t xml:space="preserve">Submit responses in WORD or EXCEL; only use PDF’s if absolutely necessary. </w:t>
            </w:r>
            <w:r w:rsidRPr="007915CE">
              <w:rPr>
                <w:rFonts w:cstheme="minorHAnsi"/>
                <w:b/>
                <w:sz w:val="24"/>
                <w:szCs w:val="24"/>
              </w:rPr>
              <w:t>Whenever possible, include a table in data format (NOT pdf or picture) with the response.</w:t>
            </w:r>
          </w:p>
        </w:tc>
      </w:tr>
    </w:tbl>
    <w:p w14:paraId="47E0A8E8" w14:textId="77777777" w:rsidR="002F26D1" w:rsidRPr="007915CE" w:rsidRDefault="002F26D1" w:rsidP="00853112">
      <w:pPr>
        <w:spacing w:line="240" w:lineRule="auto"/>
        <w:rPr>
          <w:rFonts w:cstheme="minorHAnsi"/>
          <w:sz w:val="24"/>
          <w:szCs w:val="24"/>
        </w:rPr>
      </w:pPr>
    </w:p>
    <w:p w14:paraId="10BC9916" w14:textId="10477897" w:rsidR="002F26D1" w:rsidRPr="007915CE" w:rsidRDefault="002F26D1" w:rsidP="00853112">
      <w:pPr>
        <w:spacing w:line="240" w:lineRule="auto"/>
        <w:rPr>
          <w:rFonts w:cstheme="minorHAnsi"/>
          <w:sz w:val="24"/>
          <w:szCs w:val="24"/>
        </w:rPr>
      </w:pPr>
      <w:r w:rsidRPr="007915CE">
        <w:rPr>
          <w:rFonts w:cstheme="minorHAnsi"/>
          <w:sz w:val="24"/>
          <w:szCs w:val="24"/>
        </w:rPr>
        <w:t xml:space="preserve">In order for us to review this project in a timely manner, please provide the responses by December </w:t>
      </w:r>
      <w:r w:rsidR="00B33416" w:rsidRPr="007915CE">
        <w:rPr>
          <w:rFonts w:cstheme="minorHAnsi"/>
          <w:sz w:val="24"/>
          <w:szCs w:val="24"/>
        </w:rPr>
        <w:t>21</w:t>
      </w:r>
      <w:r w:rsidRPr="007915CE">
        <w:rPr>
          <w:rFonts w:cstheme="minorHAnsi"/>
          <w:sz w:val="24"/>
          <w:szCs w:val="24"/>
        </w:rPr>
        <w:t>, 2022.</w:t>
      </w:r>
    </w:p>
    <w:p w14:paraId="101CFC6A" w14:textId="3AEDBEA0" w:rsidR="00E6172E" w:rsidRPr="007915CE" w:rsidRDefault="00C6661C" w:rsidP="00853112">
      <w:pPr>
        <w:spacing w:line="240" w:lineRule="auto"/>
        <w:rPr>
          <w:rFonts w:cstheme="minorHAnsi"/>
          <w:b/>
          <w:bCs/>
          <w:sz w:val="24"/>
          <w:szCs w:val="24"/>
        </w:rPr>
      </w:pPr>
      <w:r w:rsidRPr="007915CE">
        <w:rPr>
          <w:rFonts w:cstheme="minorHAnsi"/>
          <w:b/>
          <w:bCs/>
          <w:sz w:val="24"/>
          <w:szCs w:val="24"/>
        </w:rPr>
        <w:t xml:space="preserve">1.  </w:t>
      </w:r>
      <w:r w:rsidR="00853112" w:rsidRPr="007915CE">
        <w:rPr>
          <w:rFonts w:cstheme="minorHAnsi"/>
          <w:b/>
          <w:bCs/>
          <w:sz w:val="24"/>
          <w:szCs w:val="24"/>
        </w:rPr>
        <w:t xml:space="preserve">You </w:t>
      </w:r>
      <w:r w:rsidR="001A42BA" w:rsidRPr="007915CE">
        <w:rPr>
          <w:rFonts w:cstheme="minorHAnsi"/>
          <w:b/>
          <w:bCs/>
          <w:sz w:val="24"/>
          <w:szCs w:val="24"/>
        </w:rPr>
        <w:t xml:space="preserve">note (P2 Narrative) </w:t>
      </w:r>
      <w:r w:rsidR="00853112" w:rsidRPr="007915CE">
        <w:rPr>
          <w:rFonts w:cstheme="minorHAnsi"/>
          <w:b/>
          <w:bCs/>
          <w:sz w:val="24"/>
          <w:szCs w:val="24"/>
        </w:rPr>
        <w:t>that “</w:t>
      </w:r>
      <w:r w:rsidR="00853112" w:rsidRPr="007915CE">
        <w:rPr>
          <w:rFonts w:cstheme="minorHAnsi"/>
          <w:b/>
          <w:bCs/>
          <w:i/>
          <w:iCs/>
          <w:sz w:val="24"/>
          <w:szCs w:val="24"/>
        </w:rPr>
        <w:t>Due to HIPAA privacy rules surrounding low counts, the Applicant is unable to provide relevant percentages with respect to the sex, age, and race/ethnicity information for Windemere’s patient panel.”</w:t>
      </w:r>
      <w:r w:rsidR="00853112" w:rsidRPr="007915CE">
        <w:rPr>
          <w:rFonts w:cstheme="minorHAnsi"/>
          <w:b/>
          <w:bCs/>
          <w:sz w:val="24"/>
          <w:szCs w:val="24"/>
        </w:rPr>
        <w:t xml:space="preserve"> </w:t>
      </w:r>
    </w:p>
    <w:p w14:paraId="3DE853C3" w14:textId="5A447A84" w:rsidR="00351EB6" w:rsidRPr="007915CE" w:rsidRDefault="00925587" w:rsidP="00853112">
      <w:pPr>
        <w:spacing w:line="240" w:lineRule="auto"/>
        <w:rPr>
          <w:rFonts w:cstheme="minorHAnsi"/>
          <w:b/>
          <w:bCs/>
          <w:sz w:val="24"/>
          <w:szCs w:val="24"/>
        </w:rPr>
      </w:pPr>
      <w:r w:rsidRPr="007915CE">
        <w:rPr>
          <w:rFonts w:cstheme="minorHAnsi"/>
          <w:b/>
          <w:bCs/>
          <w:sz w:val="24"/>
          <w:szCs w:val="24"/>
        </w:rPr>
        <w:t>We understand that</w:t>
      </w:r>
      <w:r w:rsidR="004A6A12" w:rsidRPr="007915CE">
        <w:rPr>
          <w:rFonts w:cstheme="minorHAnsi"/>
          <w:b/>
          <w:bCs/>
          <w:sz w:val="24"/>
          <w:szCs w:val="24"/>
        </w:rPr>
        <w:t xml:space="preserve"> </w:t>
      </w:r>
      <w:r w:rsidRPr="007915CE">
        <w:rPr>
          <w:rFonts w:cstheme="minorHAnsi"/>
          <w:b/>
          <w:bCs/>
          <w:sz w:val="24"/>
          <w:szCs w:val="24"/>
        </w:rPr>
        <w:t>the numbers are small</w:t>
      </w:r>
      <w:r w:rsidR="004A6A12" w:rsidRPr="007915CE">
        <w:rPr>
          <w:rFonts w:cstheme="minorHAnsi"/>
          <w:b/>
          <w:bCs/>
          <w:sz w:val="24"/>
          <w:szCs w:val="24"/>
        </w:rPr>
        <w:t xml:space="preserve"> due to the size of the facility and the reduced admissions due to COVID-19, </w:t>
      </w:r>
      <w:r w:rsidRPr="007915CE">
        <w:rPr>
          <w:rFonts w:cstheme="minorHAnsi"/>
          <w:b/>
          <w:bCs/>
          <w:sz w:val="24"/>
          <w:szCs w:val="24"/>
        </w:rPr>
        <w:t xml:space="preserve">however </w:t>
      </w:r>
      <w:r w:rsidR="00853112" w:rsidRPr="007915CE">
        <w:rPr>
          <w:rFonts w:cstheme="minorHAnsi"/>
          <w:b/>
          <w:bCs/>
          <w:sz w:val="24"/>
          <w:szCs w:val="24"/>
        </w:rPr>
        <w:t xml:space="preserve">where possible </w:t>
      </w:r>
      <w:r w:rsidRPr="007915CE">
        <w:rPr>
          <w:rFonts w:cstheme="minorHAnsi"/>
          <w:b/>
          <w:bCs/>
          <w:sz w:val="24"/>
          <w:szCs w:val="24"/>
        </w:rPr>
        <w:t xml:space="preserve">please </w:t>
      </w:r>
      <w:r w:rsidR="00853112" w:rsidRPr="007915CE">
        <w:rPr>
          <w:rFonts w:cstheme="minorHAnsi"/>
          <w:b/>
          <w:bCs/>
          <w:sz w:val="24"/>
          <w:szCs w:val="24"/>
        </w:rPr>
        <w:t xml:space="preserve">aggregate the smaller counts and </w:t>
      </w:r>
      <w:r w:rsidRPr="007915CE">
        <w:rPr>
          <w:rFonts w:cstheme="minorHAnsi"/>
          <w:b/>
          <w:bCs/>
          <w:sz w:val="24"/>
          <w:szCs w:val="24"/>
        </w:rPr>
        <w:t>provide additional detail on the Patient Panel</w:t>
      </w:r>
      <w:r w:rsidR="00853112" w:rsidRPr="007915CE">
        <w:rPr>
          <w:rFonts w:cstheme="minorHAnsi"/>
          <w:b/>
          <w:bCs/>
          <w:sz w:val="24"/>
          <w:szCs w:val="24"/>
        </w:rPr>
        <w:t xml:space="preserve"> </w:t>
      </w:r>
    </w:p>
    <w:p w14:paraId="5DF86307" w14:textId="77777777" w:rsidR="005A71A1" w:rsidRPr="007915CE" w:rsidRDefault="00925587" w:rsidP="00853112">
      <w:pPr>
        <w:pStyle w:val="ListParagraph"/>
        <w:numPr>
          <w:ilvl w:val="0"/>
          <w:numId w:val="2"/>
        </w:numPr>
        <w:spacing w:line="240" w:lineRule="auto"/>
        <w:rPr>
          <w:rFonts w:cstheme="minorHAnsi"/>
          <w:b/>
          <w:bCs/>
          <w:sz w:val="24"/>
          <w:szCs w:val="24"/>
        </w:rPr>
      </w:pPr>
      <w:r w:rsidRPr="007915CE">
        <w:rPr>
          <w:rFonts w:cstheme="minorHAnsi"/>
          <w:b/>
          <w:bCs/>
          <w:sz w:val="24"/>
          <w:szCs w:val="24"/>
        </w:rPr>
        <w:t>For example, without double counting how many individual patients were treated over the most recent 36-month period</w:t>
      </w:r>
      <w:r w:rsidR="0022317F" w:rsidRPr="007915CE">
        <w:rPr>
          <w:rFonts w:cstheme="minorHAnsi"/>
          <w:b/>
          <w:bCs/>
          <w:sz w:val="24"/>
          <w:szCs w:val="24"/>
        </w:rPr>
        <w:t xml:space="preserve">. </w:t>
      </w:r>
    </w:p>
    <w:p w14:paraId="07D88E37" w14:textId="77777777" w:rsidR="005A71A1" w:rsidRPr="007915CE" w:rsidRDefault="005A71A1" w:rsidP="005A71A1">
      <w:pPr>
        <w:pStyle w:val="ListParagraph"/>
        <w:spacing w:line="240" w:lineRule="auto"/>
        <w:rPr>
          <w:rFonts w:cstheme="minorHAnsi"/>
          <w:b/>
          <w:bCs/>
          <w:sz w:val="24"/>
          <w:szCs w:val="24"/>
        </w:rPr>
      </w:pPr>
    </w:p>
    <w:p w14:paraId="0948427C" w14:textId="19D47B18" w:rsidR="00351EB6" w:rsidRPr="007915CE" w:rsidRDefault="0022317F" w:rsidP="005A71A1">
      <w:pPr>
        <w:pStyle w:val="ListParagraph"/>
        <w:spacing w:line="240" w:lineRule="auto"/>
        <w:rPr>
          <w:rFonts w:cstheme="minorHAnsi"/>
          <w:sz w:val="24"/>
          <w:szCs w:val="24"/>
        </w:rPr>
      </w:pPr>
      <w:r w:rsidRPr="007915CE">
        <w:rPr>
          <w:rFonts w:cstheme="minorHAnsi"/>
          <w:sz w:val="24"/>
          <w:szCs w:val="24"/>
        </w:rPr>
        <w:t xml:space="preserve">60 individual patients. </w:t>
      </w:r>
    </w:p>
    <w:p w14:paraId="07831A85" w14:textId="77777777" w:rsidR="005A71A1" w:rsidRPr="007915CE" w:rsidRDefault="005A71A1" w:rsidP="005A71A1">
      <w:pPr>
        <w:pStyle w:val="ListParagraph"/>
        <w:spacing w:line="240" w:lineRule="auto"/>
        <w:rPr>
          <w:rFonts w:cstheme="minorHAnsi"/>
          <w:sz w:val="24"/>
          <w:szCs w:val="24"/>
        </w:rPr>
      </w:pPr>
    </w:p>
    <w:p w14:paraId="784DFB40" w14:textId="440B6EDA" w:rsidR="00351EB6" w:rsidRPr="007915CE" w:rsidRDefault="00925587" w:rsidP="00853112">
      <w:pPr>
        <w:pStyle w:val="ListParagraph"/>
        <w:numPr>
          <w:ilvl w:val="0"/>
          <w:numId w:val="2"/>
        </w:numPr>
        <w:spacing w:line="240" w:lineRule="auto"/>
        <w:rPr>
          <w:rFonts w:cstheme="minorHAnsi"/>
          <w:b/>
          <w:bCs/>
          <w:sz w:val="24"/>
          <w:szCs w:val="24"/>
        </w:rPr>
      </w:pPr>
      <w:r w:rsidRPr="007915CE">
        <w:rPr>
          <w:rFonts w:cstheme="minorHAnsi"/>
          <w:b/>
          <w:bCs/>
          <w:sz w:val="24"/>
          <w:szCs w:val="24"/>
        </w:rPr>
        <w:t>You report that the majority of patients are white</w:t>
      </w:r>
      <w:r w:rsidR="004A6A12" w:rsidRPr="007915CE">
        <w:rPr>
          <w:rFonts w:cstheme="minorHAnsi"/>
          <w:b/>
          <w:bCs/>
          <w:sz w:val="24"/>
          <w:szCs w:val="24"/>
        </w:rPr>
        <w:t>-</w:t>
      </w:r>
      <w:r w:rsidRPr="007915CE">
        <w:rPr>
          <w:rFonts w:cstheme="minorHAnsi"/>
          <w:b/>
          <w:bCs/>
          <w:sz w:val="24"/>
          <w:szCs w:val="24"/>
        </w:rPr>
        <w:t xml:space="preserve"> what percentage is</w:t>
      </w:r>
      <w:r w:rsidR="00351EB6" w:rsidRPr="007915CE">
        <w:rPr>
          <w:rFonts w:cstheme="minorHAnsi"/>
          <w:b/>
          <w:bCs/>
          <w:sz w:val="24"/>
          <w:szCs w:val="24"/>
        </w:rPr>
        <w:t xml:space="preserve"> </w:t>
      </w:r>
      <w:r w:rsidR="00F41BE2" w:rsidRPr="007915CE">
        <w:rPr>
          <w:rFonts w:cstheme="minorHAnsi"/>
          <w:b/>
          <w:bCs/>
          <w:i/>
          <w:iCs/>
          <w:sz w:val="24"/>
          <w:szCs w:val="24"/>
        </w:rPr>
        <w:t>W</w:t>
      </w:r>
      <w:r w:rsidR="00351EB6" w:rsidRPr="007915CE">
        <w:rPr>
          <w:rFonts w:cstheme="minorHAnsi"/>
          <w:b/>
          <w:bCs/>
          <w:i/>
          <w:iCs/>
          <w:sz w:val="24"/>
          <w:szCs w:val="24"/>
        </w:rPr>
        <w:t>hite</w:t>
      </w:r>
      <w:r w:rsidR="004A6A12" w:rsidRPr="007915CE">
        <w:rPr>
          <w:rFonts w:cstheme="minorHAnsi"/>
          <w:b/>
          <w:bCs/>
          <w:sz w:val="24"/>
          <w:szCs w:val="24"/>
        </w:rPr>
        <w:t>,</w:t>
      </w:r>
      <w:r w:rsidR="00351EB6" w:rsidRPr="007915CE">
        <w:rPr>
          <w:rFonts w:cstheme="minorHAnsi"/>
          <w:b/>
          <w:bCs/>
          <w:sz w:val="24"/>
          <w:szCs w:val="24"/>
        </w:rPr>
        <w:t xml:space="preserve"> and what percentage is </w:t>
      </w:r>
      <w:r w:rsidR="00351EB6" w:rsidRPr="007915CE">
        <w:rPr>
          <w:rFonts w:cstheme="minorHAnsi"/>
          <w:b/>
          <w:bCs/>
          <w:i/>
          <w:iCs/>
          <w:sz w:val="24"/>
          <w:szCs w:val="24"/>
        </w:rPr>
        <w:t>other</w:t>
      </w:r>
      <w:r w:rsidRPr="007915CE">
        <w:rPr>
          <w:rFonts w:cstheme="minorHAnsi"/>
          <w:b/>
          <w:bCs/>
          <w:sz w:val="24"/>
          <w:szCs w:val="24"/>
        </w:rPr>
        <w:t xml:space="preserve">? </w:t>
      </w:r>
    </w:p>
    <w:p w14:paraId="05A88C46" w14:textId="77777777" w:rsidR="004623FE" w:rsidRPr="007915CE" w:rsidRDefault="004623FE" w:rsidP="004623FE">
      <w:pPr>
        <w:pStyle w:val="ListParagraph"/>
        <w:spacing w:line="240" w:lineRule="auto"/>
        <w:rPr>
          <w:rFonts w:cstheme="minorHAnsi"/>
          <w:sz w:val="24"/>
          <w:szCs w:val="24"/>
        </w:rPr>
      </w:pPr>
    </w:p>
    <w:p w14:paraId="584763A8" w14:textId="1242AE1C" w:rsidR="00101708" w:rsidRPr="007915CE" w:rsidRDefault="00101708" w:rsidP="00101708">
      <w:pPr>
        <w:pStyle w:val="ListParagraph"/>
        <w:numPr>
          <w:ilvl w:val="1"/>
          <w:numId w:val="2"/>
        </w:numPr>
        <w:spacing w:line="240" w:lineRule="auto"/>
        <w:rPr>
          <w:rFonts w:cstheme="minorHAnsi"/>
          <w:sz w:val="24"/>
          <w:szCs w:val="24"/>
        </w:rPr>
      </w:pPr>
      <w:r w:rsidRPr="007915CE">
        <w:rPr>
          <w:rFonts w:cstheme="minorHAnsi"/>
          <w:sz w:val="24"/>
          <w:szCs w:val="24"/>
        </w:rPr>
        <w:t xml:space="preserve">FY20: 89.8% White/10.2% Other </w:t>
      </w:r>
    </w:p>
    <w:p w14:paraId="50DFEB7C" w14:textId="3B355632" w:rsidR="00101708" w:rsidRPr="007915CE" w:rsidRDefault="00101708" w:rsidP="00101708">
      <w:pPr>
        <w:pStyle w:val="ListParagraph"/>
        <w:numPr>
          <w:ilvl w:val="1"/>
          <w:numId w:val="2"/>
        </w:numPr>
        <w:spacing w:line="240" w:lineRule="auto"/>
        <w:rPr>
          <w:rFonts w:cstheme="minorHAnsi"/>
          <w:sz w:val="24"/>
          <w:szCs w:val="24"/>
        </w:rPr>
      </w:pPr>
      <w:r w:rsidRPr="007915CE">
        <w:rPr>
          <w:rFonts w:cstheme="minorHAnsi"/>
          <w:sz w:val="24"/>
          <w:szCs w:val="24"/>
        </w:rPr>
        <w:t>FY21</w:t>
      </w:r>
      <w:r w:rsidR="0022317F" w:rsidRPr="007915CE">
        <w:rPr>
          <w:rFonts w:cstheme="minorHAnsi"/>
          <w:sz w:val="24"/>
          <w:szCs w:val="24"/>
        </w:rPr>
        <w:t>:</w:t>
      </w:r>
      <w:r w:rsidRPr="007915CE">
        <w:rPr>
          <w:rFonts w:cstheme="minorHAnsi"/>
          <w:sz w:val="24"/>
          <w:szCs w:val="24"/>
        </w:rPr>
        <w:t xml:space="preserve"> 88.9% White/11.1% Other </w:t>
      </w:r>
    </w:p>
    <w:p w14:paraId="15381008" w14:textId="4B9D08C7" w:rsidR="00101708" w:rsidRPr="007915CE" w:rsidRDefault="0022317F" w:rsidP="00101708">
      <w:pPr>
        <w:pStyle w:val="ListParagraph"/>
        <w:numPr>
          <w:ilvl w:val="1"/>
          <w:numId w:val="2"/>
        </w:numPr>
        <w:spacing w:line="240" w:lineRule="auto"/>
        <w:rPr>
          <w:rFonts w:cstheme="minorHAnsi"/>
          <w:sz w:val="24"/>
          <w:szCs w:val="24"/>
        </w:rPr>
      </w:pPr>
      <w:r w:rsidRPr="007915CE">
        <w:rPr>
          <w:rFonts w:cstheme="minorHAnsi"/>
          <w:sz w:val="24"/>
          <w:szCs w:val="24"/>
        </w:rPr>
        <w:t>FY22: 97% White/3% Other</w:t>
      </w:r>
      <w:r w:rsidR="00101708" w:rsidRPr="007915CE">
        <w:rPr>
          <w:rFonts w:cstheme="minorHAnsi"/>
          <w:sz w:val="24"/>
          <w:szCs w:val="24"/>
        </w:rPr>
        <w:t xml:space="preserve"> </w:t>
      </w:r>
    </w:p>
    <w:p w14:paraId="6266976D" w14:textId="77777777" w:rsidR="005A71A1" w:rsidRPr="007915CE" w:rsidRDefault="005A71A1" w:rsidP="005A71A1">
      <w:pPr>
        <w:pStyle w:val="ListParagraph"/>
        <w:spacing w:line="240" w:lineRule="auto"/>
        <w:ind w:left="1440"/>
        <w:rPr>
          <w:rFonts w:cstheme="minorHAnsi"/>
          <w:sz w:val="24"/>
          <w:szCs w:val="24"/>
        </w:rPr>
      </w:pPr>
    </w:p>
    <w:p w14:paraId="081FB18D" w14:textId="77777777" w:rsidR="005A71A1" w:rsidRPr="007915CE" w:rsidRDefault="00351EB6" w:rsidP="00853112">
      <w:pPr>
        <w:pStyle w:val="ListParagraph"/>
        <w:numPr>
          <w:ilvl w:val="0"/>
          <w:numId w:val="2"/>
        </w:numPr>
        <w:spacing w:line="240" w:lineRule="auto"/>
        <w:rPr>
          <w:rFonts w:cstheme="minorHAnsi"/>
          <w:b/>
          <w:bCs/>
          <w:sz w:val="24"/>
          <w:szCs w:val="24"/>
        </w:rPr>
      </w:pPr>
      <w:r w:rsidRPr="007915CE">
        <w:rPr>
          <w:rFonts w:cstheme="minorHAnsi"/>
          <w:b/>
          <w:bCs/>
          <w:sz w:val="24"/>
          <w:szCs w:val="24"/>
        </w:rPr>
        <w:t>You described the Payer-mix for 2021</w:t>
      </w:r>
      <w:r w:rsidR="004F3EAB" w:rsidRPr="007915CE">
        <w:rPr>
          <w:rFonts w:cstheme="minorHAnsi"/>
          <w:b/>
          <w:bCs/>
          <w:sz w:val="24"/>
          <w:szCs w:val="24"/>
        </w:rPr>
        <w:t>.</w:t>
      </w:r>
      <w:r w:rsidRPr="007915CE">
        <w:rPr>
          <w:rFonts w:cstheme="minorHAnsi"/>
          <w:b/>
          <w:bCs/>
          <w:sz w:val="24"/>
          <w:szCs w:val="24"/>
        </w:rPr>
        <w:t xml:space="preserve"> </w:t>
      </w:r>
      <w:r w:rsidR="004F3EAB" w:rsidRPr="007915CE">
        <w:rPr>
          <w:rFonts w:cstheme="minorHAnsi"/>
          <w:b/>
          <w:bCs/>
          <w:sz w:val="24"/>
          <w:szCs w:val="24"/>
        </w:rPr>
        <w:t>I</w:t>
      </w:r>
      <w:r w:rsidRPr="007915CE">
        <w:rPr>
          <w:rFonts w:cstheme="minorHAnsi"/>
          <w:b/>
          <w:bCs/>
          <w:sz w:val="24"/>
          <w:szCs w:val="24"/>
        </w:rPr>
        <w:t xml:space="preserve">s </w:t>
      </w:r>
      <w:r w:rsidR="004A6A12" w:rsidRPr="007915CE">
        <w:rPr>
          <w:rFonts w:cstheme="minorHAnsi"/>
          <w:b/>
          <w:bCs/>
          <w:sz w:val="24"/>
          <w:szCs w:val="24"/>
        </w:rPr>
        <w:t xml:space="preserve">2021 </w:t>
      </w:r>
      <w:r w:rsidRPr="007915CE">
        <w:rPr>
          <w:rFonts w:cstheme="minorHAnsi"/>
          <w:b/>
          <w:bCs/>
          <w:sz w:val="24"/>
          <w:szCs w:val="24"/>
        </w:rPr>
        <w:t xml:space="preserve">representative of Payer-mix of other years? </w:t>
      </w:r>
    </w:p>
    <w:p w14:paraId="522DB98D" w14:textId="77777777" w:rsidR="005A71A1" w:rsidRPr="007915CE" w:rsidRDefault="005A71A1" w:rsidP="005A71A1">
      <w:pPr>
        <w:pStyle w:val="ListParagraph"/>
        <w:spacing w:line="240" w:lineRule="auto"/>
        <w:rPr>
          <w:rFonts w:cstheme="minorHAnsi"/>
          <w:sz w:val="24"/>
          <w:szCs w:val="24"/>
        </w:rPr>
      </w:pPr>
    </w:p>
    <w:p w14:paraId="3F38B183" w14:textId="3F343887" w:rsidR="002E0AA9" w:rsidRPr="007915CE" w:rsidRDefault="002F7165" w:rsidP="005A71A1">
      <w:pPr>
        <w:pStyle w:val="ListParagraph"/>
        <w:spacing w:line="240" w:lineRule="auto"/>
        <w:rPr>
          <w:rFonts w:cstheme="minorHAnsi"/>
          <w:sz w:val="24"/>
          <w:szCs w:val="24"/>
        </w:rPr>
      </w:pPr>
      <w:r w:rsidRPr="007915CE">
        <w:rPr>
          <w:rFonts w:cstheme="minorHAnsi"/>
          <w:sz w:val="24"/>
          <w:szCs w:val="24"/>
        </w:rPr>
        <w:lastRenderedPageBreak/>
        <w:t xml:space="preserve">FY2021 was generally typical of other years but as evidenced in Table A below, it represented a higher percentage of Medicaid residents and a lower percentage of private pay residents. </w:t>
      </w:r>
      <w:r w:rsidR="009B6434" w:rsidRPr="007915CE">
        <w:rPr>
          <w:rFonts w:cstheme="minorHAnsi"/>
          <w:sz w:val="24"/>
          <w:szCs w:val="24"/>
        </w:rPr>
        <w:t xml:space="preserve"> </w:t>
      </w:r>
    </w:p>
    <w:p w14:paraId="516978DF" w14:textId="77777777" w:rsidR="005A71A1" w:rsidRPr="007915CE" w:rsidRDefault="005A71A1" w:rsidP="005A71A1">
      <w:pPr>
        <w:pStyle w:val="ListParagraph"/>
        <w:spacing w:line="240" w:lineRule="auto"/>
        <w:rPr>
          <w:rFonts w:cstheme="minorHAnsi"/>
          <w:sz w:val="24"/>
          <w:szCs w:val="24"/>
        </w:rPr>
      </w:pPr>
    </w:p>
    <w:p w14:paraId="299E12D4" w14:textId="77777777" w:rsidR="005A71A1" w:rsidRPr="007915CE" w:rsidRDefault="00351EB6" w:rsidP="00853112">
      <w:pPr>
        <w:pStyle w:val="ListParagraph"/>
        <w:numPr>
          <w:ilvl w:val="0"/>
          <w:numId w:val="2"/>
        </w:numPr>
        <w:spacing w:line="240" w:lineRule="auto"/>
        <w:rPr>
          <w:rFonts w:cstheme="minorHAnsi"/>
          <w:b/>
          <w:bCs/>
          <w:sz w:val="24"/>
          <w:szCs w:val="24"/>
        </w:rPr>
      </w:pPr>
      <w:r w:rsidRPr="007915CE">
        <w:rPr>
          <w:rFonts w:cstheme="minorHAnsi"/>
          <w:b/>
          <w:bCs/>
          <w:sz w:val="24"/>
          <w:szCs w:val="24"/>
        </w:rPr>
        <w:t>What was the Payer-Mix for FY 22?</w:t>
      </w:r>
      <w:r w:rsidR="002E0AA9" w:rsidRPr="007915CE">
        <w:rPr>
          <w:rFonts w:cstheme="minorHAnsi"/>
          <w:b/>
          <w:bCs/>
          <w:sz w:val="24"/>
          <w:szCs w:val="24"/>
        </w:rPr>
        <w:t xml:space="preserve"> </w:t>
      </w:r>
    </w:p>
    <w:p w14:paraId="63FBBC3E" w14:textId="77777777" w:rsidR="005A71A1" w:rsidRPr="007915CE" w:rsidRDefault="005A71A1" w:rsidP="005A71A1">
      <w:pPr>
        <w:pStyle w:val="ListParagraph"/>
        <w:spacing w:line="240" w:lineRule="auto"/>
        <w:rPr>
          <w:rFonts w:cstheme="minorHAnsi"/>
          <w:sz w:val="24"/>
          <w:szCs w:val="24"/>
        </w:rPr>
      </w:pPr>
    </w:p>
    <w:p w14:paraId="227CEFA0" w14:textId="30450C75" w:rsidR="00101708" w:rsidRPr="007915CE" w:rsidRDefault="0022317F" w:rsidP="005A71A1">
      <w:pPr>
        <w:pStyle w:val="ListParagraph"/>
        <w:spacing w:line="240" w:lineRule="auto"/>
        <w:rPr>
          <w:rFonts w:cstheme="minorHAnsi"/>
          <w:sz w:val="24"/>
          <w:szCs w:val="24"/>
        </w:rPr>
      </w:pPr>
      <w:r w:rsidRPr="007915CE">
        <w:rPr>
          <w:rFonts w:cstheme="minorHAnsi"/>
          <w:sz w:val="24"/>
          <w:szCs w:val="24"/>
        </w:rPr>
        <w:t xml:space="preserve">See Table A below. </w:t>
      </w:r>
    </w:p>
    <w:p w14:paraId="3D4858BD" w14:textId="0335E845" w:rsidR="00101708" w:rsidRPr="007915CE" w:rsidRDefault="00101708" w:rsidP="00101708">
      <w:pPr>
        <w:pStyle w:val="ListParagraph"/>
        <w:spacing w:line="240" w:lineRule="auto"/>
        <w:rPr>
          <w:rFonts w:cstheme="minorHAnsi"/>
          <w:sz w:val="24"/>
          <w:szCs w:val="24"/>
        </w:rPr>
      </w:pPr>
    </w:p>
    <w:p w14:paraId="461C5DC8" w14:textId="0402E5F3" w:rsidR="000F4F75" w:rsidRPr="007915CE" w:rsidRDefault="000F4F75" w:rsidP="004623FE">
      <w:pPr>
        <w:pStyle w:val="ListParagraph"/>
        <w:spacing w:line="240" w:lineRule="auto"/>
        <w:ind w:hanging="720"/>
        <w:contextualSpacing w:val="0"/>
        <w:rPr>
          <w:rFonts w:ascii="Times New Roman" w:eastAsia="Times New Roman" w:hAnsi="Times New Roman" w:cs="Times New Roman"/>
          <w:bCs/>
          <w:sz w:val="24"/>
          <w:u w:val="single"/>
        </w:rPr>
      </w:pPr>
      <w:r w:rsidRPr="007915CE">
        <w:rPr>
          <w:rFonts w:ascii="Times New Roman" w:eastAsia="Times New Roman" w:hAnsi="Times New Roman" w:cs="Times New Roman"/>
          <w:bCs/>
          <w:sz w:val="24"/>
          <w:u w:val="single"/>
        </w:rPr>
        <w:t xml:space="preserve">Table A: Windemere Historical Payer Mix </w:t>
      </w:r>
    </w:p>
    <w:tbl>
      <w:tblPr>
        <w:tblStyle w:val="TableGrid"/>
        <w:tblW w:w="9660" w:type="dxa"/>
        <w:tblInd w:w="-5" w:type="dxa"/>
        <w:tblLayout w:type="fixed"/>
        <w:tblLook w:val="04A0" w:firstRow="1" w:lastRow="0" w:firstColumn="1" w:lastColumn="0" w:noHBand="0" w:noVBand="1"/>
      </w:tblPr>
      <w:tblGrid>
        <w:gridCol w:w="3420"/>
        <w:gridCol w:w="1560"/>
        <w:gridCol w:w="1560"/>
        <w:gridCol w:w="1560"/>
        <w:gridCol w:w="1560"/>
      </w:tblGrid>
      <w:tr w:rsidR="007915CE" w:rsidRPr="007915CE" w14:paraId="0A0C2284" w14:textId="16EBDF48" w:rsidTr="000C28B8">
        <w:trPr>
          <w:cantSplit/>
          <w:trHeight w:val="161"/>
          <w:tblHeader/>
        </w:trPr>
        <w:tc>
          <w:tcPr>
            <w:tcW w:w="3420" w:type="dxa"/>
            <w:vAlign w:val="center"/>
          </w:tcPr>
          <w:p w14:paraId="2E018BFE" w14:textId="77777777" w:rsidR="002E0AA9" w:rsidRPr="007915CE" w:rsidRDefault="002E0AA9" w:rsidP="00C561CF">
            <w:pPr>
              <w:pStyle w:val="ListParagraph"/>
              <w:ind w:left="0"/>
              <w:contextualSpacing w:val="0"/>
              <w:rPr>
                <w:sz w:val="24"/>
                <w:szCs w:val="24"/>
              </w:rPr>
            </w:pPr>
          </w:p>
        </w:tc>
        <w:tc>
          <w:tcPr>
            <w:tcW w:w="1560" w:type="dxa"/>
            <w:vAlign w:val="center"/>
          </w:tcPr>
          <w:p w14:paraId="0C6451F7" w14:textId="77777777" w:rsidR="002E0AA9" w:rsidRPr="007915CE" w:rsidRDefault="002E0AA9" w:rsidP="00C561CF">
            <w:pPr>
              <w:pStyle w:val="ListParagraph"/>
              <w:ind w:left="0"/>
              <w:contextualSpacing w:val="0"/>
              <w:jc w:val="center"/>
              <w:rPr>
                <w:b/>
                <w:bCs/>
                <w:sz w:val="24"/>
                <w:szCs w:val="24"/>
              </w:rPr>
            </w:pPr>
            <w:r w:rsidRPr="007915CE">
              <w:rPr>
                <w:b/>
                <w:bCs/>
                <w:sz w:val="24"/>
                <w:szCs w:val="24"/>
              </w:rPr>
              <w:t>FY19</w:t>
            </w:r>
          </w:p>
        </w:tc>
        <w:tc>
          <w:tcPr>
            <w:tcW w:w="1560" w:type="dxa"/>
            <w:vAlign w:val="center"/>
          </w:tcPr>
          <w:p w14:paraId="7FA9172A" w14:textId="77777777" w:rsidR="002E0AA9" w:rsidRPr="007915CE" w:rsidRDefault="002E0AA9" w:rsidP="00C561CF">
            <w:pPr>
              <w:pStyle w:val="ListParagraph"/>
              <w:ind w:left="0"/>
              <w:contextualSpacing w:val="0"/>
              <w:jc w:val="center"/>
              <w:rPr>
                <w:b/>
                <w:bCs/>
                <w:sz w:val="24"/>
                <w:szCs w:val="24"/>
              </w:rPr>
            </w:pPr>
            <w:r w:rsidRPr="007915CE">
              <w:rPr>
                <w:b/>
                <w:bCs/>
                <w:sz w:val="24"/>
                <w:szCs w:val="24"/>
              </w:rPr>
              <w:t>FY20</w:t>
            </w:r>
          </w:p>
        </w:tc>
        <w:tc>
          <w:tcPr>
            <w:tcW w:w="1560" w:type="dxa"/>
            <w:vAlign w:val="center"/>
          </w:tcPr>
          <w:p w14:paraId="14EAAD6E" w14:textId="77777777" w:rsidR="002E0AA9" w:rsidRPr="007915CE" w:rsidRDefault="002E0AA9" w:rsidP="00C561CF">
            <w:pPr>
              <w:pStyle w:val="ListParagraph"/>
              <w:ind w:left="0"/>
              <w:contextualSpacing w:val="0"/>
              <w:jc w:val="center"/>
              <w:rPr>
                <w:b/>
                <w:bCs/>
                <w:sz w:val="24"/>
                <w:szCs w:val="24"/>
              </w:rPr>
            </w:pPr>
            <w:r w:rsidRPr="007915CE">
              <w:rPr>
                <w:b/>
                <w:bCs/>
                <w:sz w:val="24"/>
                <w:szCs w:val="24"/>
              </w:rPr>
              <w:t>FY21</w:t>
            </w:r>
          </w:p>
        </w:tc>
        <w:tc>
          <w:tcPr>
            <w:tcW w:w="1560" w:type="dxa"/>
          </w:tcPr>
          <w:p w14:paraId="71E17AEF" w14:textId="18617CEC" w:rsidR="002E0AA9" w:rsidRPr="007915CE" w:rsidRDefault="002E0AA9" w:rsidP="00C561CF">
            <w:pPr>
              <w:pStyle w:val="ListParagraph"/>
              <w:ind w:left="0"/>
              <w:contextualSpacing w:val="0"/>
              <w:jc w:val="center"/>
              <w:rPr>
                <w:b/>
                <w:bCs/>
                <w:sz w:val="24"/>
                <w:szCs w:val="24"/>
              </w:rPr>
            </w:pPr>
            <w:r w:rsidRPr="007915CE">
              <w:rPr>
                <w:b/>
                <w:bCs/>
                <w:sz w:val="24"/>
                <w:szCs w:val="24"/>
              </w:rPr>
              <w:t>FY22</w:t>
            </w:r>
          </w:p>
        </w:tc>
      </w:tr>
      <w:tr w:rsidR="007915CE" w:rsidRPr="007915CE" w14:paraId="14DC3F94" w14:textId="72362259" w:rsidTr="000C28B8">
        <w:trPr>
          <w:cantSplit/>
        </w:trPr>
        <w:tc>
          <w:tcPr>
            <w:tcW w:w="3420" w:type="dxa"/>
            <w:vAlign w:val="center"/>
          </w:tcPr>
          <w:p w14:paraId="1F0DEC5A" w14:textId="77777777" w:rsidR="002E0AA9" w:rsidRPr="007915CE" w:rsidRDefault="002E0AA9" w:rsidP="00C561CF">
            <w:pPr>
              <w:pStyle w:val="ListParagraph"/>
              <w:ind w:left="0"/>
            </w:pPr>
            <w:r w:rsidRPr="007915CE">
              <w:t xml:space="preserve">Commercial </w:t>
            </w:r>
          </w:p>
        </w:tc>
        <w:tc>
          <w:tcPr>
            <w:tcW w:w="1560" w:type="dxa"/>
            <w:vAlign w:val="center"/>
          </w:tcPr>
          <w:p w14:paraId="7431068B" w14:textId="77777777" w:rsidR="002E0AA9" w:rsidRPr="007915CE" w:rsidRDefault="002E0AA9" w:rsidP="00C561CF">
            <w:pPr>
              <w:pStyle w:val="ListParagraph"/>
              <w:ind w:left="0"/>
              <w:jc w:val="center"/>
            </w:pPr>
          </w:p>
        </w:tc>
        <w:tc>
          <w:tcPr>
            <w:tcW w:w="1560" w:type="dxa"/>
            <w:vAlign w:val="center"/>
          </w:tcPr>
          <w:p w14:paraId="17D4F823" w14:textId="77777777" w:rsidR="002E0AA9" w:rsidRPr="007915CE" w:rsidRDefault="002E0AA9" w:rsidP="00C561CF">
            <w:pPr>
              <w:pStyle w:val="ListParagraph"/>
              <w:ind w:left="0"/>
              <w:jc w:val="center"/>
            </w:pPr>
          </w:p>
        </w:tc>
        <w:tc>
          <w:tcPr>
            <w:tcW w:w="1560" w:type="dxa"/>
            <w:vAlign w:val="center"/>
          </w:tcPr>
          <w:p w14:paraId="60401115" w14:textId="77777777" w:rsidR="002E0AA9" w:rsidRPr="007915CE" w:rsidRDefault="002E0AA9" w:rsidP="00C561CF">
            <w:pPr>
              <w:pStyle w:val="ListParagraph"/>
              <w:ind w:left="0"/>
              <w:jc w:val="center"/>
            </w:pPr>
          </w:p>
        </w:tc>
        <w:tc>
          <w:tcPr>
            <w:tcW w:w="1560" w:type="dxa"/>
          </w:tcPr>
          <w:p w14:paraId="21D0B688" w14:textId="77777777" w:rsidR="002E0AA9" w:rsidRPr="007915CE" w:rsidRDefault="002E0AA9" w:rsidP="00C561CF">
            <w:pPr>
              <w:pStyle w:val="ListParagraph"/>
              <w:ind w:left="0"/>
              <w:jc w:val="center"/>
            </w:pPr>
          </w:p>
        </w:tc>
      </w:tr>
      <w:tr w:rsidR="007915CE" w:rsidRPr="007915CE" w14:paraId="2D45E53E" w14:textId="5EF73F2B" w:rsidTr="000C28B8">
        <w:trPr>
          <w:cantSplit/>
        </w:trPr>
        <w:tc>
          <w:tcPr>
            <w:tcW w:w="3420" w:type="dxa"/>
            <w:vAlign w:val="center"/>
          </w:tcPr>
          <w:p w14:paraId="607FC849" w14:textId="77777777" w:rsidR="002E0AA9" w:rsidRPr="007915CE" w:rsidRDefault="002E0AA9" w:rsidP="00C561CF">
            <w:pPr>
              <w:pStyle w:val="ListParagraph"/>
              <w:ind w:left="0"/>
            </w:pPr>
            <w:r w:rsidRPr="007915CE">
              <w:t>Medicare FFS</w:t>
            </w:r>
          </w:p>
        </w:tc>
        <w:tc>
          <w:tcPr>
            <w:tcW w:w="1560" w:type="dxa"/>
            <w:vAlign w:val="center"/>
          </w:tcPr>
          <w:p w14:paraId="21338937" w14:textId="77777777" w:rsidR="002E0AA9" w:rsidRPr="007915CE" w:rsidRDefault="002E0AA9" w:rsidP="00C561CF">
            <w:pPr>
              <w:pStyle w:val="ListParagraph"/>
              <w:ind w:left="0"/>
              <w:jc w:val="center"/>
            </w:pPr>
            <w:r w:rsidRPr="007915CE">
              <w:t>3%</w:t>
            </w:r>
          </w:p>
        </w:tc>
        <w:tc>
          <w:tcPr>
            <w:tcW w:w="1560" w:type="dxa"/>
            <w:vAlign w:val="center"/>
          </w:tcPr>
          <w:p w14:paraId="5123BDA6" w14:textId="77777777" w:rsidR="002E0AA9" w:rsidRPr="007915CE" w:rsidRDefault="002E0AA9" w:rsidP="00C561CF">
            <w:pPr>
              <w:pStyle w:val="ListParagraph"/>
              <w:ind w:left="0"/>
              <w:jc w:val="center"/>
            </w:pPr>
            <w:r w:rsidRPr="007915CE">
              <w:t>1%</w:t>
            </w:r>
          </w:p>
        </w:tc>
        <w:tc>
          <w:tcPr>
            <w:tcW w:w="1560" w:type="dxa"/>
            <w:vAlign w:val="center"/>
          </w:tcPr>
          <w:p w14:paraId="632F6BC2" w14:textId="77777777" w:rsidR="002E0AA9" w:rsidRPr="007915CE" w:rsidRDefault="002E0AA9" w:rsidP="00C561CF">
            <w:pPr>
              <w:pStyle w:val="ListParagraph"/>
              <w:ind w:left="0"/>
              <w:jc w:val="center"/>
            </w:pPr>
            <w:r w:rsidRPr="007915CE">
              <w:t>1%</w:t>
            </w:r>
          </w:p>
        </w:tc>
        <w:tc>
          <w:tcPr>
            <w:tcW w:w="1560" w:type="dxa"/>
          </w:tcPr>
          <w:p w14:paraId="4E3F4490" w14:textId="4A3E42E2" w:rsidR="002E0AA9" w:rsidRPr="007915CE" w:rsidRDefault="00E21011" w:rsidP="00C561CF">
            <w:pPr>
              <w:pStyle w:val="ListParagraph"/>
              <w:ind w:left="0"/>
              <w:jc w:val="center"/>
            </w:pPr>
            <w:r w:rsidRPr="007915CE">
              <w:t>2%</w:t>
            </w:r>
          </w:p>
        </w:tc>
      </w:tr>
      <w:tr w:rsidR="007915CE" w:rsidRPr="007915CE" w14:paraId="12D38284" w14:textId="6C363063" w:rsidTr="000C28B8">
        <w:trPr>
          <w:cantSplit/>
        </w:trPr>
        <w:tc>
          <w:tcPr>
            <w:tcW w:w="3420" w:type="dxa"/>
            <w:vAlign w:val="center"/>
          </w:tcPr>
          <w:p w14:paraId="6D784759" w14:textId="77777777" w:rsidR="002E0AA9" w:rsidRPr="007915CE" w:rsidRDefault="002E0AA9" w:rsidP="00C561CF">
            <w:pPr>
              <w:pStyle w:val="ListParagraph"/>
              <w:ind w:left="0"/>
            </w:pPr>
            <w:r w:rsidRPr="007915CE">
              <w:t xml:space="preserve">Managed Medicare </w:t>
            </w:r>
          </w:p>
        </w:tc>
        <w:tc>
          <w:tcPr>
            <w:tcW w:w="1560" w:type="dxa"/>
            <w:vAlign w:val="center"/>
          </w:tcPr>
          <w:p w14:paraId="3A561AA4" w14:textId="77777777" w:rsidR="002E0AA9" w:rsidRPr="007915CE" w:rsidRDefault="002E0AA9" w:rsidP="00C561CF">
            <w:pPr>
              <w:pStyle w:val="ListParagraph"/>
              <w:ind w:left="0"/>
              <w:jc w:val="center"/>
            </w:pPr>
          </w:p>
        </w:tc>
        <w:tc>
          <w:tcPr>
            <w:tcW w:w="1560" w:type="dxa"/>
            <w:vAlign w:val="center"/>
          </w:tcPr>
          <w:p w14:paraId="1448E26B" w14:textId="77777777" w:rsidR="002E0AA9" w:rsidRPr="007915CE" w:rsidRDefault="002E0AA9" w:rsidP="00C561CF">
            <w:pPr>
              <w:pStyle w:val="ListParagraph"/>
              <w:ind w:left="0"/>
              <w:jc w:val="center"/>
            </w:pPr>
          </w:p>
        </w:tc>
        <w:tc>
          <w:tcPr>
            <w:tcW w:w="1560" w:type="dxa"/>
            <w:vAlign w:val="center"/>
          </w:tcPr>
          <w:p w14:paraId="4B22D85F" w14:textId="77777777" w:rsidR="002E0AA9" w:rsidRPr="007915CE" w:rsidRDefault="002E0AA9" w:rsidP="00C561CF">
            <w:pPr>
              <w:pStyle w:val="ListParagraph"/>
              <w:ind w:left="0"/>
              <w:jc w:val="center"/>
            </w:pPr>
          </w:p>
        </w:tc>
        <w:tc>
          <w:tcPr>
            <w:tcW w:w="1560" w:type="dxa"/>
          </w:tcPr>
          <w:p w14:paraId="75EB2B44" w14:textId="77777777" w:rsidR="002E0AA9" w:rsidRPr="007915CE" w:rsidRDefault="002E0AA9" w:rsidP="00C561CF">
            <w:pPr>
              <w:pStyle w:val="ListParagraph"/>
              <w:ind w:left="0"/>
              <w:jc w:val="center"/>
            </w:pPr>
          </w:p>
        </w:tc>
      </w:tr>
      <w:tr w:rsidR="007915CE" w:rsidRPr="007915CE" w14:paraId="13CF8B2F" w14:textId="59E7BFB8" w:rsidTr="000C28B8">
        <w:trPr>
          <w:cantSplit/>
        </w:trPr>
        <w:tc>
          <w:tcPr>
            <w:tcW w:w="3420" w:type="dxa"/>
            <w:vAlign w:val="center"/>
          </w:tcPr>
          <w:p w14:paraId="5742B8CD" w14:textId="77777777" w:rsidR="002E0AA9" w:rsidRPr="007915CE" w:rsidRDefault="002E0AA9" w:rsidP="00C561CF">
            <w:pPr>
              <w:pStyle w:val="ListParagraph"/>
              <w:ind w:left="0"/>
            </w:pPr>
            <w:r w:rsidRPr="007915CE">
              <w:t>Medicaid FFS</w:t>
            </w:r>
          </w:p>
        </w:tc>
        <w:tc>
          <w:tcPr>
            <w:tcW w:w="1560" w:type="dxa"/>
            <w:vAlign w:val="center"/>
          </w:tcPr>
          <w:p w14:paraId="35B868D0" w14:textId="77777777" w:rsidR="002E0AA9" w:rsidRPr="007915CE" w:rsidRDefault="002E0AA9" w:rsidP="00C561CF">
            <w:pPr>
              <w:pStyle w:val="ListParagraph"/>
              <w:ind w:left="0"/>
              <w:jc w:val="center"/>
            </w:pPr>
            <w:r w:rsidRPr="007915CE">
              <w:t>83%</w:t>
            </w:r>
          </w:p>
        </w:tc>
        <w:tc>
          <w:tcPr>
            <w:tcW w:w="1560" w:type="dxa"/>
            <w:vAlign w:val="center"/>
          </w:tcPr>
          <w:p w14:paraId="7E99D351" w14:textId="77777777" w:rsidR="002E0AA9" w:rsidRPr="007915CE" w:rsidRDefault="002E0AA9" w:rsidP="00C561CF">
            <w:pPr>
              <w:pStyle w:val="ListParagraph"/>
              <w:ind w:left="0"/>
              <w:jc w:val="center"/>
            </w:pPr>
            <w:r w:rsidRPr="007915CE">
              <w:t>81%</w:t>
            </w:r>
          </w:p>
        </w:tc>
        <w:tc>
          <w:tcPr>
            <w:tcW w:w="1560" w:type="dxa"/>
            <w:vAlign w:val="center"/>
          </w:tcPr>
          <w:p w14:paraId="6E4CCFDF" w14:textId="77777777" w:rsidR="002E0AA9" w:rsidRPr="007915CE" w:rsidRDefault="002E0AA9" w:rsidP="00C561CF">
            <w:pPr>
              <w:pStyle w:val="ListParagraph"/>
              <w:ind w:left="0"/>
              <w:jc w:val="center"/>
            </w:pPr>
            <w:r w:rsidRPr="007915CE">
              <w:t>89%</w:t>
            </w:r>
          </w:p>
        </w:tc>
        <w:tc>
          <w:tcPr>
            <w:tcW w:w="1560" w:type="dxa"/>
          </w:tcPr>
          <w:p w14:paraId="2AB2E4F7" w14:textId="0683F024" w:rsidR="002E0AA9" w:rsidRPr="007915CE" w:rsidRDefault="00E21011" w:rsidP="00C561CF">
            <w:pPr>
              <w:pStyle w:val="ListParagraph"/>
              <w:ind w:left="0"/>
              <w:jc w:val="center"/>
            </w:pPr>
            <w:r w:rsidRPr="007915CE">
              <w:t>85%</w:t>
            </w:r>
          </w:p>
        </w:tc>
      </w:tr>
      <w:tr w:rsidR="007915CE" w:rsidRPr="007915CE" w14:paraId="5E4E470E" w14:textId="2C069985" w:rsidTr="000C28B8">
        <w:trPr>
          <w:cantSplit/>
        </w:trPr>
        <w:tc>
          <w:tcPr>
            <w:tcW w:w="3420" w:type="dxa"/>
            <w:vAlign w:val="center"/>
          </w:tcPr>
          <w:p w14:paraId="1C1B5694" w14:textId="77777777" w:rsidR="002E0AA9" w:rsidRPr="007915CE" w:rsidRDefault="002E0AA9" w:rsidP="00C561CF">
            <w:pPr>
              <w:pStyle w:val="ListParagraph"/>
              <w:ind w:left="0"/>
            </w:pPr>
            <w:r w:rsidRPr="007915CE">
              <w:t xml:space="preserve">Managed Medicaid </w:t>
            </w:r>
          </w:p>
        </w:tc>
        <w:tc>
          <w:tcPr>
            <w:tcW w:w="1560" w:type="dxa"/>
            <w:vAlign w:val="center"/>
          </w:tcPr>
          <w:p w14:paraId="5FD530B3" w14:textId="77777777" w:rsidR="002E0AA9" w:rsidRPr="007915CE" w:rsidRDefault="002E0AA9" w:rsidP="00C561CF">
            <w:pPr>
              <w:pStyle w:val="ListParagraph"/>
              <w:ind w:left="0"/>
              <w:jc w:val="center"/>
            </w:pPr>
          </w:p>
        </w:tc>
        <w:tc>
          <w:tcPr>
            <w:tcW w:w="1560" w:type="dxa"/>
            <w:vAlign w:val="center"/>
          </w:tcPr>
          <w:p w14:paraId="10BA2111" w14:textId="77777777" w:rsidR="002E0AA9" w:rsidRPr="007915CE" w:rsidRDefault="002E0AA9" w:rsidP="00C561CF">
            <w:pPr>
              <w:pStyle w:val="ListParagraph"/>
              <w:ind w:left="0"/>
              <w:jc w:val="center"/>
            </w:pPr>
          </w:p>
        </w:tc>
        <w:tc>
          <w:tcPr>
            <w:tcW w:w="1560" w:type="dxa"/>
            <w:vAlign w:val="center"/>
          </w:tcPr>
          <w:p w14:paraId="4F933B14" w14:textId="77777777" w:rsidR="002E0AA9" w:rsidRPr="007915CE" w:rsidRDefault="002E0AA9" w:rsidP="00C561CF">
            <w:pPr>
              <w:pStyle w:val="ListParagraph"/>
              <w:ind w:left="0"/>
              <w:jc w:val="center"/>
            </w:pPr>
          </w:p>
        </w:tc>
        <w:tc>
          <w:tcPr>
            <w:tcW w:w="1560" w:type="dxa"/>
          </w:tcPr>
          <w:p w14:paraId="143C493A" w14:textId="77777777" w:rsidR="002E0AA9" w:rsidRPr="007915CE" w:rsidRDefault="002E0AA9" w:rsidP="00C561CF">
            <w:pPr>
              <w:pStyle w:val="ListParagraph"/>
              <w:ind w:left="0"/>
              <w:jc w:val="center"/>
            </w:pPr>
          </w:p>
        </w:tc>
      </w:tr>
      <w:tr w:rsidR="007915CE" w:rsidRPr="007915CE" w14:paraId="7ED42B12" w14:textId="67D1FB9A" w:rsidTr="000C28B8">
        <w:trPr>
          <w:cantSplit/>
        </w:trPr>
        <w:tc>
          <w:tcPr>
            <w:tcW w:w="3420" w:type="dxa"/>
            <w:vAlign w:val="center"/>
          </w:tcPr>
          <w:p w14:paraId="7C08C74A" w14:textId="77777777" w:rsidR="002E0AA9" w:rsidRPr="007915CE" w:rsidRDefault="002E0AA9" w:rsidP="00C561CF">
            <w:pPr>
              <w:pStyle w:val="ListParagraph"/>
              <w:ind w:left="0"/>
            </w:pPr>
            <w:r w:rsidRPr="007915CE">
              <w:t>Private Pay</w:t>
            </w:r>
          </w:p>
        </w:tc>
        <w:tc>
          <w:tcPr>
            <w:tcW w:w="1560" w:type="dxa"/>
            <w:vAlign w:val="center"/>
          </w:tcPr>
          <w:p w14:paraId="77D24E9A" w14:textId="77777777" w:rsidR="002E0AA9" w:rsidRPr="007915CE" w:rsidRDefault="002E0AA9" w:rsidP="00C561CF">
            <w:pPr>
              <w:pStyle w:val="ListParagraph"/>
              <w:ind w:left="0"/>
              <w:jc w:val="center"/>
            </w:pPr>
            <w:r w:rsidRPr="007915CE">
              <w:t>14%</w:t>
            </w:r>
          </w:p>
        </w:tc>
        <w:tc>
          <w:tcPr>
            <w:tcW w:w="1560" w:type="dxa"/>
            <w:vAlign w:val="center"/>
          </w:tcPr>
          <w:p w14:paraId="5A1E595D" w14:textId="77777777" w:rsidR="002E0AA9" w:rsidRPr="007915CE" w:rsidRDefault="002E0AA9" w:rsidP="00C561CF">
            <w:pPr>
              <w:pStyle w:val="ListParagraph"/>
              <w:ind w:left="0"/>
              <w:jc w:val="center"/>
            </w:pPr>
            <w:r w:rsidRPr="007915CE">
              <w:t>18%</w:t>
            </w:r>
          </w:p>
        </w:tc>
        <w:tc>
          <w:tcPr>
            <w:tcW w:w="1560" w:type="dxa"/>
            <w:vAlign w:val="center"/>
          </w:tcPr>
          <w:p w14:paraId="59572285" w14:textId="77777777" w:rsidR="002E0AA9" w:rsidRPr="007915CE" w:rsidRDefault="002E0AA9" w:rsidP="00C561CF">
            <w:pPr>
              <w:pStyle w:val="ListParagraph"/>
              <w:ind w:left="0"/>
              <w:jc w:val="center"/>
            </w:pPr>
            <w:r w:rsidRPr="007915CE">
              <w:t>10%</w:t>
            </w:r>
          </w:p>
        </w:tc>
        <w:tc>
          <w:tcPr>
            <w:tcW w:w="1560" w:type="dxa"/>
          </w:tcPr>
          <w:p w14:paraId="7DAE325C" w14:textId="034A8D8F" w:rsidR="002E0AA9" w:rsidRPr="007915CE" w:rsidRDefault="00E21011" w:rsidP="00C561CF">
            <w:pPr>
              <w:pStyle w:val="ListParagraph"/>
              <w:ind w:left="0"/>
              <w:jc w:val="center"/>
            </w:pPr>
            <w:r w:rsidRPr="007915CE">
              <w:t>13%</w:t>
            </w:r>
          </w:p>
        </w:tc>
      </w:tr>
      <w:tr w:rsidR="007915CE" w:rsidRPr="007915CE" w14:paraId="1ADA5E1C" w14:textId="1ECEF773" w:rsidTr="000C28B8">
        <w:trPr>
          <w:cantSplit/>
        </w:trPr>
        <w:tc>
          <w:tcPr>
            <w:tcW w:w="3420" w:type="dxa"/>
            <w:vAlign w:val="center"/>
          </w:tcPr>
          <w:p w14:paraId="2C853AD1" w14:textId="77777777" w:rsidR="002E0AA9" w:rsidRPr="007915CE" w:rsidRDefault="002E0AA9" w:rsidP="00C561CF">
            <w:pPr>
              <w:pStyle w:val="ListParagraph"/>
              <w:ind w:left="0"/>
            </w:pPr>
            <w:r w:rsidRPr="007915CE">
              <w:t>All Other</w:t>
            </w:r>
          </w:p>
        </w:tc>
        <w:tc>
          <w:tcPr>
            <w:tcW w:w="1560" w:type="dxa"/>
            <w:vAlign w:val="center"/>
          </w:tcPr>
          <w:p w14:paraId="0E2E1F59" w14:textId="77777777" w:rsidR="002E0AA9" w:rsidRPr="007915CE" w:rsidRDefault="002E0AA9" w:rsidP="00C561CF">
            <w:pPr>
              <w:pStyle w:val="ListParagraph"/>
              <w:ind w:left="0"/>
              <w:jc w:val="center"/>
            </w:pPr>
          </w:p>
        </w:tc>
        <w:tc>
          <w:tcPr>
            <w:tcW w:w="1560" w:type="dxa"/>
            <w:vAlign w:val="center"/>
          </w:tcPr>
          <w:p w14:paraId="1A754E62" w14:textId="77777777" w:rsidR="002E0AA9" w:rsidRPr="007915CE" w:rsidRDefault="002E0AA9" w:rsidP="00C561CF">
            <w:pPr>
              <w:pStyle w:val="ListParagraph"/>
              <w:ind w:left="0"/>
              <w:jc w:val="center"/>
            </w:pPr>
          </w:p>
        </w:tc>
        <w:tc>
          <w:tcPr>
            <w:tcW w:w="1560" w:type="dxa"/>
            <w:vAlign w:val="center"/>
          </w:tcPr>
          <w:p w14:paraId="214CD028" w14:textId="77777777" w:rsidR="002E0AA9" w:rsidRPr="007915CE" w:rsidRDefault="002E0AA9" w:rsidP="00C561CF">
            <w:pPr>
              <w:pStyle w:val="ListParagraph"/>
              <w:ind w:left="0"/>
              <w:jc w:val="center"/>
            </w:pPr>
          </w:p>
        </w:tc>
        <w:tc>
          <w:tcPr>
            <w:tcW w:w="1560" w:type="dxa"/>
          </w:tcPr>
          <w:p w14:paraId="04F7AC5B" w14:textId="77777777" w:rsidR="002E0AA9" w:rsidRPr="007915CE" w:rsidRDefault="002E0AA9" w:rsidP="00C561CF">
            <w:pPr>
              <w:pStyle w:val="ListParagraph"/>
              <w:ind w:left="0"/>
              <w:jc w:val="center"/>
            </w:pPr>
          </w:p>
        </w:tc>
      </w:tr>
      <w:tr w:rsidR="007915CE" w:rsidRPr="007915CE" w14:paraId="6F0C8AC5" w14:textId="2C9BCDAA" w:rsidTr="000C28B8">
        <w:trPr>
          <w:cantSplit/>
        </w:trPr>
        <w:tc>
          <w:tcPr>
            <w:tcW w:w="3420" w:type="dxa"/>
            <w:shd w:val="clear" w:color="auto" w:fill="D9D9D9" w:themeFill="background1" w:themeFillShade="D9"/>
            <w:vAlign w:val="center"/>
          </w:tcPr>
          <w:p w14:paraId="465907E7" w14:textId="77777777" w:rsidR="002E0AA9" w:rsidRPr="007915CE" w:rsidRDefault="002E0AA9" w:rsidP="00C561CF">
            <w:pPr>
              <w:pStyle w:val="ListParagraph"/>
              <w:ind w:left="0"/>
              <w:rPr>
                <w:b/>
                <w:bCs/>
              </w:rPr>
            </w:pPr>
            <w:r w:rsidRPr="007915CE">
              <w:rPr>
                <w:b/>
                <w:bCs/>
              </w:rPr>
              <w:t>TOTAL</w:t>
            </w:r>
          </w:p>
        </w:tc>
        <w:tc>
          <w:tcPr>
            <w:tcW w:w="1560" w:type="dxa"/>
            <w:shd w:val="clear" w:color="auto" w:fill="D9D9D9" w:themeFill="background1" w:themeFillShade="D9"/>
            <w:vAlign w:val="center"/>
          </w:tcPr>
          <w:p w14:paraId="6090F771" w14:textId="77777777" w:rsidR="002E0AA9" w:rsidRPr="007915CE" w:rsidRDefault="002E0AA9" w:rsidP="00C561CF">
            <w:pPr>
              <w:pStyle w:val="ListParagraph"/>
              <w:ind w:left="0"/>
              <w:jc w:val="center"/>
            </w:pPr>
            <w:r w:rsidRPr="007915CE">
              <w:t>100%</w:t>
            </w:r>
          </w:p>
        </w:tc>
        <w:tc>
          <w:tcPr>
            <w:tcW w:w="1560" w:type="dxa"/>
            <w:shd w:val="clear" w:color="auto" w:fill="D9D9D9" w:themeFill="background1" w:themeFillShade="D9"/>
            <w:vAlign w:val="center"/>
          </w:tcPr>
          <w:p w14:paraId="347191AD" w14:textId="77777777" w:rsidR="002E0AA9" w:rsidRPr="007915CE" w:rsidRDefault="002E0AA9" w:rsidP="00C561CF">
            <w:pPr>
              <w:pStyle w:val="ListParagraph"/>
              <w:ind w:left="0"/>
              <w:jc w:val="center"/>
            </w:pPr>
            <w:r w:rsidRPr="007915CE">
              <w:t>100%</w:t>
            </w:r>
          </w:p>
        </w:tc>
        <w:tc>
          <w:tcPr>
            <w:tcW w:w="1560" w:type="dxa"/>
            <w:shd w:val="clear" w:color="auto" w:fill="D9D9D9" w:themeFill="background1" w:themeFillShade="D9"/>
            <w:vAlign w:val="center"/>
          </w:tcPr>
          <w:p w14:paraId="03EE7BB5" w14:textId="77777777" w:rsidR="002E0AA9" w:rsidRPr="007915CE" w:rsidRDefault="002E0AA9" w:rsidP="00C561CF">
            <w:pPr>
              <w:pStyle w:val="ListParagraph"/>
              <w:ind w:left="0"/>
              <w:jc w:val="center"/>
            </w:pPr>
            <w:r w:rsidRPr="007915CE">
              <w:t>100%</w:t>
            </w:r>
          </w:p>
        </w:tc>
        <w:tc>
          <w:tcPr>
            <w:tcW w:w="1560" w:type="dxa"/>
            <w:shd w:val="clear" w:color="auto" w:fill="D9D9D9" w:themeFill="background1" w:themeFillShade="D9"/>
          </w:tcPr>
          <w:p w14:paraId="702DCBD8" w14:textId="5936FD34" w:rsidR="002E0AA9" w:rsidRPr="007915CE" w:rsidRDefault="00E21011" w:rsidP="00C561CF">
            <w:pPr>
              <w:pStyle w:val="ListParagraph"/>
              <w:ind w:left="0"/>
              <w:jc w:val="center"/>
            </w:pPr>
            <w:r w:rsidRPr="007915CE">
              <w:t>100%</w:t>
            </w:r>
          </w:p>
        </w:tc>
      </w:tr>
    </w:tbl>
    <w:p w14:paraId="49037B8E" w14:textId="7149422F" w:rsidR="002F26D1" w:rsidRPr="007915CE" w:rsidRDefault="00351EB6" w:rsidP="00101708">
      <w:pPr>
        <w:pStyle w:val="ListParagraph"/>
        <w:spacing w:line="240" w:lineRule="auto"/>
        <w:rPr>
          <w:rFonts w:cstheme="minorHAnsi"/>
          <w:sz w:val="24"/>
          <w:szCs w:val="24"/>
        </w:rPr>
      </w:pPr>
      <w:r w:rsidRPr="007915CE">
        <w:rPr>
          <w:rFonts w:cstheme="minorHAnsi"/>
          <w:sz w:val="24"/>
          <w:szCs w:val="24"/>
        </w:rPr>
        <w:t xml:space="preserve"> </w:t>
      </w:r>
    </w:p>
    <w:p w14:paraId="0DDB3664" w14:textId="2E19FC33" w:rsidR="006460EE" w:rsidRPr="007915CE" w:rsidRDefault="00D4121B" w:rsidP="00853112">
      <w:pPr>
        <w:spacing w:line="240" w:lineRule="auto"/>
        <w:rPr>
          <w:rFonts w:cstheme="minorHAnsi"/>
          <w:b/>
          <w:bCs/>
          <w:sz w:val="24"/>
          <w:szCs w:val="24"/>
        </w:rPr>
      </w:pPr>
      <w:r w:rsidRPr="007915CE">
        <w:rPr>
          <w:rFonts w:cstheme="minorHAnsi"/>
          <w:b/>
          <w:bCs/>
          <w:sz w:val="24"/>
          <w:szCs w:val="24"/>
        </w:rPr>
        <w:t xml:space="preserve">2. </w:t>
      </w:r>
      <w:r w:rsidR="007E7779" w:rsidRPr="007915CE">
        <w:rPr>
          <w:rFonts w:cstheme="minorHAnsi"/>
          <w:b/>
          <w:bCs/>
          <w:sz w:val="24"/>
          <w:szCs w:val="24"/>
        </w:rPr>
        <w:t xml:space="preserve">To better understand the Patient Panel </w:t>
      </w:r>
      <w:r w:rsidR="00DD24A3" w:rsidRPr="007915CE">
        <w:rPr>
          <w:rFonts w:cstheme="minorHAnsi"/>
          <w:b/>
          <w:bCs/>
          <w:sz w:val="24"/>
          <w:szCs w:val="24"/>
        </w:rPr>
        <w:t>and the impact of the project on that Panel</w:t>
      </w:r>
      <w:r w:rsidR="00DE5BDB" w:rsidRPr="007915CE">
        <w:rPr>
          <w:rFonts w:cstheme="minorHAnsi"/>
          <w:b/>
          <w:bCs/>
          <w:sz w:val="24"/>
          <w:szCs w:val="24"/>
        </w:rPr>
        <w:t>, p</w:t>
      </w:r>
      <w:r w:rsidR="006460EE" w:rsidRPr="007915CE">
        <w:rPr>
          <w:rFonts w:cstheme="minorHAnsi"/>
          <w:b/>
          <w:bCs/>
          <w:sz w:val="24"/>
          <w:szCs w:val="24"/>
        </w:rPr>
        <w:t xml:space="preserve">lease </w:t>
      </w:r>
      <w:r w:rsidR="001A77FC" w:rsidRPr="007915CE">
        <w:rPr>
          <w:rFonts w:cstheme="minorHAnsi"/>
          <w:b/>
          <w:bCs/>
          <w:sz w:val="24"/>
          <w:szCs w:val="24"/>
        </w:rPr>
        <w:t>provide the year for the table below</w:t>
      </w:r>
      <w:r w:rsidR="00DE5BDB" w:rsidRPr="007915CE">
        <w:rPr>
          <w:rFonts w:cstheme="minorHAnsi"/>
          <w:b/>
          <w:bCs/>
          <w:sz w:val="24"/>
          <w:szCs w:val="24"/>
        </w:rPr>
        <w:t xml:space="preserve"> from P</w:t>
      </w:r>
      <w:r w:rsidR="004A57B3" w:rsidRPr="007915CE">
        <w:rPr>
          <w:rFonts w:cstheme="minorHAnsi"/>
          <w:b/>
          <w:bCs/>
          <w:sz w:val="24"/>
          <w:szCs w:val="24"/>
        </w:rPr>
        <w:t>3 CPA Report</w:t>
      </w:r>
      <w:r w:rsidR="0077675D" w:rsidRPr="007915CE">
        <w:rPr>
          <w:rFonts w:cstheme="minorHAnsi"/>
          <w:b/>
          <w:bCs/>
          <w:sz w:val="24"/>
          <w:szCs w:val="24"/>
        </w:rPr>
        <w:t xml:space="preserve"> </w:t>
      </w:r>
      <w:r w:rsidR="00455B8E" w:rsidRPr="007915CE">
        <w:rPr>
          <w:rFonts w:cstheme="minorHAnsi"/>
          <w:b/>
          <w:bCs/>
          <w:sz w:val="24"/>
          <w:szCs w:val="24"/>
        </w:rPr>
        <w:t xml:space="preserve">and </w:t>
      </w:r>
      <w:r w:rsidR="003F3E0B" w:rsidRPr="007915CE">
        <w:rPr>
          <w:rFonts w:cstheme="minorHAnsi"/>
          <w:b/>
          <w:bCs/>
          <w:sz w:val="24"/>
          <w:szCs w:val="24"/>
        </w:rPr>
        <w:t xml:space="preserve">provide the comparable data </w:t>
      </w:r>
      <w:r w:rsidR="00455B8E" w:rsidRPr="007915CE">
        <w:rPr>
          <w:rFonts w:cstheme="minorHAnsi"/>
          <w:b/>
          <w:bCs/>
          <w:sz w:val="24"/>
          <w:szCs w:val="24"/>
        </w:rPr>
        <w:t>for the pre-Covid year, 2019</w:t>
      </w:r>
      <w:r w:rsidR="00E21011" w:rsidRPr="007915CE">
        <w:rPr>
          <w:rFonts w:cstheme="minorHAnsi"/>
          <w:b/>
          <w:bCs/>
          <w:sz w:val="24"/>
          <w:szCs w:val="24"/>
        </w:rPr>
        <w:t xml:space="preserve">. </w:t>
      </w:r>
    </w:p>
    <w:p w14:paraId="35ECEECB" w14:textId="0DF8CA5F" w:rsidR="004623FE" w:rsidRPr="007915CE" w:rsidRDefault="004623FE" w:rsidP="00853112">
      <w:pPr>
        <w:spacing w:line="240" w:lineRule="auto"/>
        <w:rPr>
          <w:rFonts w:cstheme="minorHAnsi"/>
          <w:sz w:val="24"/>
          <w:szCs w:val="24"/>
        </w:rPr>
      </w:pPr>
      <w:r w:rsidRPr="007915CE">
        <w:rPr>
          <w:rFonts w:cstheme="minorHAnsi"/>
          <w:sz w:val="24"/>
          <w:szCs w:val="24"/>
        </w:rPr>
        <w:t xml:space="preserve">Table B represents projections for 2026. </w:t>
      </w:r>
    </w:p>
    <w:p w14:paraId="4E115AF7" w14:textId="452F87DB" w:rsidR="001A77FC" w:rsidRPr="007915CE" w:rsidRDefault="000F4F75" w:rsidP="004623FE">
      <w:pPr>
        <w:widowControl w:val="0"/>
        <w:autoSpaceDE w:val="0"/>
        <w:autoSpaceDN w:val="0"/>
        <w:spacing w:before="8" w:after="120" w:line="240" w:lineRule="auto"/>
        <w:rPr>
          <w:rFonts w:ascii="Times New Roman" w:eastAsia="Times New Roman" w:hAnsi="Times New Roman" w:cs="Times New Roman"/>
          <w:bCs/>
          <w:sz w:val="16"/>
          <w:u w:val="single"/>
        </w:rPr>
      </w:pPr>
      <w:r w:rsidRPr="007915CE">
        <w:rPr>
          <w:rFonts w:ascii="Times New Roman" w:eastAsia="Times New Roman" w:hAnsi="Times New Roman" w:cs="Times New Roman"/>
          <w:bCs/>
          <w:sz w:val="24"/>
          <w:u w:val="single"/>
        </w:rPr>
        <w:t xml:space="preserve">Table B: Projected </w:t>
      </w:r>
      <w:r w:rsidR="001A77FC" w:rsidRPr="007915CE">
        <w:rPr>
          <w:rFonts w:ascii="Times New Roman" w:eastAsia="Times New Roman" w:hAnsi="Times New Roman" w:cs="Times New Roman"/>
          <w:bCs/>
          <w:sz w:val="24"/>
          <w:u w:val="single"/>
        </w:rPr>
        <w:t>Payor</w:t>
      </w:r>
      <w:r w:rsidR="001A77FC" w:rsidRPr="007915CE">
        <w:rPr>
          <w:rFonts w:ascii="Times New Roman" w:eastAsia="Times New Roman" w:hAnsi="Times New Roman" w:cs="Times New Roman"/>
          <w:bCs/>
          <w:spacing w:val="-4"/>
          <w:sz w:val="24"/>
          <w:u w:val="single"/>
        </w:rPr>
        <w:t xml:space="preserve"> </w:t>
      </w:r>
      <w:r w:rsidR="001A77FC" w:rsidRPr="007915CE">
        <w:rPr>
          <w:rFonts w:ascii="Times New Roman" w:eastAsia="Times New Roman" w:hAnsi="Times New Roman" w:cs="Times New Roman"/>
          <w:bCs/>
          <w:sz w:val="24"/>
          <w:u w:val="single"/>
        </w:rPr>
        <w:t>Mix</w:t>
      </w:r>
      <w:r w:rsidR="001A77FC" w:rsidRPr="007915CE">
        <w:rPr>
          <w:rFonts w:ascii="Times New Roman" w:eastAsia="Times New Roman" w:hAnsi="Times New Roman" w:cs="Times New Roman"/>
          <w:bCs/>
          <w:spacing w:val="-1"/>
          <w:sz w:val="24"/>
          <w:u w:val="single"/>
        </w:rPr>
        <w:t xml:space="preserve"> </w:t>
      </w:r>
      <w:r w:rsidR="001A77FC" w:rsidRPr="007915CE">
        <w:rPr>
          <w:rFonts w:ascii="Times New Roman" w:eastAsia="Times New Roman" w:hAnsi="Times New Roman" w:cs="Times New Roman"/>
          <w:bCs/>
          <w:sz w:val="24"/>
          <w:u w:val="single"/>
        </w:rPr>
        <w:t>and Daily</w:t>
      </w:r>
      <w:r w:rsidR="001A77FC" w:rsidRPr="007915CE">
        <w:rPr>
          <w:rFonts w:ascii="Times New Roman" w:eastAsia="Times New Roman" w:hAnsi="Times New Roman" w:cs="Times New Roman"/>
          <w:bCs/>
          <w:spacing w:val="-1"/>
          <w:sz w:val="24"/>
          <w:u w:val="single"/>
        </w:rPr>
        <w:t xml:space="preserve"> </w:t>
      </w:r>
      <w:r w:rsidR="001A77FC" w:rsidRPr="007915CE">
        <w:rPr>
          <w:rFonts w:ascii="Times New Roman" w:eastAsia="Times New Roman" w:hAnsi="Times New Roman" w:cs="Times New Roman"/>
          <w:bCs/>
          <w:spacing w:val="-4"/>
          <w:sz w:val="24"/>
          <w:u w:val="single"/>
        </w:rPr>
        <w:t>Fees</w:t>
      </w:r>
      <w:r w:rsidRPr="007915CE">
        <w:rPr>
          <w:rFonts w:ascii="Times New Roman" w:eastAsia="Times New Roman" w:hAnsi="Times New Roman" w:cs="Times New Roman"/>
          <w:bCs/>
          <w:spacing w:val="-4"/>
          <w:sz w:val="24"/>
          <w:u w:val="single"/>
        </w:rPr>
        <w:t xml:space="preserve"> for </w:t>
      </w:r>
      <w:r w:rsidR="00F07021" w:rsidRPr="007915CE">
        <w:rPr>
          <w:rFonts w:ascii="Times New Roman" w:eastAsia="Times New Roman" w:hAnsi="Times New Roman" w:cs="Times New Roman"/>
          <w:bCs/>
          <w:spacing w:val="-4"/>
          <w:sz w:val="24"/>
          <w:u w:val="single"/>
        </w:rPr>
        <w:t>2026</w:t>
      </w:r>
      <w:r w:rsidR="00DB41F4" w:rsidRPr="007915CE">
        <w:rPr>
          <w:rFonts w:ascii="Times New Roman" w:eastAsia="Times New Roman" w:hAnsi="Times New Roman" w:cs="Times New Roman"/>
          <w:bCs/>
          <w:spacing w:val="-4"/>
          <w:sz w:val="24"/>
          <w:u w:val="single"/>
        </w:rPr>
        <w:t xml:space="preserve"> </w:t>
      </w:r>
    </w:p>
    <w:tbl>
      <w:tblPr>
        <w:tblW w:w="9455" w:type="dxa"/>
        <w:tblLayout w:type="fixed"/>
        <w:tblCellMar>
          <w:left w:w="0" w:type="dxa"/>
          <w:right w:w="0" w:type="dxa"/>
        </w:tblCellMar>
        <w:tblLook w:val="01E0" w:firstRow="1" w:lastRow="1" w:firstColumn="1" w:lastColumn="1" w:noHBand="0" w:noVBand="0"/>
      </w:tblPr>
      <w:tblGrid>
        <w:gridCol w:w="2787"/>
        <w:gridCol w:w="1408"/>
        <w:gridCol w:w="1748"/>
        <w:gridCol w:w="1784"/>
        <w:gridCol w:w="1728"/>
      </w:tblGrid>
      <w:tr w:rsidR="007915CE" w:rsidRPr="007915CE" w14:paraId="453109D7" w14:textId="77777777" w:rsidTr="00DB41F4">
        <w:trPr>
          <w:cantSplit/>
          <w:trHeight w:val="767"/>
          <w:tblHeader/>
        </w:trPr>
        <w:tc>
          <w:tcPr>
            <w:tcW w:w="2787" w:type="dxa"/>
            <w:tcBorders>
              <w:top w:val="single" w:sz="12" w:space="0" w:color="000000"/>
              <w:bottom w:val="single" w:sz="4" w:space="0" w:color="000000"/>
            </w:tcBorders>
          </w:tcPr>
          <w:p w14:paraId="0ADB847C" w14:textId="77777777" w:rsidR="001A77FC" w:rsidRPr="007915CE" w:rsidRDefault="001A77FC" w:rsidP="001A77FC">
            <w:pPr>
              <w:widowControl w:val="0"/>
              <w:autoSpaceDE w:val="0"/>
              <w:autoSpaceDN w:val="0"/>
              <w:spacing w:after="0" w:line="240" w:lineRule="auto"/>
              <w:rPr>
                <w:rFonts w:ascii="Times New Roman" w:eastAsia="Microsoft Sans Serif" w:hAnsi="Microsoft Sans Serif" w:cs="Microsoft Sans Serif"/>
              </w:rPr>
            </w:pPr>
          </w:p>
        </w:tc>
        <w:tc>
          <w:tcPr>
            <w:tcW w:w="1408" w:type="dxa"/>
            <w:tcBorders>
              <w:top w:val="single" w:sz="12" w:space="0" w:color="000000"/>
              <w:bottom w:val="single" w:sz="4" w:space="0" w:color="000000"/>
            </w:tcBorders>
          </w:tcPr>
          <w:p w14:paraId="227638DA" w14:textId="77777777" w:rsidR="001A77FC" w:rsidRPr="007915CE" w:rsidRDefault="001A77FC" w:rsidP="001A77FC">
            <w:pPr>
              <w:widowControl w:val="0"/>
              <w:autoSpaceDE w:val="0"/>
              <w:autoSpaceDN w:val="0"/>
              <w:spacing w:before="130" w:after="0" w:line="240" w:lineRule="auto"/>
              <w:ind w:left="271" w:right="396" w:hanging="286"/>
              <w:rPr>
                <w:rFonts w:ascii="Times New Roman" w:eastAsia="Microsoft Sans Serif" w:hAnsi="Microsoft Sans Serif" w:cs="Microsoft Sans Serif"/>
                <w:b/>
              </w:rPr>
            </w:pPr>
            <w:r w:rsidRPr="007915CE">
              <w:rPr>
                <w:rFonts w:ascii="Times New Roman" w:eastAsia="Microsoft Sans Serif" w:hAnsi="Microsoft Sans Serif" w:cs="Microsoft Sans Serif"/>
                <w:b/>
              </w:rPr>
              <w:t>Number</w:t>
            </w:r>
            <w:r w:rsidRPr="007915CE">
              <w:rPr>
                <w:rFonts w:ascii="Times New Roman" w:eastAsia="Microsoft Sans Serif" w:hAnsi="Microsoft Sans Serif" w:cs="Microsoft Sans Serif"/>
                <w:b/>
                <w:spacing w:val="-14"/>
              </w:rPr>
              <w:t xml:space="preserve"> </w:t>
            </w:r>
            <w:r w:rsidRPr="007915CE">
              <w:rPr>
                <w:rFonts w:ascii="Times New Roman" w:eastAsia="Microsoft Sans Serif" w:hAnsi="Microsoft Sans Serif" w:cs="Microsoft Sans Serif"/>
                <w:b/>
              </w:rPr>
              <w:t xml:space="preserve">of </w:t>
            </w:r>
            <w:r w:rsidRPr="007915CE">
              <w:rPr>
                <w:rFonts w:ascii="Times New Roman" w:eastAsia="Microsoft Sans Serif" w:hAnsi="Microsoft Sans Serif" w:cs="Microsoft Sans Serif"/>
                <w:b/>
                <w:spacing w:val="-4"/>
              </w:rPr>
              <w:t>Beds</w:t>
            </w:r>
          </w:p>
        </w:tc>
        <w:tc>
          <w:tcPr>
            <w:tcW w:w="1748" w:type="dxa"/>
            <w:tcBorders>
              <w:top w:val="single" w:sz="12" w:space="0" w:color="000000"/>
              <w:bottom w:val="single" w:sz="4" w:space="0" w:color="000000"/>
            </w:tcBorders>
          </w:tcPr>
          <w:p w14:paraId="2C6FD8B1" w14:textId="77777777" w:rsidR="001A77FC" w:rsidRPr="007915CE" w:rsidRDefault="001A77FC" w:rsidP="001A77FC">
            <w:pPr>
              <w:widowControl w:val="0"/>
              <w:autoSpaceDE w:val="0"/>
              <w:autoSpaceDN w:val="0"/>
              <w:spacing w:before="1" w:after="0" w:line="240" w:lineRule="auto"/>
              <w:rPr>
                <w:rFonts w:ascii="Times New Roman" w:eastAsia="Microsoft Sans Serif" w:hAnsi="Microsoft Sans Serif" w:cs="Microsoft Sans Serif"/>
              </w:rPr>
            </w:pPr>
          </w:p>
          <w:p w14:paraId="59D8BB71" w14:textId="77777777" w:rsidR="001A77FC" w:rsidRPr="007915CE" w:rsidRDefault="001A77FC" w:rsidP="001A77FC">
            <w:pPr>
              <w:widowControl w:val="0"/>
              <w:autoSpaceDE w:val="0"/>
              <w:autoSpaceDN w:val="0"/>
              <w:spacing w:before="1" w:after="0" w:line="240" w:lineRule="auto"/>
              <w:ind w:left="399"/>
              <w:rPr>
                <w:rFonts w:ascii="Times New Roman" w:eastAsia="Microsoft Sans Serif" w:hAnsi="Microsoft Sans Serif" w:cs="Microsoft Sans Serif"/>
                <w:b/>
              </w:rPr>
            </w:pPr>
            <w:r w:rsidRPr="007915CE">
              <w:rPr>
                <w:rFonts w:ascii="Times New Roman" w:eastAsia="Microsoft Sans Serif" w:hAnsi="Microsoft Sans Serif" w:cs="Microsoft Sans Serif"/>
                <w:b/>
              </w:rPr>
              <w:t>Bed</w:t>
            </w:r>
            <w:r w:rsidRPr="007915CE">
              <w:rPr>
                <w:rFonts w:ascii="Times New Roman" w:eastAsia="Microsoft Sans Serif" w:hAnsi="Microsoft Sans Serif" w:cs="Microsoft Sans Serif"/>
                <w:b/>
                <w:spacing w:val="-1"/>
              </w:rPr>
              <w:t xml:space="preserve"> </w:t>
            </w:r>
            <w:r w:rsidRPr="007915CE">
              <w:rPr>
                <w:rFonts w:ascii="Times New Roman" w:eastAsia="Microsoft Sans Serif" w:hAnsi="Microsoft Sans Serif" w:cs="Microsoft Sans Serif"/>
                <w:b/>
                <w:spacing w:val="-5"/>
              </w:rPr>
              <w:t>Mix</w:t>
            </w:r>
          </w:p>
        </w:tc>
        <w:tc>
          <w:tcPr>
            <w:tcW w:w="1784" w:type="dxa"/>
            <w:tcBorders>
              <w:top w:val="single" w:sz="12" w:space="0" w:color="000000"/>
              <w:bottom w:val="single" w:sz="4" w:space="0" w:color="000000"/>
            </w:tcBorders>
          </w:tcPr>
          <w:p w14:paraId="6A9BC048" w14:textId="77777777" w:rsidR="001A77FC" w:rsidRPr="007915CE" w:rsidRDefault="001A77FC" w:rsidP="001A77FC">
            <w:pPr>
              <w:widowControl w:val="0"/>
              <w:autoSpaceDE w:val="0"/>
              <w:autoSpaceDN w:val="0"/>
              <w:spacing w:before="130" w:after="0" w:line="240" w:lineRule="auto"/>
              <w:ind w:left="660" w:right="525" w:hanging="214"/>
              <w:rPr>
                <w:rFonts w:ascii="Times New Roman" w:eastAsia="Microsoft Sans Serif" w:hAnsi="Microsoft Sans Serif" w:cs="Microsoft Sans Serif"/>
                <w:b/>
              </w:rPr>
            </w:pPr>
            <w:r w:rsidRPr="007915CE">
              <w:rPr>
                <w:rFonts w:ascii="Times New Roman" w:eastAsia="Microsoft Sans Serif" w:hAnsi="Microsoft Sans Serif" w:cs="Microsoft Sans Serif"/>
                <w:b/>
                <w:spacing w:val="-2"/>
              </w:rPr>
              <w:t xml:space="preserve">Revenue </w:t>
            </w:r>
            <w:r w:rsidRPr="007915CE">
              <w:rPr>
                <w:rFonts w:ascii="Times New Roman" w:eastAsia="Microsoft Sans Serif" w:hAnsi="Microsoft Sans Serif" w:cs="Microsoft Sans Serif"/>
                <w:b/>
                <w:spacing w:val="-4"/>
              </w:rPr>
              <w:t>Mix</w:t>
            </w:r>
          </w:p>
        </w:tc>
        <w:tc>
          <w:tcPr>
            <w:tcW w:w="1728" w:type="dxa"/>
            <w:tcBorders>
              <w:top w:val="single" w:sz="12" w:space="0" w:color="000000"/>
              <w:bottom w:val="single" w:sz="4" w:space="0" w:color="000000"/>
            </w:tcBorders>
          </w:tcPr>
          <w:p w14:paraId="742C6903" w14:textId="77777777" w:rsidR="001A77FC" w:rsidRPr="007915CE" w:rsidRDefault="001A77FC" w:rsidP="001A77FC">
            <w:pPr>
              <w:widowControl w:val="0"/>
              <w:autoSpaceDE w:val="0"/>
              <w:autoSpaceDN w:val="0"/>
              <w:spacing w:before="1" w:after="0" w:line="240" w:lineRule="auto"/>
              <w:rPr>
                <w:rFonts w:ascii="Times New Roman" w:eastAsia="Microsoft Sans Serif" w:hAnsi="Microsoft Sans Serif" w:cs="Microsoft Sans Serif"/>
              </w:rPr>
            </w:pPr>
          </w:p>
          <w:p w14:paraId="66C596A4" w14:textId="77777777" w:rsidR="001A77FC" w:rsidRPr="007915CE" w:rsidRDefault="001A77FC" w:rsidP="001A77FC">
            <w:pPr>
              <w:widowControl w:val="0"/>
              <w:autoSpaceDE w:val="0"/>
              <w:autoSpaceDN w:val="0"/>
              <w:spacing w:before="1" w:after="0" w:line="240" w:lineRule="auto"/>
              <w:ind w:left="413" w:right="406"/>
              <w:jc w:val="center"/>
              <w:rPr>
                <w:rFonts w:ascii="Times New Roman" w:eastAsia="Microsoft Sans Serif" w:hAnsi="Microsoft Sans Serif" w:cs="Microsoft Sans Serif"/>
                <w:b/>
              </w:rPr>
            </w:pPr>
            <w:r w:rsidRPr="007915CE">
              <w:rPr>
                <w:rFonts w:ascii="Times New Roman" w:eastAsia="Microsoft Sans Serif" w:hAnsi="Microsoft Sans Serif" w:cs="Microsoft Sans Serif"/>
                <w:b/>
              </w:rPr>
              <w:t>Daily</w:t>
            </w:r>
            <w:r w:rsidRPr="007915CE">
              <w:rPr>
                <w:rFonts w:ascii="Times New Roman" w:eastAsia="Microsoft Sans Serif" w:hAnsi="Microsoft Sans Serif" w:cs="Microsoft Sans Serif"/>
                <w:b/>
                <w:spacing w:val="-2"/>
              </w:rPr>
              <w:t xml:space="preserve"> </w:t>
            </w:r>
            <w:r w:rsidRPr="007915CE">
              <w:rPr>
                <w:rFonts w:ascii="Times New Roman" w:eastAsia="Microsoft Sans Serif" w:hAnsi="Microsoft Sans Serif" w:cs="Microsoft Sans Serif"/>
                <w:b/>
                <w:spacing w:val="-5"/>
              </w:rPr>
              <w:t>Fee</w:t>
            </w:r>
          </w:p>
        </w:tc>
      </w:tr>
      <w:tr w:rsidR="007915CE" w:rsidRPr="007915CE" w14:paraId="7260B467" w14:textId="77777777" w:rsidTr="00DB41F4">
        <w:trPr>
          <w:cantSplit/>
          <w:trHeight w:val="377"/>
        </w:trPr>
        <w:tc>
          <w:tcPr>
            <w:tcW w:w="2787" w:type="dxa"/>
            <w:tcBorders>
              <w:top w:val="single" w:sz="4" w:space="0" w:color="000000"/>
            </w:tcBorders>
          </w:tcPr>
          <w:p w14:paraId="0553450A" w14:textId="77777777" w:rsidR="001A77FC" w:rsidRPr="007915CE" w:rsidRDefault="001A77FC" w:rsidP="001A77FC">
            <w:pPr>
              <w:widowControl w:val="0"/>
              <w:autoSpaceDE w:val="0"/>
              <w:autoSpaceDN w:val="0"/>
              <w:spacing w:before="61" w:after="0" w:line="240" w:lineRule="auto"/>
              <w:ind w:left="108"/>
              <w:rPr>
                <w:rFonts w:ascii="Times New Roman" w:eastAsia="Microsoft Sans Serif" w:hAnsi="Microsoft Sans Serif" w:cs="Microsoft Sans Serif"/>
              </w:rPr>
            </w:pPr>
            <w:r w:rsidRPr="007915CE">
              <w:rPr>
                <w:rFonts w:ascii="Times New Roman" w:eastAsia="Microsoft Sans Serif" w:hAnsi="Microsoft Sans Serif" w:cs="Microsoft Sans Serif"/>
                <w:spacing w:val="-2"/>
              </w:rPr>
              <w:t>Private</w:t>
            </w:r>
          </w:p>
        </w:tc>
        <w:tc>
          <w:tcPr>
            <w:tcW w:w="1408" w:type="dxa"/>
            <w:tcBorders>
              <w:top w:val="single" w:sz="4" w:space="0" w:color="000000"/>
            </w:tcBorders>
          </w:tcPr>
          <w:p w14:paraId="668C527E" w14:textId="77777777" w:rsidR="001A77FC" w:rsidRPr="007915CE" w:rsidRDefault="001A77FC" w:rsidP="001A77FC">
            <w:pPr>
              <w:widowControl w:val="0"/>
              <w:autoSpaceDE w:val="0"/>
              <w:autoSpaceDN w:val="0"/>
              <w:spacing w:before="61" w:after="0" w:line="240" w:lineRule="auto"/>
              <w:ind w:right="647"/>
              <w:jc w:val="right"/>
              <w:rPr>
                <w:rFonts w:ascii="Times New Roman" w:eastAsia="Microsoft Sans Serif" w:hAnsi="Microsoft Sans Serif" w:cs="Microsoft Sans Serif"/>
              </w:rPr>
            </w:pPr>
            <w:r w:rsidRPr="007915CE">
              <w:rPr>
                <w:rFonts w:ascii="Times New Roman" w:eastAsia="Microsoft Sans Serif" w:hAnsi="Microsoft Sans Serif" w:cs="Microsoft Sans Serif"/>
                <w:spacing w:val="-5"/>
              </w:rPr>
              <w:t>26</w:t>
            </w:r>
          </w:p>
        </w:tc>
        <w:tc>
          <w:tcPr>
            <w:tcW w:w="1748" w:type="dxa"/>
            <w:tcBorders>
              <w:top w:val="single" w:sz="4" w:space="0" w:color="000000"/>
            </w:tcBorders>
          </w:tcPr>
          <w:p w14:paraId="30459F04" w14:textId="77777777" w:rsidR="001A77FC" w:rsidRPr="007915CE" w:rsidRDefault="001A77FC" w:rsidP="001A77FC">
            <w:pPr>
              <w:widowControl w:val="0"/>
              <w:autoSpaceDE w:val="0"/>
              <w:autoSpaceDN w:val="0"/>
              <w:spacing w:before="61" w:after="0" w:line="240" w:lineRule="auto"/>
              <w:ind w:left="665"/>
              <w:rPr>
                <w:rFonts w:ascii="Times New Roman" w:eastAsia="Microsoft Sans Serif" w:hAnsi="Microsoft Sans Serif" w:cs="Microsoft Sans Serif"/>
              </w:rPr>
            </w:pPr>
            <w:r w:rsidRPr="007915CE">
              <w:rPr>
                <w:rFonts w:ascii="Times New Roman" w:eastAsia="Microsoft Sans Serif" w:hAnsi="Microsoft Sans Serif" w:cs="Microsoft Sans Serif"/>
                <w:spacing w:val="-2"/>
              </w:rPr>
              <w:t>37.1%</w:t>
            </w:r>
          </w:p>
        </w:tc>
        <w:tc>
          <w:tcPr>
            <w:tcW w:w="1784" w:type="dxa"/>
            <w:tcBorders>
              <w:top w:val="single" w:sz="4" w:space="0" w:color="000000"/>
            </w:tcBorders>
          </w:tcPr>
          <w:p w14:paraId="79F21DDD" w14:textId="77777777" w:rsidR="001A77FC" w:rsidRPr="007915CE" w:rsidRDefault="001A77FC" w:rsidP="001A77FC">
            <w:pPr>
              <w:widowControl w:val="0"/>
              <w:autoSpaceDE w:val="0"/>
              <w:autoSpaceDN w:val="0"/>
              <w:spacing w:before="61" w:after="0" w:line="240" w:lineRule="auto"/>
              <w:ind w:right="493"/>
              <w:jc w:val="right"/>
              <w:rPr>
                <w:rFonts w:ascii="Times New Roman" w:eastAsia="Microsoft Sans Serif" w:hAnsi="Microsoft Sans Serif" w:cs="Microsoft Sans Serif"/>
              </w:rPr>
            </w:pPr>
            <w:r w:rsidRPr="007915CE">
              <w:rPr>
                <w:rFonts w:ascii="Times New Roman" w:eastAsia="Microsoft Sans Serif" w:hAnsi="Microsoft Sans Serif" w:cs="Microsoft Sans Serif"/>
                <w:spacing w:val="-2"/>
              </w:rPr>
              <w:t>49.2%</w:t>
            </w:r>
          </w:p>
        </w:tc>
        <w:tc>
          <w:tcPr>
            <w:tcW w:w="1728" w:type="dxa"/>
            <w:tcBorders>
              <w:top w:val="single" w:sz="4" w:space="0" w:color="000000"/>
            </w:tcBorders>
          </w:tcPr>
          <w:p w14:paraId="58709714" w14:textId="77777777" w:rsidR="001A77FC" w:rsidRPr="007915CE" w:rsidRDefault="001A77FC" w:rsidP="001A77FC">
            <w:pPr>
              <w:widowControl w:val="0"/>
              <w:autoSpaceDE w:val="0"/>
              <w:autoSpaceDN w:val="0"/>
              <w:spacing w:before="61" w:after="0" w:line="240" w:lineRule="auto"/>
              <w:ind w:left="413" w:right="317"/>
              <w:jc w:val="center"/>
              <w:rPr>
                <w:rFonts w:ascii="Times New Roman" w:eastAsia="Microsoft Sans Serif" w:hAnsi="Microsoft Sans Serif" w:cs="Microsoft Sans Serif"/>
              </w:rPr>
            </w:pPr>
            <w:r w:rsidRPr="007915CE">
              <w:rPr>
                <w:rFonts w:ascii="Times New Roman" w:eastAsia="Microsoft Sans Serif" w:hAnsi="Microsoft Sans Serif" w:cs="Microsoft Sans Serif"/>
                <w:spacing w:val="-4"/>
              </w:rPr>
              <w:t>$600</w:t>
            </w:r>
          </w:p>
        </w:tc>
      </w:tr>
      <w:tr w:rsidR="007915CE" w:rsidRPr="007915CE" w14:paraId="37A73ABF" w14:textId="77777777" w:rsidTr="00DB41F4">
        <w:trPr>
          <w:cantSplit/>
          <w:trHeight w:val="374"/>
        </w:trPr>
        <w:tc>
          <w:tcPr>
            <w:tcW w:w="2787" w:type="dxa"/>
          </w:tcPr>
          <w:p w14:paraId="02F5C0F8" w14:textId="77777777" w:rsidR="001A77FC" w:rsidRPr="007915CE" w:rsidRDefault="001A77FC" w:rsidP="001A77FC">
            <w:pPr>
              <w:widowControl w:val="0"/>
              <w:autoSpaceDE w:val="0"/>
              <w:autoSpaceDN w:val="0"/>
              <w:spacing w:before="55" w:after="0" w:line="240" w:lineRule="auto"/>
              <w:ind w:left="108"/>
              <w:rPr>
                <w:rFonts w:ascii="Times New Roman" w:eastAsia="Microsoft Sans Serif" w:hAnsi="Microsoft Sans Serif" w:cs="Microsoft Sans Serif"/>
                <w:highlight w:val="yellow"/>
              </w:rPr>
            </w:pPr>
            <w:r w:rsidRPr="007915CE">
              <w:rPr>
                <w:rFonts w:ascii="Times New Roman" w:eastAsia="Microsoft Sans Serif" w:hAnsi="Microsoft Sans Serif" w:cs="Microsoft Sans Serif"/>
                <w:spacing w:val="-2"/>
              </w:rPr>
              <w:t>Medicaid</w:t>
            </w:r>
          </w:p>
        </w:tc>
        <w:tc>
          <w:tcPr>
            <w:tcW w:w="1408" w:type="dxa"/>
          </w:tcPr>
          <w:p w14:paraId="28F88CCA" w14:textId="77777777" w:rsidR="001A77FC" w:rsidRPr="007915CE" w:rsidRDefault="001A77FC" w:rsidP="001A77FC">
            <w:pPr>
              <w:widowControl w:val="0"/>
              <w:autoSpaceDE w:val="0"/>
              <w:autoSpaceDN w:val="0"/>
              <w:spacing w:before="57" w:after="0" w:line="240" w:lineRule="auto"/>
              <w:ind w:right="647"/>
              <w:jc w:val="right"/>
              <w:rPr>
                <w:rFonts w:ascii="Times New Roman" w:eastAsia="Microsoft Sans Serif" w:hAnsi="Microsoft Sans Serif" w:cs="Microsoft Sans Serif"/>
                <w:highlight w:val="yellow"/>
              </w:rPr>
            </w:pPr>
            <w:r w:rsidRPr="007915CE">
              <w:rPr>
                <w:rFonts w:ascii="Times New Roman" w:eastAsia="Microsoft Sans Serif" w:hAnsi="Microsoft Sans Serif" w:cs="Microsoft Sans Serif"/>
                <w:spacing w:val="-5"/>
              </w:rPr>
              <w:t>30</w:t>
            </w:r>
          </w:p>
        </w:tc>
        <w:tc>
          <w:tcPr>
            <w:tcW w:w="1748" w:type="dxa"/>
          </w:tcPr>
          <w:p w14:paraId="623DD8AE" w14:textId="77777777" w:rsidR="001A77FC" w:rsidRPr="007915CE" w:rsidRDefault="001A77FC" w:rsidP="001A77FC">
            <w:pPr>
              <w:widowControl w:val="0"/>
              <w:autoSpaceDE w:val="0"/>
              <w:autoSpaceDN w:val="0"/>
              <w:spacing w:before="57" w:after="0" w:line="240" w:lineRule="auto"/>
              <w:ind w:left="665"/>
              <w:rPr>
                <w:rFonts w:ascii="Times New Roman" w:eastAsia="Microsoft Sans Serif" w:hAnsi="Microsoft Sans Serif" w:cs="Microsoft Sans Serif"/>
              </w:rPr>
            </w:pPr>
            <w:r w:rsidRPr="007915CE">
              <w:rPr>
                <w:rFonts w:ascii="Times New Roman" w:eastAsia="Microsoft Sans Serif" w:hAnsi="Microsoft Sans Serif" w:cs="Microsoft Sans Serif"/>
                <w:spacing w:val="-2"/>
              </w:rPr>
              <w:t>42.9%</w:t>
            </w:r>
          </w:p>
        </w:tc>
        <w:tc>
          <w:tcPr>
            <w:tcW w:w="1784" w:type="dxa"/>
          </w:tcPr>
          <w:p w14:paraId="79AE7DFF" w14:textId="77777777" w:rsidR="001A77FC" w:rsidRPr="007915CE" w:rsidRDefault="001A77FC" w:rsidP="001A77FC">
            <w:pPr>
              <w:widowControl w:val="0"/>
              <w:autoSpaceDE w:val="0"/>
              <w:autoSpaceDN w:val="0"/>
              <w:spacing w:before="57" w:after="0" w:line="240" w:lineRule="auto"/>
              <w:ind w:right="493"/>
              <w:jc w:val="right"/>
              <w:rPr>
                <w:rFonts w:ascii="Times New Roman" w:eastAsia="Microsoft Sans Serif" w:hAnsi="Microsoft Sans Serif" w:cs="Microsoft Sans Serif"/>
              </w:rPr>
            </w:pPr>
            <w:r w:rsidRPr="007915CE">
              <w:rPr>
                <w:rFonts w:ascii="Times New Roman" w:eastAsia="Microsoft Sans Serif" w:hAnsi="Microsoft Sans Serif" w:cs="Microsoft Sans Serif"/>
                <w:spacing w:val="-2"/>
              </w:rPr>
              <w:t>26.9%</w:t>
            </w:r>
          </w:p>
        </w:tc>
        <w:tc>
          <w:tcPr>
            <w:tcW w:w="1728" w:type="dxa"/>
          </w:tcPr>
          <w:p w14:paraId="3624AA54" w14:textId="77777777" w:rsidR="001A77FC" w:rsidRPr="007915CE" w:rsidRDefault="001A77FC" w:rsidP="001A77FC">
            <w:pPr>
              <w:widowControl w:val="0"/>
              <w:autoSpaceDE w:val="0"/>
              <w:autoSpaceDN w:val="0"/>
              <w:spacing w:before="57" w:after="0" w:line="240" w:lineRule="auto"/>
              <w:ind w:left="413" w:right="317"/>
              <w:jc w:val="center"/>
              <w:rPr>
                <w:rFonts w:ascii="Times New Roman" w:eastAsia="Microsoft Sans Serif" w:hAnsi="Microsoft Sans Serif" w:cs="Microsoft Sans Serif"/>
              </w:rPr>
            </w:pPr>
            <w:r w:rsidRPr="007915CE">
              <w:rPr>
                <w:rFonts w:ascii="Times New Roman" w:eastAsia="Microsoft Sans Serif" w:hAnsi="Microsoft Sans Serif" w:cs="Microsoft Sans Serif"/>
                <w:spacing w:val="-4"/>
              </w:rPr>
              <w:t>$328</w:t>
            </w:r>
          </w:p>
        </w:tc>
      </w:tr>
      <w:tr w:rsidR="007915CE" w:rsidRPr="007915CE" w14:paraId="7A6BF46E" w14:textId="77777777" w:rsidTr="00DB41F4">
        <w:trPr>
          <w:cantSplit/>
          <w:trHeight w:val="355"/>
        </w:trPr>
        <w:tc>
          <w:tcPr>
            <w:tcW w:w="2787" w:type="dxa"/>
          </w:tcPr>
          <w:p w14:paraId="2585903F" w14:textId="77777777" w:rsidR="001A77FC" w:rsidRPr="007915CE" w:rsidRDefault="001A77FC" w:rsidP="001A77FC">
            <w:pPr>
              <w:widowControl w:val="0"/>
              <w:autoSpaceDE w:val="0"/>
              <w:autoSpaceDN w:val="0"/>
              <w:spacing w:before="55" w:after="0" w:line="240" w:lineRule="auto"/>
              <w:ind w:left="108"/>
              <w:rPr>
                <w:rFonts w:ascii="Times New Roman" w:eastAsia="Microsoft Sans Serif" w:hAnsi="Microsoft Sans Serif" w:cs="Microsoft Sans Serif"/>
              </w:rPr>
            </w:pPr>
            <w:r w:rsidRPr="007915CE">
              <w:rPr>
                <w:rFonts w:ascii="Times New Roman" w:eastAsia="Microsoft Sans Serif" w:hAnsi="Microsoft Sans Serif" w:cs="Microsoft Sans Serif"/>
                <w:spacing w:val="-2"/>
              </w:rPr>
              <w:t>Medicare</w:t>
            </w:r>
          </w:p>
        </w:tc>
        <w:tc>
          <w:tcPr>
            <w:tcW w:w="1408" w:type="dxa"/>
          </w:tcPr>
          <w:p w14:paraId="0FFB9915" w14:textId="77777777" w:rsidR="001A77FC" w:rsidRPr="007915CE" w:rsidRDefault="001A77FC" w:rsidP="001A77FC">
            <w:pPr>
              <w:widowControl w:val="0"/>
              <w:autoSpaceDE w:val="0"/>
              <w:autoSpaceDN w:val="0"/>
              <w:spacing w:before="55" w:after="0" w:line="240" w:lineRule="auto"/>
              <w:ind w:right="647"/>
              <w:jc w:val="right"/>
              <w:rPr>
                <w:rFonts w:ascii="Times New Roman" w:eastAsia="Microsoft Sans Serif" w:hAnsi="Microsoft Sans Serif" w:cs="Microsoft Sans Serif"/>
              </w:rPr>
            </w:pPr>
            <w:r w:rsidRPr="007915CE">
              <w:rPr>
                <w:rFonts w:ascii="Times New Roman" w:eastAsia="Microsoft Sans Serif" w:hAnsi="Microsoft Sans Serif" w:cs="Microsoft Sans Serif"/>
                <w:spacing w:val="-5"/>
              </w:rPr>
              <w:t>11</w:t>
            </w:r>
          </w:p>
        </w:tc>
        <w:tc>
          <w:tcPr>
            <w:tcW w:w="1748" w:type="dxa"/>
          </w:tcPr>
          <w:p w14:paraId="422C6616" w14:textId="77777777" w:rsidR="001A77FC" w:rsidRPr="007915CE" w:rsidRDefault="001A77FC" w:rsidP="001A77FC">
            <w:pPr>
              <w:widowControl w:val="0"/>
              <w:autoSpaceDE w:val="0"/>
              <w:autoSpaceDN w:val="0"/>
              <w:spacing w:before="55" w:after="0" w:line="240" w:lineRule="auto"/>
              <w:ind w:left="665"/>
              <w:rPr>
                <w:rFonts w:ascii="Times New Roman" w:eastAsia="Microsoft Sans Serif" w:hAnsi="Microsoft Sans Serif" w:cs="Microsoft Sans Serif"/>
              </w:rPr>
            </w:pPr>
            <w:r w:rsidRPr="007915CE">
              <w:rPr>
                <w:rFonts w:ascii="Times New Roman" w:eastAsia="Microsoft Sans Serif" w:hAnsi="Microsoft Sans Serif" w:cs="Microsoft Sans Serif"/>
                <w:spacing w:val="-2"/>
              </w:rPr>
              <w:t>15.7%</w:t>
            </w:r>
          </w:p>
        </w:tc>
        <w:tc>
          <w:tcPr>
            <w:tcW w:w="1784" w:type="dxa"/>
          </w:tcPr>
          <w:p w14:paraId="3C554152" w14:textId="77777777" w:rsidR="001A77FC" w:rsidRPr="007915CE" w:rsidRDefault="001A77FC" w:rsidP="001A77FC">
            <w:pPr>
              <w:widowControl w:val="0"/>
              <w:autoSpaceDE w:val="0"/>
              <w:autoSpaceDN w:val="0"/>
              <w:spacing w:before="55" w:after="0" w:line="240" w:lineRule="auto"/>
              <w:ind w:right="493"/>
              <w:jc w:val="right"/>
              <w:rPr>
                <w:rFonts w:ascii="Times New Roman" w:eastAsia="Microsoft Sans Serif" w:hAnsi="Microsoft Sans Serif" w:cs="Microsoft Sans Serif"/>
              </w:rPr>
            </w:pPr>
            <w:r w:rsidRPr="007915CE">
              <w:rPr>
                <w:rFonts w:ascii="Times New Roman" w:eastAsia="Microsoft Sans Serif" w:hAnsi="Microsoft Sans Serif" w:cs="Microsoft Sans Serif"/>
                <w:spacing w:val="-2"/>
              </w:rPr>
              <w:t>17.4%</w:t>
            </w:r>
          </w:p>
        </w:tc>
        <w:tc>
          <w:tcPr>
            <w:tcW w:w="1728" w:type="dxa"/>
          </w:tcPr>
          <w:p w14:paraId="2DB7ACC6" w14:textId="77777777" w:rsidR="001A77FC" w:rsidRPr="007915CE" w:rsidRDefault="001A77FC" w:rsidP="001A77FC">
            <w:pPr>
              <w:widowControl w:val="0"/>
              <w:autoSpaceDE w:val="0"/>
              <w:autoSpaceDN w:val="0"/>
              <w:spacing w:before="55" w:after="0" w:line="240" w:lineRule="auto"/>
              <w:ind w:left="413" w:right="317"/>
              <w:jc w:val="center"/>
              <w:rPr>
                <w:rFonts w:ascii="Times New Roman" w:eastAsia="Microsoft Sans Serif" w:hAnsi="Microsoft Sans Serif" w:cs="Microsoft Sans Serif"/>
              </w:rPr>
            </w:pPr>
            <w:r w:rsidRPr="007915CE">
              <w:rPr>
                <w:rFonts w:ascii="Times New Roman" w:eastAsia="Microsoft Sans Serif" w:hAnsi="Microsoft Sans Serif" w:cs="Microsoft Sans Serif"/>
                <w:spacing w:val="-4"/>
              </w:rPr>
              <w:t>$690</w:t>
            </w:r>
          </w:p>
        </w:tc>
      </w:tr>
      <w:tr w:rsidR="007915CE" w:rsidRPr="007915CE" w14:paraId="34BAC012" w14:textId="77777777" w:rsidTr="00DB41F4">
        <w:trPr>
          <w:cantSplit/>
          <w:trHeight w:val="351"/>
        </w:trPr>
        <w:tc>
          <w:tcPr>
            <w:tcW w:w="2787" w:type="dxa"/>
            <w:tcBorders>
              <w:bottom w:val="single" w:sz="12" w:space="0" w:color="000000"/>
            </w:tcBorders>
          </w:tcPr>
          <w:p w14:paraId="1A8D0B43" w14:textId="77777777" w:rsidR="001A77FC" w:rsidRPr="007915CE" w:rsidRDefault="001A77FC" w:rsidP="001A77FC">
            <w:pPr>
              <w:widowControl w:val="0"/>
              <w:autoSpaceDE w:val="0"/>
              <w:autoSpaceDN w:val="0"/>
              <w:spacing w:before="55" w:after="0" w:line="240" w:lineRule="auto"/>
              <w:ind w:left="108"/>
              <w:rPr>
                <w:rFonts w:ascii="Times New Roman" w:eastAsia="Microsoft Sans Serif" w:hAnsi="Microsoft Sans Serif" w:cs="Microsoft Sans Serif"/>
              </w:rPr>
            </w:pPr>
            <w:r w:rsidRPr="007915CE">
              <w:rPr>
                <w:rFonts w:ascii="Times New Roman" w:eastAsia="Microsoft Sans Serif" w:hAnsi="Microsoft Sans Serif" w:cs="Microsoft Sans Serif"/>
                <w:spacing w:val="-2"/>
              </w:rPr>
              <w:t>Managed</w:t>
            </w:r>
            <w:r w:rsidRPr="007915CE">
              <w:rPr>
                <w:rFonts w:ascii="Times New Roman" w:eastAsia="Microsoft Sans Serif" w:hAnsi="Microsoft Sans Serif" w:cs="Microsoft Sans Serif"/>
                <w:spacing w:val="-5"/>
              </w:rPr>
              <w:t xml:space="preserve"> </w:t>
            </w:r>
            <w:r w:rsidRPr="007915CE">
              <w:rPr>
                <w:rFonts w:ascii="Times New Roman" w:eastAsia="Microsoft Sans Serif" w:hAnsi="Microsoft Sans Serif" w:cs="Microsoft Sans Serif"/>
                <w:spacing w:val="-2"/>
              </w:rPr>
              <w:t>Medicare</w:t>
            </w:r>
          </w:p>
        </w:tc>
        <w:tc>
          <w:tcPr>
            <w:tcW w:w="1408" w:type="dxa"/>
            <w:tcBorders>
              <w:bottom w:val="single" w:sz="12" w:space="0" w:color="000000"/>
            </w:tcBorders>
          </w:tcPr>
          <w:p w14:paraId="2FF5C103" w14:textId="77777777" w:rsidR="001A77FC" w:rsidRPr="007915CE" w:rsidRDefault="001A77FC" w:rsidP="001A77FC">
            <w:pPr>
              <w:widowControl w:val="0"/>
              <w:autoSpaceDE w:val="0"/>
              <w:autoSpaceDN w:val="0"/>
              <w:spacing w:before="38" w:after="0" w:line="240" w:lineRule="auto"/>
              <w:ind w:right="645"/>
              <w:jc w:val="right"/>
              <w:rPr>
                <w:rFonts w:ascii="Times New Roman" w:eastAsia="Microsoft Sans Serif" w:hAnsi="Microsoft Sans Serif" w:cs="Microsoft Sans Serif"/>
              </w:rPr>
            </w:pPr>
            <w:r w:rsidRPr="007915CE">
              <w:rPr>
                <w:rFonts w:ascii="Times New Roman" w:eastAsia="Microsoft Sans Serif" w:hAnsi="Microsoft Sans Serif" w:cs="Microsoft Sans Serif"/>
              </w:rPr>
              <w:t>3</w:t>
            </w:r>
          </w:p>
        </w:tc>
        <w:tc>
          <w:tcPr>
            <w:tcW w:w="1748" w:type="dxa"/>
            <w:tcBorders>
              <w:bottom w:val="single" w:sz="12" w:space="0" w:color="000000"/>
            </w:tcBorders>
          </w:tcPr>
          <w:p w14:paraId="01FA685C" w14:textId="77777777" w:rsidR="001A77FC" w:rsidRPr="007915CE" w:rsidRDefault="001A77FC" w:rsidP="001A77FC">
            <w:pPr>
              <w:widowControl w:val="0"/>
              <w:autoSpaceDE w:val="0"/>
              <w:autoSpaceDN w:val="0"/>
              <w:spacing w:before="38" w:after="0" w:line="240" w:lineRule="auto"/>
              <w:ind w:left="739"/>
              <w:rPr>
                <w:rFonts w:ascii="Times New Roman" w:eastAsia="Microsoft Sans Serif" w:hAnsi="Microsoft Sans Serif" w:cs="Microsoft Sans Serif"/>
              </w:rPr>
            </w:pPr>
            <w:r w:rsidRPr="007915CE">
              <w:rPr>
                <w:rFonts w:ascii="Times New Roman" w:eastAsia="Microsoft Sans Serif" w:hAnsi="Microsoft Sans Serif" w:cs="Microsoft Sans Serif"/>
                <w:spacing w:val="-4"/>
              </w:rPr>
              <w:t>4.3%</w:t>
            </w:r>
          </w:p>
        </w:tc>
        <w:tc>
          <w:tcPr>
            <w:tcW w:w="1784" w:type="dxa"/>
            <w:tcBorders>
              <w:bottom w:val="single" w:sz="12" w:space="0" w:color="000000"/>
            </w:tcBorders>
          </w:tcPr>
          <w:p w14:paraId="7E8243D8" w14:textId="77777777" w:rsidR="001A77FC" w:rsidRPr="007915CE" w:rsidRDefault="001A77FC" w:rsidP="001A77FC">
            <w:pPr>
              <w:widowControl w:val="0"/>
              <w:autoSpaceDE w:val="0"/>
              <w:autoSpaceDN w:val="0"/>
              <w:spacing w:before="38" w:after="0" w:line="240" w:lineRule="auto"/>
              <w:ind w:right="505"/>
              <w:jc w:val="right"/>
              <w:rPr>
                <w:rFonts w:ascii="Times New Roman" w:eastAsia="Microsoft Sans Serif" w:hAnsi="Microsoft Sans Serif" w:cs="Microsoft Sans Serif"/>
              </w:rPr>
            </w:pPr>
            <w:r w:rsidRPr="007915CE">
              <w:rPr>
                <w:rFonts w:ascii="Times New Roman" w:eastAsia="Microsoft Sans Serif" w:hAnsi="Microsoft Sans Serif" w:cs="Microsoft Sans Serif"/>
                <w:spacing w:val="-4"/>
              </w:rPr>
              <w:t>6.5%</w:t>
            </w:r>
          </w:p>
        </w:tc>
        <w:tc>
          <w:tcPr>
            <w:tcW w:w="1728" w:type="dxa"/>
            <w:tcBorders>
              <w:bottom w:val="single" w:sz="12" w:space="0" w:color="000000"/>
            </w:tcBorders>
          </w:tcPr>
          <w:p w14:paraId="6671BF0A" w14:textId="77777777" w:rsidR="001A77FC" w:rsidRPr="007915CE" w:rsidRDefault="001A77FC" w:rsidP="001A77FC">
            <w:pPr>
              <w:widowControl w:val="0"/>
              <w:autoSpaceDE w:val="0"/>
              <w:autoSpaceDN w:val="0"/>
              <w:spacing w:before="38" w:after="0" w:line="240" w:lineRule="auto"/>
              <w:ind w:left="413" w:right="312"/>
              <w:jc w:val="center"/>
              <w:rPr>
                <w:rFonts w:ascii="Times New Roman" w:eastAsia="Microsoft Sans Serif" w:hAnsi="Microsoft Sans Serif" w:cs="Microsoft Sans Serif"/>
              </w:rPr>
            </w:pPr>
            <w:r w:rsidRPr="007915CE">
              <w:rPr>
                <w:rFonts w:ascii="Times New Roman" w:eastAsia="Microsoft Sans Serif" w:hAnsi="Microsoft Sans Serif" w:cs="Microsoft Sans Serif"/>
                <w:spacing w:val="-4"/>
              </w:rPr>
              <w:t>$500</w:t>
            </w:r>
          </w:p>
        </w:tc>
      </w:tr>
      <w:tr w:rsidR="007915CE" w:rsidRPr="007915CE" w14:paraId="793F17AD" w14:textId="77777777" w:rsidTr="00DB41F4">
        <w:trPr>
          <w:cantSplit/>
          <w:trHeight w:val="373"/>
        </w:trPr>
        <w:tc>
          <w:tcPr>
            <w:tcW w:w="2787" w:type="dxa"/>
            <w:tcBorders>
              <w:top w:val="single" w:sz="12" w:space="0" w:color="000000"/>
              <w:bottom w:val="single" w:sz="12" w:space="0" w:color="000000"/>
            </w:tcBorders>
          </w:tcPr>
          <w:p w14:paraId="7B67396B" w14:textId="77777777" w:rsidR="001A77FC" w:rsidRPr="007915CE" w:rsidRDefault="001A77FC" w:rsidP="001A77FC">
            <w:pPr>
              <w:widowControl w:val="0"/>
              <w:autoSpaceDE w:val="0"/>
              <w:autoSpaceDN w:val="0"/>
              <w:spacing w:before="118" w:after="0" w:line="235" w:lineRule="exact"/>
              <w:ind w:left="108"/>
              <w:rPr>
                <w:rFonts w:ascii="Times New Roman" w:eastAsia="Microsoft Sans Serif" w:hAnsi="Microsoft Sans Serif" w:cs="Microsoft Sans Serif"/>
              </w:rPr>
            </w:pPr>
            <w:r w:rsidRPr="007915CE">
              <w:rPr>
                <w:rFonts w:ascii="Times New Roman" w:eastAsia="Microsoft Sans Serif" w:hAnsi="Microsoft Sans Serif" w:cs="Microsoft Sans Serif"/>
                <w:spacing w:val="-2"/>
              </w:rPr>
              <w:t>Total/Weighted</w:t>
            </w:r>
            <w:r w:rsidRPr="007915CE">
              <w:rPr>
                <w:rFonts w:ascii="Times New Roman" w:eastAsia="Microsoft Sans Serif" w:hAnsi="Microsoft Sans Serif" w:cs="Microsoft Sans Serif"/>
                <w:spacing w:val="-10"/>
              </w:rPr>
              <w:t xml:space="preserve"> </w:t>
            </w:r>
            <w:r w:rsidRPr="007915CE">
              <w:rPr>
                <w:rFonts w:ascii="Times New Roman" w:eastAsia="Microsoft Sans Serif" w:hAnsi="Microsoft Sans Serif" w:cs="Microsoft Sans Serif"/>
                <w:spacing w:val="-2"/>
              </w:rPr>
              <w:t>Average</w:t>
            </w:r>
          </w:p>
        </w:tc>
        <w:tc>
          <w:tcPr>
            <w:tcW w:w="1408" w:type="dxa"/>
            <w:tcBorders>
              <w:top w:val="single" w:sz="12" w:space="0" w:color="000000"/>
              <w:bottom w:val="single" w:sz="12" w:space="0" w:color="000000"/>
            </w:tcBorders>
          </w:tcPr>
          <w:p w14:paraId="4212B7A1" w14:textId="77777777" w:rsidR="001A77FC" w:rsidRPr="007915CE" w:rsidRDefault="001A77FC" w:rsidP="001A77FC">
            <w:pPr>
              <w:widowControl w:val="0"/>
              <w:autoSpaceDE w:val="0"/>
              <w:autoSpaceDN w:val="0"/>
              <w:spacing w:before="63" w:after="0" w:line="240" w:lineRule="auto"/>
              <w:ind w:right="647"/>
              <w:jc w:val="right"/>
              <w:rPr>
                <w:rFonts w:ascii="Times New Roman" w:eastAsia="Microsoft Sans Serif" w:hAnsi="Microsoft Sans Serif" w:cs="Microsoft Sans Serif"/>
              </w:rPr>
            </w:pPr>
            <w:r w:rsidRPr="007915CE">
              <w:rPr>
                <w:rFonts w:ascii="Times New Roman" w:eastAsia="Microsoft Sans Serif" w:hAnsi="Microsoft Sans Serif" w:cs="Microsoft Sans Serif"/>
                <w:spacing w:val="-5"/>
              </w:rPr>
              <w:t>70</w:t>
            </w:r>
          </w:p>
        </w:tc>
        <w:tc>
          <w:tcPr>
            <w:tcW w:w="1748" w:type="dxa"/>
            <w:tcBorders>
              <w:top w:val="single" w:sz="12" w:space="0" w:color="000000"/>
              <w:bottom w:val="single" w:sz="12" w:space="0" w:color="000000"/>
            </w:tcBorders>
          </w:tcPr>
          <w:p w14:paraId="631B7BC5" w14:textId="77777777" w:rsidR="001A77FC" w:rsidRPr="007915CE" w:rsidRDefault="001A77FC" w:rsidP="001A77FC">
            <w:pPr>
              <w:widowControl w:val="0"/>
              <w:autoSpaceDE w:val="0"/>
              <w:autoSpaceDN w:val="0"/>
              <w:spacing w:before="63" w:after="0" w:line="240" w:lineRule="auto"/>
              <w:ind w:left="617"/>
              <w:rPr>
                <w:rFonts w:ascii="Times New Roman" w:eastAsia="Microsoft Sans Serif" w:hAnsi="Microsoft Sans Serif" w:cs="Microsoft Sans Serif"/>
              </w:rPr>
            </w:pPr>
            <w:r w:rsidRPr="007915CE">
              <w:rPr>
                <w:rFonts w:ascii="Times New Roman" w:eastAsia="Microsoft Sans Serif" w:hAnsi="Microsoft Sans Serif" w:cs="Microsoft Sans Serif"/>
                <w:spacing w:val="-2"/>
              </w:rPr>
              <w:t>100.0%</w:t>
            </w:r>
          </w:p>
        </w:tc>
        <w:tc>
          <w:tcPr>
            <w:tcW w:w="1784" w:type="dxa"/>
            <w:tcBorders>
              <w:top w:val="single" w:sz="12" w:space="0" w:color="000000"/>
              <w:bottom w:val="single" w:sz="12" w:space="0" w:color="000000"/>
            </w:tcBorders>
          </w:tcPr>
          <w:p w14:paraId="30681E11" w14:textId="77777777" w:rsidR="001A77FC" w:rsidRPr="007915CE" w:rsidRDefault="001A77FC" w:rsidP="001A77FC">
            <w:pPr>
              <w:widowControl w:val="0"/>
              <w:autoSpaceDE w:val="0"/>
              <w:autoSpaceDN w:val="0"/>
              <w:spacing w:before="63" w:after="0" w:line="240" w:lineRule="auto"/>
              <w:ind w:right="426"/>
              <w:jc w:val="right"/>
              <w:rPr>
                <w:rFonts w:ascii="Times New Roman" w:eastAsia="Microsoft Sans Serif" w:hAnsi="Microsoft Sans Serif" w:cs="Microsoft Sans Serif"/>
              </w:rPr>
            </w:pPr>
            <w:r w:rsidRPr="007915CE">
              <w:rPr>
                <w:rFonts w:ascii="Times New Roman" w:eastAsia="Microsoft Sans Serif" w:hAnsi="Microsoft Sans Serif" w:cs="Microsoft Sans Serif"/>
                <w:spacing w:val="-2"/>
              </w:rPr>
              <w:t>100.0%</w:t>
            </w:r>
          </w:p>
        </w:tc>
        <w:tc>
          <w:tcPr>
            <w:tcW w:w="1728" w:type="dxa"/>
            <w:tcBorders>
              <w:top w:val="single" w:sz="12" w:space="0" w:color="000000"/>
              <w:bottom w:val="single" w:sz="12" w:space="0" w:color="000000"/>
            </w:tcBorders>
          </w:tcPr>
          <w:p w14:paraId="2556426D" w14:textId="77777777" w:rsidR="001A77FC" w:rsidRPr="007915CE" w:rsidRDefault="001A77FC" w:rsidP="001A77FC">
            <w:pPr>
              <w:widowControl w:val="0"/>
              <w:autoSpaceDE w:val="0"/>
              <w:autoSpaceDN w:val="0"/>
              <w:spacing w:before="63" w:after="0" w:line="240" w:lineRule="auto"/>
              <w:ind w:left="413" w:right="317"/>
              <w:jc w:val="center"/>
              <w:rPr>
                <w:rFonts w:ascii="Times New Roman" w:eastAsia="Microsoft Sans Serif" w:hAnsi="Microsoft Sans Serif" w:cs="Microsoft Sans Serif"/>
              </w:rPr>
            </w:pPr>
            <w:r w:rsidRPr="007915CE">
              <w:rPr>
                <w:rFonts w:ascii="Times New Roman" w:eastAsia="Microsoft Sans Serif" w:hAnsi="Microsoft Sans Serif" w:cs="Microsoft Sans Serif"/>
                <w:spacing w:val="-4"/>
              </w:rPr>
              <w:t>$493</w:t>
            </w:r>
          </w:p>
        </w:tc>
      </w:tr>
      <w:tr w:rsidR="001A77FC" w:rsidRPr="007915CE" w14:paraId="304406F2" w14:textId="77777777" w:rsidTr="00DB41F4">
        <w:trPr>
          <w:cantSplit/>
          <w:trHeight w:val="289"/>
        </w:trPr>
        <w:tc>
          <w:tcPr>
            <w:tcW w:w="2787" w:type="dxa"/>
            <w:tcBorders>
              <w:top w:val="single" w:sz="12" w:space="0" w:color="000000"/>
            </w:tcBorders>
          </w:tcPr>
          <w:p w14:paraId="047C3E03" w14:textId="77777777" w:rsidR="001A77FC" w:rsidRPr="007915CE" w:rsidRDefault="001A77FC" w:rsidP="001A77FC">
            <w:pPr>
              <w:widowControl w:val="0"/>
              <w:autoSpaceDE w:val="0"/>
              <w:autoSpaceDN w:val="0"/>
              <w:spacing w:before="60" w:after="0" w:line="210" w:lineRule="exact"/>
              <w:ind w:left="108"/>
              <w:rPr>
                <w:rFonts w:ascii="Times New Roman" w:eastAsia="Microsoft Sans Serif" w:hAnsi="Microsoft Sans Serif" w:cs="Microsoft Sans Serif"/>
                <w:sz w:val="20"/>
              </w:rPr>
            </w:pPr>
            <w:r w:rsidRPr="007915CE">
              <w:rPr>
                <w:rFonts w:ascii="Times New Roman" w:eastAsia="Microsoft Sans Serif" w:hAnsi="Microsoft Sans Serif" w:cs="Microsoft Sans Serif"/>
                <w:sz w:val="20"/>
              </w:rPr>
              <w:t>Source:</w:t>
            </w:r>
            <w:r w:rsidRPr="007915CE">
              <w:rPr>
                <w:rFonts w:ascii="Times New Roman" w:eastAsia="Microsoft Sans Serif" w:hAnsi="Microsoft Sans Serif" w:cs="Microsoft Sans Serif"/>
                <w:spacing w:val="44"/>
                <w:sz w:val="20"/>
              </w:rPr>
              <w:t xml:space="preserve"> </w:t>
            </w:r>
            <w:r w:rsidRPr="007915CE">
              <w:rPr>
                <w:rFonts w:ascii="Times New Roman" w:eastAsia="Microsoft Sans Serif" w:hAnsi="Microsoft Sans Serif" w:cs="Microsoft Sans Serif"/>
                <w:spacing w:val="-2"/>
                <w:sz w:val="20"/>
              </w:rPr>
              <w:t>Management</w:t>
            </w:r>
          </w:p>
        </w:tc>
        <w:tc>
          <w:tcPr>
            <w:tcW w:w="1408" w:type="dxa"/>
            <w:tcBorders>
              <w:top w:val="single" w:sz="12" w:space="0" w:color="000000"/>
            </w:tcBorders>
          </w:tcPr>
          <w:p w14:paraId="2D63BDCD" w14:textId="77777777" w:rsidR="001A77FC" w:rsidRPr="007915CE" w:rsidRDefault="001A77FC" w:rsidP="001A77FC">
            <w:pPr>
              <w:widowControl w:val="0"/>
              <w:autoSpaceDE w:val="0"/>
              <w:autoSpaceDN w:val="0"/>
              <w:spacing w:after="0" w:line="240" w:lineRule="auto"/>
              <w:rPr>
                <w:rFonts w:ascii="Times New Roman" w:eastAsia="Microsoft Sans Serif" w:hAnsi="Microsoft Sans Serif" w:cs="Microsoft Sans Serif"/>
                <w:sz w:val="20"/>
              </w:rPr>
            </w:pPr>
          </w:p>
        </w:tc>
        <w:tc>
          <w:tcPr>
            <w:tcW w:w="1748" w:type="dxa"/>
            <w:tcBorders>
              <w:top w:val="single" w:sz="12" w:space="0" w:color="000000"/>
            </w:tcBorders>
          </w:tcPr>
          <w:p w14:paraId="66752A9A" w14:textId="77777777" w:rsidR="001A77FC" w:rsidRPr="007915CE" w:rsidRDefault="001A77FC" w:rsidP="001A77FC">
            <w:pPr>
              <w:widowControl w:val="0"/>
              <w:autoSpaceDE w:val="0"/>
              <w:autoSpaceDN w:val="0"/>
              <w:spacing w:after="0" w:line="240" w:lineRule="auto"/>
              <w:rPr>
                <w:rFonts w:ascii="Times New Roman" w:eastAsia="Microsoft Sans Serif" w:hAnsi="Microsoft Sans Serif" w:cs="Microsoft Sans Serif"/>
                <w:sz w:val="20"/>
              </w:rPr>
            </w:pPr>
          </w:p>
        </w:tc>
        <w:tc>
          <w:tcPr>
            <w:tcW w:w="1784" w:type="dxa"/>
            <w:tcBorders>
              <w:top w:val="single" w:sz="12" w:space="0" w:color="000000"/>
            </w:tcBorders>
          </w:tcPr>
          <w:p w14:paraId="37F03A93" w14:textId="77777777" w:rsidR="001A77FC" w:rsidRPr="007915CE" w:rsidRDefault="001A77FC" w:rsidP="001A77FC">
            <w:pPr>
              <w:widowControl w:val="0"/>
              <w:autoSpaceDE w:val="0"/>
              <w:autoSpaceDN w:val="0"/>
              <w:spacing w:after="0" w:line="240" w:lineRule="auto"/>
              <w:rPr>
                <w:rFonts w:ascii="Times New Roman" w:eastAsia="Microsoft Sans Serif" w:hAnsi="Microsoft Sans Serif" w:cs="Microsoft Sans Serif"/>
                <w:sz w:val="20"/>
              </w:rPr>
            </w:pPr>
          </w:p>
        </w:tc>
        <w:tc>
          <w:tcPr>
            <w:tcW w:w="1728" w:type="dxa"/>
            <w:tcBorders>
              <w:top w:val="single" w:sz="12" w:space="0" w:color="000000"/>
            </w:tcBorders>
          </w:tcPr>
          <w:p w14:paraId="1603F112" w14:textId="77777777" w:rsidR="001A77FC" w:rsidRPr="007915CE" w:rsidRDefault="001A77FC" w:rsidP="001A77FC">
            <w:pPr>
              <w:widowControl w:val="0"/>
              <w:autoSpaceDE w:val="0"/>
              <w:autoSpaceDN w:val="0"/>
              <w:spacing w:after="0" w:line="240" w:lineRule="auto"/>
              <w:rPr>
                <w:rFonts w:ascii="Times New Roman" w:eastAsia="Microsoft Sans Serif" w:hAnsi="Microsoft Sans Serif" w:cs="Microsoft Sans Serif"/>
                <w:sz w:val="20"/>
              </w:rPr>
            </w:pPr>
          </w:p>
        </w:tc>
      </w:tr>
    </w:tbl>
    <w:p w14:paraId="38847F38" w14:textId="760CB806" w:rsidR="001A77FC" w:rsidRPr="007915CE" w:rsidRDefault="001A77FC" w:rsidP="00853112">
      <w:pPr>
        <w:spacing w:line="240" w:lineRule="auto"/>
        <w:rPr>
          <w:rFonts w:cstheme="minorHAnsi"/>
          <w:sz w:val="24"/>
          <w:szCs w:val="24"/>
        </w:rPr>
      </w:pPr>
    </w:p>
    <w:p w14:paraId="60FCB337" w14:textId="2C1BD0DC" w:rsidR="000F4F75" w:rsidRPr="007915CE" w:rsidRDefault="000F4F75" w:rsidP="00DB41F4">
      <w:pPr>
        <w:spacing w:line="240" w:lineRule="auto"/>
        <w:rPr>
          <w:rFonts w:cstheme="minorHAnsi"/>
          <w:bCs/>
          <w:sz w:val="24"/>
          <w:szCs w:val="24"/>
          <w:u w:val="single"/>
        </w:rPr>
      </w:pPr>
      <w:r w:rsidRPr="007915CE">
        <w:rPr>
          <w:rFonts w:ascii="Times New Roman" w:eastAsia="Times New Roman" w:hAnsi="Times New Roman" w:cs="Times New Roman"/>
          <w:bCs/>
          <w:sz w:val="24"/>
          <w:u w:val="single"/>
        </w:rPr>
        <w:t>Table C: Payor</w:t>
      </w:r>
      <w:r w:rsidRPr="007915CE">
        <w:rPr>
          <w:rFonts w:ascii="Times New Roman" w:eastAsia="Times New Roman" w:hAnsi="Times New Roman" w:cs="Times New Roman"/>
          <w:bCs/>
          <w:spacing w:val="-4"/>
          <w:sz w:val="24"/>
          <w:u w:val="single"/>
        </w:rPr>
        <w:t xml:space="preserve"> </w:t>
      </w:r>
      <w:r w:rsidRPr="007915CE">
        <w:rPr>
          <w:rFonts w:ascii="Times New Roman" w:eastAsia="Times New Roman" w:hAnsi="Times New Roman" w:cs="Times New Roman"/>
          <w:bCs/>
          <w:sz w:val="24"/>
          <w:u w:val="single"/>
        </w:rPr>
        <w:t>Mix</w:t>
      </w:r>
      <w:r w:rsidRPr="007915CE">
        <w:rPr>
          <w:rFonts w:ascii="Times New Roman" w:eastAsia="Times New Roman" w:hAnsi="Times New Roman" w:cs="Times New Roman"/>
          <w:bCs/>
          <w:spacing w:val="-1"/>
          <w:sz w:val="24"/>
          <w:u w:val="single"/>
        </w:rPr>
        <w:t xml:space="preserve"> </w:t>
      </w:r>
      <w:r w:rsidRPr="007915CE">
        <w:rPr>
          <w:rFonts w:ascii="Times New Roman" w:eastAsia="Times New Roman" w:hAnsi="Times New Roman" w:cs="Times New Roman"/>
          <w:bCs/>
          <w:sz w:val="24"/>
          <w:u w:val="single"/>
        </w:rPr>
        <w:t>and Daily</w:t>
      </w:r>
      <w:r w:rsidRPr="007915CE">
        <w:rPr>
          <w:rFonts w:ascii="Times New Roman" w:eastAsia="Times New Roman" w:hAnsi="Times New Roman" w:cs="Times New Roman"/>
          <w:bCs/>
          <w:spacing w:val="-1"/>
          <w:sz w:val="24"/>
          <w:u w:val="single"/>
        </w:rPr>
        <w:t xml:space="preserve"> </w:t>
      </w:r>
      <w:r w:rsidRPr="007915CE">
        <w:rPr>
          <w:rFonts w:ascii="Times New Roman" w:eastAsia="Times New Roman" w:hAnsi="Times New Roman" w:cs="Times New Roman"/>
          <w:bCs/>
          <w:spacing w:val="-4"/>
          <w:sz w:val="24"/>
          <w:u w:val="single"/>
        </w:rPr>
        <w:t>Fees for 2019</w:t>
      </w:r>
    </w:p>
    <w:tbl>
      <w:tblPr>
        <w:tblW w:w="9455" w:type="dxa"/>
        <w:tblLayout w:type="fixed"/>
        <w:tblCellMar>
          <w:left w:w="0" w:type="dxa"/>
          <w:right w:w="0" w:type="dxa"/>
        </w:tblCellMar>
        <w:tblLook w:val="01E0" w:firstRow="1" w:lastRow="1" w:firstColumn="1" w:lastColumn="1" w:noHBand="0" w:noVBand="0"/>
      </w:tblPr>
      <w:tblGrid>
        <w:gridCol w:w="2787"/>
        <w:gridCol w:w="1408"/>
        <w:gridCol w:w="1748"/>
        <w:gridCol w:w="1784"/>
        <w:gridCol w:w="1728"/>
      </w:tblGrid>
      <w:tr w:rsidR="007915CE" w:rsidRPr="007915CE" w14:paraId="22008417" w14:textId="77777777" w:rsidTr="00DB41F4">
        <w:trPr>
          <w:cantSplit/>
          <w:trHeight w:val="767"/>
          <w:tblHeader/>
        </w:trPr>
        <w:tc>
          <w:tcPr>
            <w:tcW w:w="2787" w:type="dxa"/>
            <w:tcBorders>
              <w:top w:val="single" w:sz="12" w:space="0" w:color="000000"/>
              <w:bottom w:val="single" w:sz="4" w:space="0" w:color="000000"/>
            </w:tcBorders>
          </w:tcPr>
          <w:p w14:paraId="60CB6F89" w14:textId="77777777" w:rsidR="000F4F75" w:rsidRPr="007915CE" w:rsidRDefault="000F4F75" w:rsidP="00C561CF">
            <w:pPr>
              <w:widowControl w:val="0"/>
              <w:autoSpaceDE w:val="0"/>
              <w:autoSpaceDN w:val="0"/>
              <w:spacing w:after="0" w:line="240" w:lineRule="auto"/>
              <w:rPr>
                <w:rFonts w:ascii="Times New Roman" w:eastAsia="Microsoft Sans Serif" w:hAnsi="Microsoft Sans Serif" w:cs="Microsoft Sans Serif"/>
              </w:rPr>
            </w:pPr>
          </w:p>
        </w:tc>
        <w:tc>
          <w:tcPr>
            <w:tcW w:w="1408" w:type="dxa"/>
            <w:tcBorders>
              <w:top w:val="single" w:sz="12" w:space="0" w:color="000000"/>
              <w:bottom w:val="single" w:sz="4" w:space="0" w:color="000000"/>
            </w:tcBorders>
          </w:tcPr>
          <w:p w14:paraId="7782CC5C" w14:textId="77777777" w:rsidR="000F4F75" w:rsidRPr="007915CE" w:rsidRDefault="000F4F75" w:rsidP="00C561CF">
            <w:pPr>
              <w:widowControl w:val="0"/>
              <w:autoSpaceDE w:val="0"/>
              <w:autoSpaceDN w:val="0"/>
              <w:spacing w:before="130" w:after="0" w:line="240" w:lineRule="auto"/>
              <w:ind w:left="271" w:right="396" w:hanging="286"/>
              <w:rPr>
                <w:rFonts w:ascii="Times New Roman" w:eastAsia="Microsoft Sans Serif" w:hAnsi="Microsoft Sans Serif" w:cs="Microsoft Sans Serif"/>
                <w:b/>
              </w:rPr>
            </w:pPr>
            <w:r w:rsidRPr="007915CE">
              <w:rPr>
                <w:rFonts w:ascii="Times New Roman" w:eastAsia="Microsoft Sans Serif" w:hAnsi="Microsoft Sans Serif" w:cs="Microsoft Sans Serif"/>
                <w:b/>
              </w:rPr>
              <w:t>Number</w:t>
            </w:r>
            <w:r w:rsidRPr="007915CE">
              <w:rPr>
                <w:rFonts w:ascii="Times New Roman" w:eastAsia="Microsoft Sans Serif" w:hAnsi="Microsoft Sans Serif" w:cs="Microsoft Sans Serif"/>
                <w:b/>
                <w:spacing w:val="-14"/>
              </w:rPr>
              <w:t xml:space="preserve"> </w:t>
            </w:r>
            <w:r w:rsidRPr="007915CE">
              <w:rPr>
                <w:rFonts w:ascii="Times New Roman" w:eastAsia="Microsoft Sans Serif" w:hAnsi="Microsoft Sans Serif" w:cs="Microsoft Sans Serif"/>
                <w:b/>
              </w:rPr>
              <w:t xml:space="preserve">of </w:t>
            </w:r>
            <w:r w:rsidRPr="007915CE">
              <w:rPr>
                <w:rFonts w:ascii="Times New Roman" w:eastAsia="Microsoft Sans Serif" w:hAnsi="Microsoft Sans Serif" w:cs="Microsoft Sans Serif"/>
                <w:b/>
                <w:spacing w:val="-4"/>
              </w:rPr>
              <w:t>Beds</w:t>
            </w:r>
          </w:p>
        </w:tc>
        <w:tc>
          <w:tcPr>
            <w:tcW w:w="1748" w:type="dxa"/>
            <w:tcBorders>
              <w:top w:val="single" w:sz="12" w:space="0" w:color="000000"/>
              <w:bottom w:val="single" w:sz="4" w:space="0" w:color="000000"/>
            </w:tcBorders>
          </w:tcPr>
          <w:p w14:paraId="6FE6CD58" w14:textId="77777777" w:rsidR="000F4F75" w:rsidRPr="007915CE" w:rsidRDefault="000F4F75" w:rsidP="00C561CF">
            <w:pPr>
              <w:widowControl w:val="0"/>
              <w:autoSpaceDE w:val="0"/>
              <w:autoSpaceDN w:val="0"/>
              <w:spacing w:before="1" w:after="0" w:line="240" w:lineRule="auto"/>
              <w:rPr>
                <w:rFonts w:ascii="Times New Roman" w:eastAsia="Microsoft Sans Serif" w:hAnsi="Microsoft Sans Serif" w:cs="Microsoft Sans Serif"/>
              </w:rPr>
            </w:pPr>
          </w:p>
          <w:p w14:paraId="0460A6C7" w14:textId="77777777" w:rsidR="000F4F75" w:rsidRPr="007915CE" w:rsidRDefault="000F4F75" w:rsidP="00C561CF">
            <w:pPr>
              <w:widowControl w:val="0"/>
              <w:autoSpaceDE w:val="0"/>
              <w:autoSpaceDN w:val="0"/>
              <w:spacing w:before="1" w:after="0" w:line="240" w:lineRule="auto"/>
              <w:ind w:left="399"/>
              <w:rPr>
                <w:rFonts w:ascii="Times New Roman" w:eastAsia="Microsoft Sans Serif" w:hAnsi="Microsoft Sans Serif" w:cs="Microsoft Sans Serif"/>
                <w:b/>
              </w:rPr>
            </w:pPr>
            <w:r w:rsidRPr="007915CE">
              <w:rPr>
                <w:rFonts w:ascii="Times New Roman" w:eastAsia="Microsoft Sans Serif" w:hAnsi="Microsoft Sans Serif" w:cs="Microsoft Sans Serif"/>
                <w:b/>
              </w:rPr>
              <w:t>Bed</w:t>
            </w:r>
            <w:r w:rsidRPr="007915CE">
              <w:rPr>
                <w:rFonts w:ascii="Times New Roman" w:eastAsia="Microsoft Sans Serif" w:hAnsi="Microsoft Sans Serif" w:cs="Microsoft Sans Serif"/>
                <w:b/>
                <w:spacing w:val="-1"/>
              </w:rPr>
              <w:t xml:space="preserve"> </w:t>
            </w:r>
            <w:r w:rsidRPr="007915CE">
              <w:rPr>
                <w:rFonts w:ascii="Times New Roman" w:eastAsia="Microsoft Sans Serif" w:hAnsi="Microsoft Sans Serif" w:cs="Microsoft Sans Serif"/>
                <w:b/>
                <w:spacing w:val="-5"/>
              </w:rPr>
              <w:t>Mix</w:t>
            </w:r>
          </w:p>
        </w:tc>
        <w:tc>
          <w:tcPr>
            <w:tcW w:w="1784" w:type="dxa"/>
            <w:tcBorders>
              <w:top w:val="single" w:sz="12" w:space="0" w:color="000000"/>
              <w:bottom w:val="single" w:sz="4" w:space="0" w:color="000000"/>
            </w:tcBorders>
          </w:tcPr>
          <w:p w14:paraId="0AEAD2E0" w14:textId="77777777" w:rsidR="000F4F75" w:rsidRPr="007915CE" w:rsidRDefault="000F4F75" w:rsidP="00C561CF">
            <w:pPr>
              <w:widowControl w:val="0"/>
              <w:autoSpaceDE w:val="0"/>
              <w:autoSpaceDN w:val="0"/>
              <w:spacing w:before="130" w:after="0" w:line="240" w:lineRule="auto"/>
              <w:ind w:left="660" w:right="525" w:hanging="214"/>
              <w:rPr>
                <w:rFonts w:ascii="Times New Roman" w:eastAsia="Microsoft Sans Serif" w:hAnsi="Microsoft Sans Serif" w:cs="Microsoft Sans Serif"/>
                <w:b/>
              </w:rPr>
            </w:pPr>
            <w:r w:rsidRPr="007915CE">
              <w:rPr>
                <w:rFonts w:ascii="Times New Roman" w:eastAsia="Microsoft Sans Serif" w:hAnsi="Microsoft Sans Serif" w:cs="Microsoft Sans Serif"/>
                <w:b/>
                <w:spacing w:val="-2"/>
              </w:rPr>
              <w:t xml:space="preserve">Revenue </w:t>
            </w:r>
            <w:r w:rsidRPr="007915CE">
              <w:rPr>
                <w:rFonts w:ascii="Times New Roman" w:eastAsia="Microsoft Sans Serif" w:hAnsi="Microsoft Sans Serif" w:cs="Microsoft Sans Serif"/>
                <w:b/>
                <w:spacing w:val="-4"/>
              </w:rPr>
              <w:t>Mix</w:t>
            </w:r>
          </w:p>
        </w:tc>
        <w:tc>
          <w:tcPr>
            <w:tcW w:w="1728" w:type="dxa"/>
            <w:tcBorders>
              <w:top w:val="single" w:sz="12" w:space="0" w:color="000000"/>
              <w:bottom w:val="single" w:sz="4" w:space="0" w:color="000000"/>
            </w:tcBorders>
          </w:tcPr>
          <w:p w14:paraId="6DA87FCA" w14:textId="77777777" w:rsidR="000F4F75" w:rsidRPr="007915CE" w:rsidRDefault="000F4F75" w:rsidP="00C561CF">
            <w:pPr>
              <w:widowControl w:val="0"/>
              <w:autoSpaceDE w:val="0"/>
              <w:autoSpaceDN w:val="0"/>
              <w:spacing w:before="1" w:after="0" w:line="240" w:lineRule="auto"/>
              <w:rPr>
                <w:rFonts w:ascii="Times New Roman" w:eastAsia="Microsoft Sans Serif" w:hAnsi="Microsoft Sans Serif" w:cs="Microsoft Sans Serif"/>
              </w:rPr>
            </w:pPr>
          </w:p>
          <w:p w14:paraId="743B4CDC" w14:textId="77777777" w:rsidR="000F4F75" w:rsidRPr="007915CE" w:rsidRDefault="000F4F75" w:rsidP="00C561CF">
            <w:pPr>
              <w:widowControl w:val="0"/>
              <w:autoSpaceDE w:val="0"/>
              <w:autoSpaceDN w:val="0"/>
              <w:spacing w:before="1" w:after="0" w:line="240" w:lineRule="auto"/>
              <w:ind w:left="413" w:right="406"/>
              <w:jc w:val="center"/>
              <w:rPr>
                <w:rFonts w:ascii="Times New Roman" w:eastAsia="Microsoft Sans Serif" w:hAnsi="Microsoft Sans Serif" w:cs="Microsoft Sans Serif"/>
                <w:b/>
              </w:rPr>
            </w:pPr>
            <w:r w:rsidRPr="007915CE">
              <w:rPr>
                <w:rFonts w:ascii="Times New Roman" w:eastAsia="Microsoft Sans Serif" w:hAnsi="Microsoft Sans Serif" w:cs="Microsoft Sans Serif"/>
                <w:b/>
              </w:rPr>
              <w:t>Daily</w:t>
            </w:r>
            <w:r w:rsidRPr="007915CE">
              <w:rPr>
                <w:rFonts w:ascii="Times New Roman" w:eastAsia="Microsoft Sans Serif" w:hAnsi="Microsoft Sans Serif" w:cs="Microsoft Sans Serif"/>
                <w:b/>
                <w:spacing w:val="-2"/>
              </w:rPr>
              <w:t xml:space="preserve"> </w:t>
            </w:r>
            <w:r w:rsidRPr="007915CE">
              <w:rPr>
                <w:rFonts w:ascii="Times New Roman" w:eastAsia="Microsoft Sans Serif" w:hAnsi="Microsoft Sans Serif" w:cs="Microsoft Sans Serif"/>
                <w:b/>
                <w:spacing w:val="-5"/>
              </w:rPr>
              <w:t>Fee</w:t>
            </w:r>
          </w:p>
        </w:tc>
      </w:tr>
      <w:tr w:rsidR="007915CE" w:rsidRPr="007915CE" w14:paraId="4FE92139" w14:textId="77777777" w:rsidTr="00DB41F4">
        <w:trPr>
          <w:cantSplit/>
          <w:trHeight w:val="377"/>
        </w:trPr>
        <w:tc>
          <w:tcPr>
            <w:tcW w:w="2787" w:type="dxa"/>
            <w:tcBorders>
              <w:top w:val="single" w:sz="4" w:space="0" w:color="000000"/>
            </w:tcBorders>
          </w:tcPr>
          <w:p w14:paraId="08D83D0D" w14:textId="77777777" w:rsidR="00E21011" w:rsidRPr="007915CE" w:rsidRDefault="00E21011" w:rsidP="00E21011">
            <w:pPr>
              <w:widowControl w:val="0"/>
              <w:autoSpaceDE w:val="0"/>
              <w:autoSpaceDN w:val="0"/>
              <w:spacing w:before="61" w:after="0" w:line="240" w:lineRule="auto"/>
              <w:ind w:left="108"/>
              <w:rPr>
                <w:rFonts w:ascii="Times New Roman" w:eastAsia="Microsoft Sans Serif" w:hAnsi="Microsoft Sans Serif" w:cs="Microsoft Sans Serif"/>
              </w:rPr>
            </w:pPr>
            <w:r w:rsidRPr="007915CE">
              <w:rPr>
                <w:rFonts w:ascii="Times New Roman" w:eastAsia="Microsoft Sans Serif" w:hAnsi="Microsoft Sans Serif" w:cs="Microsoft Sans Serif"/>
                <w:spacing w:val="-2"/>
              </w:rPr>
              <w:t>Private</w:t>
            </w:r>
          </w:p>
        </w:tc>
        <w:tc>
          <w:tcPr>
            <w:tcW w:w="1408" w:type="dxa"/>
            <w:tcBorders>
              <w:top w:val="single" w:sz="4" w:space="0" w:color="000000"/>
            </w:tcBorders>
          </w:tcPr>
          <w:p w14:paraId="6AAAD544" w14:textId="1075F5A2" w:rsidR="00E21011" w:rsidRPr="007915CE" w:rsidRDefault="00E21011" w:rsidP="00E21011">
            <w:pPr>
              <w:widowControl w:val="0"/>
              <w:autoSpaceDE w:val="0"/>
              <w:autoSpaceDN w:val="0"/>
              <w:spacing w:before="61" w:after="0" w:line="240" w:lineRule="auto"/>
              <w:ind w:right="647"/>
              <w:jc w:val="right"/>
              <w:rPr>
                <w:rFonts w:ascii="Times New Roman" w:eastAsia="Microsoft Sans Serif" w:hAnsi="Microsoft Sans Serif" w:cs="Microsoft Sans Serif"/>
              </w:rPr>
            </w:pPr>
            <w:r w:rsidRPr="007915CE">
              <w:rPr>
                <w:rFonts w:ascii="Times New Roman" w:eastAsia="Microsoft Sans Serif" w:hAnsi="Microsoft Sans Serif" w:cs="Microsoft Sans Serif"/>
              </w:rPr>
              <w:t>8</w:t>
            </w:r>
          </w:p>
        </w:tc>
        <w:tc>
          <w:tcPr>
            <w:tcW w:w="1748" w:type="dxa"/>
            <w:tcBorders>
              <w:top w:val="single" w:sz="4" w:space="0" w:color="000000"/>
            </w:tcBorders>
          </w:tcPr>
          <w:p w14:paraId="36C47EBA" w14:textId="185D07B1" w:rsidR="00E21011" w:rsidRPr="007915CE" w:rsidRDefault="00E21011" w:rsidP="00E21011">
            <w:pPr>
              <w:widowControl w:val="0"/>
              <w:autoSpaceDE w:val="0"/>
              <w:autoSpaceDN w:val="0"/>
              <w:spacing w:before="61" w:after="0" w:line="240" w:lineRule="auto"/>
              <w:ind w:left="665"/>
              <w:rPr>
                <w:rFonts w:ascii="Times New Roman" w:eastAsia="Microsoft Sans Serif" w:hAnsi="Microsoft Sans Serif" w:cs="Microsoft Sans Serif"/>
              </w:rPr>
            </w:pPr>
            <w:r w:rsidRPr="007915CE">
              <w:rPr>
                <w:rFonts w:ascii="Times New Roman" w:eastAsia="Microsoft Sans Serif" w:hAnsi="Microsoft Sans Serif" w:cs="Microsoft Sans Serif"/>
              </w:rPr>
              <w:t>14%</w:t>
            </w:r>
          </w:p>
        </w:tc>
        <w:tc>
          <w:tcPr>
            <w:tcW w:w="1784" w:type="dxa"/>
            <w:tcBorders>
              <w:top w:val="single" w:sz="4" w:space="0" w:color="000000"/>
            </w:tcBorders>
          </w:tcPr>
          <w:p w14:paraId="2B3E6410" w14:textId="43FCE1D9" w:rsidR="00E21011" w:rsidRPr="007915CE" w:rsidRDefault="00E21011" w:rsidP="00E21011">
            <w:pPr>
              <w:widowControl w:val="0"/>
              <w:autoSpaceDE w:val="0"/>
              <w:autoSpaceDN w:val="0"/>
              <w:spacing w:before="61" w:after="0" w:line="240" w:lineRule="auto"/>
              <w:ind w:right="493"/>
              <w:jc w:val="right"/>
              <w:rPr>
                <w:rFonts w:ascii="Times New Roman" w:eastAsia="Microsoft Sans Serif" w:hAnsi="Microsoft Sans Serif" w:cs="Microsoft Sans Serif"/>
              </w:rPr>
            </w:pPr>
            <w:r w:rsidRPr="007915CE">
              <w:rPr>
                <w:rFonts w:ascii="Times New Roman" w:eastAsia="Microsoft Sans Serif" w:hAnsi="Microsoft Sans Serif" w:cs="Microsoft Sans Serif"/>
              </w:rPr>
              <w:t>20%</w:t>
            </w:r>
          </w:p>
        </w:tc>
        <w:tc>
          <w:tcPr>
            <w:tcW w:w="1728" w:type="dxa"/>
            <w:tcBorders>
              <w:top w:val="single" w:sz="4" w:space="0" w:color="000000"/>
            </w:tcBorders>
          </w:tcPr>
          <w:p w14:paraId="13918006" w14:textId="577125C9" w:rsidR="00E21011" w:rsidRPr="007915CE" w:rsidRDefault="00E21011" w:rsidP="00E21011">
            <w:pPr>
              <w:widowControl w:val="0"/>
              <w:autoSpaceDE w:val="0"/>
              <w:autoSpaceDN w:val="0"/>
              <w:spacing w:before="61" w:after="0" w:line="240" w:lineRule="auto"/>
              <w:ind w:left="413" w:right="317"/>
              <w:jc w:val="center"/>
              <w:rPr>
                <w:rFonts w:ascii="Times New Roman" w:eastAsia="Microsoft Sans Serif" w:hAnsi="Microsoft Sans Serif" w:cs="Microsoft Sans Serif"/>
              </w:rPr>
            </w:pPr>
            <w:r w:rsidRPr="007915CE">
              <w:rPr>
                <w:rFonts w:ascii="Times New Roman" w:eastAsia="Microsoft Sans Serif" w:hAnsi="Microsoft Sans Serif" w:cs="Microsoft Sans Serif"/>
              </w:rPr>
              <w:t>$393</w:t>
            </w:r>
          </w:p>
        </w:tc>
      </w:tr>
      <w:tr w:rsidR="007915CE" w:rsidRPr="007915CE" w14:paraId="21E6D941" w14:textId="77777777" w:rsidTr="00DB41F4">
        <w:trPr>
          <w:cantSplit/>
          <w:trHeight w:val="374"/>
        </w:trPr>
        <w:tc>
          <w:tcPr>
            <w:tcW w:w="2787" w:type="dxa"/>
          </w:tcPr>
          <w:p w14:paraId="3DAC66A4" w14:textId="77777777" w:rsidR="00E21011" w:rsidRPr="007915CE" w:rsidRDefault="00E21011" w:rsidP="00E21011">
            <w:pPr>
              <w:widowControl w:val="0"/>
              <w:autoSpaceDE w:val="0"/>
              <w:autoSpaceDN w:val="0"/>
              <w:spacing w:before="55" w:after="0" w:line="240" w:lineRule="auto"/>
              <w:ind w:left="108"/>
              <w:rPr>
                <w:rFonts w:ascii="Times New Roman" w:eastAsia="Microsoft Sans Serif" w:hAnsi="Microsoft Sans Serif" w:cs="Microsoft Sans Serif"/>
                <w:highlight w:val="yellow"/>
              </w:rPr>
            </w:pPr>
            <w:r w:rsidRPr="007915CE">
              <w:rPr>
                <w:rFonts w:ascii="Times New Roman" w:eastAsia="Microsoft Sans Serif" w:hAnsi="Microsoft Sans Serif" w:cs="Microsoft Sans Serif"/>
                <w:spacing w:val="-2"/>
              </w:rPr>
              <w:lastRenderedPageBreak/>
              <w:t>Medicaid</w:t>
            </w:r>
          </w:p>
        </w:tc>
        <w:tc>
          <w:tcPr>
            <w:tcW w:w="1408" w:type="dxa"/>
          </w:tcPr>
          <w:p w14:paraId="19EA80BD" w14:textId="2AC375B3" w:rsidR="00E21011" w:rsidRPr="007915CE" w:rsidRDefault="00E21011" w:rsidP="00E21011">
            <w:pPr>
              <w:widowControl w:val="0"/>
              <w:autoSpaceDE w:val="0"/>
              <w:autoSpaceDN w:val="0"/>
              <w:spacing w:before="57" w:after="0" w:line="240" w:lineRule="auto"/>
              <w:ind w:right="647"/>
              <w:jc w:val="right"/>
              <w:rPr>
                <w:rFonts w:ascii="Times New Roman" w:eastAsia="Microsoft Sans Serif" w:hAnsi="Microsoft Sans Serif" w:cs="Microsoft Sans Serif"/>
                <w:highlight w:val="yellow"/>
              </w:rPr>
            </w:pPr>
            <w:r w:rsidRPr="007915CE">
              <w:rPr>
                <w:rFonts w:ascii="Times New Roman" w:eastAsia="Microsoft Sans Serif" w:hAnsi="Microsoft Sans Serif" w:cs="Microsoft Sans Serif"/>
              </w:rPr>
              <w:t>43</w:t>
            </w:r>
          </w:p>
        </w:tc>
        <w:tc>
          <w:tcPr>
            <w:tcW w:w="1748" w:type="dxa"/>
          </w:tcPr>
          <w:p w14:paraId="5459A05C" w14:textId="27871A29" w:rsidR="00E21011" w:rsidRPr="007915CE" w:rsidRDefault="00E21011" w:rsidP="00E21011">
            <w:pPr>
              <w:widowControl w:val="0"/>
              <w:autoSpaceDE w:val="0"/>
              <w:autoSpaceDN w:val="0"/>
              <w:spacing w:before="57" w:after="0" w:line="240" w:lineRule="auto"/>
              <w:ind w:left="665"/>
              <w:rPr>
                <w:rFonts w:ascii="Times New Roman" w:eastAsia="Microsoft Sans Serif" w:hAnsi="Microsoft Sans Serif" w:cs="Microsoft Sans Serif"/>
              </w:rPr>
            </w:pPr>
            <w:r w:rsidRPr="007915CE">
              <w:rPr>
                <w:rFonts w:ascii="Times New Roman" w:eastAsia="Microsoft Sans Serif" w:hAnsi="Microsoft Sans Serif" w:cs="Microsoft Sans Serif"/>
              </w:rPr>
              <w:t>83%</w:t>
            </w:r>
          </w:p>
        </w:tc>
        <w:tc>
          <w:tcPr>
            <w:tcW w:w="1784" w:type="dxa"/>
          </w:tcPr>
          <w:p w14:paraId="0D69D120" w14:textId="05037156" w:rsidR="00E21011" w:rsidRPr="007915CE" w:rsidRDefault="00E21011" w:rsidP="00E21011">
            <w:pPr>
              <w:widowControl w:val="0"/>
              <w:autoSpaceDE w:val="0"/>
              <w:autoSpaceDN w:val="0"/>
              <w:spacing w:before="57" w:after="0" w:line="240" w:lineRule="auto"/>
              <w:ind w:right="493"/>
              <w:jc w:val="right"/>
              <w:rPr>
                <w:rFonts w:ascii="Times New Roman" w:eastAsia="Microsoft Sans Serif" w:hAnsi="Microsoft Sans Serif" w:cs="Microsoft Sans Serif"/>
              </w:rPr>
            </w:pPr>
            <w:r w:rsidRPr="007915CE">
              <w:rPr>
                <w:rFonts w:ascii="Times New Roman" w:eastAsia="Microsoft Sans Serif" w:hAnsi="Microsoft Sans Serif" w:cs="Microsoft Sans Serif"/>
              </w:rPr>
              <w:t>73%</w:t>
            </w:r>
          </w:p>
        </w:tc>
        <w:tc>
          <w:tcPr>
            <w:tcW w:w="1728" w:type="dxa"/>
          </w:tcPr>
          <w:p w14:paraId="2F887B16" w14:textId="701FACEE" w:rsidR="00E21011" w:rsidRPr="007915CE" w:rsidRDefault="00E21011" w:rsidP="00E21011">
            <w:pPr>
              <w:widowControl w:val="0"/>
              <w:autoSpaceDE w:val="0"/>
              <w:autoSpaceDN w:val="0"/>
              <w:spacing w:before="57" w:after="0" w:line="240" w:lineRule="auto"/>
              <w:ind w:left="413" w:right="317"/>
              <w:jc w:val="center"/>
              <w:rPr>
                <w:rFonts w:ascii="Times New Roman" w:eastAsia="Microsoft Sans Serif" w:hAnsi="Microsoft Sans Serif" w:cs="Microsoft Sans Serif"/>
              </w:rPr>
            </w:pPr>
            <w:r w:rsidRPr="007915CE">
              <w:rPr>
                <w:rFonts w:ascii="Times New Roman" w:eastAsia="Microsoft Sans Serif" w:hAnsi="Microsoft Sans Serif" w:cs="Microsoft Sans Serif"/>
              </w:rPr>
              <w:t>$252</w:t>
            </w:r>
          </w:p>
        </w:tc>
      </w:tr>
      <w:tr w:rsidR="007915CE" w:rsidRPr="007915CE" w14:paraId="34BC388C" w14:textId="77777777" w:rsidTr="00DB41F4">
        <w:trPr>
          <w:cantSplit/>
          <w:trHeight w:val="355"/>
        </w:trPr>
        <w:tc>
          <w:tcPr>
            <w:tcW w:w="2787" w:type="dxa"/>
          </w:tcPr>
          <w:p w14:paraId="3029596C" w14:textId="77777777" w:rsidR="00E21011" w:rsidRPr="007915CE" w:rsidRDefault="00E21011" w:rsidP="00E21011">
            <w:pPr>
              <w:widowControl w:val="0"/>
              <w:autoSpaceDE w:val="0"/>
              <w:autoSpaceDN w:val="0"/>
              <w:spacing w:before="55" w:after="0" w:line="240" w:lineRule="auto"/>
              <w:ind w:left="108"/>
              <w:rPr>
                <w:rFonts w:ascii="Times New Roman" w:eastAsia="Microsoft Sans Serif" w:hAnsi="Microsoft Sans Serif" w:cs="Microsoft Sans Serif"/>
              </w:rPr>
            </w:pPr>
            <w:r w:rsidRPr="007915CE">
              <w:rPr>
                <w:rFonts w:ascii="Times New Roman" w:eastAsia="Microsoft Sans Serif" w:hAnsi="Microsoft Sans Serif" w:cs="Microsoft Sans Serif"/>
                <w:spacing w:val="-2"/>
              </w:rPr>
              <w:t>Medicare</w:t>
            </w:r>
          </w:p>
        </w:tc>
        <w:tc>
          <w:tcPr>
            <w:tcW w:w="1408" w:type="dxa"/>
          </w:tcPr>
          <w:p w14:paraId="3D5850A9" w14:textId="0A3A2B9D" w:rsidR="00E21011" w:rsidRPr="007915CE" w:rsidRDefault="00E21011" w:rsidP="00E21011">
            <w:pPr>
              <w:widowControl w:val="0"/>
              <w:autoSpaceDE w:val="0"/>
              <w:autoSpaceDN w:val="0"/>
              <w:spacing w:before="55" w:after="0" w:line="240" w:lineRule="auto"/>
              <w:ind w:right="647"/>
              <w:jc w:val="right"/>
              <w:rPr>
                <w:rFonts w:ascii="Times New Roman" w:eastAsia="Microsoft Sans Serif" w:hAnsi="Microsoft Sans Serif" w:cs="Microsoft Sans Serif"/>
              </w:rPr>
            </w:pPr>
            <w:r w:rsidRPr="007915CE">
              <w:rPr>
                <w:rFonts w:ascii="Times New Roman" w:eastAsia="Microsoft Sans Serif" w:hAnsi="Microsoft Sans Serif" w:cs="Microsoft Sans Serif"/>
              </w:rPr>
              <w:t>1</w:t>
            </w:r>
          </w:p>
        </w:tc>
        <w:tc>
          <w:tcPr>
            <w:tcW w:w="1748" w:type="dxa"/>
          </w:tcPr>
          <w:p w14:paraId="001B47BA" w14:textId="74A7D0F7" w:rsidR="00E21011" w:rsidRPr="007915CE" w:rsidRDefault="00E21011" w:rsidP="00E21011">
            <w:pPr>
              <w:widowControl w:val="0"/>
              <w:autoSpaceDE w:val="0"/>
              <w:autoSpaceDN w:val="0"/>
              <w:spacing w:before="55" w:after="0" w:line="240" w:lineRule="auto"/>
              <w:ind w:left="665"/>
              <w:rPr>
                <w:rFonts w:ascii="Times New Roman" w:eastAsia="Microsoft Sans Serif" w:hAnsi="Microsoft Sans Serif" w:cs="Microsoft Sans Serif"/>
              </w:rPr>
            </w:pPr>
            <w:r w:rsidRPr="007915CE">
              <w:rPr>
                <w:rFonts w:ascii="Times New Roman" w:eastAsia="Microsoft Sans Serif" w:hAnsi="Microsoft Sans Serif" w:cs="Microsoft Sans Serif"/>
              </w:rPr>
              <w:t>3%</w:t>
            </w:r>
          </w:p>
        </w:tc>
        <w:tc>
          <w:tcPr>
            <w:tcW w:w="1784" w:type="dxa"/>
          </w:tcPr>
          <w:p w14:paraId="319B665D" w14:textId="04CDFC3F" w:rsidR="00E21011" w:rsidRPr="007915CE" w:rsidRDefault="00E21011" w:rsidP="00E21011">
            <w:pPr>
              <w:widowControl w:val="0"/>
              <w:autoSpaceDE w:val="0"/>
              <w:autoSpaceDN w:val="0"/>
              <w:spacing w:before="55" w:after="0" w:line="240" w:lineRule="auto"/>
              <w:ind w:right="493"/>
              <w:jc w:val="right"/>
              <w:rPr>
                <w:rFonts w:ascii="Times New Roman" w:eastAsia="Microsoft Sans Serif" w:hAnsi="Microsoft Sans Serif" w:cs="Microsoft Sans Serif"/>
              </w:rPr>
            </w:pPr>
            <w:r w:rsidRPr="007915CE">
              <w:rPr>
                <w:rFonts w:ascii="Times New Roman" w:eastAsia="Microsoft Sans Serif" w:hAnsi="Microsoft Sans Serif" w:cs="Microsoft Sans Serif"/>
              </w:rPr>
              <w:t>7%</w:t>
            </w:r>
          </w:p>
        </w:tc>
        <w:tc>
          <w:tcPr>
            <w:tcW w:w="1728" w:type="dxa"/>
          </w:tcPr>
          <w:p w14:paraId="31B2D5AE" w14:textId="1595E432" w:rsidR="00E21011" w:rsidRPr="007915CE" w:rsidRDefault="00E21011" w:rsidP="00E21011">
            <w:pPr>
              <w:widowControl w:val="0"/>
              <w:autoSpaceDE w:val="0"/>
              <w:autoSpaceDN w:val="0"/>
              <w:spacing w:before="55" w:after="0" w:line="240" w:lineRule="auto"/>
              <w:ind w:left="413" w:right="317"/>
              <w:jc w:val="center"/>
              <w:rPr>
                <w:rFonts w:ascii="Times New Roman" w:eastAsia="Microsoft Sans Serif" w:hAnsi="Microsoft Sans Serif" w:cs="Microsoft Sans Serif"/>
              </w:rPr>
            </w:pPr>
            <w:r w:rsidRPr="007915CE">
              <w:rPr>
                <w:rFonts w:ascii="Times New Roman" w:eastAsia="Microsoft Sans Serif" w:hAnsi="Microsoft Sans Serif" w:cs="Microsoft Sans Serif"/>
              </w:rPr>
              <w:t>$741</w:t>
            </w:r>
          </w:p>
        </w:tc>
      </w:tr>
      <w:tr w:rsidR="007915CE" w:rsidRPr="007915CE" w14:paraId="3E1ECB30" w14:textId="77777777" w:rsidTr="00DB41F4">
        <w:trPr>
          <w:cantSplit/>
          <w:trHeight w:val="351"/>
        </w:trPr>
        <w:tc>
          <w:tcPr>
            <w:tcW w:w="2787" w:type="dxa"/>
            <w:tcBorders>
              <w:bottom w:val="single" w:sz="12" w:space="0" w:color="000000"/>
            </w:tcBorders>
          </w:tcPr>
          <w:p w14:paraId="33D21F83" w14:textId="77777777" w:rsidR="00E21011" w:rsidRPr="007915CE" w:rsidRDefault="00E21011" w:rsidP="00E21011">
            <w:pPr>
              <w:widowControl w:val="0"/>
              <w:autoSpaceDE w:val="0"/>
              <w:autoSpaceDN w:val="0"/>
              <w:spacing w:before="55" w:after="0" w:line="240" w:lineRule="auto"/>
              <w:ind w:left="108"/>
              <w:rPr>
                <w:rFonts w:ascii="Times New Roman" w:eastAsia="Microsoft Sans Serif" w:hAnsi="Microsoft Sans Serif" w:cs="Microsoft Sans Serif"/>
              </w:rPr>
            </w:pPr>
            <w:r w:rsidRPr="007915CE">
              <w:rPr>
                <w:rFonts w:ascii="Times New Roman" w:eastAsia="Microsoft Sans Serif" w:hAnsi="Microsoft Sans Serif" w:cs="Microsoft Sans Serif"/>
                <w:spacing w:val="-2"/>
              </w:rPr>
              <w:t>Managed</w:t>
            </w:r>
            <w:r w:rsidRPr="007915CE">
              <w:rPr>
                <w:rFonts w:ascii="Times New Roman" w:eastAsia="Microsoft Sans Serif" w:hAnsi="Microsoft Sans Serif" w:cs="Microsoft Sans Serif"/>
                <w:spacing w:val="-5"/>
              </w:rPr>
              <w:t xml:space="preserve"> </w:t>
            </w:r>
            <w:r w:rsidRPr="007915CE">
              <w:rPr>
                <w:rFonts w:ascii="Times New Roman" w:eastAsia="Microsoft Sans Serif" w:hAnsi="Microsoft Sans Serif" w:cs="Microsoft Sans Serif"/>
                <w:spacing w:val="-2"/>
              </w:rPr>
              <w:t>Medicare</w:t>
            </w:r>
          </w:p>
        </w:tc>
        <w:tc>
          <w:tcPr>
            <w:tcW w:w="1408" w:type="dxa"/>
            <w:tcBorders>
              <w:bottom w:val="single" w:sz="12" w:space="0" w:color="000000"/>
            </w:tcBorders>
          </w:tcPr>
          <w:p w14:paraId="1F0FB776" w14:textId="32601C0B" w:rsidR="00E21011" w:rsidRPr="007915CE" w:rsidRDefault="00E21011" w:rsidP="00E21011">
            <w:pPr>
              <w:widowControl w:val="0"/>
              <w:autoSpaceDE w:val="0"/>
              <w:autoSpaceDN w:val="0"/>
              <w:spacing w:before="38" w:after="0" w:line="240" w:lineRule="auto"/>
              <w:ind w:right="645"/>
              <w:jc w:val="right"/>
              <w:rPr>
                <w:rFonts w:ascii="Times New Roman" w:eastAsia="Microsoft Sans Serif" w:hAnsi="Microsoft Sans Serif" w:cs="Microsoft Sans Serif"/>
              </w:rPr>
            </w:pPr>
            <w:r w:rsidRPr="007915CE">
              <w:rPr>
                <w:rFonts w:ascii="Times New Roman" w:eastAsia="Microsoft Sans Serif" w:hAnsi="Microsoft Sans Serif" w:cs="Microsoft Sans Serif"/>
              </w:rPr>
              <w:t>-</w:t>
            </w:r>
          </w:p>
        </w:tc>
        <w:tc>
          <w:tcPr>
            <w:tcW w:w="1748" w:type="dxa"/>
            <w:tcBorders>
              <w:bottom w:val="single" w:sz="12" w:space="0" w:color="000000"/>
            </w:tcBorders>
          </w:tcPr>
          <w:p w14:paraId="38FDFFA9" w14:textId="2C20AF95" w:rsidR="00E21011" w:rsidRPr="007915CE" w:rsidRDefault="00E21011" w:rsidP="00E21011">
            <w:pPr>
              <w:widowControl w:val="0"/>
              <w:autoSpaceDE w:val="0"/>
              <w:autoSpaceDN w:val="0"/>
              <w:spacing w:before="38" w:after="0" w:line="240" w:lineRule="auto"/>
              <w:ind w:left="739"/>
              <w:rPr>
                <w:rFonts w:ascii="Times New Roman" w:eastAsia="Microsoft Sans Serif" w:hAnsi="Microsoft Sans Serif" w:cs="Microsoft Sans Serif"/>
              </w:rPr>
            </w:pPr>
            <w:r w:rsidRPr="007915CE">
              <w:rPr>
                <w:rFonts w:ascii="Times New Roman" w:eastAsia="Microsoft Sans Serif" w:hAnsi="Microsoft Sans Serif" w:cs="Microsoft Sans Serif"/>
              </w:rPr>
              <w:t>-</w:t>
            </w:r>
          </w:p>
        </w:tc>
        <w:tc>
          <w:tcPr>
            <w:tcW w:w="1784" w:type="dxa"/>
            <w:tcBorders>
              <w:bottom w:val="single" w:sz="12" w:space="0" w:color="000000"/>
            </w:tcBorders>
          </w:tcPr>
          <w:p w14:paraId="0345CF6A" w14:textId="7CFCBBF2" w:rsidR="00E21011" w:rsidRPr="007915CE" w:rsidRDefault="00E21011" w:rsidP="00E21011">
            <w:pPr>
              <w:widowControl w:val="0"/>
              <w:autoSpaceDE w:val="0"/>
              <w:autoSpaceDN w:val="0"/>
              <w:spacing w:before="38" w:after="0" w:line="240" w:lineRule="auto"/>
              <w:ind w:right="505"/>
              <w:jc w:val="right"/>
              <w:rPr>
                <w:rFonts w:ascii="Times New Roman" w:eastAsia="Microsoft Sans Serif" w:hAnsi="Microsoft Sans Serif" w:cs="Microsoft Sans Serif"/>
              </w:rPr>
            </w:pPr>
            <w:r w:rsidRPr="007915CE">
              <w:rPr>
                <w:rFonts w:ascii="Times New Roman" w:eastAsia="Microsoft Sans Serif" w:hAnsi="Microsoft Sans Serif" w:cs="Microsoft Sans Serif"/>
              </w:rPr>
              <w:t>-</w:t>
            </w:r>
          </w:p>
        </w:tc>
        <w:tc>
          <w:tcPr>
            <w:tcW w:w="1728" w:type="dxa"/>
            <w:tcBorders>
              <w:bottom w:val="single" w:sz="12" w:space="0" w:color="000000"/>
            </w:tcBorders>
          </w:tcPr>
          <w:p w14:paraId="2832C0E5" w14:textId="06C3246F" w:rsidR="00E21011" w:rsidRPr="007915CE" w:rsidRDefault="00E21011" w:rsidP="00E21011">
            <w:pPr>
              <w:widowControl w:val="0"/>
              <w:autoSpaceDE w:val="0"/>
              <w:autoSpaceDN w:val="0"/>
              <w:spacing w:before="38" w:after="0" w:line="240" w:lineRule="auto"/>
              <w:ind w:left="413" w:right="312"/>
              <w:jc w:val="center"/>
              <w:rPr>
                <w:rFonts w:ascii="Times New Roman" w:eastAsia="Microsoft Sans Serif" w:hAnsi="Microsoft Sans Serif" w:cs="Microsoft Sans Serif"/>
              </w:rPr>
            </w:pPr>
            <w:r w:rsidRPr="007915CE">
              <w:rPr>
                <w:rFonts w:ascii="Times New Roman" w:eastAsia="Microsoft Sans Serif" w:hAnsi="Microsoft Sans Serif" w:cs="Microsoft Sans Serif"/>
              </w:rPr>
              <w:t>-</w:t>
            </w:r>
          </w:p>
        </w:tc>
      </w:tr>
      <w:tr w:rsidR="007915CE" w:rsidRPr="007915CE" w14:paraId="5425B6A9" w14:textId="77777777" w:rsidTr="00DB41F4">
        <w:trPr>
          <w:cantSplit/>
          <w:trHeight w:val="373"/>
        </w:trPr>
        <w:tc>
          <w:tcPr>
            <w:tcW w:w="2787" w:type="dxa"/>
            <w:tcBorders>
              <w:top w:val="single" w:sz="12" w:space="0" w:color="000000"/>
              <w:bottom w:val="single" w:sz="12" w:space="0" w:color="000000"/>
            </w:tcBorders>
          </w:tcPr>
          <w:p w14:paraId="3E65D18C" w14:textId="77777777" w:rsidR="00E21011" w:rsidRPr="007915CE" w:rsidRDefault="00E21011" w:rsidP="00E21011">
            <w:pPr>
              <w:widowControl w:val="0"/>
              <w:autoSpaceDE w:val="0"/>
              <w:autoSpaceDN w:val="0"/>
              <w:spacing w:before="118" w:after="0" w:line="235" w:lineRule="exact"/>
              <w:ind w:left="108"/>
              <w:rPr>
                <w:rFonts w:ascii="Times New Roman" w:eastAsia="Microsoft Sans Serif" w:hAnsi="Microsoft Sans Serif" w:cs="Microsoft Sans Serif"/>
              </w:rPr>
            </w:pPr>
            <w:r w:rsidRPr="007915CE">
              <w:rPr>
                <w:rFonts w:ascii="Times New Roman" w:eastAsia="Microsoft Sans Serif" w:hAnsi="Microsoft Sans Serif" w:cs="Microsoft Sans Serif"/>
                <w:spacing w:val="-2"/>
              </w:rPr>
              <w:t>Total/Weighted</w:t>
            </w:r>
            <w:r w:rsidRPr="007915CE">
              <w:rPr>
                <w:rFonts w:ascii="Times New Roman" w:eastAsia="Microsoft Sans Serif" w:hAnsi="Microsoft Sans Serif" w:cs="Microsoft Sans Serif"/>
                <w:spacing w:val="-10"/>
              </w:rPr>
              <w:t xml:space="preserve"> </w:t>
            </w:r>
            <w:r w:rsidRPr="007915CE">
              <w:rPr>
                <w:rFonts w:ascii="Times New Roman" w:eastAsia="Microsoft Sans Serif" w:hAnsi="Microsoft Sans Serif" w:cs="Microsoft Sans Serif"/>
                <w:spacing w:val="-2"/>
              </w:rPr>
              <w:t>Average</w:t>
            </w:r>
          </w:p>
        </w:tc>
        <w:tc>
          <w:tcPr>
            <w:tcW w:w="1408" w:type="dxa"/>
            <w:tcBorders>
              <w:top w:val="single" w:sz="12" w:space="0" w:color="000000"/>
              <w:bottom w:val="single" w:sz="12" w:space="0" w:color="000000"/>
            </w:tcBorders>
          </w:tcPr>
          <w:p w14:paraId="6324AAEB" w14:textId="075970FF" w:rsidR="00E21011" w:rsidRPr="007915CE" w:rsidRDefault="00E21011" w:rsidP="00E21011">
            <w:pPr>
              <w:widowControl w:val="0"/>
              <w:autoSpaceDE w:val="0"/>
              <w:autoSpaceDN w:val="0"/>
              <w:spacing w:before="63" w:after="0" w:line="240" w:lineRule="auto"/>
              <w:ind w:right="647"/>
              <w:jc w:val="right"/>
              <w:rPr>
                <w:rFonts w:ascii="Times New Roman" w:eastAsia="Microsoft Sans Serif" w:hAnsi="Microsoft Sans Serif" w:cs="Microsoft Sans Serif"/>
              </w:rPr>
            </w:pPr>
            <w:r w:rsidRPr="007915CE">
              <w:rPr>
                <w:rFonts w:ascii="Times New Roman" w:eastAsia="Microsoft Sans Serif" w:hAnsi="Microsoft Sans Serif" w:cs="Microsoft Sans Serif"/>
              </w:rPr>
              <w:t>52</w:t>
            </w:r>
          </w:p>
        </w:tc>
        <w:tc>
          <w:tcPr>
            <w:tcW w:w="1748" w:type="dxa"/>
            <w:tcBorders>
              <w:top w:val="single" w:sz="12" w:space="0" w:color="000000"/>
              <w:bottom w:val="single" w:sz="12" w:space="0" w:color="000000"/>
            </w:tcBorders>
          </w:tcPr>
          <w:p w14:paraId="10BDE904" w14:textId="0D50A2BC" w:rsidR="00E21011" w:rsidRPr="007915CE" w:rsidRDefault="00E21011" w:rsidP="00E21011">
            <w:pPr>
              <w:widowControl w:val="0"/>
              <w:autoSpaceDE w:val="0"/>
              <w:autoSpaceDN w:val="0"/>
              <w:spacing w:before="63" w:after="0" w:line="240" w:lineRule="auto"/>
              <w:ind w:left="617"/>
              <w:rPr>
                <w:rFonts w:ascii="Times New Roman" w:eastAsia="Microsoft Sans Serif" w:hAnsi="Microsoft Sans Serif" w:cs="Microsoft Sans Serif"/>
              </w:rPr>
            </w:pPr>
            <w:r w:rsidRPr="007915CE">
              <w:rPr>
                <w:rFonts w:ascii="Times New Roman" w:eastAsia="Microsoft Sans Serif" w:hAnsi="Microsoft Sans Serif" w:cs="Microsoft Sans Serif"/>
              </w:rPr>
              <w:t>100%</w:t>
            </w:r>
          </w:p>
        </w:tc>
        <w:tc>
          <w:tcPr>
            <w:tcW w:w="1784" w:type="dxa"/>
            <w:tcBorders>
              <w:top w:val="single" w:sz="12" w:space="0" w:color="000000"/>
              <w:bottom w:val="single" w:sz="12" w:space="0" w:color="000000"/>
            </w:tcBorders>
          </w:tcPr>
          <w:p w14:paraId="60A10AA7" w14:textId="697FAD55" w:rsidR="00E21011" w:rsidRPr="007915CE" w:rsidRDefault="00E21011" w:rsidP="00E21011">
            <w:pPr>
              <w:widowControl w:val="0"/>
              <w:autoSpaceDE w:val="0"/>
              <w:autoSpaceDN w:val="0"/>
              <w:spacing w:before="63" w:after="0" w:line="240" w:lineRule="auto"/>
              <w:ind w:right="426"/>
              <w:jc w:val="right"/>
              <w:rPr>
                <w:rFonts w:ascii="Times New Roman" w:eastAsia="Microsoft Sans Serif" w:hAnsi="Microsoft Sans Serif" w:cs="Microsoft Sans Serif"/>
              </w:rPr>
            </w:pPr>
            <w:r w:rsidRPr="007915CE">
              <w:rPr>
                <w:rFonts w:ascii="Times New Roman" w:eastAsia="Microsoft Sans Serif" w:hAnsi="Microsoft Sans Serif" w:cs="Microsoft Sans Serif"/>
              </w:rPr>
              <w:t>100%</w:t>
            </w:r>
          </w:p>
        </w:tc>
        <w:tc>
          <w:tcPr>
            <w:tcW w:w="1728" w:type="dxa"/>
            <w:tcBorders>
              <w:top w:val="single" w:sz="12" w:space="0" w:color="000000"/>
              <w:bottom w:val="single" w:sz="12" w:space="0" w:color="000000"/>
            </w:tcBorders>
          </w:tcPr>
          <w:p w14:paraId="1D229E75" w14:textId="62298811" w:rsidR="00E21011" w:rsidRPr="007915CE" w:rsidRDefault="00E21011" w:rsidP="00E21011">
            <w:pPr>
              <w:widowControl w:val="0"/>
              <w:autoSpaceDE w:val="0"/>
              <w:autoSpaceDN w:val="0"/>
              <w:spacing w:before="63" w:after="0" w:line="240" w:lineRule="auto"/>
              <w:ind w:left="413" w:right="317"/>
              <w:jc w:val="center"/>
              <w:rPr>
                <w:rFonts w:ascii="Times New Roman" w:eastAsia="Microsoft Sans Serif" w:hAnsi="Microsoft Sans Serif" w:cs="Microsoft Sans Serif"/>
              </w:rPr>
            </w:pPr>
            <w:r w:rsidRPr="007915CE">
              <w:rPr>
                <w:rFonts w:ascii="Times New Roman" w:eastAsia="Microsoft Sans Serif" w:hAnsi="Microsoft Sans Serif" w:cs="Microsoft Sans Serif"/>
              </w:rPr>
              <w:t>$286</w:t>
            </w:r>
          </w:p>
        </w:tc>
      </w:tr>
      <w:tr w:rsidR="000F4F75" w:rsidRPr="007915CE" w14:paraId="54E1F463" w14:textId="77777777" w:rsidTr="00DB41F4">
        <w:trPr>
          <w:cantSplit/>
          <w:trHeight w:val="289"/>
        </w:trPr>
        <w:tc>
          <w:tcPr>
            <w:tcW w:w="2787" w:type="dxa"/>
            <w:tcBorders>
              <w:top w:val="single" w:sz="12" w:space="0" w:color="000000"/>
            </w:tcBorders>
          </w:tcPr>
          <w:p w14:paraId="45DD4829" w14:textId="6FECF5D3" w:rsidR="000F4F75" w:rsidRPr="007915CE" w:rsidRDefault="000F4F75" w:rsidP="00C561CF">
            <w:pPr>
              <w:widowControl w:val="0"/>
              <w:autoSpaceDE w:val="0"/>
              <w:autoSpaceDN w:val="0"/>
              <w:spacing w:before="60" w:after="0" w:line="210" w:lineRule="exact"/>
              <w:ind w:left="108"/>
              <w:rPr>
                <w:rFonts w:ascii="Times New Roman" w:eastAsia="Microsoft Sans Serif" w:hAnsi="Microsoft Sans Serif" w:cs="Microsoft Sans Serif"/>
                <w:sz w:val="20"/>
              </w:rPr>
            </w:pPr>
          </w:p>
        </w:tc>
        <w:tc>
          <w:tcPr>
            <w:tcW w:w="1408" w:type="dxa"/>
            <w:tcBorders>
              <w:top w:val="single" w:sz="12" w:space="0" w:color="000000"/>
            </w:tcBorders>
          </w:tcPr>
          <w:p w14:paraId="552633C5" w14:textId="77777777" w:rsidR="000F4F75" w:rsidRPr="007915CE" w:rsidRDefault="000F4F75" w:rsidP="00C561CF">
            <w:pPr>
              <w:widowControl w:val="0"/>
              <w:autoSpaceDE w:val="0"/>
              <w:autoSpaceDN w:val="0"/>
              <w:spacing w:after="0" w:line="240" w:lineRule="auto"/>
              <w:rPr>
                <w:rFonts w:ascii="Times New Roman" w:eastAsia="Microsoft Sans Serif" w:hAnsi="Microsoft Sans Serif" w:cs="Microsoft Sans Serif"/>
                <w:sz w:val="20"/>
              </w:rPr>
            </w:pPr>
          </w:p>
        </w:tc>
        <w:tc>
          <w:tcPr>
            <w:tcW w:w="1748" w:type="dxa"/>
            <w:tcBorders>
              <w:top w:val="single" w:sz="12" w:space="0" w:color="000000"/>
            </w:tcBorders>
          </w:tcPr>
          <w:p w14:paraId="359CF578" w14:textId="77777777" w:rsidR="000F4F75" w:rsidRPr="007915CE" w:rsidRDefault="000F4F75" w:rsidP="00C561CF">
            <w:pPr>
              <w:widowControl w:val="0"/>
              <w:autoSpaceDE w:val="0"/>
              <w:autoSpaceDN w:val="0"/>
              <w:spacing w:after="0" w:line="240" w:lineRule="auto"/>
              <w:rPr>
                <w:rFonts w:ascii="Times New Roman" w:eastAsia="Microsoft Sans Serif" w:hAnsi="Microsoft Sans Serif" w:cs="Microsoft Sans Serif"/>
                <w:sz w:val="20"/>
              </w:rPr>
            </w:pPr>
          </w:p>
        </w:tc>
        <w:tc>
          <w:tcPr>
            <w:tcW w:w="1784" w:type="dxa"/>
            <w:tcBorders>
              <w:top w:val="single" w:sz="12" w:space="0" w:color="000000"/>
            </w:tcBorders>
          </w:tcPr>
          <w:p w14:paraId="6181BB75" w14:textId="77777777" w:rsidR="000F4F75" w:rsidRPr="007915CE" w:rsidRDefault="000F4F75" w:rsidP="00C561CF">
            <w:pPr>
              <w:widowControl w:val="0"/>
              <w:autoSpaceDE w:val="0"/>
              <w:autoSpaceDN w:val="0"/>
              <w:spacing w:after="0" w:line="240" w:lineRule="auto"/>
              <w:rPr>
                <w:rFonts w:ascii="Times New Roman" w:eastAsia="Microsoft Sans Serif" w:hAnsi="Microsoft Sans Serif" w:cs="Microsoft Sans Serif"/>
                <w:sz w:val="20"/>
              </w:rPr>
            </w:pPr>
          </w:p>
        </w:tc>
        <w:tc>
          <w:tcPr>
            <w:tcW w:w="1728" w:type="dxa"/>
            <w:tcBorders>
              <w:top w:val="single" w:sz="12" w:space="0" w:color="000000"/>
            </w:tcBorders>
          </w:tcPr>
          <w:p w14:paraId="4901608E" w14:textId="77777777" w:rsidR="000F4F75" w:rsidRPr="007915CE" w:rsidRDefault="000F4F75" w:rsidP="00C561CF">
            <w:pPr>
              <w:widowControl w:val="0"/>
              <w:autoSpaceDE w:val="0"/>
              <w:autoSpaceDN w:val="0"/>
              <w:spacing w:after="0" w:line="240" w:lineRule="auto"/>
              <w:rPr>
                <w:rFonts w:ascii="Times New Roman" w:eastAsia="Microsoft Sans Serif" w:hAnsi="Microsoft Sans Serif" w:cs="Microsoft Sans Serif"/>
                <w:sz w:val="20"/>
              </w:rPr>
            </w:pPr>
          </w:p>
        </w:tc>
      </w:tr>
    </w:tbl>
    <w:p w14:paraId="77161E0C" w14:textId="77777777" w:rsidR="000F4F75" w:rsidRPr="007915CE" w:rsidRDefault="000F4F75" w:rsidP="00853112">
      <w:pPr>
        <w:spacing w:line="240" w:lineRule="auto"/>
        <w:rPr>
          <w:rFonts w:cstheme="minorHAnsi"/>
          <w:sz w:val="24"/>
          <w:szCs w:val="24"/>
        </w:rPr>
      </w:pPr>
    </w:p>
    <w:p w14:paraId="174A8274" w14:textId="4D736DDC" w:rsidR="00CF199C" w:rsidRPr="007915CE" w:rsidRDefault="00CF199C" w:rsidP="00CF199C">
      <w:pPr>
        <w:spacing w:line="240" w:lineRule="auto"/>
        <w:rPr>
          <w:rFonts w:cstheme="minorHAnsi"/>
          <w:b/>
          <w:bCs/>
          <w:sz w:val="24"/>
          <w:szCs w:val="24"/>
        </w:rPr>
      </w:pPr>
      <w:r w:rsidRPr="007915CE">
        <w:rPr>
          <w:rFonts w:cstheme="minorHAnsi"/>
          <w:b/>
          <w:bCs/>
          <w:sz w:val="24"/>
          <w:szCs w:val="24"/>
        </w:rPr>
        <w:t xml:space="preserve">3. Given the impact of the COVID-19 epidemic on utilization, please complete the table below for FY 17 and the highlighted sections of FY 20 and 21.  </w:t>
      </w:r>
    </w:p>
    <w:p w14:paraId="218ECF46" w14:textId="7BD3482E" w:rsidR="000F4F75" w:rsidRPr="007915CE" w:rsidRDefault="000F4F75" w:rsidP="00CF199C">
      <w:pPr>
        <w:spacing w:line="240" w:lineRule="auto"/>
        <w:rPr>
          <w:rFonts w:ascii="Times New Roman" w:eastAsia="Times New Roman" w:hAnsi="Times New Roman" w:cs="Times New Roman"/>
          <w:bCs/>
          <w:sz w:val="24"/>
          <w:u w:val="single"/>
        </w:rPr>
      </w:pPr>
      <w:r w:rsidRPr="007915CE">
        <w:rPr>
          <w:rFonts w:ascii="Times New Roman" w:eastAsia="Times New Roman" w:hAnsi="Times New Roman" w:cs="Times New Roman"/>
          <w:bCs/>
          <w:sz w:val="24"/>
          <w:u w:val="single"/>
        </w:rPr>
        <w:t xml:space="preserve">Table D: Historical Utilization </w:t>
      </w:r>
    </w:p>
    <w:tbl>
      <w:tblPr>
        <w:tblStyle w:val="TableGrid"/>
        <w:tblW w:w="0" w:type="auto"/>
        <w:jc w:val="center"/>
        <w:tblLook w:val="04A0" w:firstRow="1" w:lastRow="0" w:firstColumn="1" w:lastColumn="0" w:noHBand="0" w:noVBand="1"/>
      </w:tblPr>
      <w:tblGrid>
        <w:gridCol w:w="2335"/>
        <w:gridCol w:w="1081"/>
        <w:gridCol w:w="1187"/>
        <w:gridCol w:w="1187"/>
        <w:gridCol w:w="1187"/>
        <w:gridCol w:w="1186"/>
        <w:gridCol w:w="1187"/>
      </w:tblGrid>
      <w:tr w:rsidR="007915CE" w:rsidRPr="007915CE" w14:paraId="0BAFD4EC" w14:textId="77777777" w:rsidTr="00D47F8E">
        <w:trPr>
          <w:jc w:val="center"/>
        </w:trPr>
        <w:tc>
          <w:tcPr>
            <w:tcW w:w="2335" w:type="dxa"/>
            <w:vAlign w:val="center"/>
          </w:tcPr>
          <w:p w14:paraId="207B6965" w14:textId="77777777" w:rsidR="00CF199C" w:rsidRPr="007915CE" w:rsidRDefault="00CF199C" w:rsidP="00CF199C">
            <w:pPr>
              <w:spacing w:after="160"/>
              <w:rPr>
                <w:rFonts w:cstheme="minorHAnsi"/>
                <w:sz w:val="24"/>
                <w:szCs w:val="24"/>
              </w:rPr>
            </w:pPr>
          </w:p>
        </w:tc>
        <w:tc>
          <w:tcPr>
            <w:tcW w:w="1081" w:type="dxa"/>
          </w:tcPr>
          <w:p w14:paraId="39870595" w14:textId="77777777" w:rsidR="00CF199C" w:rsidRPr="007915CE" w:rsidRDefault="00CF199C" w:rsidP="00CF199C">
            <w:pPr>
              <w:spacing w:after="160"/>
              <w:rPr>
                <w:rFonts w:cstheme="minorHAnsi"/>
                <w:b/>
                <w:bCs/>
                <w:sz w:val="24"/>
                <w:szCs w:val="24"/>
              </w:rPr>
            </w:pPr>
            <w:r w:rsidRPr="007915CE">
              <w:rPr>
                <w:rFonts w:cstheme="minorHAnsi"/>
                <w:b/>
                <w:bCs/>
                <w:sz w:val="24"/>
                <w:szCs w:val="24"/>
              </w:rPr>
              <w:t>FY17</w:t>
            </w:r>
          </w:p>
        </w:tc>
        <w:tc>
          <w:tcPr>
            <w:tcW w:w="1187" w:type="dxa"/>
            <w:vAlign w:val="center"/>
          </w:tcPr>
          <w:p w14:paraId="0BEE0052" w14:textId="77777777" w:rsidR="00CF199C" w:rsidRPr="007915CE" w:rsidRDefault="00CF199C" w:rsidP="00CF199C">
            <w:pPr>
              <w:spacing w:after="160"/>
              <w:rPr>
                <w:rFonts w:cstheme="minorHAnsi"/>
                <w:b/>
                <w:bCs/>
                <w:sz w:val="24"/>
                <w:szCs w:val="24"/>
              </w:rPr>
            </w:pPr>
            <w:r w:rsidRPr="007915CE">
              <w:rPr>
                <w:rFonts w:cstheme="minorHAnsi"/>
                <w:b/>
                <w:bCs/>
                <w:sz w:val="24"/>
                <w:szCs w:val="24"/>
              </w:rPr>
              <w:t>FY18</w:t>
            </w:r>
          </w:p>
        </w:tc>
        <w:tc>
          <w:tcPr>
            <w:tcW w:w="1187" w:type="dxa"/>
            <w:vAlign w:val="center"/>
          </w:tcPr>
          <w:p w14:paraId="448EFF70" w14:textId="77777777" w:rsidR="00CF199C" w:rsidRPr="007915CE" w:rsidRDefault="00CF199C" w:rsidP="00CF199C">
            <w:pPr>
              <w:spacing w:after="160"/>
              <w:rPr>
                <w:rFonts w:cstheme="minorHAnsi"/>
                <w:b/>
                <w:bCs/>
                <w:sz w:val="24"/>
                <w:szCs w:val="24"/>
              </w:rPr>
            </w:pPr>
            <w:r w:rsidRPr="007915CE">
              <w:rPr>
                <w:rFonts w:cstheme="minorHAnsi"/>
                <w:b/>
                <w:bCs/>
                <w:sz w:val="24"/>
                <w:szCs w:val="24"/>
              </w:rPr>
              <w:t>FY19</w:t>
            </w:r>
          </w:p>
        </w:tc>
        <w:tc>
          <w:tcPr>
            <w:tcW w:w="1187" w:type="dxa"/>
            <w:vAlign w:val="center"/>
          </w:tcPr>
          <w:p w14:paraId="3CEA47A0" w14:textId="77777777" w:rsidR="00CF199C" w:rsidRPr="007915CE" w:rsidRDefault="00CF199C" w:rsidP="00CF199C">
            <w:pPr>
              <w:spacing w:after="160"/>
              <w:rPr>
                <w:rFonts w:cstheme="minorHAnsi"/>
                <w:b/>
                <w:bCs/>
                <w:sz w:val="24"/>
                <w:szCs w:val="24"/>
              </w:rPr>
            </w:pPr>
            <w:r w:rsidRPr="007915CE">
              <w:rPr>
                <w:rFonts w:cstheme="minorHAnsi"/>
                <w:b/>
                <w:bCs/>
                <w:sz w:val="24"/>
                <w:szCs w:val="24"/>
              </w:rPr>
              <w:t>FY20</w:t>
            </w:r>
          </w:p>
        </w:tc>
        <w:tc>
          <w:tcPr>
            <w:tcW w:w="1186" w:type="dxa"/>
            <w:vAlign w:val="center"/>
          </w:tcPr>
          <w:p w14:paraId="02CA9A19" w14:textId="77777777" w:rsidR="00CF199C" w:rsidRPr="007915CE" w:rsidRDefault="00CF199C" w:rsidP="00CF199C">
            <w:pPr>
              <w:spacing w:after="160"/>
              <w:rPr>
                <w:rFonts w:cstheme="minorHAnsi"/>
                <w:b/>
                <w:bCs/>
                <w:sz w:val="24"/>
                <w:szCs w:val="24"/>
              </w:rPr>
            </w:pPr>
            <w:r w:rsidRPr="007915CE">
              <w:rPr>
                <w:rFonts w:cstheme="minorHAnsi"/>
                <w:b/>
                <w:bCs/>
                <w:sz w:val="24"/>
                <w:szCs w:val="24"/>
              </w:rPr>
              <w:t>FY21</w:t>
            </w:r>
          </w:p>
        </w:tc>
        <w:tc>
          <w:tcPr>
            <w:tcW w:w="1187" w:type="dxa"/>
            <w:vAlign w:val="center"/>
          </w:tcPr>
          <w:p w14:paraId="318663CF" w14:textId="77777777" w:rsidR="00CF199C" w:rsidRPr="007915CE" w:rsidRDefault="00CF199C" w:rsidP="00CF199C">
            <w:pPr>
              <w:spacing w:after="160"/>
              <w:rPr>
                <w:rFonts w:cstheme="minorHAnsi"/>
                <w:b/>
                <w:bCs/>
                <w:sz w:val="24"/>
                <w:szCs w:val="24"/>
              </w:rPr>
            </w:pPr>
            <w:r w:rsidRPr="007915CE">
              <w:rPr>
                <w:rFonts w:cstheme="minorHAnsi"/>
                <w:b/>
                <w:bCs/>
                <w:sz w:val="24"/>
                <w:szCs w:val="24"/>
              </w:rPr>
              <w:t>FY22</w:t>
            </w:r>
          </w:p>
        </w:tc>
      </w:tr>
      <w:tr w:rsidR="007915CE" w:rsidRPr="007915CE" w14:paraId="2279BBDD" w14:textId="77777777" w:rsidTr="00D47F8E">
        <w:trPr>
          <w:jc w:val="center"/>
        </w:trPr>
        <w:tc>
          <w:tcPr>
            <w:tcW w:w="2335" w:type="dxa"/>
            <w:vAlign w:val="center"/>
          </w:tcPr>
          <w:p w14:paraId="7388083F" w14:textId="77777777" w:rsidR="00CF199C" w:rsidRPr="007915CE" w:rsidRDefault="00CF199C" w:rsidP="00CF199C">
            <w:pPr>
              <w:spacing w:after="160"/>
              <w:rPr>
                <w:rFonts w:cstheme="minorHAnsi"/>
                <w:sz w:val="24"/>
                <w:szCs w:val="24"/>
              </w:rPr>
            </w:pPr>
            <w:r w:rsidRPr="007915CE">
              <w:rPr>
                <w:rFonts w:cstheme="minorHAnsi"/>
                <w:sz w:val="24"/>
                <w:szCs w:val="24"/>
              </w:rPr>
              <w:t>Resident Days</w:t>
            </w:r>
          </w:p>
        </w:tc>
        <w:tc>
          <w:tcPr>
            <w:tcW w:w="1081" w:type="dxa"/>
            <w:vAlign w:val="center"/>
          </w:tcPr>
          <w:p w14:paraId="44B140AA" w14:textId="77777777" w:rsidR="00CF199C" w:rsidRPr="007915CE" w:rsidRDefault="00CF199C" w:rsidP="00CF199C">
            <w:pPr>
              <w:spacing w:after="160"/>
              <w:rPr>
                <w:rFonts w:cstheme="minorHAnsi"/>
                <w:sz w:val="24"/>
                <w:szCs w:val="24"/>
              </w:rPr>
            </w:pPr>
            <w:r w:rsidRPr="007915CE">
              <w:rPr>
                <w:rFonts w:cstheme="minorHAnsi"/>
                <w:sz w:val="24"/>
                <w:szCs w:val="24"/>
              </w:rPr>
              <w:t>23,091</w:t>
            </w:r>
          </w:p>
        </w:tc>
        <w:tc>
          <w:tcPr>
            <w:tcW w:w="1187" w:type="dxa"/>
            <w:vAlign w:val="center"/>
          </w:tcPr>
          <w:p w14:paraId="5F0A8343" w14:textId="77777777" w:rsidR="00CF199C" w:rsidRPr="007915CE" w:rsidRDefault="00CF199C" w:rsidP="00CF199C">
            <w:pPr>
              <w:spacing w:after="160"/>
              <w:rPr>
                <w:rFonts w:cstheme="minorHAnsi"/>
                <w:sz w:val="24"/>
                <w:szCs w:val="24"/>
              </w:rPr>
            </w:pPr>
            <w:r w:rsidRPr="007915CE">
              <w:rPr>
                <w:rFonts w:cstheme="minorHAnsi"/>
                <w:sz w:val="24"/>
                <w:szCs w:val="24"/>
              </w:rPr>
              <w:t>21,218</w:t>
            </w:r>
          </w:p>
        </w:tc>
        <w:tc>
          <w:tcPr>
            <w:tcW w:w="1187" w:type="dxa"/>
            <w:vAlign w:val="center"/>
          </w:tcPr>
          <w:p w14:paraId="315A8273" w14:textId="77777777" w:rsidR="00CF199C" w:rsidRPr="007915CE" w:rsidRDefault="00CF199C" w:rsidP="00CF199C">
            <w:pPr>
              <w:spacing w:after="160"/>
              <w:rPr>
                <w:rFonts w:cstheme="minorHAnsi"/>
                <w:sz w:val="24"/>
                <w:szCs w:val="24"/>
              </w:rPr>
            </w:pPr>
            <w:r w:rsidRPr="007915CE">
              <w:rPr>
                <w:rFonts w:cstheme="minorHAnsi"/>
                <w:sz w:val="24"/>
                <w:szCs w:val="24"/>
              </w:rPr>
              <w:t>19,052</w:t>
            </w:r>
          </w:p>
        </w:tc>
        <w:tc>
          <w:tcPr>
            <w:tcW w:w="1187" w:type="dxa"/>
            <w:vAlign w:val="center"/>
          </w:tcPr>
          <w:p w14:paraId="784B38D6" w14:textId="77777777" w:rsidR="00CF199C" w:rsidRPr="007915CE" w:rsidRDefault="00CF199C" w:rsidP="00CF199C">
            <w:pPr>
              <w:spacing w:after="160"/>
              <w:rPr>
                <w:rFonts w:cstheme="minorHAnsi"/>
                <w:sz w:val="24"/>
                <w:szCs w:val="24"/>
              </w:rPr>
            </w:pPr>
            <w:r w:rsidRPr="007915CE">
              <w:rPr>
                <w:rFonts w:cstheme="minorHAnsi"/>
                <w:sz w:val="24"/>
                <w:szCs w:val="24"/>
              </w:rPr>
              <w:t>16,949</w:t>
            </w:r>
          </w:p>
        </w:tc>
        <w:tc>
          <w:tcPr>
            <w:tcW w:w="1186" w:type="dxa"/>
            <w:vAlign w:val="center"/>
          </w:tcPr>
          <w:p w14:paraId="78D05962" w14:textId="77777777" w:rsidR="00CF199C" w:rsidRPr="007915CE" w:rsidRDefault="00CF199C" w:rsidP="00CF199C">
            <w:pPr>
              <w:spacing w:after="160"/>
              <w:rPr>
                <w:rFonts w:cstheme="minorHAnsi"/>
                <w:sz w:val="24"/>
                <w:szCs w:val="24"/>
              </w:rPr>
            </w:pPr>
            <w:r w:rsidRPr="007915CE">
              <w:rPr>
                <w:rFonts w:cstheme="minorHAnsi"/>
                <w:sz w:val="24"/>
                <w:szCs w:val="24"/>
              </w:rPr>
              <w:t>8,232</w:t>
            </w:r>
          </w:p>
        </w:tc>
        <w:tc>
          <w:tcPr>
            <w:tcW w:w="1187" w:type="dxa"/>
            <w:vAlign w:val="center"/>
          </w:tcPr>
          <w:p w14:paraId="6C01F750" w14:textId="77777777" w:rsidR="00CF199C" w:rsidRPr="007915CE" w:rsidRDefault="00CF199C" w:rsidP="00CF199C">
            <w:pPr>
              <w:spacing w:after="160"/>
              <w:rPr>
                <w:rFonts w:cstheme="minorHAnsi"/>
                <w:sz w:val="24"/>
                <w:szCs w:val="24"/>
              </w:rPr>
            </w:pPr>
            <w:r w:rsidRPr="007915CE">
              <w:rPr>
                <w:rFonts w:cstheme="minorHAnsi"/>
                <w:sz w:val="24"/>
                <w:szCs w:val="24"/>
              </w:rPr>
              <w:t>9,808</w:t>
            </w:r>
          </w:p>
        </w:tc>
      </w:tr>
      <w:tr w:rsidR="007915CE" w:rsidRPr="007915CE" w14:paraId="782FCA68" w14:textId="77777777" w:rsidTr="00100D73">
        <w:trPr>
          <w:jc w:val="center"/>
        </w:trPr>
        <w:tc>
          <w:tcPr>
            <w:tcW w:w="2335" w:type="dxa"/>
            <w:vAlign w:val="center"/>
          </w:tcPr>
          <w:p w14:paraId="3328D43E" w14:textId="77777777" w:rsidR="00E21011" w:rsidRPr="007915CE" w:rsidRDefault="00E21011" w:rsidP="00E21011">
            <w:pPr>
              <w:spacing w:after="160"/>
              <w:rPr>
                <w:rFonts w:cstheme="minorHAnsi"/>
                <w:sz w:val="24"/>
                <w:szCs w:val="24"/>
              </w:rPr>
            </w:pPr>
            <w:r w:rsidRPr="007915CE">
              <w:rPr>
                <w:rFonts w:cstheme="minorHAnsi"/>
                <w:sz w:val="24"/>
                <w:szCs w:val="24"/>
              </w:rPr>
              <w:t>Average Daily Census</w:t>
            </w:r>
          </w:p>
        </w:tc>
        <w:tc>
          <w:tcPr>
            <w:tcW w:w="1081" w:type="dxa"/>
            <w:shd w:val="clear" w:color="auto" w:fill="FFFF00"/>
            <w:vAlign w:val="center"/>
          </w:tcPr>
          <w:p w14:paraId="406328E3" w14:textId="7AAE81E5" w:rsidR="00E21011" w:rsidRPr="007915CE" w:rsidRDefault="00E21011" w:rsidP="00E21011">
            <w:pPr>
              <w:spacing w:after="160"/>
              <w:rPr>
                <w:rFonts w:cstheme="minorHAnsi"/>
                <w:sz w:val="24"/>
                <w:szCs w:val="24"/>
              </w:rPr>
            </w:pPr>
            <w:r w:rsidRPr="007915CE">
              <w:rPr>
                <w:rFonts w:cstheme="minorHAnsi"/>
                <w:sz w:val="24"/>
                <w:szCs w:val="24"/>
              </w:rPr>
              <w:t>63</w:t>
            </w:r>
          </w:p>
        </w:tc>
        <w:tc>
          <w:tcPr>
            <w:tcW w:w="1187" w:type="dxa"/>
            <w:shd w:val="clear" w:color="auto" w:fill="auto"/>
            <w:vAlign w:val="center"/>
          </w:tcPr>
          <w:p w14:paraId="3724688D" w14:textId="77777777" w:rsidR="00E21011" w:rsidRPr="007915CE" w:rsidRDefault="00E21011" w:rsidP="00E21011">
            <w:pPr>
              <w:spacing w:after="160"/>
              <w:rPr>
                <w:rFonts w:cstheme="minorHAnsi"/>
                <w:sz w:val="24"/>
                <w:szCs w:val="24"/>
              </w:rPr>
            </w:pPr>
            <w:r w:rsidRPr="007915CE">
              <w:rPr>
                <w:rFonts w:cstheme="minorHAnsi"/>
                <w:sz w:val="24"/>
                <w:szCs w:val="24"/>
              </w:rPr>
              <w:t>58</w:t>
            </w:r>
          </w:p>
        </w:tc>
        <w:tc>
          <w:tcPr>
            <w:tcW w:w="1187" w:type="dxa"/>
            <w:shd w:val="clear" w:color="auto" w:fill="auto"/>
            <w:vAlign w:val="center"/>
          </w:tcPr>
          <w:p w14:paraId="0ACBCC22" w14:textId="77777777" w:rsidR="00E21011" w:rsidRPr="007915CE" w:rsidRDefault="00E21011" w:rsidP="00E21011">
            <w:pPr>
              <w:spacing w:after="160"/>
              <w:rPr>
                <w:rFonts w:cstheme="minorHAnsi"/>
                <w:sz w:val="24"/>
                <w:szCs w:val="24"/>
              </w:rPr>
            </w:pPr>
            <w:r w:rsidRPr="007915CE">
              <w:rPr>
                <w:rFonts w:cstheme="minorHAnsi"/>
                <w:sz w:val="24"/>
                <w:szCs w:val="24"/>
              </w:rPr>
              <w:t>52</w:t>
            </w:r>
          </w:p>
        </w:tc>
        <w:tc>
          <w:tcPr>
            <w:tcW w:w="1187" w:type="dxa"/>
            <w:shd w:val="clear" w:color="auto" w:fill="auto"/>
            <w:vAlign w:val="center"/>
          </w:tcPr>
          <w:p w14:paraId="4762DED6" w14:textId="77777777" w:rsidR="00E21011" w:rsidRPr="007915CE" w:rsidRDefault="00E21011" w:rsidP="00E21011">
            <w:pPr>
              <w:spacing w:after="160"/>
              <w:rPr>
                <w:rFonts w:cstheme="minorHAnsi"/>
                <w:sz w:val="24"/>
                <w:szCs w:val="24"/>
              </w:rPr>
            </w:pPr>
            <w:r w:rsidRPr="007915CE">
              <w:rPr>
                <w:rFonts w:cstheme="minorHAnsi"/>
                <w:sz w:val="24"/>
                <w:szCs w:val="24"/>
              </w:rPr>
              <w:t>46</w:t>
            </w:r>
          </w:p>
        </w:tc>
        <w:tc>
          <w:tcPr>
            <w:tcW w:w="1186" w:type="dxa"/>
            <w:shd w:val="clear" w:color="auto" w:fill="auto"/>
            <w:vAlign w:val="center"/>
          </w:tcPr>
          <w:p w14:paraId="370B9135" w14:textId="77777777" w:rsidR="00E21011" w:rsidRPr="007915CE" w:rsidRDefault="00E21011" w:rsidP="00E21011">
            <w:pPr>
              <w:spacing w:after="160"/>
              <w:rPr>
                <w:rFonts w:cstheme="minorHAnsi"/>
                <w:sz w:val="24"/>
                <w:szCs w:val="24"/>
              </w:rPr>
            </w:pPr>
            <w:r w:rsidRPr="007915CE">
              <w:rPr>
                <w:rFonts w:cstheme="minorHAnsi"/>
                <w:sz w:val="24"/>
                <w:szCs w:val="24"/>
              </w:rPr>
              <w:t>37</w:t>
            </w:r>
          </w:p>
        </w:tc>
        <w:tc>
          <w:tcPr>
            <w:tcW w:w="1187" w:type="dxa"/>
            <w:shd w:val="clear" w:color="auto" w:fill="auto"/>
            <w:vAlign w:val="center"/>
          </w:tcPr>
          <w:p w14:paraId="51CE7372" w14:textId="77777777" w:rsidR="00E21011" w:rsidRPr="007915CE" w:rsidRDefault="00E21011" w:rsidP="00E21011">
            <w:pPr>
              <w:spacing w:after="160"/>
              <w:rPr>
                <w:rFonts w:cstheme="minorHAnsi"/>
                <w:sz w:val="24"/>
                <w:szCs w:val="24"/>
              </w:rPr>
            </w:pPr>
            <w:r w:rsidRPr="007915CE">
              <w:rPr>
                <w:rFonts w:cstheme="minorHAnsi"/>
                <w:sz w:val="24"/>
                <w:szCs w:val="24"/>
              </w:rPr>
              <w:t>30</w:t>
            </w:r>
          </w:p>
        </w:tc>
      </w:tr>
      <w:tr w:rsidR="007915CE" w:rsidRPr="007915CE" w14:paraId="161E7314" w14:textId="77777777" w:rsidTr="00100D73">
        <w:trPr>
          <w:jc w:val="center"/>
        </w:trPr>
        <w:tc>
          <w:tcPr>
            <w:tcW w:w="2335" w:type="dxa"/>
            <w:vAlign w:val="center"/>
          </w:tcPr>
          <w:p w14:paraId="5C74EA7F" w14:textId="77777777" w:rsidR="00E21011" w:rsidRPr="007915CE" w:rsidRDefault="00E21011" w:rsidP="00E21011">
            <w:pPr>
              <w:spacing w:after="160"/>
              <w:rPr>
                <w:rFonts w:cstheme="minorHAnsi"/>
                <w:sz w:val="24"/>
                <w:szCs w:val="24"/>
              </w:rPr>
            </w:pPr>
            <w:r w:rsidRPr="007915CE">
              <w:rPr>
                <w:rFonts w:cstheme="minorHAnsi"/>
                <w:sz w:val="24"/>
                <w:szCs w:val="24"/>
              </w:rPr>
              <w:t xml:space="preserve">Occupancy </w:t>
            </w:r>
          </w:p>
        </w:tc>
        <w:tc>
          <w:tcPr>
            <w:tcW w:w="1081" w:type="dxa"/>
            <w:shd w:val="clear" w:color="auto" w:fill="FFFF00"/>
            <w:vAlign w:val="center"/>
          </w:tcPr>
          <w:p w14:paraId="0C54E793" w14:textId="13BA378A" w:rsidR="00E21011" w:rsidRPr="007915CE" w:rsidRDefault="00E21011" w:rsidP="00E21011">
            <w:pPr>
              <w:spacing w:after="160"/>
              <w:rPr>
                <w:rFonts w:cstheme="minorHAnsi"/>
                <w:sz w:val="24"/>
                <w:szCs w:val="24"/>
              </w:rPr>
            </w:pPr>
            <w:r w:rsidRPr="007915CE">
              <w:rPr>
                <w:rFonts w:cstheme="minorHAnsi"/>
                <w:sz w:val="24"/>
                <w:szCs w:val="24"/>
              </w:rPr>
              <w:t>71%</w:t>
            </w:r>
          </w:p>
        </w:tc>
        <w:tc>
          <w:tcPr>
            <w:tcW w:w="1187" w:type="dxa"/>
            <w:shd w:val="clear" w:color="auto" w:fill="auto"/>
            <w:vAlign w:val="center"/>
          </w:tcPr>
          <w:p w14:paraId="3044B949" w14:textId="77777777" w:rsidR="00E21011" w:rsidRPr="007915CE" w:rsidRDefault="00E21011" w:rsidP="00E21011">
            <w:pPr>
              <w:spacing w:after="160"/>
              <w:rPr>
                <w:rFonts w:cstheme="minorHAnsi"/>
                <w:sz w:val="24"/>
                <w:szCs w:val="24"/>
              </w:rPr>
            </w:pPr>
            <w:r w:rsidRPr="007915CE">
              <w:rPr>
                <w:rFonts w:cstheme="minorHAnsi"/>
                <w:sz w:val="24"/>
                <w:szCs w:val="24"/>
              </w:rPr>
              <w:t>97%</w:t>
            </w:r>
          </w:p>
        </w:tc>
        <w:tc>
          <w:tcPr>
            <w:tcW w:w="1187" w:type="dxa"/>
            <w:shd w:val="clear" w:color="auto" w:fill="auto"/>
            <w:vAlign w:val="center"/>
          </w:tcPr>
          <w:p w14:paraId="5784F8EA" w14:textId="77777777" w:rsidR="00E21011" w:rsidRPr="007915CE" w:rsidRDefault="00E21011" w:rsidP="00E21011">
            <w:pPr>
              <w:spacing w:after="160"/>
              <w:rPr>
                <w:rFonts w:cstheme="minorHAnsi"/>
                <w:sz w:val="24"/>
                <w:szCs w:val="24"/>
              </w:rPr>
            </w:pPr>
            <w:r w:rsidRPr="007915CE">
              <w:rPr>
                <w:rFonts w:cstheme="minorHAnsi"/>
                <w:sz w:val="24"/>
                <w:szCs w:val="24"/>
              </w:rPr>
              <w:t>85%</w:t>
            </w:r>
          </w:p>
        </w:tc>
        <w:tc>
          <w:tcPr>
            <w:tcW w:w="1187" w:type="dxa"/>
            <w:shd w:val="clear" w:color="auto" w:fill="auto"/>
            <w:vAlign w:val="center"/>
          </w:tcPr>
          <w:p w14:paraId="234E0938" w14:textId="77777777" w:rsidR="00E21011" w:rsidRPr="007915CE" w:rsidRDefault="00E21011" w:rsidP="00E21011">
            <w:pPr>
              <w:spacing w:after="160"/>
              <w:rPr>
                <w:rFonts w:cstheme="minorHAnsi"/>
                <w:sz w:val="24"/>
                <w:szCs w:val="24"/>
              </w:rPr>
            </w:pPr>
            <w:r w:rsidRPr="007915CE">
              <w:rPr>
                <w:rFonts w:cstheme="minorHAnsi"/>
                <w:sz w:val="24"/>
                <w:szCs w:val="24"/>
              </w:rPr>
              <w:t>75%</w:t>
            </w:r>
          </w:p>
        </w:tc>
        <w:tc>
          <w:tcPr>
            <w:tcW w:w="1186" w:type="dxa"/>
            <w:shd w:val="clear" w:color="auto" w:fill="auto"/>
            <w:vAlign w:val="center"/>
          </w:tcPr>
          <w:p w14:paraId="03C46584" w14:textId="77777777" w:rsidR="00E21011" w:rsidRPr="007915CE" w:rsidRDefault="00E21011" w:rsidP="00E21011">
            <w:pPr>
              <w:spacing w:after="160"/>
              <w:rPr>
                <w:rFonts w:cstheme="minorHAnsi"/>
                <w:sz w:val="24"/>
                <w:szCs w:val="24"/>
              </w:rPr>
            </w:pPr>
            <w:r w:rsidRPr="007915CE">
              <w:rPr>
                <w:rFonts w:cstheme="minorHAnsi"/>
                <w:sz w:val="24"/>
                <w:szCs w:val="24"/>
              </w:rPr>
              <w:t>61%</w:t>
            </w:r>
          </w:p>
        </w:tc>
        <w:tc>
          <w:tcPr>
            <w:tcW w:w="1187" w:type="dxa"/>
            <w:shd w:val="clear" w:color="auto" w:fill="auto"/>
            <w:vAlign w:val="center"/>
          </w:tcPr>
          <w:p w14:paraId="207726F6" w14:textId="77777777" w:rsidR="00E21011" w:rsidRPr="007915CE" w:rsidRDefault="00E21011" w:rsidP="00E21011">
            <w:pPr>
              <w:spacing w:after="160"/>
              <w:rPr>
                <w:rFonts w:cstheme="minorHAnsi"/>
                <w:sz w:val="24"/>
                <w:szCs w:val="24"/>
              </w:rPr>
            </w:pPr>
            <w:r w:rsidRPr="007915CE">
              <w:rPr>
                <w:rFonts w:cstheme="minorHAnsi"/>
                <w:sz w:val="24"/>
                <w:szCs w:val="24"/>
              </w:rPr>
              <w:t>49%</w:t>
            </w:r>
          </w:p>
        </w:tc>
      </w:tr>
      <w:tr w:rsidR="007915CE" w:rsidRPr="007915CE" w14:paraId="4A3D07AE" w14:textId="77777777" w:rsidTr="00100D73">
        <w:trPr>
          <w:trHeight w:val="350"/>
          <w:jc w:val="center"/>
        </w:trPr>
        <w:tc>
          <w:tcPr>
            <w:tcW w:w="2335" w:type="dxa"/>
            <w:vAlign w:val="center"/>
          </w:tcPr>
          <w:p w14:paraId="29317339" w14:textId="77777777" w:rsidR="00E21011" w:rsidRPr="007915CE" w:rsidRDefault="00E21011" w:rsidP="00E21011">
            <w:pPr>
              <w:spacing w:after="160"/>
              <w:rPr>
                <w:rFonts w:cstheme="minorHAnsi"/>
                <w:sz w:val="24"/>
                <w:szCs w:val="24"/>
              </w:rPr>
            </w:pPr>
            <w:r w:rsidRPr="007915CE">
              <w:rPr>
                <w:rFonts w:cstheme="minorHAnsi"/>
                <w:sz w:val="24"/>
                <w:szCs w:val="24"/>
              </w:rPr>
              <w:t>Individual Patients</w:t>
            </w:r>
          </w:p>
        </w:tc>
        <w:tc>
          <w:tcPr>
            <w:tcW w:w="1081" w:type="dxa"/>
            <w:shd w:val="clear" w:color="auto" w:fill="auto"/>
            <w:vAlign w:val="center"/>
          </w:tcPr>
          <w:p w14:paraId="691E2AF2" w14:textId="6B2FE1B4" w:rsidR="00E21011" w:rsidRPr="007915CE" w:rsidRDefault="00E21011" w:rsidP="00E21011">
            <w:pPr>
              <w:spacing w:after="160"/>
              <w:rPr>
                <w:rFonts w:cstheme="minorHAnsi"/>
                <w:sz w:val="24"/>
                <w:szCs w:val="24"/>
              </w:rPr>
            </w:pPr>
            <w:r w:rsidRPr="007915CE">
              <w:rPr>
                <w:rFonts w:cstheme="minorHAnsi"/>
                <w:sz w:val="24"/>
                <w:szCs w:val="24"/>
              </w:rPr>
              <w:t>87</w:t>
            </w:r>
          </w:p>
        </w:tc>
        <w:tc>
          <w:tcPr>
            <w:tcW w:w="1187" w:type="dxa"/>
            <w:shd w:val="clear" w:color="auto" w:fill="auto"/>
            <w:vAlign w:val="center"/>
          </w:tcPr>
          <w:p w14:paraId="45626C91" w14:textId="77777777" w:rsidR="00E21011" w:rsidRPr="007915CE" w:rsidRDefault="00E21011" w:rsidP="00E21011">
            <w:pPr>
              <w:spacing w:after="160"/>
              <w:rPr>
                <w:rFonts w:cstheme="minorHAnsi"/>
                <w:sz w:val="24"/>
                <w:szCs w:val="24"/>
              </w:rPr>
            </w:pPr>
            <w:r w:rsidRPr="007915CE">
              <w:rPr>
                <w:rFonts w:cstheme="minorHAnsi"/>
                <w:sz w:val="24"/>
                <w:szCs w:val="24"/>
              </w:rPr>
              <w:t>75</w:t>
            </w:r>
          </w:p>
        </w:tc>
        <w:tc>
          <w:tcPr>
            <w:tcW w:w="1187" w:type="dxa"/>
            <w:shd w:val="clear" w:color="auto" w:fill="auto"/>
            <w:vAlign w:val="center"/>
          </w:tcPr>
          <w:p w14:paraId="6BEBCAAB" w14:textId="77777777" w:rsidR="00E21011" w:rsidRPr="007915CE" w:rsidRDefault="00E21011" w:rsidP="00E21011">
            <w:pPr>
              <w:spacing w:after="160"/>
              <w:rPr>
                <w:rFonts w:cstheme="minorHAnsi"/>
                <w:sz w:val="24"/>
                <w:szCs w:val="24"/>
              </w:rPr>
            </w:pPr>
            <w:r w:rsidRPr="007915CE">
              <w:rPr>
                <w:rFonts w:cstheme="minorHAnsi"/>
                <w:sz w:val="24"/>
                <w:szCs w:val="24"/>
              </w:rPr>
              <w:t>65</w:t>
            </w:r>
          </w:p>
        </w:tc>
        <w:tc>
          <w:tcPr>
            <w:tcW w:w="1187" w:type="dxa"/>
            <w:shd w:val="clear" w:color="auto" w:fill="FFFF00"/>
            <w:vAlign w:val="center"/>
          </w:tcPr>
          <w:p w14:paraId="4FCAF3B6" w14:textId="1DB3241A" w:rsidR="00E21011" w:rsidRPr="007915CE" w:rsidRDefault="00E21011" w:rsidP="00E21011">
            <w:pPr>
              <w:spacing w:after="160"/>
              <w:rPr>
                <w:rFonts w:cstheme="minorHAnsi"/>
                <w:sz w:val="24"/>
                <w:szCs w:val="24"/>
              </w:rPr>
            </w:pPr>
            <w:r w:rsidRPr="007915CE">
              <w:rPr>
                <w:rFonts w:cstheme="minorHAnsi"/>
                <w:sz w:val="24"/>
                <w:szCs w:val="24"/>
              </w:rPr>
              <w:t>49</w:t>
            </w:r>
          </w:p>
        </w:tc>
        <w:tc>
          <w:tcPr>
            <w:tcW w:w="1186" w:type="dxa"/>
            <w:shd w:val="clear" w:color="auto" w:fill="FFFF00"/>
            <w:vAlign w:val="center"/>
          </w:tcPr>
          <w:p w14:paraId="37F4750B" w14:textId="57221E79" w:rsidR="00E21011" w:rsidRPr="007915CE" w:rsidRDefault="00E21011" w:rsidP="00E21011">
            <w:pPr>
              <w:spacing w:after="160"/>
              <w:rPr>
                <w:rFonts w:cstheme="minorHAnsi"/>
                <w:sz w:val="24"/>
                <w:szCs w:val="24"/>
              </w:rPr>
            </w:pPr>
            <w:r w:rsidRPr="007915CE">
              <w:rPr>
                <w:rFonts w:cstheme="minorHAnsi"/>
                <w:sz w:val="24"/>
                <w:szCs w:val="24"/>
              </w:rPr>
              <w:t>45</w:t>
            </w:r>
          </w:p>
        </w:tc>
        <w:tc>
          <w:tcPr>
            <w:tcW w:w="1187" w:type="dxa"/>
            <w:shd w:val="clear" w:color="auto" w:fill="FFFF00"/>
            <w:vAlign w:val="center"/>
          </w:tcPr>
          <w:p w14:paraId="383AFE5D" w14:textId="77777777" w:rsidR="00E21011" w:rsidRPr="007915CE" w:rsidRDefault="00E21011" w:rsidP="00E21011">
            <w:pPr>
              <w:spacing w:after="160"/>
              <w:rPr>
                <w:rFonts w:cstheme="minorHAnsi"/>
                <w:sz w:val="24"/>
                <w:szCs w:val="24"/>
              </w:rPr>
            </w:pPr>
            <w:r w:rsidRPr="007915CE">
              <w:rPr>
                <w:rFonts w:cstheme="minorHAnsi"/>
                <w:sz w:val="24"/>
                <w:szCs w:val="24"/>
              </w:rPr>
              <w:t>30</w:t>
            </w:r>
          </w:p>
        </w:tc>
      </w:tr>
      <w:tr w:rsidR="007915CE" w:rsidRPr="007915CE" w14:paraId="43DEBAC0" w14:textId="77777777" w:rsidTr="00100D73">
        <w:trPr>
          <w:jc w:val="center"/>
        </w:trPr>
        <w:tc>
          <w:tcPr>
            <w:tcW w:w="2335" w:type="dxa"/>
            <w:vAlign w:val="center"/>
          </w:tcPr>
          <w:p w14:paraId="225C8C82" w14:textId="77777777" w:rsidR="00E21011" w:rsidRPr="007915CE" w:rsidRDefault="00E21011" w:rsidP="00E21011">
            <w:pPr>
              <w:spacing w:after="160"/>
              <w:rPr>
                <w:rFonts w:cstheme="minorHAnsi"/>
                <w:sz w:val="24"/>
                <w:szCs w:val="24"/>
              </w:rPr>
            </w:pPr>
            <w:r w:rsidRPr="007915CE">
              <w:rPr>
                <w:rFonts w:cstheme="minorHAnsi"/>
                <w:sz w:val="24"/>
                <w:szCs w:val="24"/>
              </w:rPr>
              <w:t>ALOS</w:t>
            </w:r>
          </w:p>
        </w:tc>
        <w:tc>
          <w:tcPr>
            <w:tcW w:w="1081" w:type="dxa"/>
            <w:shd w:val="clear" w:color="auto" w:fill="FFFF00"/>
            <w:vAlign w:val="center"/>
          </w:tcPr>
          <w:p w14:paraId="53871916" w14:textId="26F2AE34" w:rsidR="00E21011" w:rsidRPr="007915CE" w:rsidRDefault="00E21011" w:rsidP="00E21011">
            <w:pPr>
              <w:spacing w:after="160"/>
              <w:rPr>
                <w:rFonts w:cstheme="minorHAnsi"/>
                <w:sz w:val="24"/>
                <w:szCs w:val="24"/>
              </w:rPr>
            </w:pPr>
            <w:r w:rsidRPr="007915CE">
              <w:rPr>
                <w:rFonts w:cstheme="minorHAnsi"/>
                <w:sz w:val="24"/>
                <w:szCs w:val="24"/>
              </w:rPr>
              <w:t>1.6 yrs.</w:t>
            </w:r>
          </w:p>
        </w:tc>
        <w:tc>
          <w:tcPr>
            <w:tcW w:w="1187" w:type="dxa"/>
            <w:shd w:val="clear" w:color="auto" w:fill="FFFF00"/>
            <w:vAlign w:val="center"/>
          </w:tcPr>
          <w:p w14:paraId="00DA543C" w14:textId="0CD86B47" w:rsidR="00E21011" w:rsidRPr="007915CE" w:rsidRDefault="00E21011" w:rsidP="00E21011">
            <w:pPr>
              <w:spacing w:after="160"/>
              <w:rPr>
                <w:rFonts w:cstheme="minorHAnsi"/>
                <w:sz w:val="24"/>
                <w:szCs w:val="24"/>
              </w:rPr>
            </w:pPr>
            <w:r w:rsidRPr="007915CE">
              <w:rPr>
                <w:rFonts w:cstheme="minorHAnsi"/>
                <w:sz w:val="24"/>
                <w:szCs w:val="24"/>
              </w:rPr>
              <w:t>2.2 yrs.</w:t>
            </w:r>
          </w:p>
        </w:tc>
        <w:tc>
          <w:tcPr>
            <w:tcW w:w="1187" w:type="dxa"/>
            <w:shd w:val="clear" w:color="auto" w:fill="FFFF00"/>
            <w:vAlign w:val="center"/>
          </w:tcPr>
          <w:p w14:paraId="52DE4335" w14:textId="659839DD" w:rsidR="00E21011" w:rsidRPr="007915CE" w:rsidRDefault="00E21011" w:rsidP="00E21011">
            <w:pPr>
              <w:spacing w:after="160"/>
              <w:rPr>
                <w:rFonts w:cstheme="minorHAnsi"/>
                <w:sz w:val="24"/>
                <w:szCs w:val="24"/>
              </w:rPr>
            </w:pPr>
            <w:r w:rsidRPr="007915CE">
              <w:rPr>
                <w:rFonts w:cstheme="minorHAnsi"/>
                <w:sz w:val="24"/>
                <w:szCs w:val="24"/>
              </w:rPr>
              <w:t>3.7 yrs.</w:t>
            </w:r>
          </w:p>
        </w:tc>
        <w:tc>
          <w:tcPr>
            <w:tcW w:w="1187" w:type="dxa"/>
            <w:shd w:val="clear" w:color="auto" w:fill="FFFF00"/>
            <w:vAlign w:val="center"/>
          </w:tcPr>
          <w:p w14:paraId="33C5380D" w14:textId="1BF0C088" w:rsidR="00E21011" w:rsidRPr="007915CE" w:rsidRDefault="00E21011" w:rsidP="00E21011">
            <w:pPr>
              <w:spacing w:after="160"/>
              <w:rPr>
                <w:rFonts w:cstheme="minorHAnsi"/>
                <w:sz w:val="24"/>
                <w:szCs w:val="24"/>
              </w:rPr>
            </w:pPr>
            <w:r w:rsidRPr="007915CE">
              <w:rPr>
                <w:rFonts w:cstheme="minorHAnsi"/>
                <w:sz w:val="24"/>
                <w:szCs w:val="24"/>
              </w:rPr>
              <w:t>4.0 yrs.</w:t>
            </w:r>
          </w:p>
        </w:tc>
        <w:tc>
          <w:tcPr>
            <w:tcW w:w="1186" w:type="dxa"/>
            <w:shd w:val="clear" w:color="auto" w:fill="FFFF00"/>
            <w:vAlign w:val="center"/>
          </w:tcPr>
          <w:p w14:paraId="300409F7" w14:textId="7E16F4CC" w:rsidR="00E21011" w:rsidRPr="007915CE" w:rsidRDefault="00E21011" w:rsidP="00E21011">
            <w:pPr>
              <w:spacing w:after="160"/>
              <w:rPr>
                <w:rFonts w:cstheme="minorHAnsi"/>
                <w:sz w:val="24"/>
                <w:szCs w:val="24"/>
              </w:rPr>
            </w:pPr>
            <w:r w:rsidRPr="007915CE">
              <w:rPr>
                <w:rFonts w:cstheme="minorHAnsi"/>
                <w:sz w:val="24"/>
                <w:szCs w:val="24"/>
              </w:rPr>
              <w:t>3.8 yrs.</w:t>
            </w:r>
          </w:p>
        </w:tc>
        <w:tc>
          <w:tcPr>
            <w:tcW w:w="1187" w:type="dxa"/>
            <w:shd w:val="clear" w:color="auto" w:fill="FFFF00"/>
            <w:vAlign w:val="center"/>
          </w:tcPr>
          <w:p w14:paraId="25FF07E6" w14:textId="51BA3CAE" w:rsidR="00E21011" w:rsidRPr="007915CE" w:rsidRDefault="00E21011" w:rsidP="00E21011">
            <w:pPr>
              <w:spacing w:after="160"/>
              <w:rPr>
                <w:rFonts w:cstheme="minorHAnsi"/>
                <w:sz w:val="24"/>
                <w:szCs w:val="24"/>
              </w:rPr>
            </w:pPr>
            <w:r w:rsidRPr="007915CE">
              <w:rPr>
                <w:rFonts w:cstheme="minorHAnsi"/>
                <w:sz w:val="24"/>
                <w:szCs w:val="24"/>
              </w:rPr>
              <w:t>5.5 yrs.</w:t>
            </w:r>
          </w:p>
        </w:tc>
      </w:tr>
    </w:tbl>
    <w:p w14:paraId="7CBA6F3D" w14:textId="77777777" w:rsidR="00CF199C" w:rsidRPr="007915CE" w:rsidRDefault="00CF199C" w:rsidP="00853112">
      <w:pPr>
        <w:spacing w:line="240" w:lineRule="auto"/>
        <w:rPr>
          <w:rFonts w:cstheme="minorHAnsi"/>
          <w:sz w:val="24"/>
          <w:szCs w:val="24"/>
        </w:rPr>
      </w:pPr>
    </w:p>
    <w:p w14:paraId="65E52271" w14:textId="1B0E460B" w:rsidR="00890B6D" w:rsidRPr="007915CE" w:rsidRDefault="00CF199C">
      <w:pPr>
        <w:rPr>
          <w:rFonts w:cstheme="minorHAnsi"/>
          <w:b/>
          <w:bCs/>
          <w:sz w:val="24"/>
          <w:szCs w:val="24"/>
        </w:rPr>
      </w:pPr>
      <w:r w:rsidRPr="007915CE">
        <w:rPr>
          <w:rFonts w:cstheme="minorHAnsi"/>
          <w:b/>
          <w:bCs/>
          <w:sz w:val="24"/>
          <w:szCs w:val="24"/>
        </w:rPr>
        <w:t>4</w:t>
      </w:r>
      <w:r w:rsidR="00890B6D" w:rsidRPr="007915CE">
        <w:rPr>
          <w:rFonts w:cstheme="minorHAnsi"/>
          <w:b/>
          <w:bCs/>
          <w:sz w:val="24"/>
          <w:szCs w:val="24"/>
        </w:rPr>
        <w:t xml:space="preserve">. </w:t>
      </w:r>
      <w:r w:rsidR="005D435A" w:rsidRPr="007915CE">
        <w:rPr>
          <w:rFonts w:cstheme="minorHAnsi"/>
          <w:b/>
          <w:bCs/>
          <w:sz w:val="24"/>
          <w:szCs w:val="24"/>
        </w:rPr>
        <w:t xml:space="preserve">You note </w:t>
      </w:r>
      <w:r w:rsidR="00DD510A" w:rsidRPr="007915CE">
        <w:rPr>
          <w:rFonts w:cstheme="minorHAnsi"/>
          <w:b/>
          <w:bCs/>
          <w:sz w:val="24"/>
          <w:szCs w:val="24"/>
        </w:rPr>
        <w:t>(</w:t>
      </w:r>
      <w:r w:rsidR="00D6287B" w:rsidRPr="007915CE">
        <w:rPr>
          <w:rFonts w:cstheme="minorHAnsi"/>
          <w:b/>
          <w:bCs/>
          <w:sz w:val="24"/>
          <w:szCs w:val="24"/>
        </w:rPr>
        <w:t xml:space="preserve">Narrative P2) </w:t>
      </w:r>
      <w:r w:rsidR="005D435A" w:rsidRPr="007915CE">
        <w:rPr>
          <w:rFonts w:cstheme="minorHAnsi"/>
          <w:b/>
          <w:bCs/>
          <w:sz w:val="24"/>
          <w:szCs w:val="24"/>
        </w:rPr>
        <w:t xml:space="preserve">that historically the facility has had 90% occupancy rates and that now you can only serve 30 patients. </w:t>
      </w:r>
    </w:p>
    <w:p w14:paraId="5A60EE17" w14:textId="77777777" w:rsidR="005A71A1" w:rsidRPr="007915CE" w:rsidRDefault="005D435A" w:rsidP="00890B6D">
      <w:pPr>
        <w:pStyle w:val="ListParagraph"/>
        <w:numPr>
          <w:ilvl w:val="0"/>
          <w:numId w:val="3"/>
        </w:numPr>
        <w:rPr>
          <w:rFonts w:cstheme="minorHAnsi"/>
          <w:b/>
          <w:bCs/>
          <w:sz w:val="24"/>
          <w:szCs w:val="24"/>
        </w:rPr>
      </w:pPr>
      <w:r w:rsidRPr="007915CE">
        <w:rPr>
          <w:rFonts w:cstheme="minorHAnsi"/>
          <w:b/>
          <w:bCs/>
          <w:sz w:val="24"/>
          <w:szCs w:val="24"/>
        </w:rPr>
        <w:t xml:space="preserve">Please explain further </w:t>
      </w:r>
      <w:r w:rsidR="00890B6D" w:rsidRPr="007915CE">
        <w:rPr>
          <w:rFonts w:cstheme="minorHAnsi"/>
          <w:b/>
          <w:bCs/>
          <w:sz w:val="24"/>
          <w:szCs w:val="24"/>
        </w:rPr>
        <w:t xml:space="preserve">the extent this </w:t>
      </w:r>
      <w:r w:rsidRPr="007915CE">
        <w:rPr>
          <w:rFonts w:cstheme="minorHAnsi"/>
          <w:b/>
          <w:bCs/>
          <w:sz w:val="24"/>
          <w:szCs w:val="24"/>
        </w:rPr>
        <w:t xml:space="preserve">is due </w:t>
      </w:r>
      <w:r w:rsidR="00890B6D" w:rsidRPr="007915CE">
        <w:rPr>
          <w:rFonts w:cstheme="minorHAnsi"/>
          <w:b/>
          <w:bCs/>
          <w:sz w:val="24"/>
          <w:szCs w:val="24"/>
        </w:rPr>
        <w:t xml:space="preserve">to constraints related to </w:t>
      </w:r>
      <w:r w:rsidR="004A6A12" w:rsidRPr="007915CE">
        <w:rPr>
          <w:rFonts w:cstheme="minorHAnsi"/>
          <w:b/>
          <w:bCs/>
          <w:sz w:val="24"/>
          <w:szCs w:val="24"/>
        </w:rPr>
        <w:t xml:space="preserve">1) </w:t>
      </w:r>
      <w:r w:rsidRPr="007915CE">
        <w:rPr>
          <w:rFonts w:cstheme="minorHAnsi"/>
          <w:b/>
          <w:bCs/>
          <w:sz w:val="24"/>
          <w:szCs w:val="24"/>
        </w:rPr>
        <w:t>staffing</w:t>
      </w:r>
      <w:r w:rsidR="00BE703B" w:rsidRPr="007915CE">
        <w:rPr>
          <w:rFonts w:cstheme="minorHAnsi"/>
          <w:b/>
          <w:bCs/>
          <w:sz w:val="24"/>
          <w:szCs w:val="24"/>
        </w:rPr>
        <w:t>,</w:t>
      </w:r>
      <w:r w:rsidRPr="007915CE">
        <w:rPr>
          <w:rFonts w:cstheme="minorHAnsi"/>
          <w:b/>
          <w:bCs/>
          <w:sz w:val="24"/>
          <w:szCs w:val="24"/>
        </w:rPr>
        <w:t xml:space="preserve"> </w:t>
      </w:r>
      <w:r w:rsidR="004A6A12" w:rsidRPr="007915CE">
        <w:rPr>
          <w:rFonts w:cstheme="minorHAnsi"/>
          <w:b/>
          <w:bCs/>
          <w:sz w:val="24"/>
          <w:szCs w:val="24"/>
        </w:rPr>
        <w:t xml:space="preserve">2) </w:t>
      </w:r>
      <w:r w:rsidR="00890B6D" w:rsidRPr="007915CE">
        <w:rPr>
          <w:rFonts w:cstheme="minorHAnsi"/>
          <w:b/>
          <w:bCs/>
          <w:sz w:val="24"/>
          <w:szCs w:val="24"/>
        </w:rPr>
        <w:t xml:space="preserve">the issues of infection control and </w:t>
      </w:r>
      <w:r w:rsidR="004A6A12" w:rsidRPr="007915CE">
        <w:rPr>
          <w:rFonts w:cstheme="minorHAnsi"/>
          <w:b/>
          <w:bCs/>
          <w:sz w:val="24"/>
          <w:szCs w:val="24"/>
        </w:rPr>
        <w:t xml:space="preserve">3) </w:t>
      </w:r>
      <w:r w:rsidR="003B71D0" w:rsidRPr="007915CE">
        <w:rPr>
          <w:rFonts w:cstheme="minorHAnsi"/>
          <w:b/>
          <w:bCs/>
          <w:sz w:val="24"/>
          <w:szCs w:val="24"/>
        </w:rPr>
        <w:t xml:space="preserve">the </w:t>
      </w:r>
      <w:r w:rsidR="00890B6D" w:rsidRPr="007915CE">
        <w:rPr>
          <w:rFonts w:cstheme="minorHAnsi"/>
          <w:b/>
          <w:bCs/>
          <w:sz w:val="24"/>
          <w:szCs w:val="24"/>
        </w:rPr>
        <w:t>multi-bedded room</w:t>
      </w:r>
      <w:r w:rsidR="003B71D0" w:rsidRPr="007915CE">
        <w:rPr>
          <w:rFonts w:cstheme="minorHAnsi"/>
          <w:b/>
          <w:bCs/>
          <w:sz w:val="24"/>
          <w:szCs w:val="24"/>
        </w:rPr>
        <w:t xml:space="preserve"> blocks</w:t>
      </w:r>
      <w:r w:rsidR="000E083B" w:rsidRPr="007915CE">
        <w:rPr>
          <w:rFonts w:cstheme="minorHAnsi"/>
          <w:b/>
          <w:bCs/>
          <w:sz w:val="24"/>
          <w:szCs w:val="24"/>
        </w:rPr>
        <w:t>, other than infection control.</w:t>
      </w:r>
      <w:r w:rsidR="00890B6D" w:rsidRPr="007915CE">
        <w:rPr>
          <w:rFonts w:cstheme="minorHAnsi"/>
          <w:b/>
          <w:bCs/>
          <w:sz w:val="24"/>
          <w:szCs w:val="24"/>
        </w:rPr>
        <w:t xml:space="preserve"> </w:t>
      </w:r>
    </w:p>
    <w:p w14:paraId="351F0AC0" w14:textId="539ADDD8" w:rsidR="002F26D1" w:rsidRPr="007915CE" w:rsidRDefault="00E21011" w:rsidP="005A71A1">
      <w:pPr>
        <w:pStyle w:val="ListParagraph"/>
        <w:rPr>
          <w:rFonts w:cstheme="minorHAnsi"/>
          <w:sz w:val="24"/>
          <w:szCs w:val="24"/>
        </w:rPr>
      </w:pPr>
      <w:r w:rsidRPr="007915CE">
        <w:rPr>
          <w:rFonts w:cstheme="minorHAnsi"/>
          <w:sz w:val="24"/>
          <w:szCs w:val="24"/>
        </w:rPr>
        <w:t>The decrease is entirely due to staffing. In the char</w:t>
      </w:r>
      <w:r w:rsidR="00BB1633" w:rsidRPr="007915CE">
        <w:rPr>
          <w:rFonts w:cstheme="minorHAnsi"/>
          <w:sz w:val="24"/>
          <w:szCs w:val="24"/>
        </w:rPr>
        <w:t>t</w:t>
      </w:r>
      <w:r w:rsidRPr="007915CE">
        <w:rPr>
          <w:rFonts w:cstheme="minorHAnsi"/>
          <w:sz w:val="24"/>
          <w:szCs w:val="24"/>
        </w:rPr>
        <w:t xml:space="preserve"> below, please see the notes for FY18 and FY19. In FY21 and FY22, WNR has had a waiting list of eligible residents. In FY21, travel staff were difficult to find. In FY22, travel staff are more available but there is no workforce housing available on the island. </w:t>
      </w:r>
      <w:r w:rsidR="0077675D" w:rsidRPr="007915CE">
        <w:rPr>
          <w:rFonts w:cstheme="minorHAnsi"/>
          <w:sz w:val="24"/>
          <w:szCs w:val="24"/>
        </w:rPr>
        <w:t xml:space="preserve"> </w:t>
      </w:r>
    </w:p>
    <w:p w14:paraId="773D7A1D" w14:textId="77777777" w:rsidR="005A71A1" w:rsidRPr="007915CE" w:rsidRDefault="005A71A1" w:rsidP="005A71A1">
      <w:pPr>
        <w:pStyle w:val="ListParagraph"/>
        <w:rPr>
          <w:rFonts w:cstheme="minorHAnsi"/>
          <w:sz w:val="24"/>
          <w:szCs w:val="24"/>
        </w:rPr>
      </w:pPr>
    </w:p>
    <w:p w14:paraId="69E0546E" w14:textId="5DB1BC0B" w:rsidR="00890B6D" w:rsidRPr="007915CE" w:rsidRDefault="00890B6D" w:rsidP="00890B6D">
      <w:pPr>
        <w:pStyle w:val="ListParagraph"/>
        <w:numPr>
          <w:ilvl w:val="0"/>
          <w:numId w:val="3"/>
        </w:numPr>
        <w:rPr>
          <w:rFonts w:cstheme="minorHAnsi"/>
          <w:b/>
          <w:bCs/>
          <w:sz w:val="24"/>
          <w:szCs w:val="24"/>
        </w:rPr>
      </w:pPr>
      <w:r w:rsidRPr="007915CE">
        <w:rPr>
          <w:rFonts w:cstheme="minorHAnsi"/>
          <w:b/>
          <w:bCs/>
          <w:sz w:val="24"/>
          <w:szCs w:val="24"/>
        </w:rPr>
        <w:t>Provide a breakdown of the room configurations- Private, double, 3 bed, and 4 bed</w:t>
      </w:r>
      <w:r w:rsidR="004A6A12" w:rsidRPr="007915CE">
        <w:rPr>
          <w:rFonts w:cstheme="minorHAnsi"/>
          <w:b/>
          <w:bCs/>
          <w:sz w:val="24"/>
          <w:szCs w:val="24"/>
        </w:rPr>
        <w:t>-</w:t>
      </w:r>
      <w:r w:rsidR="000318E6" w:rsidRPr="007915CE">
        <w:rPr>
          <w:rFonts w:cstheme="minorHAnsi"/>
          <w:b/>
          <w:bCs/>
          <w:sz w:val="24"/>
          <w:szCs w:val="24"/>
        </w:rPr>
        <w:t xml:space="preserve"> </w:t>
      </w:r>
      <w:r w:rsidRPr="007915CE">
        <w:rPr>
          <w:rFonts w:cstheme="minorHAnsi"/>
          <w:b/>
          <w:bCs/>
          <w:sz w:val="24"/>
          <w:szCs w:val="24"/>
        </w:rPr>
        <w:t>rooms. Does any component of this application relate to the requirement for de-densification? (105 CMR 150.000: </w:t>
      </w:r>
      <w:r w:rsidRPr="007915CE">
        <w:rPr>
          <w:rFonts w:cstheme="minorHAnsi"/>
          <w:b/>
          <w:bCs/>
          <w:i/>
          <w:iCs/>
          <w:sz w:val="24"/>
          <w:szCs w:val="24"/>
        </w:rPr>
        <w:t>Standards for Long-Term Care Facilities)</w:t>
      </w:r>
      <w:r w:rsidR="003B71D0" w:rsidRPr="007915CE">
        <w:rPr>
          <w:rFonts w:cstheme="minorHAnsi"/>
          <w:b/>
          <w:bCs/>
          <w:i/>
          <w:iCs/>
          <w:sz w:val="24"/>
          <w:szCs w:val="24"/>
        </w:rPr>
        <w:t>.</w:t>
      </w:r>
      <w:r w:rsidR="00284013" w:rsidRPr="007915CE">
        <w:rPr>
          <w:rFonts w:cstheme="minorHAnsi"/>
          <w:b/>
          <w:bCs/>
          <w:i/>
          <w:iCs/>
          <w:sz w:val="24"/>
          <w:szCs w:val="24"/>
        </w:rPr>
        <w:t xml:space="preserve"> </w:t>
      </w:r>
    </w:p>
    <w:p w14:paraId="0687DDF9" w14:textId="261D6966" w:rsidR="00BB1633" w:rsidRPr="007915CE" w:rsidRDefault="00BB1633" w:rsidP="00BB1633">
      <w:pPr>
        <w:ind w:left="720"/>
        <w:rPr>
          <w:rFonts w:cstheme="minorHAnsi"/>
          <w:sz w:val="24"/>
          <w:szCs w:val="24"/>
        </w:rPr>
      </w:pPr>
      <w:r w:rsidRPr="007915CE">
        <w:rPr>
          <w:rFonts w:cstheme="minorHAnsi"/>
          <w:sz w:val="24"/>
          <w:szCs w:val="24"/>
        </w:rPr>
        <w:t xml:space="preserve">The project does not relate to the requirement for dedensification. </w:t>
      </w:r>
    </w:p>
    <w:p w14:paraId="49DFF14E" w14:textId="77777777" w:rsidR="00E21011" w:rsidRPr="007915CE" w:rsidRDefault="00E21011" w:rsidP="00E21011">
      <w:pPr>
        <w:pStyle w:val="ListParagraph"/>
        <w:numPr>
          <w:ilvl w:val="1"/>
          <w:numId w:val="8"/>
        </w:numPr>
        <w:rPr>
          <w:rFonts w:cstheme="minorHAnsi"/>
          <w:sz w:val="24"/>
          <w:szCs w:val="24"/>
        </w:rPr>
      </w:pPr>
      <w:r w:rsidRPr="007915CE">
        <w:rPr>
          <w:rFonts w:cstheme="minorHAnsi"/>
          <w:sz w:val="24"/>
          <w:szCs w:val="24"/>
        </w:rPr>
        <w:lastRenderedPageBreak/>
        <w:t>Rooms with 2 beds that share a bathroom with a second 2-bed room = 24 rooms (48 beds)</w:t>
      </w:r>
    </w:p>
    <w:p w14:paraId="2F3918AD" w14:textId="77777777" w:rsidR="00E21011" w:rsidRPr="007915CE" w:rsidRDefault="00E21011" w:rsidP="00E21011">
      <w:pPr>
        <w:pStyle w:val="ListParagraph"/>
        <w:numPr>
          <w:ilvl w:val="1"/>
          <w:numId w:val="8"/>
        </w:numPr>
        <w:rPr>
          <w:rFonts w:cstheme="minorHAnsi"/>
          <w:sz w:val="24"/>
          <w:szCs w:val="24"/>
        </w:rPr>
      </w:pPr>
      <w:r w:rsidRPr="007915CE">
        <w:rPr>
          <w:rFonts w:cstheme="minorHAnsi"/>
          <w:sz w:val="24"/>
          <w:szCs w:val="24"/>
        </w:rPr>
        <w:t>Rooms with 2 beds that do not share a bathroom with a 2nd room = 5 rooms (10 beds)</w:t>
      </w:r>
    </w:p>
    <w:p w14:paraId="3C74686F" w14:textId="77777777" w:rsidR="00E21011" w:rsidRPr="007915CE" w:rsidRDefault="00E21011" w:rsidP="00E21011">
      <w:pPr>
        <w:pStyle w:val="ListParagraph"/>
        <w:numPr>
          <w:ilvl w:val="1"/>
          <w:numId w:val="8"/>
        </w:numPr>
        <w:rPr>
          <w:rFonts w:cstheme="minorHAnsi"/>
          <w:sz w:val="24"/>
          <w:szCs w:val="24"/>
        </w:rPr>
      </w:pPr>
      <w:r w:rsidRPr="007915CE">
        <w:rPr>
          <w:rFonts w:cstheme="minorHAnsi"/>
          <w:sz w:val="24"/>
          <w:szCs w:val="24"/>
        </w:rPr>
        <w:t>Single rooms with private bathroom = 3 rooms (3 beds)</w:t>
      </w:r>
    </w:p>
    <w:p w14:paraId="2D4328C3" w14:textId="7E752F7C" w:rsidR="00E21011" w:rsidRPr="007915CE" w:rsidRDefault="00E21011" w:rsidP="00E21011">
      <w:pPr>
        <w:pStyle w:val="ListParagraph"/>
        <w:numPr>
          <w:ilvl w:val="1"/>
          <w:numId w:val="8"/>
        </w:numPr>
        <w:rPr>
          <w:rFonts w:cstheme="minorHAnsi"/>
          <w:sz w:val="24"/>
          <w:szCs w:val="24"/>
        </w:rPr>
      </w:pPr>
      <w:r w:rsidRPr="007915CE">
        <w:rPr>
          <w:rFonts w:cstheme="minorHAnsi"/>
          <w:sz w:val="24"/>
          <w:szCs w:val="24"/>
        </w:rPr>
        <w:t>Totals of 32 rooms and 61 beds</w:t>
      </w:r>
    </w:p>
    <w:p w14:paraId="792A4413" w14:textId="77777777" w:rsidR="005A71A1" w:rsidRPr="007915CE" w:rsidRDefault="008E41B0" w:rsidP="00C4074F">
      <w:pPr>
        <w:rPr>
          <w:rFonts w:cstheme="minorHAnsi"/>
          <w:b/>
          <w:bCs/>
          <w:sz w:val="24"/>
          <w:szCs w:val="24"/>
        </w:rPr>
      </w:pPr>
      <w:r w:rsidRPr="007915CE">
        <w:rPr>
          <w:rFonts w:cstheme="minorHAnsi"/>
          <w:b/>
          <w:bCs/>
          <w:sz w:val="24"/>
          <w:szCs w:val="24"/>
        </w:rPr>
        <w:t>5</w:t>
      </w:r>
      <w:r w:rsidR="00C4074F" w:rsidRPr="007915CE">
        <w:rPr>
          <w:rFonts w:cstheme="minorHAnsi"/>
          <w:b/>
          <w:bCs/>
          <w:sz w:val="24"/>
          <w:szCs w:val="24"/>
        </w:rPr>
        <w:t xml:space="preserve">. </w:t>
      </w:r>
      <w:r w:rsidR="00116ED9" w:rsidRPr="007915CE">
        <w:rPr>
          <w:rFonts w:cstheme="minorHAnsi"/>
          <w:b/>
          <w:bCs/>
          <w:sz w:val="24"/>
          <w:szCs w:val="24"/>
        </w:rPr>
        <w:t xml:space="preserve">You note that patients have left the Island for more preferable LTCF care. In performing your projections do you have an estimate of the number of patients this might be. </w:t>
      </w:r>
    </w:p>
    <w:p w14:paraId="21A10962" w14:textId="40E79A70" w:rsidR="00116ED9" w:rsidRPr="007915CE" w:rsidRDefault="006233D1" w:rsidP="00C4074F">
      <w:pPr>
        <w:rPr>
          <w:rFonts w:cstheme="minorHAnsi"/>
          <w:sz w:val="24"/>
          <w:szCs w:val="24"/>
        </w:rPr>
      </w:pPr>
      <w:bookmarkStart w:id="0" w:name="_Hlk122524598"/>
      <w:r w:rsidRPr="007915CE">
        <w:rPr>
          <w:rFonts w:cstheme="minorHAnsi"/>
          <w:sz w:val="24"/>
          <w:szCs w:val="24"/>
        </w:rPr>
        <w:t>Based on feedback received through extensive community engagement, Navigator repeatedly heard of residents going off-island for care</w:t>
      </w:r>
      <w:r w:rsidR="00D964EE">
        <w:rPr>
          <w:rFonts w:cstheme="minorHAnsi"/>
          <w:sz w:val="24"/>
          <w:szCs w:val="24"/>
        </w:rPr>
        <w:t xml:space="preserve"> because services were not available on the island</w:t>
      </w:r>
      <w:r w:rsidRPr="007915CE">
        <w:rPr>
          <w:rFonts w:cstheme="minorHAnsi"/>
          <w:sz w:val="24"/>
          <w:szCs w:val="24"/>
        </w:rPr>
        <w:t xml:space="preserve">.  </w:t>
      </w:r>
      <w:bookmarkEnd w:id="0"/>
      <w:r w:rsidRPr="007915CE">
        <w:rPr>
          <w:rFonts w:cstheme="minorHAnsi"/>
          <w:sz w:val="24"/>
          <w:szCs w:val="24"/>
        </w:rPr>
        <w:t xml:space="preserve">While Navigator was able to confirm a minimum of </w:t>
      </w:r>
      <w:r w:rsidR="007915CE" w:rsidRPr="007915CE">
        <w:rPr>
          <w:rFonts w:cstheme="minorHAnsi"/>
          <w:sz w:val="24"/>
          <w:szCs w:val="24"/>
        </w:rPr>
        <w:t>13</w:t>
      </w:r>
      <w:r w:rsidRPr="007915CE">
        <w:rPr>
          <w:rFonts w:cstheme="minorHAnsi"/>
          <w:sz w:val="24"/>
          <w:szCs w:val="24"/>
        </w:rPr>
        <w:t xml:space="preserve"> residents who have gone off-island for care</w:t>
      </w:r>
      <w:r w:rsidR="00BB1633" w:rsidRPr="007915CE">
        <w:rPr>
          <w:rFonts w:cstheme="minorHAnsi"/>
          <w:sz w:val="24"/>
          <w:szCs w:val="24"/>
        </w:rPr>
        <w:t xml:space="preserve"> through informal survey</w:t>
      </w:r>
      <w:r w:rsidRPr="007915CE">
        <w:rPr>
          <w:rFonts w:cstheme="minorHAnsi"/>
          <w:sz w:val="24"/>
          <w:szCs w:val="24"/>
        </w:rPr>
        <w:t>, this number does not accurately reflect the true number of residents who are receiving long-term care off-island</w:t>
      </w:r>
      <w:r w:rsidR="00BB1633" w:rsidRPr="007915CE">
        <w:rPr>
          <w:rFonts w:cstheme="minorHAnsi"/>
          <w:sz w:val="24"/>
          <w:szCs w:val="24"/>
        </w:rPr>
        <w:t>.</w:t>
      </w:r>
      <w:r w:rsidRPr="007915CE">
        <w:rPr>
          <w:rFonts w:cstheme="minorHAnsi"/>
          <w:sz w:val="24"/>
          <w:szCs w:val="24"/>
        </w:rPr>
        <w:t xml:space="preserve"> </w:t>
      </w:r>
      <w:r w:rsidR="007915CE">
        <w:rPr>
          <w:rFonts w:cstheme="minorHAnsi"/>
          <w:sz w:val="24"/>
          <w:szCs w:val="24"/>
        </w:rPr>
        <w:t xml:space="preserve">This number is in addition to Windemere’s existing 15-person waitlist of Island residents who are not interested in seeking care off-island.  </w:t>
      </w:r>
    </w:p>
    <w:p w14:paraId="5B3E1C6B" w14:textId="77777777" w:rsidR="00BB1633" w:rsidRPr="007915CE" w:rsidRDefault="008E41B0" w:rsidP="000318E6">
      <w:pPr>
        <w:rPr>
          <w:rFonts w:cstheme="minorHAnsi"/>
          <w:b/>
          <w:bCs/>
          <w:sz w:val="24"/>
          <w:szCs w:val="24"/>
        </w:rPr>
      </w:pPr>
      <w:r w:rsidRPr="007915CE">
        <w:rPr>
          <w:rFonts w:cstheme="minorHAnsi"/>
          <w:b/>
          <w:bCs/>
          <w:sz w:val="24"/>
          <w:szCs w:val="24"/>
        </w:rPr>
        <w:t>6</w:t>
      </w:r>
      <w:r w:rsidR="000318E6" w:rsidRPr="007915CE">
        <w:rPr>
          <w:rFonts w:cstheme="minorHAnsi"/>
          <w:b/>
          <w:bCs/>
          <w:sz w:val="24"/>
          <w:szCs w:val="24"/>
        </w:rPr>
        <w:t xml:space="preserve">. You note that ‘in addition to the large cohort of year-round 65+ residents of Martha’s Vineyard, other residents may seek to bring their relatives residing elsewhere </w:t>
      </w:r>
      <w:r w:rsidR="00067953" w:rsidRPr="007915CE">
        <w:rPr>
          <w:rFonts w:cstheme="minorHAnsi"/>
          <w:b/>
          <w:bCs/>
        </w:rPr>
        <w:t>[</w:t>
      </w:r>
      <w:r w:rsidR="00C4074F" w:rsidRPr="007915CE">
        <w:rPr>
          <w:rFonts w:cstheme="minorHAnsi"/>
          <w:b/>
          <w:bCs/>
          <w:sz w:val="24"/>
          <w:szCs w:val="24"/>
        </w:rPr>
        <w:t>who are not part of the Patient Panel</w:t>
      </w:r>
      <w:r w:rsidR="00067953" w:rsidRPr="007915CE">
        <w:rPr>
          <w:rFonts w:cstheme="minorHAnsi"/>
          <w:b/>
          <w:bCs/>
          <w:sz w:val="24"/>
          <w:szCs w:val="24"/>
        </w:rPr>
        <w:t>]</w:t>
      </w:r>
      <w:r w:rsidR="00C4074F" w:rsidRPr="007915CE">
        <w:rPr>
          <w:rFonts w:cstheme="minorHAnsi"/>
          <w:b/>
          <w:bCs/>
          <w:sz w:val="24"/>
          <w:szCs w:val="24"/>
        </w:rPr>
        <w:t xml:space="preserve"> a</w:t>
      </w:r>
      <w:r w:rsidR="00067953" w:rsidRPr="007915CE">
        <w:rPr>
          <w:rFonts w:cstheme="minorHAnsi"/>
          <w:b/>
          <w:bCs/>
          <w:sz w:val="24"/>
          <w:szCs w:val="24"/>
        </w:rPr>
        <w:t xml:space="preserve">nd </w:t>
      </w:r>
      <w:r w:rsidR="000318E6" w:rsidRPr="007915CE">
        <w:rPr>
          <w:rFonts w:cstheme="minorHAnsi"/>
          <w:b/>
          <w:bCs/>
          <w:sz w:val="24"/>
          <w:szCs w:val="24"/>
        </w:rPr>
        <w:t>who need care in a long-term care facility’</w:t>
      </w:r>
      <w:r w:rsidR="005D2890" w:rsidRPr="007915CE">
        <w:rPr>
          <w:rFonts w:cstheme="minorHAnsi"/>
          <w:b/>
          <w:bCs/>
          <w:sz w:val="24"/>
          <w:szCs w:val="24"/>
        </w:rPr>
        <w:t xml:space="preserve">. </w:t>
      </w:r>
      <w:r w:rsidR="000318E6" w:rsidRPr="007915CE">
        <w:rPr>
          <w:rFonts w:cstheme="minorHAnsi"/>
          <w:b/>
          <w:bCs/>
          <w:sz w:val="24"/>
          <w:szCs w:val="24"/>
        </w:rPr>
        <w:t xml:space="preserve">In establishing the need, do you have an estimate of the number of patients this might be and whether they’d be long-term vs short-stay patients? </w:t>
      </w:r>
    </w:p>
    <w:p w14:paraId="55D18AA1" w14:textId="7C336888" w:rsidR="00CF51E1" w:rsidRPr="007915CE" w:rsidRDefault="00357905" w:rsidP="000318E6">
      <w:pPr>
        <w:rPr>
          <w:rFonts w:cstheme="minorHAnsi"/>
          <w:sz w:val="24"/>
          <w:szCs w:val="24"/>
        </w:rPr>
      </w:pPr>
      <w:r w:rsidRPr="007915CE">
        <w:rPr>
          <w:rFonts w:cstheme="minorHAnsi"/>
          <w:sz w:val="24"/>
          <w:szCs w:val="24"/>
        </w:rPr>
        <w:t xml:space="preserve">Based on feedback received through extensive community engagement, Navigator understands there is a desire by community members to be able to bring relatives to the Island to receive care where family can play a more active role in the care of individuals seeking both short-term rehab and long-term care. </w:t>
      </w:r>
      <w:r w:rsidR="001C74A9" w:rsidRPr="007915CE">
        <w:rPr>
          <w:rFonts w:cstheme="minorHAnsi"/>
          <w:sz w:val="24"/>
          <w:szCs w:val="24"/>
        </w:rPr>
        <w:t xml:space="preserve"> </w:t>
      </w:r>
    </w:p>
    <w:p w14:paraId="2F8E2BCF" w14:textId="77777777" w:rsidR="00BB1633" w:rsidRPr="007915CE" w:rsidRDefault="008E41B0">
      <w:pPr>
        <w:rPr>
          <w:rFonts w:cstheme="minorHAnsi"/>
          <w:b/>
          <w:bCs/>
          <w:sz w:val="24"/>
          <w:szCs w:val="24"/>
        </w:rPr>
      </w:pPr>
      <w:r w:rsidRPr="007915CE">
        <w:rPr>
          <w:rFonts w:cstheme="minorHAnsi"/>
          <w:b/>
          <w:bCs/>
          <w:sz w:val="24"/>
          <w:szCs w:val="24"/>
        </w:rPr>
        <w:t>7</w:t>
      </w:r>
      <w:r w:rsidR="00CF51E1" w:rsidRPr="007915CE">
        <w:rPr>
          <w:rFonts w:cstheme="minorHAnsi"/>
          <w:b/>
          <w:bCs/>
          <w:sz w:val="24"/>
          <w:szCs w:val="24"/>
        </w:rPr>
        <w:t xml:space="preserve">. You note </w:t>
      </w:r>
      <w:r w:rsidR="00D97539" w:rsidRPr="007915CE">
        <w:rPr>
          <w:rFonts w:cstheme="minorHAnsi"/>
          <w:b/>
          <w:bCs/>
          <w:sz w:val="24"/>
          <w:szCs w:val="24"/>
        </w:rPr>
        <w:t>(P3 Narrative)</w:t>
      </w:r>
      <w:r w:rsidR="00CF51E1" w:rsidRPr="007915CE">
        <w:rPr>
          <w:rFonts w:cstheme="minorHAnsi"/>
          <w:b/>
          <w:bCs/>
          <w:sz w:val="24"/>
          <w:szCs w:val="24"/>
        </w:rPr>
        <w:t xml:space="preserve">: To address the existing need to retain an adequate staffing to meet the needs of the residents, and in furtherance of its commitment to its staff and staff satisfaction, the Applicant will provide staff housing through 30 one-bedroom affordable units </w:t>
      </w:r>
      <w:r w:rsidR="00CF51E1" w:rsidRPr="007915CE">
        <w:rPr>
          <w:rFonts w:cstheme="minorHAnsi"/>
          <w:b/>
          <w:bCs/>
          <w:sz w:val="24"/>
          <w:szCs w:val="24"/>
          <w:u w:val="single"/>
        </w:rPr>
        <w:t>in partnership with MVH</w:t>
      </w:r>
      <w:r w:rsidR="00CF51E1" w:rsidRPr="007915CE">
        <w:rPr>
          <w:rFonts w:cstheme="minorHAnsi"/>
          <w:b/>
          <w:bCs/>
          <w:sz w:val="24"/>
          <w:szCs w:val="24"/>
        </w:rPr>
        <w:t xml:space="preserve">. Please describe the nature, structure and duration of this “partnership” and how the units will be distributed among the staff. </w:t>
      </w:r>
    </w:p>
    <w:p w14:paraId="632AC096" w14:textId="4355042E" w:rsidR="00890B6D" w:rsidRPr="007915CE" w:rsidRDefault="00F07021">
      <w:pPr>
        <w:rPr>
          <w:rFonts w:cstheme="minorHAnsi"/>
          <w:sz w:val="24"/>
          <w:szCs w:val="24"/>
        </w:rPr>
      </w:pPr>
      <w:r w:rsidRPr="007915CE">
        <w:rPr>
          <w:rFonts w:cstheme="minorHAnsi"/>
          <w:sz w:val="24"/>
          <w:szCs w:val="24"/>
        </w:rPr>
        <w:t>Navigator and M</w:t>
      </w:r>
      <w:r w:rsidR="00BB1633" w:rsidRPr="007915CE">
        <w:rPr>
          <w:rFonts w:cstheme="minorHAnsi"/>
          <w:sz w:val="24"/>
          <w:szCs w:val="24"/>
        </w:rPr>
        <w:t xml:space="preserve">VH </w:t>
      </w:r>
      <w:r w:rsidRPr="007915CE">
        <w:rPr>
          <w:rFonts w:cstheme="minorHAnsi"/>
          <w:sz w:val="24"/>
          <w:szCs w:val="24"/>
        </w:rPr>
        <w:t>have entered into an agreement through which M</w:t>
      </w:r>
      <w:r w:rsidR="00BB1633" w:rsidRPr="007915CE">
        <w:rPr>
          <w:rFonts w:cstheme="minorHAnsi"/>
          <w:sz w:val="24"/>
          <w:szCs w:val="24"/>
        </w:rPr>
        <w:t>VH</w:t>
      </w:r>
      <w:r w:rsidRPr="007915CE">
        <w:rPr>
          <w:rFonts w:cstheme="minorHAnsi"/>
          <w:sz w:val="24"/>
          <w:szCs w:val="24"/>
        </w:rPr>
        <w:t xml:space="preserve"> has agreed to provide employees of Navigator with access to 30 beds. The units will be available to employees below market rate and will be equal to or less than the subsidized rate currently charged to employees of MHV. </w:t>
      </w:r>
      <w:r w:rsidR="005E512E" w:rsidRPr="007915CE">
        <w:rPr>
          <w:rFonts w:cstheme="minorHAnsi"/>
          <w:sz w:val="24"/>
          <w:szCs w:val="24"/>
        </w:rPr>
        <w:t xml:space="preserve">Through the construction of new workforce housing on the site of the proposed facility, these units will be available to Navigator’s employees indefinitely. </w:t>
      </w:r>
    </w:p>
    <w:p w14:paraId="25597779" w14:textId="77777777" w:rsidR="00BB1633" w:rsidRPr="007915CE" w:rsidRDefault="008E41B0">
      <w:pPr>
        <w:rPr>
          <w:rFonts w:cstheme="minorHAnsi"/>
          <w:b/>
          <w:bCs/>
          <w:sz w:val="24"/>
          <w:szCs w:val="24"/>
        </w:rPr>
      </w:pPr>
      <w:r w:rsidRPr="007915CE">
        <w:rPr>
          <w:rFonts w:cstheme="minorHAnsi"/>
          <w:b/>
          <w:bCs/>
          <w:sz w:val="24"/>
          <w:szCs w:val="24"/>
        </w:rPr>
        <w:t>8</w:t>
      </w:r>
      <w:r w:rsidR="00BE703B" w:rsidRPr="007915CE">
        <w:rPr>
          <w:rFonts w:cstheme="minorHAnsi"/>
          <w:b/>
          <w:bCs/>
          <w:sz w:val="24"/>
          <w:szCs w:val="24"/>
        </w:rPr>
        <w:t xml:space="preserve">. You state that the entire facility is to be a Level II facility, and that Windemere is the only LTCF on the Island. Where do patients in need of other levels of care go for those services? </w:t>
      </w:r>
    </w:p>
    <w:p w14:paraId="0ECADF1F" w14:textId="78D52E2D" w:rsidR="002E0AA9" w:rsidRPr="007915CE" w:rsidRDefault="000F4F75">
      <w:pPr>
        <w:rPr>
          <w:rFonts w:cstheme="minorHAnsi"/>
          <w:sz w:val="24"/>
          <w:szCs w:val="24"/>
        </w:rPr>
      </w:pPr>
      <w:r w:rsidRPr="007915CE">
        <w:rPr>
          <w:rFonts w:cstheme="minorHAnsi"/>
          <w:sz w:val="24"/>
          <w:szCs w:val="24"/>
        </w:rPr>
        <w:lastRenderedPageBreak/>
        <w:t xml:space="preserve">The Henrietta Brewer House, a </w:t>
      </w:r>
      <w:r w:rsidR="00F07021" w:rsidRPr="007915CE">
        <w:rPr>
          <w:rFonts w:cstheme="minorHAnsi"/>
          <w:sz w:val="24"/>
          <w:szCs w:val="24"/>
        </w:rPr>
        <w:t>1</w:t>
      </w:r>
      <w:r w:rsidRPr="007915CE">
        <w:rPr>
          <w:rFonts w:cstheme="minorHAnsi"/>
          <w:sz w:val="24"/>
          <w:szCs w:val="24"/>
        </w:rPr>
        <w:t xml:space="preserve">4-bed assisted living residence, is the only other licensed facility on the Island. </w:t>
      </w:r>
    </w:p>
    <w:p w14:paraId="560679AC" w14:textId="34CAC074" w:rsidR="00C92B2E" w:rsidRPr="007915CE" w:rsidRDefault="00452AEA" w:rsidP="00C92B2E">
      <w:pPr>
        <w:rPr>
          <w:rFonts w:cstheme="minorHAnsi"/>
          <w:b/>
          <w:bCs/>
          <w:sz w:val="24"/>
          <w:szCs w:val="24"/>
        </w:rPr>
      </w:pPr>
      <w:r w:rsidRPr="007915CE">
        <w:rPr>
          <w:rFonts w:cstheme="minorHAnsi"/>
          <w:b/>
          <w:bCs/>
          <w:sz w:val="24"/>
          <w:szCs w:val="24"/>
        </w:rPr>
        <w:t xml:space="preserve">9. </w:t>
      </w:r>
      <w:r w:rsidR="00535BA2" w:rsidRPr="007915CE">
        <w:rPr>
          <w:rFonts w:cstheme="minorHAnsi"/>
          <w:b/>
          <w:bCs/>
          <w:sz w:val="24"/>
          <w:szCs w:val="24"/>
        </w:rPr>
        <w:t xml:space="preserve">Please clarify certain </w:t>
      </w:r>
      <w:r w:rsidR="008D5509" w:rsidRPr="007915CE">
        <w:rPr>
          <w:rFonts w:cstheme="minorHAnsi"/>
          <w:b/>
          <w:bCs/>
          <w:sz w:val="24"/>
          <w:szCs w:val="24"/>
        </w:rPr>
        <w:t>aspects</w:t>
      </w:r>
      <w:r w:rsidR="00535BA2" w:rsidRPr="007915CE">
        <w:rPr>
          <w:rFonts w:cstheme="minorHAnsi"/>
          <w:b/>
          <w:bCs/>
          <w:sz w:val="24"/>
          <w:szCs w:val="24"/>
        </w:rPr>
        <w:t xml:space="preserve"> </w:t>
      </w:r>
      <w:r w:rsidR="008D5509" w:rsidRPr="007915CE">
        <w:rPr>
          <w:rFonts w:cstheme="minorHAnsi"/>
          <w:b/>
          <w:bCs/>
          <w:sz w:val="24"/>
          <w:szCs w:val="24"/>
        </w:rPr>
        <w:t xml:space="preserve">concerning </w:t>
      </w:r>
      <w:r w:rsidR="00535BA2" w:rsidRPr="007915CE">
        <w:rPr>
          <w:rFonts w:cstheme="minorHAnsi"/>
          <w:b/>
          <w:bCs/>
          <w:sz w:val="24"/>
          <w:szCs w:val="24"/>
        </w:rPr>
        <w:t>the CPA report</w:t>
      </w:r>
      <w:r w:rsidR="008D5509" w:rsidRPr="007915CE">
        <w:rPr>
          <w:rFonts w:cstheme="minorHAnsi"/>
          <w:b/>
          <w:bCs/>
          <w:sz w:val="24"/>
          <w:szCs w:val="24"/>
        </w:rPr>
        <w:t>.</w:t>
      </w:r>
      <w:r w:rsidR="00A7600F" w:rsidRPr="007915CE">
        <w:rPr>
          <w:rFonts w:cstheme="minorHAnsi"/>
          <w:b/>
          <w:bCs/>
          <w:sz w:val="24"/>
          <w:szCs w:val="24"/>
        </w:rPr>
        <w:t xml:space="preserve"> </w:t>
      </w:r>
    </w:p>
    <w:p w14:paraId="6145E1E7" w14:textId="28D5F388" w:rsidR="00E455A7" w:rsidRPr="007915CE" w:rsidRDefault="008A3513" w:rsidP="00C92B2E">
      <w:pPr>
        <w:rPr>
          <w:rFonts w:cstheme="minorHAnsi"/>
          <w:b/>
          <w:bCs/>
          <w:sz w:val="24"/>
          <w:szCs w:val="24"/>
        </w:rPr>
      </w:pPr>
      <w:r w:rsidRPr="007915CE">
        <w:rPr>
          <w:rFonts w:cstheme="minorHAnsi"/>
          <w:b/>
          <w:bCs/>
          <w:sz w:val="24"/>
          <w:szCs w:val="24"/>
        </w:rPr>
        <w:t xml:space="preserve">A) We note that the report states that it uses 6 benchmark Green House projects however that benchmark is not applied </w:t>
      </w:r>
      <w:r w:rsidR="00FA7A77" w:rsidRPr="007915CE">
        <w:rPr>
          <w:rFonts w:cstheme="minorHAnsi"/>
          <w:b/>
          <w:bCs/>
          <w:sz w:val="24"/>
          <w:szCs w:val="24"/>
        </w:rPr>
        <w:t xml:space="preserve">throughout </w:t>
      </w:r>
      <w:r w:rsidRPr="007915CE">
        <w:rPr>
          <w:rFonts w:cstheme="minorHAnsi"/>
          <w:b/>
          <w:bCs/>
          <w:sz w:val="24"/>
          <w:szCs w:val="24"/>
        </w:rPr>
        <w:t>consistently</w:t>
      </w:r>
      <w:r w:rsidR="00FA7A77" w:rsidRPr="007915CE">
        <w:rPr>
          <w:rFonts w:cstheme="minorHAnsi"/>
          <w:b/>
          <w:bCs/>
          <w:sz w:val="24"/>
          <w:szCs w:val="24"/>
        </w:rPr>
        <w:t xml:space="preserve"> and appears only to be applied in the first chart on Private Pay </w:t>
      </w:r>
      <w:r w:rsidR="00081836" w:rsidRPr="007915CE">
        <w:rPr>
          <w:rFonts w:cstheme="minorHAnsi"/>
          <w:b/>
          <w:bCs/>
          <w:sz w:val="24"/>
          <w:szCs w:val="24"/>
        </w:rPr>
        <w:t>Daily fees</w:t>
      </w:r>
      <w:r w:rsidR="00F83B03" w:rsidRPr="007915CE">
        <w:rPr>
          <w:rFonts w:cstheme="minorHAnsi"/>
          <w:b/>
          <w:bCs/>
          <w:sz w:val="24"/>
          <w:szCs w:val="24"/>
        </w:rPr>
        <w:t xml:space="preserve"> and is reduced by one facility for each subsequent chart. Please explain why it appears that only certain facilities were selected for certain measures.</w:t>
      </w:r>
      <w:r w:rsidR="00284013" w:rsidRPr="007915CE">
        <w:rPr>
          <w:rFonts w:cstheme="minorHAnsi"/>
          <w:b/>
          <w:bCs/>
          <w:sz w:val="24"/>
          <w:szCs w:val="24"/>
        </w:rPr>
        <w:t xml:space="preserve"> </w:t>
      </w:r>
    </w:p>
    <w:p w14:paraId="32EC7476" w14:textId="6559794C" w:rsidR="00E855F6" w:rsidRPr="007915CE" w:rsidRDefault="00E855F6" w:rsidP="00C92B2E">
      <w:r w:rsidRPr="007915CE">
        <w:rPr>
          <w:sz w:val="24"/>
          <w:szCs w:val="24"/>
        </w:rPr>
        <w:t xml:space="preserve">The reason that the Green House project benchmark was only used on certain benchmarks is because the Green House project data was not available for all the benchmark comparisons used in the Financial Feasibility Report.   </w:t>
      </w:r>
    </w:p>
    <w:p w14:paraId="4F060EE8" w14:textId="6C3F72E3" w:rsidR="00C92B2E" w:rsidRPr="007915CE" w:rsidRDefault="008A49A9" w:rsidP="00C92B2E">
      <w:pPr>
        <w:rPr>
          <w:rFonts w:cstheme="minorHAnsi"/>
          <w:b/>
          <w:bCs/>
          <w:sz w:val="24"/>
          <w:szCs w:val="24"/>
        </w:rPr>
      </w:pPr>
      <w:r w:rsidRPr="007915CE">
        <w:rPr>
          <w:rFonts w:cstheme="minorHAnsi"/>
          <w:b/>
          <w:bCs/>
          <w:sz w:val="24"/>
          <w:szCs w:val="24"/>
        </w:rPr>
        <w:t>B</w:t>
      </w:r>
      <w:r w:rsidR="00C92B2E" w:rsidRPr="007915CE">
        <w:rPr>
          <w:rFonts w:cstheme="minorHAnsi"/>
          <w:b/>
          <w:bCs/>
          <w:sz w:val="24"/>
          <w:szCs w:val="24"/>
        </w:rPr>
        <w:t>)</w:t>
      </w:r>
      <w:r w:rsidR="00C92B2E" w:rsidRPr="007915CE">
        <w:rPr>
          <w:rFonts w:cstheme="minorHAnsi"/>
          <w:b/>
          <w:bCs/>
          <w:i/>
          <w:iCs/>
          <w:sz w:val="24"/>
          <w:szCs w:val="24"/>
        </w:rPr>
        <w:t xml:space="preserve"> </w:t>
      </w:r>
      <w:r w:rsidRPr="007915CE">
        <w:rPr>
          <w:rFonts w:cstheme="minorHAnsi"/>
          <w:b/>
          <w:bCs/>
          <w:sz w:val="24"/>
          <w:szCs w:val="24"/>
        </w:rPr>
        <w:t xml:space="preserve">Based on the following statements </w:t>
      </w:r>
      <w:r w:rsidR="00C92B2E" w:rsidRPr="007915CE">
        <w:rPr>
          <w:rFonts w:cstheme="minorHAnsi"/>
          <w:b/>
          <w:bCs/>
          <w:sz w:val="24"/>
          <w:szCs w:val="24"/>
        </w:rPr>
        <w:t>P1</w:t>
      </w:r>
      <w:r w:rsidR="007C1ADF" w:rsidRPr="007915CE">
        <w:rPr>
          <w:rFonts w:cstheme="minorHAnsi"/>
          <w:b/>
          <w:bCs/>
          <w:sz w:val="24"/>
          <w:szCs w:val="24"/>
        </w:rPr>
        <w:t xml:space="preserve"> of the CPA report</w:t>
      </w:r>
      <w:r w:rsidR="00C92B2E" w:rsidRPr="007915CE">
        <w:rPr>
          <w:rFonts w:cstheme="minorHAnsi"/>
          <w:b/>
          <w:bCs/>
          <w:i/>
          <w:iCs/>
          <w:sz w:val="24"/>
          <w:szCs w:val="24"/>
        </w:rPr>
        <w:t xml:space="preserve"> Navigator Homes of Martha’s Vineyard (the “Corporation”) is recently formed non-profit 501(c)(3) organization to develop and construct a replacement skilled nursing facility (the "Project") for Windemere Nursing and Rehabilitation Center (“Windemere”) located in Oak Bluffs, Massachusetts.” </w:t>
      </w:r>
      <w:r w:rsidR="00C92B2E" w:rsidRPr="007915CE">
        <w:rPr>
          <w:rFonts w:cstheme="minorHAnsi"/>
          <w:b/>
          <w:bCs/>
          <w:sz w:val="24"/>
          <w:szCs w:val="24"/>
        </w:rPr>
        <w:t xml:space="preserve">And </w:t>
      </w:r>
      <w:r w:rsidR="00367017" w:rsidRPr="007915CE">
        <w:rPr>
          <w:rFonts w:cstheme="minorHAnsi"/>
          <w:b/>
          <w:bCs/>
          <w:sz w:val="24"/>
          <w:szCs w:val="24"/>
        </w:rPr>
        <w:t>it</w:t>
      </w:r>
      <w:r w:rsidR="00C92B2E" w:rsidRPr="007915CE">
        <w:rPr>
          <w:rFonts w:cstheme="minorHAnsi"/>
          <w:b/>
          <w:bCs/>
          <w:sz w:val="24"/>
          <w:szCs w:val="24"/>
        </w:rPr>
        <w:t xml:space="preserve"> also states:</w:t>
      </w:r>
    </w:p>
    <w:p w14:paraId="3676C534" w14:textId="2973B9D3" w:rsidR="00C92B2E" w:rsidRPr="007915CE" w:rsidRDefault="00C92B2E" w:rsidP="00C92B2E">
      <w:pPr>
        <w:rPr>
          <w:rFonts w:cstheme="minorHAnsi"/>
          <w:b/>
          <w:bCs/>
          <w:i/>
          <w:iCs/>
          <w:sz w:val="24"/>
          <w:szCs w:val="24"/>
        </w:rPr>
      </w:pPr>
      <w:r w:rsidRPr="007915CE">
        <w:rPr>
          <w:rFonts w:cstheme="minorHAnsi"/>
          <w:b/>
          <w:bCs/>
          <w:i/>
          <w:iCs/>
          <w:sz w:val="24"/>
          <w:szCs w:val="24"/>
        </w:rPr>
        <w:t>“The proposed Project will replace Windemere, the only nursing facility located on Martha’s Vineyard. The existing facility is an affiliate of and located inside the structure of Martha’s Vineyard Hospital.”</w:t>
      </w:r>
    </w:p>
    <w:p w14:paraId="57AC9DE8" w14:textId="1E6585F6" w:rsidR="00303769" w:rsidRPr="007915CE" w:rsidRDefault="00303769" w:rsidP="00C92B2E">
      <w:pPr>
        <w:rPr>
          <w:rFonts w:cstheme="minorHAnsi"/>
          <w:b/>
          <w:bCs/>
          <w:i/>
          <w:iCs/>
          <w:sz w:val="24"/>
          <w:szCs w:val="24"/>
        </w:rPr>
      </w:pPr>
      <w:r w:rsidRPr="007915CE">
        <w:rPr>
          <w:rFonts w:cstheme="minorHAnsi"/>
          <w:b/>
          <w:bCs/>
          <w:sz w:val="24"/>
          <w:szCs w:val="24"/>
        </w:rPr>
        <w:t xml:space="preserve">The Application </w:t>
      </w:r>
      <w:r w:rsidR="00A53104" w:rsidRPr="007915CE">
        <w:rPr>
          <w:rFonts w:cstheme="minorHAnsi"/>
          <w:b/>
          <w:bCs/>
          <w:sz w:val="24"/>
          <w:szCs w:val="24"/>
        </w:rPr>
        <w:t xml:space="preserve">Narrative </w:t>
      </w:r>
      <w:r w:rsidRPr="007915CE">
        <w:rPr>
          <w:rFonts w:cstheme="minorHAnsi"/>
          <w:b/>
          <w:bCs/>
          <w:sz w:val="24"/>
          <w:szCs w:val="24"/>
        </w:rPr>
        <w:t>states that</w:t>
      </w:r>
      <w:r w:rsidRPr="007915CE">
        <w:rPr>
          <w:rFonts w:cstheme="minorHAnsi"/>
          <w:b/>
          <w:bCs/>
          <w:i/>
          <w:iCs/>
          <w:sz w:val="24"/>
          <w:szCs w:val="24"/>
        </w:rPr>
        <w:t xml:space="preserve"> The Applicant is a newly formed entity that acquired ownership and the right to operate Windemere from Mass General Brigham on October 1, 2022.</w:t>
      </w:r>
    </w:p>
    <w:p w14:paraId="37100A0F" w14:textId="7D5EB631" w:rsidR="00BB1633" w:rsidRPr="007915CE" w:rsidRDefault="00C92B2E" w:rsidP="00BB1633">
      <w:pPr>
        <w:pStyle w:val="ListParagraph"/>
        <w:numPr>
          <w:ilvl w:val="0"/>
          <w:numId w:val="9"/>
        </w:numPr>
        <w:rPr>
          <w:rFonts w:cstheme="minorHAnsi"/>
          <w:b/>
          <w:bCs/>
          <w:sz w:val="24"/>
          <w:szCs w:val="24"/>
        </w:rPr>
      </w:pPr>
      <w:r w:rsidRPr="007915CE">
        <w:rPr>
          <w:rFonts w:cstheme="minorHAnsi"/>
          <w:b/>
          <w:bCs/>
          <w:sz w:val="24"/>
          <w:szCs w:val="24"/>
        </w:rPr>
        <w:t xml:space="preserve">Please </w:t>
      </w:r>
      <w:r w:rsidR="007C1ADF" w:rsidRPr="007915CE">
        <w:rPr>
          <w:rFonts w:cstheme="minorHAnsi"/>
          <w:b/>
          <w:bCs/>
          <w:sz w:val="24"/>
          <w:szCs w:val="24"/>
        </w:rPr>
        <w:t xml:space="preserve">help us understand and </w:t>
      </w:r>
      <w:r w:rsidRPr="007915CE">
        <w:rPr>
          <w:rFonts w:cstheme="minorHAnsi"/>
          <w:b/>
          <w:bCs/>
          <w:sz w:val="24"/>
          <w:szCs w:val="24"/>
        </w:rPr>
        <w:t>clarify who currently operates the existing Windemere facility at MVH?</w:t>
      </w:r>
      <w:r w:rsidR="00732028" w:rsidRPr="007915CE">
        <w:rPr>
          <w:rFonts w:cstheme="minorHAnsi"/>
          <w:b/>
          <w:bCs/>
          <w:sz w:val="24"/>
          <w:szCs w:val="24"/>
        </w:rPr>
        <w:t xml:space="preserve"> </w:t>
      </w:r>
      <w:r w:rsidRPr="007915CE">
        <w:rPr>
          <w:rFonts w:cstheme="minorHAnsi"/>
          <w:b/>
          <w:bCs/>
          <w:sz w:val="24"/>
          <w:szCs w:val="24"/>
        </w:rPr>
        <w:t>Is it Navigator or is it MVH</w:t>
      </w:r>
      <w:r w:rsidR="0047642A" w:rsidRPr="007915CE">
        <w:rPr>
          <w:rFonts w:cstheme="minorHAnsi"/>
          <w:b/>
          <w:bCs/>
          <w:sz w:val="24"/>
          <w:szCs w:val="24"/>
        </w:rPr>
        <w:t>,</w:t>
      </w:r>
      <w:r w:rsidR="00C74874" w:rsidRPr="007915CE">
        <w:rPr>
          <w:rFonts w:cstheme="minorHAnsi"/>
          <w:b/>
          <w:bCs/>
          <w:sz w:val="24"/>
          <w:szCs w:val="24"/>
        </w:rPr>
        <w:t xml:space="preserve"> and what </w:t>
      </w:r>
      <w:r w:rsidR="0047642A" w:rsidRPr="007915CE">
        <w:rPr>
          <w:rFonts w:cstheme="minorHAnsi"/>
          <w:b/>
          <w:bCs/>
          <w:sz w:val="24"/>
          <w:szCs w:val="24"/>
        </w:rPr>
        <w:t>will be</w:t>
      </w:r>
      <w:r w:rsidR="00C74874" w:rsidRPr="007915CE">
        <w:rPr>
          <w:rFonts w:cstheme="minorHAnsi"/>
          <w:b/>
          <w:bCs/>
          <w:sz w:val="24"/>
          <w:szCs w:val="24"/>
        </w:rPr>
        <w:t xml:space="preserve"> the nature of the affiliation agreement </w:t>
      </w:r>
      <w:r w:rsidR="0047642A" w:rsidRPr="007915CE">
        <w:rPr>
          <w:rFonts w:cstheme="minorHAnsi"/>
          <w:b/>
          <w:bCs/>
          <w:sz w:val="24"/>
          <w:szCs w:val="24"/>
        </w:rPr>
        <w:t>upon project completion</w:t>
      </w:r>
      <w:r w:rsidRPr="007915CE">
        <w:rPr>
          <w:rFonts w:cstheme="minorHAnsi"/>
          <w:b/>
          <w:bCs/>
          <w:sz w:val="24"/>
          <w:szCs w:val="24"/>
        </w:rPr>
        <w:t>?</w:t>
      </w:r>
      <w:r w:rsidR="00602191" w:rsidRPr="007915CE">
        <w:rPr>
          <w:rFonts w:cstheme="minorHAnsi"/>
          <w:b/>
          <w:bCs/>
          <w:sz w:val="24"/>
          <w:szCs w:val="24"/>
        </w:rPr>
        <w:t xml:space="preserve"> </w:t>
      </w:r>
    </w:p>
    <w:p w14:paraId="7A128FC5" w14:textId="77777777" w:rsidR="00BB1633" w:rsidRPr="007915CE" w:rsidRDefault="00BB1633" w:rsidP="00BB1633">
      <w:pPr>
        <w:pStyle w:val="ListParagraph"/>
        <w:ind w:left="1080"/>
        <w:rPr>
          <w:rFonts w:cstheme="minorHAnsi"/>
          <w:sz w:val="24"/>
          <w:szCs w:val="24"/>
        </w:rPr>
      </w:pPr>
    </w:p>
    <w:p w14:paraId="05783D73" w14:textId="7C52D02C" w:rsidR="00C92B2E" w:rsidRPr="007915CE" w:rsidRDefault="00707EF4" w:rsidP="00BB1633">
      <w:pPr>
        <w:pStyle w:val="ListParagraph"/>
        <w:ind w:left="1080"/>
        <w:rPr>
          <w:rFonts w:cstheme="minorHAnsi"/>
          <w:sz w:val="24"/>
          <w:szCs w:val="24"/>
        </w:rPr>
      </w:pPr>
      <w:r w:rsidRPr="007915CE">
        <w:rPr>
          <w:rFonts w:cstheme="minorHAnsi"/>
          <w:sz w:val="24"/>
          <w:szCs w:val="24"/>
        </w:rPr>
        <w:t xml:space="preserve">Navigator is the current licensee and operator of Windemere. Navigator has a </w:t>
      </w:r>
      <w:r w:rsidR="006233D1" w:rsidRPr="007915CE">
        <w:rPr>
          <w:rFonts w:cstheme="minorHAnsi"/>
          <w:sz w:val="24"/>
          <w:szCs w:val="24"/>
        </w:rPr>
        <w:t>m</w:t>
      </w:r>
      <w:r w:rsidRPr="007915CE">
        <w:rPr>
          <w:rFonts w:cstheme="minorHAnsi"/>
          <w:sz w:val="24"/>
          <w:szCs w:val="24"/>
        </w:rPr>
        <w:t xml:space="preserve">anagement agreement with </w:t>
      </w:r>
      <w:r w:rsidR="00602191" w:rsidRPr="007915CE">
        <w:rPr>
          <w:rFonts w:cstheme="minorHAnsi"/>
          <w:sz w:val="24"/>
          <w:szCs w:val="24"/>
        </w:rPr>
        <w:t xml:space="preserve">MHV </w:t>
      </w:r>
      <w:r w:rsidRPr="007915CE">
        <w:rPr>
          <w:rFonts w:cstheme="minorHAnsi"/>
          <w:sz w:val="24"/>
          <w:szCs w:val="24"/>
        </w:rPr>
        <w:t>to run the facility.</w:t>
      </w:r>
      <w:r w:rsidR="00F07021" w:rsidRPr="007915CE">
        <w:rPr>
          <w:rFonts w:cstheme="minorHAnsi"/>
          <w:sz w:val="24"/>
          <w:szCs w:val="24"/>
        </w:rPr>
        <w:t xml:space="preserve"> </w:t>
      </w:r>
      <w:r w:rsidR="00602191" w:rsidRPr="007915CE">
        <w:rPr>
          <w:rFonts w:cstheme="minorHAnsi"/>
          <w:sz w:val="24"/>
          <w:szCs w:val="24"/>
        </w:rPr>
        <w:t xml:space="preserve">Following completion of the Proposed Project, Navigator Homes </w:t>
      </w:r>
      <w:r w:rsidR="00075490" w:rsidRPr="00075490">
        <w:rPr>
          <w:rFonts w:cstheme="minorHAnsi"/>
          <w:sz w:val="24"/>
          <w:szCs w:val="24"/>
        </w:rPr>
        <w:t>intend</w:t>
      </w:r>
      <w:r w:rsidR="00075490">
        <w:rPr>
          <w:rFonts w:cstheme="minorHAnsi"/>
          <w:sz w:val="24"/>
          <w:szCs w:val="24"/>
        </w:rPr>
        <w:t>s</w:t>
      </w:r>
      <w:r w:rsidR="00075490" w:rsidRPr="00075490">
        <w:rPr>
          <w:rFonts w:cstheme="minorHAnsi"/>
          <w:sz w:val="24"/>
          <w:szCs w:val="24"/>
        </w:rPr>
        <w:t xml:space="preserve"> to enter into a management agreement with Hebrew Senior Life to manage </w:t>
      </w:r>
      <w:r w:rsidR="00075490">
        <w:rPr>
          <w:rFonts w:cstheme="minorHAnsi"/>
          <w:sz w:val="24"/>
          <w:szCs w:val="24"/>
        </w:rPr>
        <w:t xml:space="preserve">Windemere. </w:t>
      </w:r>
    </w:p>
    <w:p w14:paraId="7A3C906C" w14:textId="77777777" w:rsidR="00BB1633" w:rsidRPr="007915CE" w:rsidRDefault="00BB1633" w:rsidP="00BB1633">
      <w:pPr>
        <w:pStyle w:val="ListParagraph"/>
        <w:ind w:left="1080"/>
        <w:rPr>
          <w:rFonts w:cstheme="minorHAnsi"/>
          <w:sz w:val="24"/>
          <w:szCs w:val="24"/>
        </w:rPr>
      </w:pPr>
    </w:p>
    <w:p w14:paraId="03F92C7E" w14:textId="092C7EE5" w:rsidR="00BB1633" w:rsidRPr="00075490" w:rsidRDefault="00C92B2E" w:rsidP="00BB1633">
      <w:pPr>
        <w:pStyle w:val="ListParagraph"/>
        <w:numPr>
          <w:ilvl w:val="0"/>
          <w:numId w:val="9"/>
        </w:numPr>
        <w:rPr>
          <w:rFonts w:cstheme="minorHAnsi"/>
          <w:b/>
          <w:bCs/>
          <w:sz w:val="24"/>
          <w:szCs w:val="24"/>
        </w:rPr>
      </w:pPr>
      <w:r w:rsidRPr="00075490">
        <w:rPr>
          <w:rFonts w:cstheme="minorHAnsi"/>
          <w:b/>
          <w:bCs/>
          <w:sz w:val="24"/>
          <w:szCs w:val="24"/>
        </w:rPr>
        <w:t>Who owns the space that will be vacated space at MVH, and what will be the disposition of the vacated space?</w:t>
      </w:r>
      <w:r w:rsidR="00602191" w:rsidRPr="00075490">
        <w:rPr>
          <w:rFonts w:cstheme="minorHAnsi"/>
          <w:b/>
          <w:bCs/>
          <w:sz w:val="24"/>
          <w:szCs w:val="24"/>
        </w:rPr>
        <w:t xml:space="preserve"> </w:t>
      </w:r>
    </w:p>
    <w:p w14:paraId="6C97B8B5" w14:textId="77777777" w:rsidR="00BB1633" w:rsidRPr="007915CE" w:rsidRDefault="00BB1633" w:rsidP="00BB1633">
      <w:pPr>
        <w:pStyle w:val="ListParagraph"/>
        <w:ind w:left="1080"/>
        <w:rPr>
          <w:rFonts w:cstheme="minorHAnsi"/>
          <w:sz w:val="24"/>
          <w:szCs w:val="24"/>
        </w:rPr>
      </w:pPr>
    </w:p>
    <w:p w14:paraId="62122BA9" w14:textId="1E1A28B0" w:rsidR="00535BA2" w:rsidRPr="007915CE" w:rsidRDefault="00602191" w:rsidP="00BB1633">
      <w:pPr>
        <w:pStyle w:val="ListParagraph"/>
        <w:ind w:left="1080"/>
        <w:rPr>
          <w:rFonts w:cstheme="minorHAnsi"/>
          <w:sz w:val="24"/>
          <w:szCs w:val="24"/>
        </w:rPr>
      </w:pPr>
      <w:r w:rsidRPr="007915CE">
        <w:rPr>
          <w:rFonts w:cstheme="minorHAnsi"/>
          <w:sz w:val="24"/>
          <w:szCs w:val="24"/>
        </w:rPr>
        <w:t xml:space="preserve">MVH owns the space that will be vacated by the relocation of Windemere. </w:t>
      </w:r>
      <w:r w:rsidR="00707EF4" w:rsidRPr="007915CE">
        <w:rPr>
          <w:rFonts w:cstheme="minorHAnsi"/>
          <w:sz w:val="24"/>
          <w:szCs w:val="24"/>
        </w:rPr>
        <w:t>At this time, MVH does not have defined plans for the use of the space.</w:t>
      </w:r>
      <w:r w:rsidRPr="007915CE">
        <w:rPr>
          <w:rFonts w:cstheme="minorHAnsi"/>
          <w:sz w:val="24"/>
          <w:szCs w:val="24"/>
        </w:rPr>
        <w:t xml:space="preserve"> </w:t>
      </w:r>
    </w:p>
    <w:p w14:paraId="5A73A7BC" w14:textId="528AFA90" w:rsidR="002149DE" w:rsidRPr="007915CE" w:rsidRDefault="00DB41F4" w:rsidP="002149DE">
      <w:pPr>
        <w:rPr>
          <w:rFonts w:cstheme="minorHAnsi"/>
          <w:b/>
          <w:bCs/>
          <w:sz w:val="24"/>
          <w:szCs w:val="24"/>
        </w:rPr>
      </w:pPr>
      <w:r w:rsidRPr="007915CE">
        <w:rPr>
          <w:rFonts w:cstheme="minorHAnsi"/>
          <w:b/>
          <w:bCs/>
          <w:sz w:val="24"/>
          <w:szCs w:val="24"/>
        </w:rPr>
        <w:lastRenderedPageBreak/>
        <w:t>C</w:t>
      </w:r>
      <w:r w:rsidR="00CE08E4" w:rsidRPr="007915CE">
        <w:rPr>
          <w:rFonts w:cstheme="minorHAnsi"/>
          <w:b/>
          <w:bCs/>
          <w:sz w:val="24"/>
          <w:szCs w:val="24"/>
        </w:rPr>
        <w:t xml:space="preserve">) </w:t>
      </w:r>
      <w:r w:rsidR="00452AEA" w:rsidRPr="007915CE">
        <w:rPr>
          <w:rFonts w:cstheme="minorHAnsi"/>
          <w:b/>
          <w:bCs/>
          <w:sz w:val="24"/>
          <w:szCs w:val="24"/>
        </w:rPr>
        <w:t xml:space="preserve">In Factor 4 of the DoN regulations the CPA must demonstrate </w:t>
      </w:r>
      <w:r w:rsidR="003B71D0" w:rsidRPr="007915CE">
        <w:rPr>
          <w:rFonts w:cstheme="minorHAnsi"/>
          <w:b/>
          <w:bCs/>
          <w:sz w:val="24"/>
          <w:szCs w:val="24"/>
        </w:rPr>
        <w:t>compliance with the two bullet points below</w:t>
      </w:r>
      <w:r w:rsidR="00452AEA" w:rsidRPr="007915CE">
        <w:rPr>
          <w:rFonts w:cstheme="minorHAnsi"/>
          <w:b/>
          <w:bCs/>
          <w:sz w:val="24"/>
          <w:szCs w:val="24"/>
        </w:rPr>
        <w:t xml:space="preserve">- </w:t>
      </w:r>
    </w:p>
    <w:p w14:paraId="60229D45" w14:textId="6E269D76" w:rsidR="00452AEA" w:rsidRPr="007915CE" w:rsidRDefault="00452AEA" w:rsidP="002149DE">
      <w:pPr>
        <w:pStyle w:val="ListParagraph"/>
        <w:numPr>
          <w:ilvl w:val="0"/>
          <w:numId w:val="6"/>
        </w:numPr>
        <w:rPr>
          <w:rFonts w:cstheme="minorHAnsi"/>
          <w:b/>
          <w:bCs/>
          <w:i/>
          <w:iCs/>
          <w:sz w:val="24"/>
          <w:szCs w:val="24"/>
        </w:rPr>
      </w:pPr>
      <w:r w:rsidRPr="007915CE">
        <w:rPr>
          <w:rFonts w:cstheme="minorHAnsi"/>
          <w:b/>
          <w:bCs/>
          <w:sz w:val="24"/>
          <w:szCs w:val="24"/>
        </w:rPr>
        <w:t>“</w:t>
      </w:r>
      <w:r w:rsidRPr="007915CE">
        <w:rPr>
          <w:rFonts w:cstheme="minorHAnsi"/>
          <w:b/>
          <w:bCs/>
          <w:i/>
          <w:iCs/>
          <w:sz w:val="24"/>
          <w:szCs w:val="24"/>
        </w:rPr>
        <w:t xml:space="preserve">the Applicant has provided sufficient documentation of the availability of sufficient funds for capital and ongoing operating costs necessary to support the Proposed Project </w:t>
      </w:r>
      <w:r w:rsidRPr="007915CE">
        <w:rPr>
          <w:rFonts w:cstheme="minorHAnsi"/>
          <w:b/>
          <w:bCs/>
          <w:i/>
          <w:iCs/>
          <w:sz w:val="24"/>
          <w:szCs w:val="24"/>
          <w:u w:val="single"/>
        </w:rPr>
        <w:t>without negative impacts or consequences to the Applicant's Patient Panel.</w:t>
      </w:r>
    </w:p>
    <w:p w14:paraId="1EB63510" w14:textId="1D53EAA1" w:rsidR="00E84513" w:rsidRPr="007915CE" w:rsidRDefault="00452AEA" w:rsidP="00452AEA">
      <w:pPr>
        <w:pStyle w:val="ListParagraph"/>
        <w:numPr>
          <w:ilvl w:val="0"/>
          <w:numId w:val="4"/>
        </w:numPr>
        <w:rPr>
          <w:rFonts w:cstheme="minorHAnsi"/>
          <w:b/>
          <w:bCs/>
          <w:sz w:val="24"/>
          <w:szCs w:val="24"/>
        </w:rPr>
      </w:pPr>
      <w:r w:rsidRPr="007915CE">
        <w:rPr>
          <w:rFonts w:cstheme="minorHAnsi"/>
          <w:b/>
          <w:bCs/>
          <w:sz w:val="24"/>
          <w:szCs w:val="24"/>
        </w:rPr>
        <w:t xml:space="preserve">show that it reviewed “past and present operating and capital budgets; balance sheets;…” </w:t>
      </w:r>
    </w:p>
    <w:p w14:paraId="72AEC395" w14:textId="1C46CC52" w:rsidR="00C07EB6" w:rsidRPr="007915CE" w:rsidRDefault="002149DE" w:rsidP="00C07EB6">
      <w:pPr>
        <w:pStyle w:val="ListParagraph"/>
        <w:numPr>
          <w:ilvl w:val="0"/>
          <w:numId w:val="7"/>
        </w:numPr>
        <w:ind w:hanging="360"/>
        <w:rPr>
          <w:rFonts w:cstheme="minorHAnsi"/>
          <w:b/>
          <w:bCs/>
          <w:sz w:val="24"/>
          <w:szCs w:val="24"/>
        </w:rPr>
      </w:pPr>
      <w:r w:rsidRPr="007915CE">
        <w:rPr>
          <w:rFonts w:cstheme="minorHAnsi"/>
          <w:b/>
          <w:bCs/>
          <w:sz w:val="24"/>
          <w:szCs w:val="24"/>
        </w:rPr>
        <w:t xml:space="preserve">We note </w:t>
      </w:r>
      <w:r w:rsidR="00514216" w:rsidRPr="007915CE">
        <w:rPr>
          <w:rFonts w:cstheme="minorHAnsi"/>
          <w:b/>
          <w:bCs/>
          <w:sz w:val="24"/>
          <w:szCs w:val="24"/>
        </w:rPr>
        <w:t>(P6</w:t>
      </w:r>
      <w:r w:rsidR="00240CEF" w:rsidRPr="007915CE">
        <w:rPr>
          <w:rFonts w:cstheme="minorHAnsi"/>
          <w:b/>
          <w:bCs/>
          <w:sz w:val="24"/>
          <w:szCs w:val="24"/>
        </w:rPr>
        <w:t>-7</w:t>
      </w:r>
      <w:r w:rsidR="00514216" w:rsidRPr="007915CE">
        <w:rPr>
          <w:rFonts w:cstheme="minorHAnsi"/>
          <w:b/>
          <w:bCs/>
          <w:sz w:val="24"/>
          <w:szCs w:val="24"/>
        </w:rPr>
        <w:t xml:space="preserve"> of the CPA report) </w:t>
      </w:r>
      <w:r w:rsidRPr="007915CE">
        <w:rPr>
          <w:rFonts w:cstheme="minorHAnsi"/>
          <w:b/>
          <w:bCs/>
          <w:sz w:val="24"/>
          <w:szCs w:val="24"/>
        </w:rPr>
        <w:t xml:space="preserve">that the projections anticipate eliminating nine beds </w:t>
      </w:r>
      <w:r w:rsidR="002F1774" w:rsidRPr="007915CE">
        <w:rPr>
          <w:rFonts w:cstheme="minorHAnsi"/>
          <w:b/>
          <w:bCs/>
          <w:sz w:val="24"/>
          <w:szCs w:val="24"/>
        </w:rPr>
        <w:t xml:space="preserve">in 2025 alone </w:t>
      </w:r>
      <w:r w:rsidRPr="007915CE">
        <w:rPr>
          <w:rFonts w:cstheme="minorHAnsi"/>
          <w:b/>
          <w:bCs/>
          <w:sz w:val="24"/>
          <w:szCs w:val="24"/>
        </w:rPr>
        <w:t>that have been occupied by Medicaid patients.</w:t>
      </w:r>
      <w:r w:rsidR="00240CEF" w:rsidRPr="007915CE">
        <w:rPr>
          <w:rFonts w:cstheme="minorHAnsi"/>
          <w:b/>
          <w:bCs/>
          <w:sz w:val="24"/>
          <w:szCs w:val="24"/>
        </w:rPr>
        <w:t xml:space="preserve"> </w:t>
      </w:r>
      <w:r w:rsidR="009F4F50" w:rsidRPr="007915CE">
        <w:rPr>
          <w:rFonts w:cstheme="minorHAnsi"/>
          <w:b/>
          <w:bCs/>
          <w:sz w:val="24"/>
          <w:szCs w:val="24"/>
        </w:rPr>
        <w:t xml:space="preserve">(From a reported high of </w:t>
      </w:r>
      <w:r w:rsidR="003F12FD" w:rsidRPr="007915CE">
        <w:rPr>
          <w:rFonts w:cstheme="minorHAnsi"/>
          <w:b/>
          <w:bCs/>
          <w:sz w:val="24"/>
          <w:szCs w:val="24"/>
        </w:rPr>
        <w:t xml:space="preserve">40.4 in 2020 down to a projected </w:t>
      </w:r>
      <w:r w:rsidR="005F79CA" w:rsidRPr="007915CE">
        <w:rPr>
          <w:rFonts w:cstheme="minorHAnsi"/>
          <w:b/>
          <w:bCs/>
          <w:sz w:val="24"/>
          <w:szCs w:val="24"/>
        </w:rPr>
        <w:t>24.7</w:t>
      </w:r>
      <w:r w:rsidR="007C6FF0" w:rsidRPr="007915CE">
        <w:rPr>
          <w:rFonts w:cstheme="minorHAnsi"/>
          <w:b/>
          <w:bCs/>
          <w:sz w:val="24"/>
          <w:szCs w:val="24"/>
        </w:rPr>
        <w:t xml:space="preserve"> beds at the end of 2025). </w:t>
      </w:r>
      <w:r w:rsidRPr="007915CE">
        <w:rPr>
          <w:rFonts w:cstheme="minorHAnsi"/>
          <w:b/>
          <w:bCs/>
          <w:sz w:val="24"/>
          <w:szCs w:val="24"/>
        </w:rPr>
        <w:t>Please help us to understand how significantly reducing the number of Medicaid patients does not adversely impact the Patient Panel</w:t>
      </w:r>
      <w:r w:rsidR="003461EA" w:rsidRPr="007915CE">
        <w:rPr>
          <w:rFonts w:cstheme="minorHAnsi"/>
          <w:b/>
          <w:bCs/>
          <w:sz w:val="24"/>
          <w:szCs w:val="24"/>
        </w:rPr>
        <w:t xml:space="preserve"> </w:t>
      </w:r>
      <w:r w:rsidR="00DD60DD" w:rsidRPr="007915CE">
        <w:rPr>
          <w:rFonts w:cstheme="minorHAnsi"/>
          <w:b/>
          <w:bCs/>
          <w:sz w:val="24"/>
          <w:szCs w:val="24"/>
        </w:rPr>
        <w:t>and that Panel is essentially all of</w:t>
      </w:r>
      <w:r w:rsidR="00F976E9" w:rsidRPr="007915CE">
        <w:rPr>
          <w:rFonts w:cstheme="minorHAnsi"/>
          <w:b/>
          <w:bCs/>
          <w:sz w:val="24"/>
          <w:szCs w:val="24"/>
        </w:rPr>
        <w:t xml:space="preserve"> the residents of the island</w:t>
      </w:r>
      <w:r w:rsidR="00487585" w:rsidRPr="007915CE">
        <w:rPr>
          <w:rFonts w:cstheme="minorHAnsi"/>
          <w:b/>
          <w:bCs/>
          <w:sz w:val="24"/>
          <w:szCs w:val="24"/>
        </w:rPr>
        <w:t xml:space="preserve">, </w:t>
      </w:r>
      <w:r w:rsidR="003461EA" w:rsidRPr="007915CE">
        <w:rPr>
          <w:rFonts w:cstheme="minorHAnsi"/>
          <w:b/>
          <w:bCs/>
          <w:sz w:val="24"/>
          <w:szCs w:val="24"/>
        </w:rPr>
        <w:t xml:space="preserve">given that Windemere is the sole </w:t>
      </w:r>
      <w:r w:rsidR="0061662D" w:rsidRPr="007915CE">
        <w:rPr>
          <w:rFonts w:cstheme="minorHAnsi"/>
          <w:b/>
          <w:bCs/>
          <w:sz w:val="24"/>
          <w:szCs w:val="24"/>
        </w:rPr>
        <w:t xml:space="preserve">LTCF on the island? </w:t>
      </w:r>
      <w:r w:rsidRPr="007915CE">
        <w:rPr>
          <w:rFonts w:cstheme="minorHAnsi"/>
          <w:b/>
          <w:bCs/>
          <w:sz w:val="24"/>
          <w:szCs w:val="24"/>
        </w:rPr>
        <w:t xml:space="preserve"> </w:t>
      </w:r>
    </w:p>
    <w:p w14:paraId="71640FD6" w14:textId="77777777" w:rsidR="00D40B8C" w:rsidRPr="007915CE" w:rsidRDefault="008D098C" w:rsidP="00735F20">
      <w:pPr>
        <w:ind w:left="1080"/>
        <w:jc w:val="both"/>
        <w:rPr>
          <w:rFonts w:cstheme="minorHAnsi"/>
          <w:sz w:val="24"/>
          <w:szCs w:val="24"/>
        </w:rPr>
      </w:pPr>
      <w:r w:rsidRPr="007915CE">
        <w:rPr>
          <w:rFonts w:cstheme="minorHAnsi"/>
          <w:sz w:val="24"/>
          <w:szCs w:val="24"/>
        </w:rPr>
        <w:t xml:space="preserve">To clarify, </w:t>
      </w:r>
      <w:r w:rsidR="00BB1633" w:rsidRPr="007915CE">
        <w:rPr>
          <w:rFonts w:cstheme="minorHAnsi"/>
          <w:sz w:val="24"/>
          <w:szCs w:val="24"/>
        </w:rPr>
        <w:t xml:space="preserve">the data point </w:t>
      </w:r>
      <w:r w:rsidR="00A216AA" w:rsidRPr="007915CE">
        <w:rPr>
          <w:rFonts w:cstheme="minorHAnsi"/>
          <w:sz w:val="24"/>
          <w:szCs w:val="24"/>
        </w:rPr>
        <w:t xml:space="preserve">of </w:t>
      </w:r>
      <w:r w:rsidRPr="007915CE">
        <w:rPr>
          <w:rFonts w:cstheme="minorHAnsi"/>
          <w:sz w:val="24"/>
          <w:szCs w:val="24"/>
        </w:rPr>
        <w:t>40.4</w:t>
      </w:r>
      <w:r w:rsidR="00BB1633" w:rsidRPr="007915CE">
        <w:rPr>
          <w:rFonts w:cstheme="minorHAnsi"/>
          <w:sz w:val="24"/>
          <w:szCs w:val="24"/>
        </w:rPr>
        <w:t xml:space="preserve"> </w:t>
      </w:r>
      <w:r w:rsidR="00A216AA" w:rsidRPr="007915CE">
        <w:rPr>
          <w:rFonts w:cstheme="minorHAnsi"/>
          <w:sz w:val="24"/>
          <w:szCs w:val="24"/>
        </w:rPr>
        <w:t xml:space="preserve">residents </w:t>
      </w:r>
      <w:r w:rsidR="00100D73" w:rsidRPr="007915CE">
        <w:rPr>
          <w:rFonts w:cstheme="minorHAnsi"/>
          <w:sz w:val="24"/>
          <w:szCs w:val="24"/>
        </w:rPr>
        <w:t xml:space="preserve">on page 6 of the CPA report </w:t>
      </w:r>
      <w:r w:rsidRPr="007915CE">
        <w:rPr>
          <w:rFonts w:cstheme="minorHAnsi"/>
          <w:sz w:val="24"/>
          <w:szCs w:val="24"/>
        </w:rPr>
        <w:t xml:space="preserve">represents Windemere’s total </w:t>
      </w:r>
      <w:r w:rsidR="00CD4052" w:rsidRPr="007915CE">
        <w:rPr>
          <w:rFonts w:cstheme="minorHAnsi"/>
          <w:sz w:val="24"/>
          <w:szCs w:val="24"/>
        </w:rPr>
        <w:t xml:space="preserve">average daily census from 1/1/2021 – 12/31/2021. Of that, an average of 34.4 residents were covered by Medicaid. </w:t>
      </w:r>
      <w:r w:rsidR="00D40B8C" w:rsidRPr="007915CE">
        <w:rPr>
          <w:rFonts w:cstheme="minorHAnsi"/>
          <w:sz w:val="24"/>
          <w:szCs w:val="24"/>
        </w:rPr>
        <w:t xml:space="preserve">The current census of Windemere as of 12/16/2022 is 25 residents covered by Medicaid. </w:t>
      </w:r>
    </w:p>
    <w:p w14:paraId="186F2A99" w14:textId="71FDF424" w:rsidR="007915CE" w:rsidRPr="007915CE" w:rsidRDefault="00042EA4" w:rsidP="00735F20">
      <w:pPr>
        <w:ind w:left="1080"/>
        <w:jc w:val="both"/>
        <w:rPr>
          <w:rFonts w:cstheme="minorHAnsi"/>
          <w:sz w:val="24"/>
          <w:szCs w:val="24"/>
        </w:rPr>
      </w:pPr>
      <w:bookmarkStart w:id="1" w:name="_Hlk122518675"/>
      <w:r w:rsidRPr="007915CE">
        <w:rPr>
          <w:rFonts w:cstheme="minorHAnsi"/>
          <w:sz w:val="24"/>
          <w:szCs w:val="24"/>
        </w:rPr>
        <w:t>Navigator</w:t>
      </w:r>
      <w:r w:rsidR="00D40B8C" w:rsidRPr="007915CE">
        <w:rPr>
          <w:rFonts w:cstheme="minorHAnsi"/>
          <w:sz w:val="24"/>
          <w:szCs w:val="24"/>
        </w:rPr>
        <w:t xml:space="preserve"> has revisited its projections to determine the average occupied beds by payer that would maximize its ability to care for Medicaid beneficiaries while preserving the financial viability of the facility. This was achieved by increasing the facility’s occupancy to 93%, which is consistent with other Green House facilities.</w:t>
      </w:r>
      <w:bookmarkStart w:id="2" w:name="_Hlk122518652"/>
      <w:r w:rsidR="00D40B8C" w:rsidRPr="007915CE">
        <w:rPr>
          <w:rFonts w:cstheme="minorHAnsi"/>
          <w:sz w:val="24"/>
          <w:szCs w:val="24"/>
        </w:rPr>
        <w:t xml:space="preserve"> </w:t>
      </w:r>
      <w:r w:rsidR="007915CE" w:rsidRPr="007915CE">
        <w:rPr>
          <w:rFonts w:cstheme="minorHAnsi"/>
          <w:sz w:val="24"/>
          <w:szCs w:val="24"/>
        </w:rPr>
        <w:t>As a result, Navigator is projecting an average of 28 Medicaid beds beginning in 2025</w:t>
      </w:r>
      <w:r w:rsidR="00681AEA">
        <w:rPr>
          <w:rFonts w:cstheme="minorHAnsi"/>
          <w:sz w:val="24"/>
          <w:szCs w:val="24"/>
        </w:rPr>
        <w:t xml:space="preserve">, which creates an </w:t>
      </w:r>
      <w:r w:rsidR="00681AEA" w:rsidRPr="00681AEA">
        <w:rPr>
          <w:rFonts w:cstheme="minorHAnsi"/>
          <w:i/>
          <w:iCs/>
          <w:sz w:val="24"/>
          <w:szCs w:val="24"/>
        </w:rPr>
        <w:t xml:space="preserve">increase </w:t>
      </w:r>
      <w:r w:rsidR="00681AEA">
        <w:rPr>
          <w:rFonts w:cstheme="minorHAnsi"/>
          <w:sz w:val="24"/>
          <w:szCs w:val="24"/>
        </w:rPr>
        <w:t xml:space="preserve">of Medicaid beds from the facility’s current average of 25. </w:t>
      </w:r>
      <w:r w:rsidR="007915CE" w:rsidRPr="007915CE">
        <w:rPr>
          <w:rFonts w:cstheme="minorHAnsi"/>
          <w:sz w:val="24"/>
          <w:szCs w:val="24"/>
        </w:rPr>
        <w:t xml:space="preserve"> </w:t>
      </w:r>
      <w:bookmarkEnd w:id="1"/>
      <w:bookmarkEnd w:id="2"/>
    </w:p>
    <w:p w14:paraId="1E57E4FD" w14:textId="7A869781" w:rsidR="00042EA4" w:rsidRPr="007915CE" w:rsidRDefault="007915CE" w:rsidP="00735F20">
      <w:pPr>
        <w:ind w:left="1080"/>
        <w:jc w:val="both"/>
        <w:rPr>
          <w:rFonts w:cstheme="minorHAnsi"/>
          <w:sz w:val="24"/>
          <w:szCs w:val="24"/>
        </w:rPr>
      </w:pPr>
      <w:r w:rsidRPr="007915CE">
        <w:rPr>
          <w:rFonts w:cstheme="minorHAnsi"/>
          <w:sz w:val="24"/>
          <w:szCs w:val="24"/>
        </w:rPr>
        <w:t>A</w:t>
      </w:r>
      <w:r w:rsidR="00042EA4" w:rsidRPr="007915CE">
        <w:rPr>
          <w:rFonts w:cstheme="minorHAnsi"/>
          <w:sz w:val="24"/>
          <w:szCs w:val="24"/>
        </w:rPr>
        <w:t xml:space="preserve"> supplemental analysis from the CPA is provided in Attachment </w:t>
      </w:r>
      <w:r w:rsidR="004623FE" w:rsidRPr="007915CE">
        <w:rPr>
          <w:rFonts w:cstheme="minorHAnsi"/>
          <w:sz w:val="24"/>
          <w:szCs w:val="24"/>
        </w:rPr>
        <w:t>A</w:t>
      </w:r>
      <w:r w:rsidR="00042EA4" w:rsidRPr="007915CE">
        <w:rPr>
          <w:rFonts w:cstheme="minorHAnsi"/>
          <w:sz w:val="24"/>
          <w:szCs w:val="24"/>
        </w:rPr>
        <w:t xml:space="preserve">: Sensitivity Analysis I – Payor Mix.  </w:t>
      </w:r>
    </w:p>
    <w:p w14:paraId="2484E656" w14:textId="5E939113" w:rsidR="00042EA4" w:rsidRPr="00EE10F2" w:rsidRDefault="00042EA4" w:rsidP="00042EA4">
      <w:pPr>
        <w:ind w:left="1080" w:hanging="1170"/>
        <w:jc w:val="both"/>
        <w:rPr>
          <w:rFonts w:ascii="Times New Roman" w:hAnsi="Times New Roman" w:cs="Times New Roman"/>
          <w:sz w:val="24"/>
          <w:szCs w:val="24"/>
          <w:u w:val="single"/>
        </w:rPr>
      </w:pPr>
      <w:r w:rsidRPr="00EE10F2">
        <w:rPr>
          <w:rFonts w:ascii="Times New Roman" w:hAnsi="Times New Roman" w:cs="Times New Roman"/>
          <w:sz w:val="24"/>
          <w:szCs w:val="24"/>
          <w:u w:val="single"/>
        </w:rPr>
        <w:t>Table E: Projected Payer Mix</w:t>
      </w:r>
    </w:p>
    <w:tbl>
      <w:tblPr>
        <w:tblW w:w="9720" w:type="dxa"/>
        <w:jc w:val="center"/>
        <w:tblLayout w:type="fixed"/>
        <w:tblLook w:val="0000" w:firstRow="0" w:lastRow="0" w:firstColumn="0" w:lastColumn="0" w:noHBand="0" w:noVBand="0"/>
      </w:tblPr>
      <w:tblGrid>
        <w:gridCol w:w="1710"/>
        <w:gridCol w:w="900"/>
        <w:gridCol w:w="1080"/>
        <w:gridCol w:w="1080"/>
        <w:gridCol w:w="1170"/>
        <w:gridCol w:w="900"/>
        <w:gridCol w:w="1350"/>
        <w:gridCol w:w="1530"/>
      </w:tblGrid>
      <w:tr w:rsidR="007915CE" w:rsidRPr="007915CE" w14:paraId="485610BB" w14:textId="77777777" w:rsidTr="0029012B">
        <w:trPr>
          <w:trHeight w:val="56"/>
          <w:jc w:val="center"/>
        </w:trPr>
        <w:tc>
          <w:tcPr>
            <w:tcW w:w="9720" w:type="dxa"/>
            <w:gridSpan w:val="8"/>
          </w:tcPr>
          <w:p w14:paraId="24D9887E" w14:textId="1443C572" w:rsidR="00042EA4" w:rsidRPr="007915CE" w:rsidRDefault="00042EA4" w:rsidP="003F7432">
            <w:pPr>
              <w:pStyle w:val="EndnoteText"/>
              <w:spacing w:before="60" w:after="60" w:line="259" w:lineRule="auto"/>
              <w:jc w:val="center"/>
              <w:rPr>
                <w:rFonts w:ascii="Times New Roman" w:hAnsi="Times New Roman"/>
                <w:sz w:val="22"/>
                <w:szCs w:val="22"/>
                <w:highlight w:val="yellow"/>
              </w:rPr>
            </w:pPr>
            <w:r w:rsidRPr="007915CE">
              <w:rPr>
                <w:b/>
                <w:sz w:val="24"/>
                <w:szCs w:val="22"/>
              </w:rPr>
              <w:t>Utilization of the Green House Beds – Revised Payer Mix 12/20/2022</w:t>
            </w:r>
          </w:p>
        </w:tc>
      </w:tr>
      <w:tr w:rsidR="007915CE" w:rsidRPr="007915CE" w14:paraId="2D5002A9" w14:textId="77777777" w:rsidTr="0029012B">
        <w:trPr>
          <w:trHeight w:val="411"/>
          <w:jc w:val="center"/>
        </w:trPr>
        <w:tc>
          <w:tcPr>
            <w:tcW w:w="1710" w:type="dxa"/>
            <w:vMerge w:val="restart"/>
            <w:vAlign w:val="bottom"/>
          </w:tcPr>
          <w:p w14:paraId="28CCB04D" w14:textId="77777777" w:rsidR="00042EA4" w:rsidRPr="007915CE" w:rsidRDefault="00042EA4" w:rsidP="003F7432">
            <w:pPr>
              <w:pStyle w:val="EndnoteText"/>
              <w:spacing w:line="259" w:lineRule="auto"/>
              <w:jc w:val="left"/>
              <w:rPr>
                <w:rFonts w:ascii="Times New Roman" w:hAnsi="Times New Roman"/>
                <w:b/>
              </w:rPr>
            </w:pPr>
            <w:r w:rsidRPr="007915CE">
              <w:rPr>
                <w:rFonts w:ascii="Times New Roman" w:hAnsi="Times New Roman"/>
                <w:b/>
              </w:rPr>
              <w:t>Month/Year</w:t>
            </w:r>
          </w:p>
        </w:tc>
        <w:tc>
          <w:tcPr>
            <w:tcW w:w="4230" w:type="dxa"/>
            <w:gridSpan w:val="4"/>
          </w:tcPr>
          <w:p w14:paraId="4F942FB2" w14:textId="77777777" w:rsidR="00042EA4" w:rsidRPr="007915CE" w:rsidRDefault="00042EA4" w:rsidP="003F7432">
            <w:pPr>
              <w:pStyle w:val="EndnoteText"/>
              <w:spacing w:line="259" w:lineRule="auto"/>
              <w:jc w:val="center"/>
              <w:rPr>
                <w:rFonts w:ascii="Times New Roman" w:hAnsi="Times New Roman"/>
                <w:b/>
                <w:u w:val="single"/>
              </w:rPr>
            </w:pPr>
            <w:r w:rsidRPr="007915CE">
              <w:rPr>
                <w:rFonts w:ascii="Times New Roman" w:hAnsi="Times New Roman"/>
                <w:b/>
                <w:u w:val="single"/>
              </w:rPr>
              <w:t>Average Occupied Beds</w:t>
            </w:r>
          </w:p>
        </w:tc>
        <w:tc>
          <w:tcPr>
            <w:tcW w:w="900" w:type="dxa"/>
            <w:vMerge w:val="restart"/>
            <w:vAlign w:val="bottom"/>
          </w:tcPr>
          <w:p w14:paraId="02F6A293" w14:textId="77777777" w:rsidR="00042EA4" w:rsidRPr="007915CE" w:rsidRDefault="00042EA4" w:rsidP="003F7432">
            <w:pPr>
              <w:pStyle w:val="EndnoteText"/>
              <w:spacing w:line="259" w:lineRule="auto"/>
              <w:jc w:val="center"/>
              <w:rPr>
                <w:rFonts w:ascii="Times New Roman" w:hAnsi="Times New Roman"/>
                <w:b/>
              </w:rPr>
            </w:pPr>
            <w:r w:rsidRPr="007915CE">
              <w:rPr>
                <w:rFonts w:ascii="Times New Roman" w:hAnsi="Times New Roman"/>
                <w:b/>
              </w:rPr>
              <w:t xml:space="preserve">Total </w:t>
            </w:r>
            <w:r w:rsidRPr="007915CE">
              <w:rPr>
                <w:rFonts w:ascii="Times New Roman" w:hAnsi="Times New Roman"/>
                <w:b/>
                <w:vertAlign w:val="superscript"/>
              </w:rPr>
              <w:t>(4)</w:t>
            </w:r>
          </w:p>
        </w:tc>
        <w:tc>
          <w:tcPr>
            <w:tcW w:w="1350" w:type="dxa"/>
            <w:vMerge w:val="restart"/>
            <w:vAlign w:val="bottom"/>
          </w:tcPr>
          <w:p w14:paraId="4AC78BE3" w14:textId="77777777" w:rsidR="00042EA4" w:rsidRPr="007915CE" w:rsidRDefault="00042EA4" w:rsidP="003F7432">
            <w:pPr>
              <w:pStyle w:val="EndnoteText"/>
              <w:spacing w:line="259" w:lineRule="auto"/>
              <w:jc w:val="center"/>
              <w:rPr>
                <w:rFonts w:ascii="Times New Roman" w:hAnsi="Times New Roman"/>
                <w:b/>
              </w:rPr>
            </w:pPr>
            <w:r w:rsidRPr="007915CE">
              <w:rPr>
                <w:rFonts w:ascii="Times New Roman" w:hAnsi="Times New Roman"/>
                <w:b/>
              </w:rPr>
              <w:t>Average Beds Available</w:t>
            </w:r>
          </w:p>
        </w:tc>
        <w:tc>
          <w:tcPr>
            <w:tcW w:w="1530" w:type="dxa"/>
            <w:vMerge w:val="restart"/>
            <w:vAlign w:val="bottom"/>
          </w:tcPr>
          <w:p w14:paraId="644E5CEE" w14:textId="77777777" w:rsidR="00042EA4" w:rsidRPr="007915CE" w:rsidRDefault="00042EA4" w:rsidP="003F7432">
            <w:pPr>
              <w:pStyle w:val="EndnoteText"/>
              <w:spacing w:line="259" w:lineRule="auto"/>
              <w:jc w:val="center"/>
              <w:rPr>
                <w:rFonts w:ascii="Times New Roman" w:hAnsi="Times New Roman"/>
                <w:b/>
                <w:vertAlign w:val="superscript"/>
              </w:rPr>
            </w:pPr>
            <w:r w:rsidRPr="007915CE">
              <w:rPr>
                <w:rFonts w:ascii="Times New Roman" w:hAnsi="Times New Roman"/>
                <w:b/>
              </w:rPr>
              <w:t>Bed Occupancy Percentage</w:t>
            </w:r>
            <w:r w:rsidRPr="007915CE">
              <w:rPr>
                <w:rFonts w:ascii="Times New Roman" w:hAnsi="Times New Roman"/>
                <w:b/>
                <w:vertAlign w:val="superscript"/>
              </w:rPr>
              <w:t xml:space="preserve">(1) </w:t>
            </w:r>
          </w:p>
        </w:tc>
      </w:tr>
      <w:tr w:rsidR="007915CE" w:rsidRPr="007915CE" w14:paraId="4BA941CC" w14:textId="77777777" w:rsidTr="0029012B">
        <w:trPr>
          <w:trHeight w:val="348"/>
          <w:jc w:val="center"/>
        </w:trPr>
        <w:tc>
          <w:tcPr>
            <w:tcW w:w="1710" w:type="dxa"/>
            <w:vMerge/>
            <w:vAlign w:val="bottom"/>
          </w:tcPr>
          <w:p w14:paraId="7182CBF5" w14:textId="77777777" w:rsidR="00042EA4" w:rsidRPr="007915CE" w:rsidRDefault="00042EA4" w:rsidP="003F7432">
            <w:pPr>
              <w:pStyle w:val="EndnoteText"/>
              <w:spacing w:line="259" w:lineRule="auto"/>
              <w:jc w:val="left"/>
              <w:rPr>
                <w:rFonts w:ascii="Times New Roman" w:hAnsi="Times New Roman"/>
                <w:b/>
              </w:rPr>
            </w:pPr>
          </w:p>
        </w:tc>
        <w:tc>
          <w:tcPr>
            <w:tcW w:w="900" w:type="dxa"/>
            <w:vAlign w:val="center"/>
          </w:tcPr>
          <w:p w14:paraId="41D7698B" w14:textId="77777777" w:rsidR="00042EA4" w:rsidRPr="007915CE" w:rsidRDefault="00042EA4" w:rsidP="003F7432">
            <w:pPr>
              <w:pStyle w:val="EndnoteText"/>
              <w:spacing w:line="259" w:lineRule="auto"/>
              <w:jc w:val="center"/>
              <w:rPr>
                <w:rFonts w:ascii="Times New Roman" w:hAnsi="Times New Roman"/>
                <w:b/>
              </w:rPr>
            </w:pPr>
            <w:r w:rsidRPr="007915CE">
              <w:rPr>
                <w:rFonts w:ascii="Times New Roman" w:hAnsi="Times New Roman"/>
                <w:b/>
              </w:rPr>
              <w:t>Private Pay</w:t>
            </w:r>
          </w:p>
        </w:tc>
        <w:tc>
          <w:tcPr>
            <w:tcW w:w="1080" w:type="dxa"/>
            <w:vAlign w:val="center"/>
          </w:tcPr>
          <w:p w14:paraId="7FF8D6EE" w14:textId="77777777" w:rsidR="00042EA4" w:rsidRPr="007915CE" w:rsidRDefault="00042EA4" w:rsidP="003F7432">
            <w:pPr>
              <w:pStyle w:val="EndnoteText"/>
              <w:spacing w:line="259" w:lineRule="auto"/>
              <w:jc w:val="center"/>
              <w:rPr>
                <w:rFonts w:ascii="Times New Roman" w:hAnsi="Times New Roman"/>
                <w:b/>
              </w:rPr>
            </w:pPr>
            <w:r w:rsidRPr="007915CE">
              <w:rPr>
                <w:rFonts w:ascii="Times New Roman" w:hAnsi="Times New Roman"/>
                <w:b/>
              </w:rPr>
              <w:t>Medicaid</w:t>
            </w:r>
          </w:p>
        </w:tc>
        <w:tc>
          <w:tcPr>
            <w:tcW w:w="1080" w:type="dxa"/>
            <w:vAlign w:val="center"/>
          </w:tcPr>
          <w:p w14:paraId="085A55B6" w14:textId="77777777" w:rsidR="00042EA4" w:rsidRPr="007915CE" w:rsidRDefault="00042EA4" w:rsidP="003F7432">
            <w:pPr>
              <w:pStyle w:val="EndnoteText"/>
              <w:spacing w:line="259" w:lineRule="auto"/>
              <w:jc w:val="center"/>
              <w:rPr>
                <w:rFonts w:ascii="Times New Roman" w:hAnsi="Times New Roman"/>
                <w:b/>
              </w:rPr>
            </w:pPr>
            <w:r w:rsidRPr="007915CE">
              <w:rPr>
                <w:rFonts w:ascii="Times New Roman" w:hAnsi="Times New Roman"/>
                <w:b/>
              </w:rPr>
              <w:t>Medicare</w:t>
            </w:r>
          </w:p>
        </w:tc>
        <w:tc>
          <w:tcPr>
            <w:tcW w:w="1170" w:type="dxa"/>
            <w:vAlign w:val="center"/>
          </w:tcPr>
          <w:p w14:paraId="0C96D44D" w14:textId="77777777" w:rsidR="00042EA4" w:rsidRPr="007915CE" w:rsidRDefault="00042EA4" w:rsidP="003F7432">
            <w:pPr>
              <w:pStyle w:val="EndnoteText"/>
              <w:spacing w:line="259" w:lineRule="auto"/>
              <w:jc w:val="center"/>
              <w:rPr>
                <w:rFonts w:ascii="Times New Roman" w:hAnsi="Times New Roman"/>
                <w:b/>
              </w:rPr>
            </w:pPr>
            <w:r w:rsidRPr="007915CE">
              <w:rPr>
                <w:rFonts w:ascii="Times New Roman" w:hAnsi="Times New Roman"/>
                <w:b/>
              </w:rPr>
              <w:t>Managed Medicare</w:t>
            </w:r>
          </w:p>
        </w:tc>
        <w:tc>
          <w:tcPr>
            <w:tcW w:w="900" w:type="dxa"/>
            <w:vMerge/>
            <w:vAlign w:val="center"/>
          </w:tcPr>
          <w:p w14:paraId="115B55C2" w14:textId="77777777" w:rsidR="00042EA4" w:rsidRPr="007915CE" w:rsidRDefault="00042EA4" w:rsidP="003F7432">
            <w:pPr>
              <w:pStyle w:val="EndnoteText"/>
              <w:spacing w:line="259" w:lineRule="auto"/>
              <w:jc w:val="center"/>
              <w:rPr>
                <w:rFonts w:ascii="Times New Roman" w:hAnsi="Times New Roman"/>
                <w:b/>
              </w:rPr>
            </w:pPr>
          </w:p>
        </w:tc>
        <w:tc>
          <w:tcPr>
            <w:tcW w:w="1350" w:type="dxa"/>
            <w:vMerge/>
            <w:vAlign w:val="bottom"/>
          </w:tcPr>
          <w:p w14:paraId="77F5A766" w14:textId="77777777" w:rsidR="00042EA4" w:rsidRPr="007915CE" w:rsidRDefault="00042EA4" w:rsidP="003F7432">
            <w:pPr>
              <w:pStyle w:val="EndnoteText"/>
              <w:spacing w:line="259" w:lineRule="auto"/>
              <w:jc w:val="center"/>
              <w:rPr>
                <w:rFonts w:ascii="Times New Roman" w:hAnsi="Times New Roman"/>
                <w:b/>
                <w:highlight w:val="yellow"/>
              </w:rPr>
            </w:pPr>
          </w:p>
        </w:tc>
        <w:tc>
          <w:tcPr>
            <w:tcW w:w="1530" w:type="dxa"/>
            <w:vMerge/>
            <w:vAlign w:val="center"/>
          </w:tcPr>
          <w:p w14:paraId="2623EF8A" w14:textId="77777777" w:rsidR="00042EA4" w:rsidRPr="007915CE" w:rsidRDefault="00042EA4" w:rsidP="003F7432">
            <w:pPr>
              <w:pStyle w:val="EndnoteText"/>
              <w:spacing w:line="259" w:lineRule="auto"/>
              <w:jc w:val="center"/>
              <w:rPr>
                <w:rFonts w:ascii="Times New Roman" w:hAnsi="Times New Roman"/>
                <w:b/>
                <w:highlight w:val="yellow"/>
              </w:rPr>
            </w:pPr>
          </w:p>
        </w:tc>
      </w:tr>
      <w:tr w:rsidR="007915CE" w:rsidRPr="007915CE" w14:paraId="5799D355" w14:textId="77777777" w:rsidTr="0029012B">
        <w:trPr>
          <w:trHeight w:hRule="exact" w:val="288"/>
          <w:jc w:val="center"/>
        </w:trPr>
        <w:tc>
          <w:tcPr>
            <w:tcW w:w="1710" w:type="dxa"/>
            <w:vAlign w:val="center"/>
          </w:tcPr>
          <w:p w14:paraId="30EEA9B5" w14:textId="77777777" w:rsidR="00042EA4" w:rsidRPr="007915CE" w:rsidRDefault="00042EA4" w:rsidP="003F7432">
            <w:pPr>
              <w:tabs>
                <w:tab w:val="left" w:pos="0"/>
              </w:tabs>
              <w:rPr>
                <w:i/>
                <w:iCs/>
                <w:sz w:val="18"/>
              </w:rPr>
            </w:pPr>
            <w:r w:rsidRPr="007915CE">
              <w:rPr>
                <w:i/>
                <w:iCs/>
                <w:sz w:val="18"/>
              </w:rPr>
              <w:t>Projected:</w:t>
            </w:r>
          </w:p>
        </w:tc>
        <w:tc>
          <w:tcPr>
            <w:tcW w:w="900" w:type="dxa"/>
            <w:shd w:val="clear" w:color="auto" w:fill="auto"/>
            <w:vAlign w:val="center"/>
          </w:tcPr>
          <w:p w14:paraId="4EF14D0F" w14:textId="77777777" w:rsidR="00042EA4" w:rsidRPr="007915CE" w:rsidRDefault="00042EA4" w:rsidP="003F7432">
            <w:pPr>
              <w:tabs>
                <w:tab w:val="left" w:pos="0"/>
              </w:tabs>
              <w:jc w:val="center"/>
              <w:rPr>
                <w:sz w:val="18"/>
              </w:rPr>
            </w:pPr>
          </w:p>
        </w:tc>
        <w:tc>
          <w:tcPr>
            <w:tcW w:w="1080" w:type="dxa"/>
            <w:shd w:val="clear" w:color="auto" w:fill="auto"/>
            <w:vAlign w:val="center"/>
          </w:tcPr>
          <w:p w14:paraId="1A261D28" w14:textId="77777777" w:rsidR="00042EA4" w:rsidRPr="007915CE" w:rsidRDefault="00042EA4" w:rsidP="003F7432">
            <w:pPr>
              <w:tabs>
                <w:tab w:val="left" w:pos="0"/>
              </w:tabs>
              <w:jc w:val="center"/>
              <w:rPr>
                <w:sz w:val="18"/>
              </w:rPr>
            </w:pPr>
          </w:p>
        </w:tc>
        <w:tc>
          <w:tcPr>
            <w:tcW w:w="1080" w:type="dxa"/>
            <w:vAlign w:val="center"/>
          </w:tcPr>
          <w:p w14:paraId="43393FCD" w14:textId="77777777" w:rsidR="00042EA4" w:rsidRPr="007915CE" w:rsidRDefault="00042EA4" w:rsidP="003F7432">
            <w:pPr>
              <w:tabs>
                <w:tab w:val="left" w:pos="0"/>
              </w:tabs>
              <w:jc w:val="center"/>
              <w:rPr>
                <w:sz w:val="18"/>
              </w:rPr>
            </w:pPr>
          </w:p>
        </w:tc>
        <w:tc>
          <w:tcPr>
            <w:tcW w:w="1170" w:type="dxa"/>
            <w:vAlign w:val="center"/>
          </w:tcPr>
          <w:p w14:paraId="06518520" w14:textId="77777777" w:rsidR="00042EA4" w:rsidRPr="007915CE" w:rsidRDefault="00042EA4" w:rsidP="003F7432">
            <w:pPr>
              <w:tabs>
                <w:tab w:val="left" w:pos="0"/>
              </w:tabs>
              <w:jc w:val="center"/>
              <w:rPr>
                <w:sz w:val="18"/>
              </w:rPr>
            </w:pPr>
          </w:p>
        </w:tc>
        <w:tc>
          <w:tcPr>
            <w:tcW w:w="900" w:type="dxa"/>
            <w:shd w:val="clear" w:color="auto" w:fill="auto"/>
            <w:vAlign w:val="center"/>
          </w:tcPr>
          <w:p w14:paraId="006CD473" w14:textId="77777777" w:rsidR="00042EA4" w:rsidRPr="007915CE" w:rsidRDefault="00042EA4" w:rsidP="003F7432">
            <w:pPr>
              <w:tabs>
                <w:tab w:val="left" w:pos="0"/>
              </w:tabs>
              <w:jc w:val="center"/>
              <w:rPr>
                <w:sz w:val="18"/>
              </w:rPr>
            </w:pPr>
          </w:p>
        </w:tc>
        <w:tc>
          <w:tcPr>
            <w:tcW w:w="1350" w:type="dxa"/>
            <w:vAlign w:val="center"/>
          </w:tcPr>
          <w:p w14:paraId="6A1EFF9D" w14:textId="77777777" w:rsidR="00042EA4" w:rsidRPr="007915CE" w:rsidRDefault="00042EA4" w:rsidP="003F7432">
            <w:pPr>
              <w:tabs>
                <w:tab w:val="left" w:pos="0"/>
              </w:tabs>
              <w:jc w:val="center"/>
              <w:rPr>
                <w:sz w:val="18"/>
              </w:rPr>
            </w:pPr>
          </w:p>
        </w:tc>
        <w:tc>
          <w:tcPr>
            <w:tcW w:w="1530" w:type="dxa"/>
            <w:shd w:val="clear" w:color="auto" w:fill="auto"/>
            <w:vAlign w:val="center"/>
          </w:tcPr>
          <w:p w14:paraId="424120F3" w14:textId="77777777" w:rsidR="00042EA4" w:rsidRPr="007915CE" w:rsidRDefault="00042EA4" w:rsidP="003F7432">
            <w:pPr>
              <w:tabs>
                <w:tab w:val="left" w:pos="0"/>
              </w:tabs>
              <w:jc w:val="center"/>
              <w:rPr>
                <w:sz w:val="18"/>
              </w:rPr>
            </w:pPr>
          </w:p>
        </w:tc>
      </w:tr>
      <w:tr w:rsidR="007915CE" w:rsidRPr="007915CE" w14:paraId="052B9CD6" w14:textId="77777777" w:rsidTr="0029012B">
        <w:trPr>
          <w:trHeight w:hRule="exact" w:val="288"/>
          <w:jc w:val="center"/>
        </w:trPr>
        <w:tc>
          <w:tcPr>
            <w:tcW w:w="1710" w:type="dxa"/>
            <w:vAlign w:val="center"/>
          </w:tcPr>
          <w:p w14:paraId="434D418A" w14:textId="77777777" w:rsidR="00042EA4" w:rsidRPr="007915CE" w:rsidRDefault="00042EA4" w:rsidP="003F7432">
            <w:pPr>
              <w:tabs>
                <w:tab w:val="left" w:pos="0"/>
              </w:tabs>
              <w:rPr>
                <w:sz w:val="18"/>
              </w:rPr>
            </w:pPr>
            <w:r w:rsidRPr="007915CE">
              <w:rPr>
                <w:sz w:val="18"/>
              </w:rPr>
              <w:t>2024</w:t>
            </w:r>
          </w:p>
        </w:tc>
        <w:tc>
          <w:tcPr>
            <w:tcW w:w="900" w:type="dxa"/>
            <w:shd w:val="clear" w:color="auto" w:fill="auto"/>
            <w:vAlign w:val="center"/>
          </w:tcPr>
          <w:p w14:paraId="05D826ED" w14:textId="77777777" w:rsidR="00042EA4" w:rsidRPr="007915CE" w:rsidRDefault="00042EA4" w:rsidP="003F7432">
            <w:pPr>
              <w:tabs>
                <w:tab w:val="left" w:pos="0"/>
              </w:tabs>
              <w:jc w:val="center"/>
              <w:rPr>
                <w:sz w:val="18"/>
              </w:rPr>
            </w:pPr>
            <w:r w:rsidRPr="007915CE">
              <w:rPr>
                <w:sz w:val="18"/>
              </w:rPr>
              <w:t>1.5</w:t>
            </w:r>
          </w:p>
        </w:tc>
        <w:tc>
          <w:tcPr>
            <w:tcW w:w="1080" w:type="dxa"/>
            <w:shd w:val="clear" w:color="auto" w:fill="auto"/>
            <w:vAlign w:val="center"/>
          </w:tcPr>
          <w:p w14:paraId="5059F2C4" w14:textId="77777777" w:rsidR="00042EA4" w:rsidRPr="007915CE" w:rsidRDefault="00042EA4" w:rsidP="003F7432">
            <w:pPr>
              <w:tabs>
                <w:tab w:val="left" w:pos="0"/>
              </w:tabs>
              <w:jc w:val="center"/>
              <w:rPr>
                <w:sz w:val="18"/>
              </w:rPr>
            </w:pPr>
            <w:r w:rsidRPr="007915CE">
              <w:rPr>
                <w:sz w:val="18"/>
              </w:rPr>
              <w:t>4.4</w:t>
            </w:r>
          </w:p>
        </w:tc>
        <w:tc>
          <w:tcPr>
            <w:tcW w:w="1080" w:type="dxa"/>
            <w:vAlign w:val="center"/>
          </w:tcPr>
          <w:p w14:paraId="25C32A89" w14:textId="77777777" w:rsidR="00042EA4" w:rsidRPr="007915CE" w:rsidRDefault="00042EA4" w:rsidP="003F7432">
            <w:pPr>
              <w:tabs>
                <w:tab w:val="left" w:pos="0"/>
              </w:tabs>
              <w:jc w:val="center"/>
              <w:rPr>
                <w:sz w:val="18"/>
              </w:rPr>
            </w:pPr>
            <w:r w:rsidRPr="007915CE">
              <w:rPr>
                <w:sz w:val="18"/>
              </w:rPr>
              <w:t>0.6</w:t>
            </w:r>
          </w:p>
        </w:tc>
        <w:tc>
          <w:tcPr>
            <w:tcW w:w="1170" w:type="dxa"/>
            <w:vAlign w:val="center"/>
          </w:tcPr>
          <w:p w14:paraId="4B43A1BC" w14:textId="77777777" w:rsidR="00042EA4" w:rsidRPr="007915CE" w:rsidRDefault="00042EA4" w:rsidP="003F7432">
            <w:pPr>
              <w:tabs>
                <w:tab w:val="left" w:pos="0"/>
              </w:tabs>
              <w:jc w:val="center"/>
              <w:rPr>
                <w:sz w:val="18"/>
              </w:rPr>
            </w:pPr>
            <w:r w:rsidRPr="007915CE">
              <w:rPr>
                <w:sz w:val="18"/>
              </w:rPr>
              <w:t>0.2</w:t>
            </w:r>
          </w:p>
        </w:tc>
        <w:tc>
          <w:tcPr>
            <w:tcW w:w="900" w:type="dxa"/>
            <w:shd w:val="clear" w:color="auto" w:fill="auto"/>
            <w:vAlign w:val="center"/>
          </w:tcPr>
          <w:p w14:paraId="7CA08C93" w14:textId="77777777" w:rsidR="00042EA4" w:rsidRPr="007915CE" w:rsidRDefault="00042EA4" w:rsidP="003F7432">
            <w:pPr>
              <w:tabs>
                <w:tab w:val="left" w:pos="0"/>
              </w:tabs>
              <w:jc w:val="center"/>
              <w:rPr>
                <w:sz w:val="18"/>
              </w:rPr>
            </w:pPr>
            <w:r w:rsidRPr="007915CE">
              <w:rPr>
                <w:sz w:val="18"/>
              </w:rPr>
              <w:t>6.7</w:t>
            </w:r>
          </w:p>
        </w:tc>
        <w:tc>
          <w:tcPr>
            <w:tcW w:w="1350" w:type="dxa"/>
            <w:vAlign w:val="center"/>
          </w:tcPr>
          <w:p w14:paraId="363DD718" w14:textId="77777777" w:rsidR="00042EA4" w:rsidRPr="007915CE" w:rsidRDefault="00042EA4" w:rsidP="003F7432">
            <w:pPr>
              <w:tabs>
                <w:tab w:val="left" w:pos="0"/>
              </w:tabs>
              <w:jc w:val="center"/>
              <w:rPr>
                <w:sz w:val="18"/>
              </w:rPr>
            </w:pPr>
            <w:r w:rsidRPr="007915CE">
              <w:rPr>
                <w:sz w:val="18"/>
              </w:rPr>
              <w:t>70.0</w:t>
            </w:r>
          </w:p>
        </w:tc>
        <w:tc>
          <w:tcPr>
            <w:tcW w:w="1530" w:type="dxa"/>
            <w:shd w:val="clear" w:color="auto" w:fill="auto"/>
            <w:vAlign w:val="center"/>
          </w:tcPr>
          <w:p w14:paraId="7D717893" w14:textId="77777777" w:rsidR="00042EA4" w:rsidRPr="007915CE" w:rsidRDefault="00042EA4" w:rsidP="003F7432">
            <w:pPr>
              <w:tabs>
                <w:tab w:val="left" w:pos="0"/>
              </w:tabs>
              <w:jc w:val="center"/>
              <w:rPr>
                <w:sz w:val="18"/>
              </w:rPr>
            </w:pPr>
            <w:r w:rsidRPr="007915CE">
              <w:rPr>
                <w:sz w:val="18"/>
              </w:rPr>
              <w:t>9.6%</w:t>
            </w:r>
          </w:p>
        </w:tc>
      </w:tr>
      <w:tr w:rsidR="007915CE" w:rsidRPr="007915CE" w14:paraId="263709AD" w14:textId="77777777" w:rsidTr="0029012B">
        <w:trPr>
          <w:trHeight w:hRule="exact" w:val="288"/>
          <w:jc w:val="center"/>
        </w:trPr>
        <w:tc>
          <w:tcPr>
            <w:tcW w:w="1710" w:type="dxa"/>
            <w:vAlign w:val="center"/>
          </w:tcPr>
          <w:p w14:paraId="752C73EA" w14:textId="77777777" w:rsidR="00042EA4" w:rsidRPr="007915CE" w:rsidRDefault="00042EA4" w:rsidP="003F7432">
            <w:pPr>
              <w:tabs>
                <w:tab w:val="left" w:pos="0"/>
              </w:tabs>
              <w:rPr>
                <w:sz w:val="18"/>
              </w:rPr>
            </w:pPr>
            <w:r w:rsidRPr="007915CE">
              <w:rPr>
                <w:sz w:val="18"/>
              </w:rPr>
              <w:t>2025</w:t>
            </w:r>
          </w:p>
        </w:tc>
        <w:tc>
          <w:tcPr>
            <w:tcW w:w="900" w:type="dxa"/>
            <w:shd w:val="clear" w:color="auto" w:fill="auto"/>
            <w:vAlign w:val="center"/>
          </w:tcPr>
          <w:p w14:paraId="4567BE5C" w14:textId="77777777" w:rsidR="00042EA4" w:rsidRPr="007915CE" w:rsidRDefault="00042EA4" w:rsidP="003F7432">
            <w:pPr>
              <w:tabs>
                <w:tab w:val="left" w:pos="0"/>
              </w:tabs>
              <w:jc w:val="center"/>
              <w:rPr>
                <w:sz w:val="18"/>
              </w:rPr>
            </w:pPr>
            <w:r w:rsidRPr="007915CE">
              <w:rPr>
                <w:sz w:val="18"/>
              </w:rPr>
              <w:t>19.6</w:t>
            </w:r>
          </w:p>
        </w:tc>
        <w:tc>
          <w:tcPr>
            <w:tcW w:w="1080" w:type="dxa"/>
            <w:shd w:val="clear" w:color="auto" w:fill="auto"/>
            <w:vAlign w:val="center"/>
          </w:tcPr>
          <w:p w14:paraId="37FEAE0F" w14:textId="77777777" w:rsidR="00042EA4" w:rsidRPr="007915CE" w:rsidRDefault="00042EA4" w:rsidP="003F7432">
            <w:pPr>
              <w:tabs>
                <w:tab w:val="left" w:pos="0"/>
              </w:tabs>
              <w:jc w:val="center"/>
              <w:rPr>
                <w:sz w:val="18"/>
              </w:rPr>
            </w:pPr>
            <w:r w:rsidRPr="007915CE">
              <w:rPr>
                <w:sz w:val="18"/>
              </w:rPr>
              <w:t>28.0</w:t>
            </w:r>
          </w:p>
        </w:tc>
        <w:tc>
          <w:tcPr>
            <w:tcW w:w="1080" w:type="dxa"/>
            <w:vAlign w:val="center"/>
          </w:tcPr>
          <w:p w14:paraId="406838BC" w14:textId="77777777" w:rsidR="00042EA4" w:rsidRPr="007915CE" w:rsidRDefault="00042EA4" w:rsidP="003F7432">
            <w:pPr>
              <w:tabs>
                <w:tab w:val="left" w:pos="0"/>
              </w:tabs>
              <w:jc w:val="center"/>
              <w:rPr>
                <w:sz w:val="18"/>
              </w:rPr>
            </w:pPr>
            <w:r w:rsidRPr="007915CE">
              <w:rPr>
                <w:sz w:val="18"/>
              </w:rPr>
              <w:t>9.9</w:t>
            </w:r>
          </w:p>
        </w:tc>
        <w:tc>
          <w:tcPr>
            <w:tcW w:w="1170" w:type="dxa"/>
            <w:vAlign w:val="center"/>
          </w:tcPr>
          <w:p w14:paraId="7955627B" w14:textId="77777777" w:rsidR="00042EA4" w:rsidRPr="007915CE" w:rsidRDefault="00042EA4" w:rsidP="003F7432">
            <w:pPr>
              <w:tabs>
                <w:tab w:val="left" w:pos="0"/>
              </w:tabs>
              <w:jc w:val="center"/>
              <w:rPr>
                <w:sz w:val="18"/>
              </w:rPr>
            </w:pPr>
            <w:r w:rsidRPr="007915CE">
              <w:rPr>
                <w:sz w:val="18"/>
              </w:rPr>
              <w:t>2.7</w:t>
            </w:r>
          </w:p>
        </w:tc>
        <w:tc>
          <w:tcPr>
            <w:tcW w:w="900" w:type="dxa"/>
            <w:shd w:val="clear" w:color="auto" w:fill="auto"/>
            <w:vAlign w:val="center"/>
          </w:tcPr>
          <w:p w14:paraId="5BAFEEE2" w14:textId="77777777" w:rsidR="00042EA4" w:rsidRPr="007915CE" w:rsidRDefault="00042EA4" w:rsidP="003F7432">
            <w:pPr>
              <w:tabs>
                <w:tab w:val="left" w:pos="0"/>
              </w:tabs>
              <w:jc w:val="center"/>
              <w:rPr>
                <w:sz w:val="18"/>
              </w:rPr>
            </w:pPr>
            <w:r w:rsidRPr="007915CE">
              <w:rPr>
                <w:sz w:val="18"/>
              </w:rPr>
              <w:t>60.2</w:t>
            </w:r>
          </w:p>
        </w:tc>
        <w:tc>
          <w:tcPr>
            <w:tcW w:w="1350" w:type="dxa"/>
            <w:vAlign w:val="center"/>
          </w:tcPr>
          <w:p w14:paraId="076C4B04" w14:textId="77777777" w:rsidR="00042EA4" w:rsidRPr="007915CE" w:rsidRDefault="00042EA4" w:rsidP="003F7432">
            <w:pPr>
              <w:tabs>
                <w:tab w:val="left" w:pos="0"/>
              </w:tabs>
              <w:jc w:val="center"/>
              <w:rPr>
                <w:sz w:val="18"/>
              </w:rPr>
            </w:pPr>
            <w:r w:rsidRPr="007915CE">
              <w:rPr>
                <w:sz w:val="18"/>
              </w:rPr>
              <w:t>70.0</w:t>
            </w:r>
          </w:p>
        </w:tc>
        <w:tc>
          <w:tcPr>
            <w:tcW w:w="1530" w:type="dxa"/>
            <w:shd w:val="clear" w:color="auto" w:fill="auto"/>
            <w:vAlign w:val="center"/>
          </w:tcPr>
          <w:p w14:paraId="6086960B" w14:textId="77777777" w:rsidR="00042EA4" w:rsidRPr="007915CE" w:rsidRDefault="00042EA4" w:rsidP="003F7432">
            <w:pPr>
              <w:tabs>
                <w:tab w:val="left" w:pos="0"/>
              </w:tabs>
              <w:jc w:val="center"/>
              <w:rPr>
                <w:sz w:val="18"/>
              </w:rPr>
            </w:pPr>
            <w:r w:rsidRPr="007915CE">
              <w:rPr>
                <w:sz w:val="18"/>
              </w:rPr>
              <w:t>86.0%</w:t>
            </w:r>
          </w:p>
        </w:tc>
      </w:tr>
      <w:tr w:rsidR="007915CE" w:rsidRPr="007915CE" w14:paraId="0E0F491A" w14:textId="77777777" w:rsidTr="0029012B">
        <w:trPr>
          <w:trHeight w:hRule="exact" w:val="288"/>
          <w:jc w:val="center"/>
        </w:trPr>
        <w:tc>
          <w:tcPr>
            <w:tcW w:w="1710" w:type="dxa"/>
            <w:vAlign w:val="center"/>
          </w:tcPr>
          <w:p w14:paraId="287AF7FB" w14:textId="77777777" w:rsidR="00042EA4" w:rsidRPr="007915CE" w:rsidRDefault="00042EA4" w:rsidP="003F7432">
            <w:pPr>
              <w:tabs>
                <w:tab w:val="left" w:pos="0"/>
              </w:tabs>
              <w:rPr>
                <w:sz w:val="18"/>
              </w:rPr>
            </w:pPr>
            <w:r w:rsidRPr="007915CE">
              <w:rPr>
                <w:sz w:val="18"/>
              </w:rPr>
              <w:t>2026 - 2029</w:t>
            </w:r>
          </w:p>
        </w:tc>
        <w:tc>
          <w:tcPr>
            <w:tcW w:w="900" w:type="dxa"/>
            <w:shd w:val="clear" w:color="auto" w:fill="auto"/>
            <w:vAlign w:val="center"/>
          </w:tcPr>
          <w:p w14:paraId="108832A0" w14:textId="77777777" w:rsidR="00042EA4" w:rsidRPr="007915CE" w:rsidRDefault="00042EA4" w:rsidP="003F7432">
            <w:pPr>
              <w:tabs>
                <w:tab w:val="left" w:pos="0"/>
              </w:tabs>
              <w:jc w:val="center"/>
              <w:rPr>
                <w:sz w:val="18"/>
              </w:rPr>
            </w:pPr>
            <w:r w:rsidRPr="007915CE">
              <w:rPr>
                <w:sz w:val="18"/>
              </w:rPr>
              <w:t>23.8</w:t>
            </w:r>
          </w:p>
        </w:tc>
        <w:tc>
          <w:tcPr>
            <w:tcW w:w="1080" w:type="dxa"/>
            <w:shd w:val="clear" w:color="auto" w:fill="auto"/>
            <w:vAlign w:val="center"/>
          </w:tcPr>
          <w:p w14:paraId="540AE0D1" w14:textId="77777777" w:rsidR="00042EA4" w:rsidRPr="007915CE" w:rsidRDefault="00042EA4" w:rsidP="003F7432">
            <w:pPr>
              <w:tabs>
                <w:tab w:val="left" w:pos="0"/>
              </w:tabs>
              <w:jc w:val="center"/>
              <w:rPr>
                <w:sz w:val="18"/>
              </w:rPr>
            </w:pPr>
            <w:r w:rsidRPr="007915CE">
              <w:rPr>
                <w:sz w:val="18"/>
              </w:rPr>
              <w:t>28.0</w:t>
            </w:r>
          </w:p>
        </w:tc>
        <w:tc>
          <w:tcPr>
            <w:tcW w:w="1080" w:type="dxa"/>
            <w:vAlign w:val="center"/>
          </w:tcPr>
          <w:p w14:paraId="405F90B6" w14:textId="77777777" w:rsidR="00042EA4" w:rsidRPr="007915CE" w:rsidRDefault="00042EA4" w:rsidP="003F7432">
            <w:pPr>
              <w:tabs>
                <w:tab w:val="left" w:pos="0"/>
              </w:tabs>
              <w:jc w:val="center"/>
              <w:rPr>
                <w:sz w:val="18"/>
              </w:rPr>
            </w:pPr>
            <w:r w:rsidRPr="007915CE">
              <w:rPr>
                <w:sz w:val="18"/>
              </w:rPr>
              <w:t>10.4</w:t>
            </w:r>
          </w:p>
        </w:tc>
        <w:tc>
          <w:tcPr>
            <w:tcW w:w="1170" w:type="dxa"/>
            <w:vAlign w:val="center"/>
          </w:tcPr>
          <w:p w14:paraId="2D3F6757" w14:textId="77777777" w:rsidR="00042EA4" w:rsidRPr="007915CE" w:rsidRDefault="00042EA4" w:rsidP="003F7432">
            <w:pPr>
              <w:tabs>
                <w:tab w:val="left" w:pos="0"/>
              </w:tabs>
              <w:jc w:val="center"/>
              <w:rPr>
                <w:sz w:val="18"/>
              </w:rPr>
            </w:pPr>
            <w:r w:rsidRPr="007915CE">
              <w:rPr>
                <w:sz w:val="18"/>
              </w:rPr>
              <w:t>2.9</w:t>
            </w:r>
          </w:p>
        </w:tc>
        <w:tc>
          <w:tcPr>
            <w:tcW w:w="900" w:type="dxa"/>
            <w:shd w:val="clear" w:color="auto" w:fill="auto"/>
            <w:vAlign w:val="center"/>
          </w:tcPr>
          <w:p w14:paraId="746C4A8C" w14:textId="77777777" w:rsidR="00042EA4" w:rsidRPr="007915CE" w:rsidRDefault="00042EA4" w:rsidP="003F7432">
            <w:pPr>
              <w:tabs>
                <w:tab w:val="left" w:pos="0"/>
              </w:tabs>
              <w:jc w:val="center"/>
              <w:rPr>
                <w:sz w:val="18"/>
              </w:rPr>
            </w:pPr>
            <w:r w:rsidRPr="007915CE">
              <w:rPr>
                <w:sz w:val="18"/>
              </w:rPr>
              <w:t>65.1</w:t>
            </w:r>
          </w:p>
        </w:tc>
        <w:tc>
          <w:tcPr>
            <w:tcW w:w="1350" w:type="dxa"/>
            <w:vAlign w:val="center"/>
          </w:tcPr>
          <w:p w14:paraId="7974C3CF" w14:textId="77777777" w:rsidR="00042EA4" w:rsidRPr="007915CE" w:rsidRDefault="00042EA4" w:rsidP="003F7432">
            <w:pPr>
              <w:tabs>
                <w:tab w:val="left" w:pos="0"/>
              </w:tabs>
              <w:jc w:val="center"/>
              <w:rPr>
                <w:sz w:val="18"/>
              </w:rPr>
            </w:pPr>
            <w:r w:rsidRPr="007915CE">
              <w:rPr>
                <w:sz w:val="18"/>
              </w:rPr>
              <w:t>70.0</w:t>
            </w:r>
          </w:p>
        </w:tc>
        <w:tc>
          <w:tcPr>
            <w:tcW w:w="1530" w:type="dxa"/>
            <w:shd w:val="clear" w:color="auto" w:fill="auto"/>
            <w:vAlign w:val="center"/>
          </w:tcPr>
          <w:p w14:paraId="0F88CC38" w14:textId="77777777" w:rsidR="00042EA4" w:rsidRPr="007915CE" w:rsidRDefault="00042EA4" w:rsidP="003F7432">
            <w:pPr>
              <w:tabs>
                <w:tab w:val="left" w:pos="0"/>
              </w:tabs>
              <w:jc w:val="center"/>
              <w:rPr>
                <w:sz w:val="18"/>
              </w:rPr>
            </w:pPr>
            <w:r w:rsidRPr="007915CE">
              <w:rPr>
                <w:sz w:val="18"/>
              </w:rPr>
              <w:t>93.0%</w:t>
            </w:r>
          </w:p>
        </w:tc>
      </w:tr>
    </w:tbl>
    <w:p w14:paraId="7B742C3B" w14:textId="77777777" w:rsidR="00042EA4" w:rsidRPr="007915CE" w:rsidRDefault="00042EA4" w:rsidP="00042EA4">
      <w:pPr>
        <w:pStyle w:val="4Opinion"/>
        <w:ind w:left="0"/>
        <w:rPr>
          <w:i/>
          <w:iCs/>
        </w:rPr>
      </w:pPr>
      <w:r w:rsidRPr="007915CE">
        <w:rPr>
          <w:sz w:val="18"/>
          <w:szCs w:val="18"/>
        </w:rPr>
        <w:t>Source: Management</w:t>
      </w:r>
    </w:p>
    <w:p w14:paraId="32D1BFB5" w14:textId="77777777" w:rsidR="00042EA4" w:rsidRPr="007915CE" w:rsidRDefault="00042EA4" w:rsidP="00042EA4">
      <w:pPr>
        <w:pStyle w:val="4Opinion"/>
        <w:numPr>
          <w:ilvl w:val="0"/>
          <w:numId w:val="10"/>
        </w:numPr>
        <w:rPr>
          <w:i/>
          <w:iCs/>
        </w:rPr>
      </w:pPr>
      <w:r w:rsidRPr="007915CE">
        <w:rPr>
          <w:sz w:val="18"/>
          <w:szCs w:val="18"/>
        </w:rPr>
        <w:t>Year to date occupancy through July 1, 2022.</w:t>
      </w:r>
    </w:p>
    <w:p w14:paraId="33B4485D" w14:textId="77777777" w:rsidR="00042EA4" w:rsidRPr="007915CE" w:rsidRDefault="00042EA4" w:rsidP="00042EA4">
      <w:pPr>
        <w:pStyle w:val="4Opinion"/>
        <w:numPr>
          <w:ilvl w:val="0"/>
          <w:numId w:val="10"/>
        </w:numPr>
        <w:rPr>
          <w:sz w:val="18"/>
          <w:szCs w:val="18"/>
        </w:rPr>
      </w:pPr>
      <w:r w:rsidRPr="007915CE">
        <w:rPr>
          <w:sz w:val="18"/>
          <w:szCs w:val="18"/>
        </w:rPr>
        <w:lastRenderedPageBreak/>
        <w:t>Due to COVID constraints Windemere limited the number of occupied residents, decreasing the number of available beds from 61.0 to 39.0</w:t>
      </w:r>
    </w:p>
    <w:p w14:paraId="2648E7CF" w14:textId="77777777" w:rsidR="00042EA4" w:rsidRPr="007915CE" w:rsidRDefault="00042EA4" w:rsidP="00042EA4">
      <w:pPr>
        <w:pStyle w:val="4Opinion"/>
        <w:numPr>
          <w:ilvl w:val="0"/>
          <w:numId w:val="10"/>
        </w:numPr>
        <w:rPr>
          <w:sz w:val="18"/>
          <w:szCs w:val="18"/>
        </w:rPr>
      </w:pPr>
      <w:r w:rsidRPr="007915CE">
        <w:rPr>
          <w:sz w:val="18"/>
          <w:szCs w:val="18"/>
        </w:rPr>
        <w:t>Prior to COVID Windemere average annual occupancy was 96.7%, or 59.0 occupied beds of the licensed 61.0 available beds.</w:t>
      </w:r>
    </w:p>
    <w:p w14:paraId="55F1C9BD" w14:textId="77777777" w:rsidR="00042EA4" w:rsidRPr="007915CE" w:rsidRDefault="00042EA4" w:rsidP="00042EA4">
      <w:pPr>
        <w:pStyle w:val="4Opinion"/>
        <w:numPr>
          <w:ilvl w:val="0"/>
          <w:numId w:val="10"/>
        </w:numPr>
        <w:rPr>
          <w:sz w:val="18"/>
          <w:szCs w:val="18"/>
        </w:rPr>
      </w:pPr>
      <w:r w:rsidRPr="007915CE">
        <w:rPr>
          <w:sz w:val="18"/>
          <w:szCs w:val="18"/>
        </w:rPr>
        <w:t xml:space="preserve">As of September 1, 2022 there is currently a fifteen-person waitlist for Windemere Hospital. </w:t>
      </w:r>
    </w:p>
    <w:p w14:paraId="23D5D8E8" w14:textId="0485CD31" w:rsidR="00042EA4" w:rsidRPr="007915CE" w:rsidRDefault="00042EA4" w:rsidP="00735F20">
      <w:pPr>
        <w:ind w:left="1080"/>
        <w:jc w:val="both"/>
        <w:rPr>
          <w:rFonts w:cstheme="minorHAnsi"/>
          <w:sz w:val="24"/>
          <w:szCs w:val="24"/>
        </w:rPr>
      </w:pPr>
    </w:p>
    <w:p w14:paraId="346F9765" w14:textId="209013B3" w:rsidR="00735F20" w:rsidRPr="007915CE" w:rsidRDefault="00D40B8C" w:rsidP="00D40B8C">
      <w:pPr>
        <w:ind w:left="1080"/>
        <w:jc w:val="both"/>
        <w:rPr>
          <w:rFonts w:cstheme="minorHAnsi"/>
          <w:sz w:val="24"/>
          <w:szCs w:val="24"/>
        </w:rPr>
      </w:pPr>
      <w:r w:rsidRPr="007915CE">
        <w:rPr>
          <w:rFonts w:cstheme="minorHAnsi"/>
          <w:sz w:val="24"/>
          <w:szCs w:val="24"/>
        </w:rPr>
        <w:t xml:space="preserve">It is important to recognize that Windemere currently maintains an operating loss that can no longer be sustained. For the proposed project to be financially viable, Navigator is projecting the need to manage the facility’s payer mix so that private pay rates can make up for the shortfall caused by Medicaid reimbursement as Medicaid does not cover the full cost of care. </w:t>
      </w:r>
      <w:r w:rsidR="004B48DE" w:rsidRPr="007915CE">
        <w:rPr>
          <w:rFonts w:cstheme="minorHAnsi"/>
          <w:sz w:val="24"/>
          <w:szCs w:val="24"/>
        </w:rPr>
        <w:t>Without the Proposed Project, Windemere will be forced to close and as such there would be no access on</w:t>
      </w:r>
      <w:r w:rsidR="008A0096" w:rsidRPr="007915CE">
        <w:rPr>
          <w:rFonts w:cstheme="minorHAnsi"/>
          <w:sz w:val="24"/>
          <w:szCs w:val="24"/>
        </w:rPr>
        <w:t xml:space="preserve"> the Island </w:t>
      </w:r>
      <w:r w:rsidR="00735F20" w:rsidRPr="007915CE">
        <w:rPr>
          <w:rFonts w:cstheme="minorHAnsi"/>
          <w:sz w:val="24"/>
          <w:szCs w:val="24"/>
        </w:rPr>
        <w:t xml:space="preserve">to </w:t>
      </w:r>
      <w:r w:rsidR="008A0096" w:rsidRPr="007915CE">
        <w:rPr>
          <w:rFonts w:cstheme="minorHAnsi"/>
          <w:sz w:val="24"/>
          <w:szCs w:val="24"/>
        </w:rPr>
        <w:t>skilled nursing facility services</w:t>
      </w:r>
      <w:r w:rsidR="004B48DE" w:rsidRPr="007915CE">
        <w:rPr>
          <w:rFonts w:cstheme="minorHAnsi"/>
          <w:sz w:val="24"/>
          <w:szCs w:val="24"/>
        </w:rPr>
        <w:t>, forcing all</w:t>
      </w:r>
      <w:r w:rsidR="008A0096" w:rsidRPr="007915CE">
        <w:rPr>
          <w:rFonts w:cstheme="minorHAnsi"/>
          <w:sz w:val="24"/>
          <w:szCs w:val="24"/>
        </w:rPr>
        <w:t xml:space="preserve"> Island residents to leave the Island – and their community – for care. As with a number of residents today, many will cho</w:t>
      </w:r>
      <w:r w:rsidR="00735F20" w:rsidRPr="007915CE">
        <w:rPr>
          <w:rFonts w:cstheme="minorHAnsi"/>
          <w:sz w:val="24"/>
          <w:szCs w:val="24"/>
        </w:rPr>
        <w:t>o</w:t>
      </w:r>
      <w:r w:rsidR="008A0096" w:rsidRPr="007915CE">
        <w:rPr>
          <w:rFonts w:cstheme="minorHAnsi"/>
          <w:sz w:val="24"/>
          <w:szCs w:val="24"/>
        </w:rPr>
        <w:t xml:space="preserve">se to forego care in order to remain in their community. Others will go off Island, </w:t>
      </w:r>
      <w:r w:rsidR="00735F20" w:rsidRPr="007915CE">
        <w:rPr>
          <w:rFonts w:cstheme="minorHAnsi"/>
          <w:sz w:val="24"/>
          <w:szCs w:val="24"/>
        </w:rPr>
        <w:t>putting significant strain</w:t>
      </w:r>
      <w:r w:rsidR="00DF3CD6" w:rsidRPr="007915CE">
        <w:rPr>
          <w:rFonts w:cstheme="minorHAnsi"/>
          <w:sz w:val="24"/>
          <w:szCs w:val="24"/>
        </w:rPr>
        <w:t xml:space="preserve"> </w:t>
      </w:r>
      <w:r w:rsidR="00735F20" w:rsidRPr="007915CE">
        <w:rPr>
          <w:rFonts w:cstheme="minorHAnsi"/>
          <w:sz w:val="24"/>
          <w:szCs w:val="24"/>
        </w:rPr>
        <w:t xml:space="preserve">on their well-being as well as that of their family who may not be able to visit as frequently due to transportation barriers. </w:t>
      </w:r>
    </w:p>
    <w:p w14:paraId="12531847" w14:textId="239E40C8" w:rsidR="00024C7B" w:rsidRPr="007915CE" w:rsidRDefault="00103DF0" w:rsidP="00024C7B">
      <w:pPr>
        <w:ind w:left="1080"/>
        <w:jc w:val="both"/>
        <w:rPr>
          <w:rFonts w:cstheme="minorHAnsi"/>
          <w:sz w:val="24"/>
          <w:szCs w:val="24"/>
        </w:rPr>
      </w:pPr>
      <w:r w:rsidRPr="007915CE">
        <w:rPr>
          <w:rFonts w:cstheme="minorHAnsi"/>
          <w:sz w:val="24"/>
          <w:szCs w:val="24"/>
        </w:rPr>
        <w:t>In addition to preserving</w:t>
      </w:r>
      <w:r w:rsidR="004B48DE" w:rsidRPr="007915CE">
        <w:rPr>
          <w:rFonts w:cstheme="minorHAnsi"/>
          <w:sz w:val="24"/>
          <w:szCs w:val="24"/>
        </w:rPr>
        <w:t xml:space="preserve"> access to a</w:t>
      </w:r>
      <w:r w:rsidRPr="007915CE">
        <w:rPr>
          <w:rFonts w:cstheme="minorHAnsi"/>
          <w:sz w:val="24"/>
          <w:szCs w:val="24"/>
        </w:rPr>
        <w:t xml:space="preserve"> skilled n</w:t>
      </w:r>
      <w:r w:rsidR="004B48DE" w:rsidRPr="007915CE">
        <w:rPr>
          <w:rFonts w:cstheme="minorHAnsi"/>
          <w:sz w:val="24"/>
          <w:szCs w:val="24"/>
        </w:rPr>
        <w:t>u</w:t>
      </w:r>
      <w:r w:rsidRPr="007915CE">
        <w:rPr>
          <w:rFonts w:cstheme="minorHAnsi"/>
          <w:sz w:val="24"/>
          <w:szCs w:val="24"/>
        </w:rPr>
        <w:t xml:space="preserve">rsing </w:t>
      </w:r>
      <w:r w:rsidR="004B48DE" w:rsidRPr="007915CE">
        <w:rPr>
          <w:rFonts w:cstheme="minorHAnsi"/>
          <w:sz w:val="24"/>
          <w:szCs w:val="24"/>
        </w:rPr>
        <w:t xml:space="preserve">facility </w:t>
      </w:r>
      <w:r w:rsidRPr="007915CE">
        <w:rPr>
          <w:rFonts w:cstheme="minorHAnsi"/>
          <w:sz w:val="24"/>
          <w:szCs w:val="24"/>
        </w:rPr>
        <w:t xml:space="preserve">on the Island, the Proposed Project seeks to improve overall care delivery through the adoption and implementation of the Green House Model. </w:t>
      </w:r>
      <w:r w:rsidR="0063481B" w:rsidRPr="007915CE">
        <w:rPr>
          <w:rFonts w:cstheme="minorHAnsi"/>
          <w:sz w:val="24"/>
          <w:szCs w:val="24"/>
        </w:rPr>
        <w:t xml:space="preserve">A study of Green House facilities that transitioned from traditional nursing homes found that overall hospitalizations declined by 1.3%.  The study further found outcome improvements across all Minimum Data Set (“MDS”) Quality Metrics in Green House organizations relative to comparable traditional nursing home organizations. Specifically, the study found statistically significant declines in bedfast residents, catheterized residents, and pressure ulcers in Green House residents as compared to residents of traditional nursing homes. Studies have also found the Green House model reduces 30-day readmissions and avoidable hospitalizations by approximately 30%. </w:t>
      </w:r>
      <w:r w:rsidR="00024C7B" w:rsidRPr="007915CE">
        <w:rPr>
          <w:rFonts w:cstheme="minorHAnsi"/>
          <w:sz w:val="24"/>
          <w:szCs w:val="24"/>
        </w:rPr>
        <w:t xml:space="preserve">Through implementation of the Proposed Project, </w:t>
      </w:r>
      <w:r w:rsidR="004B48DE" w:rsidRPr="007915CE">
        <w:rPr>
          <w:rFonts w:cstheme="minorHAnsi"/>
          <w:sz w:val="24"/>
          <w:szCs w:val="24"/>
        </w:rPr>
        <w:t xml:space="preserve">all residents of </w:t>
      </w:r>
      <w:r w:rsidR="00024C7B" w:rsidRPr="007915CE">
        <w:rPr>
          <w:rFonts w:cstheme="minorHAnsi"/>
          <w:sz w:val="24"/>
          <w:szCs w:val="24"/>
        </w:rPr>
        <w:t xml:space="preserve">the Island </w:t>
      </w:r>
      <w:r w:rsidR="004B48DE" w:rsidRPr="007915CE">
        <w:rPr>
          <w:rFonts w:cstheme="minorHAnsi"/>
          <w:sz w:val="24"/>
          <w:szCs w:val="24"/>
        </w:rPr>
        <w:t xml:space="preserve">(i.e., the entire Patient Panel) </w:t>
      </w:r>
      <w:r w:rsidR="00024C7B" w:rsidRPr="007915CE">
        <w:rPr>
          <w:rFonts w:cstheme="minorHAnsi"/>
          <w:sz w:val="24"/>
          <w:szCs w:val="24"/>
        </w:rPr>
        <w:t xml:space="preserve">will benefit from continued access to </w:t>
      </w:r>
      <w:r w:rsidR="004B48DE" w:rsidRPr="007915CE">
        <w:rPr>
          <w:rFonts w:cstheme="minorHAnsi"/>
          <w:sz w:val="24"/>
          <w:szCs w:val="24"/>
        </w:rPr>
        <w:t>a s</w:t>
      </w:r>
      <w:r w:rsidR="00024C7B" w:rsidRPr="007915CE">
        <w:rPr>
          <w:rFonts w:cstheme="minorHAnsi"/>
          <w:sz w:val="24"/>
          <w:szCs w:val="24"/>
        </w:rPr>
        <w:t>killed nursing</w:t>
      </w:r>
      <w:r w:rsidR="004B48DE" w:rsidRPr="007915CE">
        <w:rPr>
          <w:rFonts w:cstheme="minorHAnsi"/>
          <w:sz w:val="24"/>
          <w:szCs w:val="24"/>
        </w:rPr>
        <w:t xml:space="preserve"> facility,</w:t>
      </w:r>
      <w:r w:rsidR="00024C7B" w:rsidRPr="007915CE">
        <w:rPr>
          <w:rFonts w:cstheme="minorHAnsi"/>
          <w:sz w:val="24"/>
          <w:szCs w:val="24"/>
        </w:rPr>
        <w:t xml:space="preserve"> as well as the transformation of long-term care into patient-centered, more home-like experience</w:t>
      </w:r>
      <w:r w:rsidR="004B48DE" w:rsidRPr="007915CE">
        <w:rPr>
          <w:rFonts w:cstheme="minorHAnsi"/>
          <w:sz w:val="24"/>
          <w:szCs w:val="24"/>
        </w:rPr>
        <w:t xml:space="preserve"> with demonstrated improved outcomes and quality of life</w:t>
      </w:r>
      <w:r w:rsidR="00024C7B" w:rsidRPr="007915CE">
        <w:rPr>
          <w:rFonts w:cstheme="minorHAnsi"/>
          <w:sz w:val="24"/>
          <w:szCs w:val="24"/>
        </w:rPr>
        <w:t xml:space="preserve">.   </w:t>
      </w:r>
    </w:p>
    <w:p w14:paraId="389237AF" w14:textId="527DFA5D" w:rsidR="00C07EB6" w:rsidRPr="007915CE" w:rsidRDefault="00024C7B" w:rsidP="00024C7B">
      <w:pPr>
        <w:ind w:left="1080"/>
        <w:jc w:val="both"/>
        <w:rPr>
          <w:rFonts w:cstheme="minorHAnsi"/>
          <w:sz w:val="24"/>
          <w:szCs w:val="24"/>
        </w:rPr>
      </w:pPr>
      <w:r w:rsidRPr="007915CE">
        <w:rPr>
          <w:rFonts w:cstheme="minorHAnsi"/>
          <w:sz w:val="24"/>
          <w:szCs w:val="24"/>
        </w:rPr>
        <w:t>Therefore</w:t>
      </w:r>
      <w:r w:rsidR="00607247" w:rsidRPr="007915CE">
        <w:rPr>
          <w:rFonts w:cstheme="minorHAnsi"/>
          <w:sz w:val="24"/>
          <w:szCs w:val="24"/>
        </w:rPr>
        <w:t>, the Proposed Project will not adversely affect the Patient Panel,</w:t>
      </w:r>
      <w:r w:rsidR="004B48DE" w:rsidRPr="007915CE">
        <w:rPr>
          <w:rFonts w:cstheme="minorHAnsi"/>
          <w:sz w:val="24"/>
          <w:szCs w:val="24"/>
        </w:rPr>
        <w:t xml:space="preserve"> rather it will provide the panel with access to high-quality care. W</w:t>
      </w:r>
      <w:r w:rsidR="00607247" w:rsidRPr="007915CE">
        <w:rPr>
          <w:rFonts w:cstheme="minorHAnsi"/>
          <w:sz w:val="24"/>
          <w:szCs w:val="24"/>
        </w:rPr>
        <w:t xml:space="preserve">ithout the Proposed Project, </w:t>
      </w:r>
      <w:r w:rsidR="004B48DE" w:rsidRPr="007915CE">
        <w:rPr>
          <w:rFonts w:cstheme="minorHAnsi"/>
          <w:sz w:val="24"/>
          <w:szCs w:val="24"/>
        </w:rPr>
        <w:t>the Patient Panel</w:t>
      </w:r>
      <w:r w:rsidR="00607247" w:rsidRPr="007915CE">
        <w:rPr>
          <w:rFonts w:cstheme="minorHAnsi"/>
          <w:sz w:val="24"/>
          <w:szCs w:val="24"/>
        </w:rPr>
        <w:t xml:space="preserve"> will be immeasurably harmed through the eventual closure of Windemere. </w:t>
      </w:r>
    </w:p>
    <w:p w14:paraId="60E70BCA" w14:textId="45FA9960" w:rsidR="00C07EB6" w:rsidRPr="007915CE" w:rsidRDefault="0061662D" w:rsidP="00C07EB6">
      <w:pPr>
        <w:pStyle w:val="ListParagraph"/>
        <w:numPr>
          <w:ilvl w:val="0"/>
          <w:numId w:val="7"/>
        </w:numPr>
        <w:ind w:hanging="360"/>
        <w:rPr>
          <w:rFonts w:cstheme="minorHAnsi"/>
          <w:b/>
          <w:bCs/>
          <w:sz w:val="24"/>
          <w:szCs w:val="24"/>
        </w:rPr>
      </w:pPr>
      <w:r w:rsidRPr="007915CE">
        <w:rPr>
          <w:rFonts w:cstheme="minorHAnsi"/>
          <w:b/>
          <w:bCs/>
          <w:sz w:val="24"/>
          <w:szCs w:val="24"/>
        </w:rPr>
        <w:t>H</w:t>
      </w:r>
      <w:r w:rsidR="002149DE" w:rsidRPr="007915CE">
        <w:rPr>
          <w:rFonts w:cstheme="minorHAnsi"/>
          <w:b/>
          <w:bCs/>
          <w:sz w:val="24"/>
          <w:szCs w:val="24"/>
        </w:rPr>
        <w:t xml:space="preserve">ow </w:t>
      </w:r>
      <w:r w:rsidRPr="007915CE">
        <w:rPr>
          <w:rFonts w:cstheme="minorHAnsi"/>
          <w:b/>
          <w:bCs/>
          <w:sz w:val="24"/>
          <w:szCs w:val="24"/>
        </w:rPr>
        <w:t xml:space="preserve">do </w:t>
      </w:r>
      <w:r w:rsidR="002149DE" w:rsidRPr="007915CE">
        <w:rPr>
          <w:rFonts w:cstheme="minorHAnsi"/>
          <w:b/>
          <w:bCs/>
          <w:sz w:val="24"/>
          <w:szCs w:val="24"/>
        </w:rPr>
        <w:t xml:space="preserve">the projections relate to the current financial status, for example, what is the current operating margin? </w:t>
      </w:r>
    </w:p>
    <w:p w14:paraId="39DADEAD" w14:textId="77777777" w:rsidR="004B48DE" w:rsidRPr="007915CE" w:rsidRDefault="004B48DE" w:rsidP="004B48DE">
      <w:pPr>
        <w:pStyle w:val="ListParagraph"/>
        <w:ind w:left="1080"/>
        <w:rPr>
          <w:rFonts w:cstheme="minorHAnsi"/>
          <w:sz w:val="24"/>
          <w:szCs w:val="24"/>
        </w:rPr>
      </w:pPr>
    </w:p>
    <w:p w14:paraId="0FE0D044" w14:textId="17F540B9" w:rsidR="004E7513" w:rsidRPr="007915CE" w:rsidRDefault="004E7513" w:rsidP="004E7513">
      <w:pPr>
        <w:pStyle w:val="ListParagraph"/>
        <w:ind w:left="1080"/>
        <w:rPr>
          <w:rFonts w:cstheme="minorHAnsi"/>
          <w:sz w:val="24"/>
          <w:szCs w:val="24"/>
        </w:rPr>
      </w:pPr>
      <w:r w:rsidRPr="007915CE">
        <w:rPr>
          <w:rFonts w:cstheme="minorHAnsi"/>
          <w:sz w:val="24"/>
          <w:szCs w:val="24"/>
        </w:rPr>
        <w:lastRenderedPageBreak/>
        <w:t xml:space="preserve">Navigator acquired Windemere with the understanding and vision that significant changes would be needed to ensure the financial viability of the facility. </w:t>
      </w:r>
      <w:r w:rsidR="00D91DED" w:rsidRPr="007915CE">
        <w:rPr>
          <w:rFonts w:cstheme="minorHAnsi"/>
          <w:sz w:val="24"/>
          <w:szCs w:val="24"/>
        </w:rPr>
        <w:t>Therefore, Navigator’s projections represent a re-alignment of the payer mix</w:t>
      </w:r>
      <w:r w:rsidR="004B48DE" w:rsidRPr="007915CE">
        <w:rPr>
          <w:rFonts w:cstheme="minorHAnsi"/>
          <w:sz w:val="24"/>
          <w:szCs w:val="24"/>
        </w:rPr>
        <w:t xml:space="preserve"> to achieve a mix that will allow the facility to operate without a loss</w:t>
      </w:r>
      <w:r w:rsidR="001738E6" w:rsidRPr="007915CE">
        <w:rPr>
          <w:rFonts w:cstheme="minorHAnsi"/>
          <w:sz w:val="24"/>
          <w:szCs w:val="24"/>
        </w:rPr>
        <w:t xml:space="preserve"> so that it can ensure continued access for the Patient Panel</w:t>
      </w:r>
      <w:r w:rsidR="00D91DED" w:rsidRPr="007915CE">
        <w:rPr>
          <w:rFonts w:cstheme="minorHAnsi"/>
          <w:sz w:val="24"/>
          <w:szCs w:val="24"/>
        </w:rPr>
        <w:t xml:space="preserve">. </w:t>
      </w:r>
    </w:p>
    <w:p w14:paraId="7B18E5D1" w14:textId="77777777" w:rsidR="004E7513" w:rsidRPr="007915CE" w:rsidRDefault="004E7513" w:rsidP="004E7513">
      <w:pPr>
        <w:pStyle w:val="ListParagraph"/>
        <w:ind w:left="1080"/>
        <w:rPr>
          <w:rFonts w:cstheme="minorHAnsi"/>
          <w:sz w:val="24"/>
          <w:szCs w:val="24"/>
        </w:rPr>
      </w:pPr>
    </w:p>
    <w:p w14:paraId="21B89A16" w14:textId="08C47F00" w:rsidR="004B48DE" w:rsidRPr="007915CE" w:rsidRDefault="00C07EB6" w:rsidP="00C07EB6">
      <w:pPr>
        <w:pStyle w:val="ListParagraph"/>
        <w:numPr>
          <w:ilvl w:val="0"/>
          <w:numId w:val="7"/>
        </w:numPr>
        <w:ind w:hanging="360"/>
        <w:rPr>
          <w:rFonts w:cstheme="minorHAnsi"/>
          <w:b/>
          <w:bCs/>
          <w:sz w:val="24"/>
          <w:szCs w:val="24"/>
        </w:rPr>
      </w:pPr>
      <w:r w:rsidRPr="007915CE">
        <w:rPr>
          <w:rFonts w:cstheme="minorHAnsi"/>
          <w:b/>
          <w:bCs/>
          <w:sz w:val="24"/>
          <w:szCs w:val="24"/>
        </w:rPr>
        <w:t>W</w:t>
      </w:r>
      <w:r w:rsidR="00181314" w:rsidRPr="007915CE">
        <w:rPr>
          <w:rFonts w:cstheme="minorHAnsi"/>
          <w:b/>
          <w:bCs/>
          <w:sz w:val="24"/>
          <w:szCs w:val="24"/>
        </w:rPr>
        <w:t xml:space="preserve">e note </w:t>
      </w:r>
      <w:r w:rsidR="0003634A" w:rsidRPr="007915CE">
        <w:rPr>
          <w:rFonts w:cstheme="minorHAnsi"/>
          <w:b/>
          <w:bCs/>
          <w:sz w:val="24"/>
          <w:szCs w:val="24"/>
        </w:rPr>
        <w:t>(</w:t>
      </w:r>
      <w:r w:rsidR="008A5A82" w:rsidRPr="007915CE">
        <w:rPr>
          <w:rFonts w:cstheme="minorHAnsi"/>
          <w:b/>
          <w:bCs/>
          <w:sz w:val="24"/>
          <w:szCs w:val="24"/>
        </w:rPr>
        <w:t>on P1</w:t>
      </w:r>
      <w:r w:rsidR="00266F22" w:rsidRPr="007915CE">
        <w:rPr>
          <w:rFonts w:cstheme="minorHAnsi"/>
          <w:b/>
          <w:bCs/>
          <w:sz w:val="24"/>
          <w:szCs w:val="24"/>
        </w:rPr>
        <w:t xml:space="preserve">2 </w:t>
      </w:r>
      <w:r w:rsidR="0003634A" w:rsidRPr="007915CE">
        <w:rPr>
          <w:rFonts w:cstheme="minorHAnsi"/>
          <w:b/>
          <w:bCs/>
          <w:sz w:val="24"/>
          <w:szCs w:val="24"/>
        </w:rPr>
        <w:t xml:space="preserve">of the CPA report) </w:t>
      </w:r>
      <w:r w:rsidR="00C62377" w:rsidRPr="007915CE">
        <w:rPr>
          <w:rFonts w:cstheme="minorHAnsi"/>
          <w:b/>
          <w:bCs/>
          <w:sz w:val="24"/>
          <w:szCs w:val="24"/>
        </w:rPr>
        <w:t xml:space="preserve">that </w:t>
      </w:r>
      <w:r w:rsidR="00266F22" w:rsidRPr="007915CE">
        <w:rPr>
          <w:rFonts w:cstheme="minorHAnsi"/>
          <w:b/>
          <w:bCs/>
          <w:sz w:val="24"/>
          <w:szCs w:val="24"/>
        </w:rPr>
        <w:t>many of the no</w:t>
      </w:r>
      <w:r w:rsidR="00362464" w:rsidRPr="007915CE">
        <w:rPr>
          <w:rFonts w:cstheme="minorHAnsi"/>
          <w:b/>
          <w:bCs/>
          <w:sz w:val="24"/>
          <w:szCs w:val="24"/>
        </w:rPr>
        <w:t>n-</w:t>
      </w:r>
      <w:r w:rsidR="00266F22" w:rsidRPr="007915CE">
        <w:rPr>
          <w:rFonts w:cstheme="minorHAnsi"/>
          <w:b/>
          <w:bCs/>
          <w:sz w:val="24"/>
          <w:szCs w:val="24"/>
        </w:rPr>
        <w:t xml:space="preserve">healthcare </w:t>
      </w:r>
      <w:r w:rsidR="00362464" w:rsidRPr="007915CE">
        <w:rPr>
          <w:rFonts w:cstheme="minorHAnsi"/>
          <w:b/>
          <w:bCs/>
          <w:sz w:val="24"/>
          <w:szCs w:val="24"/>
        </w:rPr>
        <w:t xml:space="preserve">FTE </w:t>
      </w:r>
      <w:r w:rsidR="00266F22" w:rsidRPr="007915CE">
        <w:rPr>
          <w:rFonts w:cstheme="minorHAnsi"/>
          <w:b/>
          <w:bCs/>
          <w:sz w:val="24"/>
          <w:szCs w:val="24"/>
        </w:rPr>
        <w:t xml:space="preserve">hourly </w:t>
      </w:r>
      <w:r w:rsidR="00362464" w:rsidRPr="007915CE">
        <w:rPr>
          <w:rFonts w:cstheme="minorHAnsi"/>
          <w:b/>
          <w:bCs/>
          <w:sz w:val="24"/>
          <w:szCs w:val="24"/>
        </w:rPr>
        <w:t>wage</w:t>
      </w:r>
      <w:r w:rsidR="00266F22" w:rsidRPr="007915CE">
        <w:rPr>
          <w:rFonts w:cstheme="minorHAnsi"/>
          <w:b/>
          <w:bCs/>
          <w:sz w:val="24"/>
          <w:szCs w:val="24"/>
        </w:rPr>
        <w:t xml:space="preserve">s are above </w:t>
      </w:r>
      <w:r w:rsidR="00B23036" w:rsidRPr="007915CE">
        <w:rPr>
          <w:rFonts w:cstheme="minorHAnsi"/>
          <w:b/>
          <w:bCs/>
          <w:sz w:val="24"/>
          <w:szCs w:val="24"/>
        </w:rPr>
        <w:t>three</w:t>
      </w:r>
      <w:r w:rsidR="00266F22" w:rsidRPr="007915CE">
        <w:rPr>
          <w:rFonts w:cstheme="minorHAnsi"/>
          <w:b/>
          <w:bCs/>
          <w:sz w:val="24"/>
          <w:szCs w:val="24"/>
        </w:rPr>
        <w:t xml:space="preserve"> </w:t>
      </w:r>
      <w:r w:rsidR="00C544CB" w:rsidRPr="007915CE">
        <w:rPr>
          <w:rFonts w:cstheme="minorHAnsi"/>
          <w:b/>
          <w:bCs/>
          <w:sz w:val="24"/>
          <w:szCs w:val="24"/>
        </w:rPr>
        <w:t xml:space="preserve">select </w:t>
      </w:r>
      <w:r w:rsidR="00266F22" w:rsidRPr="007915CE">
        <w:rPr>
          <w:rFonts w:cstheme="minorHAnsi"/>
          <w:b/>
          <w:bCs/>
          <w:sz w:val="24"/>
          <w:szCs w:val="24"/>
        </w:rPr>
        <w:t>benchmark greenhouse projects</w:t>
      </w:r>
      <w:r w:rsidR="001331D9" w:rsidRPr="007915CE">
        <w:rPr>
          <w:rFonts w:cstheme="minorHAnsi"/>
          <w:b/>
          <w:bCs/>
          <w:sz w:val="24"/>
          <w:szCs w:val="24"/>
        </w:rPr>
        <w:t xml:space="preserve"> and particularly the </w:t>
      </w:r>
      <w:r w:rsidR="00871433" w:rsidRPr="007915CE">
        <w:rPr>
          <w:rFonts w:cstheme="minorHAnsi"/>
          <w:b/>
          <w:bCs/>
          <w:i/>
          <w:iCs/>
          <w:sz w:val="24"/>
          <w:szCs w:val="24"/>
        </w:rPr>
        <w:t>Administrative and General</w:t>
      </w:r>
      <w:r w:rsidR="00871433" w:rsidRPr="007915CE">
        <w:rPr>
          <w:rFonts w:cstheme="minorHAnsi"/>
          <w:b/>
          <w:bCs/>
          <w:sz w:val="24"/>
          <w:szCs w:val="24"/>
        </w:rPr>
        <w:t xml:space="preserve"> category is $</w:t>
      </w:r>
      <w:r w:rsidR="001D3326" w:rsidRPr="007915CE">
        <w:rPr>
          <w:rFonts w:cstheme="minorHAnsi"/>
          <w:b/>
          <w:bCs/>
          <w:sz w:val="24"/>
          <w:szCs w:val="24"/>
        </w:rPr>
        <w:t>99.</w:t>
      </w:r>
      <w:r w:rsidR="007B2DBC" w:rsidRPr="007915CE">
        <w:rPr>
          <w:rFonts w:cstheme="minorHAnsi"/>
          <w:b/>
          <w:bCs/>
          <w:sz w:val="24"/>
          <w:szCs w:val="24"/>
        </w:rPr>
        <w:t xml:space="preserve">20, which is approximately double the benchmark average. Please explain what is included in this </w:t>
      </w:r>
      <w:r w:rsidR="00B23036" w:rsidRPr="007915CE">
        <w:rPr>
          <w:rFonts w:cstheme="minorHAnsi"/>
          <w:b/>
          <w:bCs/>
          <w:sz w:val="24"/>
          <w:szCs w:val="24"/>
        </w:rPr>
        <w:t>category and why the hourly wage so much higher while the Director of Nursing’s wage is below th</w:t>
      </w:r>
      <w:r w:rsidR="006B5E10" w:rsidRPr="007915CE">
        <w:rPr>
          <w:rFonts w:cstheme="minorHAnsi"/>
          <w:b/>
          <w:bCs/>
          <w:sz w:val="24"/>
          <w:szCs w:val="24"/>
        </w:rPr>
        <w:t>at of all three benchmark facilities.</w:t>
      </w:r>
      <w:r w:rsidR="003F1A9E" w:rsidRPr="007915CE">
        <w:rPr>
          <w:rFonts w:cstheme="minorHAnsi"/>
          <w:b/>
          <w:bCs/>
          <w:sz w:val="24"/>
          <w:szCs w:val="24"/>
        </w:rPr>
        <w:t xml:space="preserve"> </w:t>
      </w:r>
      <w:r w:rsidR="004E1FC1" w:rsidRPr="007915CE">
        <w:rPr>
          <w:rFonts w:cstheme="minorHAnsi"/>
          <w:b/>
          <w:bCs/>
          <w:sz w:val="24"/>
          <w:szCs w:val="24"/>
        </w:rPr>
        <w:t xml:space="preserve"> </w:t>
      </w:r>
    </w:p>
    <w:p w14:paraId="7548C637" w14:textId="77777777" w:rsidR="004623FE" w:rsidRPr="007915CE" w:rsidRDefault="004623FE" w:rsidP="004623FE">
      <w:pPr>
        <w:pStyle w:val="ListParagraph"/>
        <w:ind w:left="1080"/>
        <w:rPr>
          <w:rFonts w:cstheme="minorHAnsi"/>
          <w:b/>
          <w:bCs/>
          <w:sz w:val="24"/>
          <w:szCs w:val="24"/>
        </w:rPr>
      </w:pPr>
    </w:p>
    <w:p w14:paraId="3AF68A80" w14:textId="0D0F5EE8" w:rsidR="004A6A12" w:rsidRPr="007915CE" w:rsidRDefault="0022317F" w:rsidP="004B48DE">
      <w:pPr>
        <w:pStyle w:val="ListParagraph"/>
        <w:ind w:left="1080"/>
        <w:rPr>
          <w:rFonts w:cstheme="minorHAnsi"/>
          <w:sz w:val="24"/>
          <w:szCs w:val="24"/>
        </w:rPr>
      </w:pPr>
      <w:r w:rsidRPr="007915CE">
        <w:rPr>
          <w:rFonts w:cstheme="minorHAnsi"/>
          <w:sz w:val="24"/>
          <w:szCs w:val="24"/>
        </w:rPr>
        <w:t>Due to the Island’s remote locat</w:t>
      </w:r>
      <w:r w:rsidR="004B48DE" w:rsidRPr="007915CE">
        <w:rPr>
          <w:rFonts w:cstheme="minorHAnsi"/>
          <w:sz w:val="24"/>
          <w:szCs w:val="24"/>
        </w:rPr>
        <w:t>ion</w:t>
      </w:r>
      <w:r w:rsidRPr="007915CE">
        <w:rPr>
          <w:rFonts w:cstheme="minorHAnsi"/>
          <w:sz w:val="24"/>
          <w:szCs w:val="24"/>
        </w:rPr>
        <w:t>, Navigator is assuming a higher Administrator salary</w:t>
      </w:r>
      <w:r w:rsidR="002F7165" w:rsidRPr="007915CE">
        <w:rPr>
          <w:rFonts w:cstheme="minorHAnsi"/>
          <w:sz w:val="24"/>
          <w:szCs w:val="24"/>
        </w:rPr>
        <w:t xml:space="preserve"> will be required to recruit and retain a qualified Administrator. Around the country, nursing home administrators are in high demand which places a higher burden on facilities like Windemere where the cost of living is significantly higher than other potential job locations. For example, Our Island Home on Nantucket has been without an Administrator for more than two years due to the facility’s island location. </w:t>
      </w:r>
    </w:p>
    <w:p w14:paraId="43DC47D6" w14:textId="77777777" w:rsidR="004A6A12" w:rsidRPr="007915CE" w:rsidRDefault="004A6A12" w:rsidP="004A6A12">
      <w:pPr>
        <w:rPr>
          <w:rFonts w:cstheme="minorHAnsi"/>
          <w:sz w:val="24"/>
          <w:szCs w:val="24"/>
        </w:rPr>
      </w:pPr>
    </w:p>
    <w:p w14:paraId="32FEB43D" w14:textId="77777777" w:rsidR="00452AEA" w:rsidRPr="007915CE" w:rsidRDefault="00452AEA" w:rsidP="00452AEA">
      <w:pPr>
        <w:pStyle w:val="ListParagraph"/>
        <w:rPr>
          <w:rFonts w:cstheme="minorHAnsi"/>
          <w:sz w:val="24"/>
          <w:szCs w:val="24"/>
        </w:rPr>
      </w:pPr>
    </w:p>
    <w:p w14:paraId="6B993AB7" w14:textId="77777777" w:rsidR="00890B6D" w:rsidRPr="007915CE" w:rsidRDefault="00890B6D">
      <w:pPr>
        <w:rPr>
          <w:rFonts w:cstheme="minorHAnsi"/>
          <w:sz w:val="24"/>
          <w:szCs w:val="24"/>
        </w:rPr>
      </w:pPr>
    </w:p>
    <w:sectPr w:rsidR="00890B6D" w:rsidRPr="007915C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BA862" w14:textId="77777777" w:rsidR="0031422E" w:rsidRDefault="0031422E" w:rsidP="00782988">
      <w:pPr>
        <w:spacing w:after="0" w:line="240" w:lineRule="auto"/>
      </w:pPr>
      <w:r>
        <w:separator/>
      </w:r>
    </w:p>
  </w:endnote>
  <w:endnote w:type="continuationSeparator" w:id="0">
    <w:p w14:paraId="59CBCD05" w14:textId="77777777" w:rsidR="0031422E" w:rsidRDefault="0031422E" w:rsidP="0078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786818"/>
      <w:docPartObj>
        <w:docPartGallery w:val="Page Numbers (Bottom of Page)"/>
        <w:docPartUnique/>
      </w:docPartObj>
    </w:sdtPr>
    <w:sdtEndPr>
      <w:rPr>
        <w:noProof/>
      </w:rPr>
    </w:sdtEndPr>
    <w:sdtContent>
      <w:p w14:paraId="42199191" w14:textId="0EEA8991" w:rsidR="002A4786" w:rsidRDefault="002A47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FBC848" w14:textId="77777777" w:rsidR="00782988" w:rsidRDefault="00782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51D7F" w14:textId="77777777" w:rsidR="0031422E" w:rsidRDefault="0031422E" w:rsidP="00782988">
      <w:pPr>
        <w:spacing w:after="0" w:line="240" w:lineRule="auto"/>
      </w:pPr>
      <w:r>
        <w:separator/>
      </w:r>
    </w:p>
  </w:footnote>
  <w:footnote w:type="continuationSeparator" w:id="0">
    <w:p w14:paraId="20A6C544" w14:textId="77777777" w:rsidR="0031422E" w:rsidRDefault="0031422E" w:rsidP="00782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DD7E" w14:textId="1DC762D5" w:rsidR="00782988" w:rsidRPr="002A4786" w:rsidRDefault="00782988" w:rsidP="00782988">
    <w:pPr>
      <w:pStyle w:val="Header"/>
      <w:jc w:val="center"/>
      <w:rPr>
        <w:color w:val="1F4E79" w:themeColor="accent5" w:themeShade="80"/>
        <w:sz w:val="28"/>
        <w:szCs w:val="28"/>
      </w:rPr>
    </w:pPr>
    <w:r w:rsidRPr="002A4786">
      <w:rPr>
        <w:color w:val="1F4E79" w:themeColor="accent5" w:themeShade="80"/>
        <w:sz w:val="28"/>
        <w:szCs w:val="28"/>
      </w:rPr>
      <w:t xml:space="preserve">NHMV - Windemere Nursing </w:t>
    </w:r>
    <w:r w:rsidR="000F4F75">
      <w:rPr>
        <w:color w:val="1F4E79" w:themeColor="accent5" w:themeShade="80"/>
        <w:sz w:val="28"/>
        <w:szCs w:val="28"/>
      </w:rPr>
      <w:t xml:space="preserve">&amp; </w:t>
    </w:r>
    <w:r w:rsidRPr="002A4786">
      <w:rPr>
        <w:color w:val="1F4E79" w:themeColor="accent5" w:themeShade="80"/>
        <w:sz w:val="28"/>
        <w:szCs w:val="28"/>
      </w:rPr>
      <w:t>Rehabilitation Center DoN #NHMV-22090717-LE - TOS and Substantial Capital Expenditure - 10-27-2022</w:t>
    </w:r>
  </w:p>
  <w:p w14:paraId="57D827E3" w14:textId="77777777" w:rsidR="00782988" w:rsidRDefault="00782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6110F"/>
    <w:multiLevelType w:val="hybridMultilevel"/>
    <w:tmpl w:val="60BA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04E0B"/>
    <w:multiLevelType w:val="hybridMultilevel"/>
    <w:tmpl w:val="51384838"/>
    <w:lvl w:ilvl="0" w:tplc="3F225646">
      <w:start w:val="1"/>
      <w:numFmt w:val="decimal"/>
      <w:lvlText w:val="(%1)"/>
      <w:lvlJc w:val="left"/>
      <w:pPr>
        <w:ind w:left="720" w:hanging="360"/>
      </w:pPr>
      <w:rPr>
        <w:rFonts w:hint="default"/>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F18FC"/>
    <w:multiLevelType w:val="hybridMultilevel"/>
    <w:tmpl w:val="FC4489B4"/>
    <w:lvl w:ilvl="0" w:tplc="C2A60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E532E"/>
    <w:multiLevelType w:val="hybridMultilevel"/>
    <w:tmpl w:val="6386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440413"/>
    <w:multiLevelType w:val="hybridMultilevel"/>
    <w:tmpl w:val="68EA7964"/>
    <w:lvl w:ilvl="0" w:tplc="627801FC">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BE44D6"/>
    <w:multiLevelType w:val="hybridMultilevel"/>
    <w:tmpl w:val="1BB6571E"/>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055C02"/>
    <w:multiLevelType w:val="hybridMultilevel"/>
    <w:tmpl w:val="294251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7E196F"/>
    <w:multiLevelType w:val="hybridMultilevel"/>
    <w:tmpl w:val="F61C2D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22734"/>
    <w:multiLevelType w:val="hybridMultilevel"/>
    <w:tmpl w:val="64CC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927763">
    <w:abstractNumId w:val="0"/>
  </w:num>
  <w:num w:numId="2" w16cid:durableId="618142477">
    <w:abstractNumId w:val="7"/>
  </w:num>
  <w:num w:numId="3" w16cid:durableId="948241007">
    <w:abstractNumId w:val="8"/>
  </w:num>
  <w:num w:numId="4" w16cid:durableId="1584414038">
    <w:abstractNumId w:val="4"/>
  </w:num>
  <w:num w:numId="5" w16cid:durableId="1124158546">
    <w:abstractNumId w:val="9"/>
  </w:num>
  <w:num w:numId="6" w16cid:durableId="1436288232">
    <w:abstractNumId w:val="1"/>
  </w:num>
  <w:num w:numId="7" w16cid:durableId="488449975">
    <w:abstractNumId w:val="5"/>
  </w:num>
  <w:num w:numId="8" w16cid:durableId="307711441">
    <w:abstractNumId w:val="6"/>
  </w:num>
  <w:num w:numId="9" w16cid:durableId="1012489950">
    <w:abstractNumId w:val="3"/>
  </w:num>
  <w:num w:numId="10" w16cid:durableId="1553082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D1"/>
    <w:rsid w:val="00024C7B"/>
    <w:rsid w:val="000318E6"/>
    <w:rsid w:val="0003634A"/>
    <w:rsid w:val="00042EA4"/>
    <w:rsid w:val="00047ACF"/>
    <w:rsid w:val="00067953"/>
    <w:rsid w:val="00075490"/>
    <w:rsid w:val="00081836"/>
    <w:rsid w:val="000C28B8"/>
    <w:rsid w:val="000E083B"/>
    <w:rsid w:val="000F4F75"/>
    <w:rsid w:val="00100D73"/>
    <w:rsid w:val="00101708"/>
    <w:rsid w:val="00102AB3"/>
    <w:rsid w:val="00103DF0"/>
    <w:rsid w:val="00116ED9"/>
    <w:rsid w:val="001331D9"/>
    <w:rsid w:val="001738E6"/>
    <w:rsid w:val="00181314"/>
    <w:rsid w:val="001A42BA"/>
    <w:rsid w:val="001A77FC"/>
    <w:rsid w:val="001C74A9"/>
    <w:rsid w:val="001D1D5B"/>
    <w:rsid w:val="001D3326"/>
    <w:rsid w:val="001E14AA"/>
    <w:rsid w:val="002104AF"/>
    <w:rsid w:val="002149DE"/>
    <w:rsid w:val="0022317F"/>
    <w:rsid w:val="00240CEF"/>
    <w:rsid w:val="00261137"/>
    <w:rsid w:val="00266F22"/>
    <w:rsid w:val="00284013"/>
    <w:rsid w:val="0029012B"/>
    <w:rsid w:val="002A4786"/>
    <w:rsid w:val="002E0AA9"/>
    <w:rsid w:val="002F1774"/>
    <w:rsid w:val="002F26D1"/>
    <w:rsid w:val="002F7165"/>
    <w:rsid w:val="00303769"/>
    <w:rsid w:val="0031422E"/>
    <w:rsid w:val="00342026"/>
    <w:rsid w:val="003461EA"/>
    <w:rsid w:val="00351EB6"/>
    <w:rsid w:val="00357905"/>
    <w:rsid w:val="00362464"/>
    <w:rsid w:val="00367017"/>
    <w:rsid w:val="003B71D0"/>
    <w:rsid w:val="003E5643"/>
    <w:rsid w:val="003F12FD"/>
    <w:rsid w:val="003F1A9E"/>
    <w:rsid w:val="003F3E0B"/>
    <w:rsid w:val="003F68B6"/>
    <w:rsid w:val="004011A6"/>
    <w:rsid w:val="00410302"/>
    <w:rsid w:val="00431A5C"/>
    <w:rsid w:val="00452AEA"/>
    <w:rsid w:val="00455B8E"/>
    <w:rsid w:val="004623FE"/>
    <w:rsid w:val="0047642A"/>
    <w:rsid w:val="00487585"/>
    <w:rsid w:val="004A57B3"/>
    <w:rsid w:val="004A6A12"/>
    <w:rsid w:val="004B48DE"/>
    <w:rsid w:val="004E1FC1"/>
    <w:rsid w:val="004E7513"/>
    <w:rsid w:val="004F3EAB"/>
    <w:rsid w:val="00514216"/>
    <w:rsid w:val="005231BD"/>
    <w:rsid w:val="00535BA2"/>
    <w:rsid w:val="00544120"/>
    <w:rsid w:val="00557636"/>
    <w:rsid w:val="00573F11"/>
    <w:rsid w:val="00577B0B"/>
    <w:rsid w:val="00591F01"/>
    <w:rsid w:val="005A71A1"/>
    <w:rsid w:val="005D2890"/>
    <w:rsid w:val="005D435A"/>
    <w:rsid w:val="005E1E22"/>
    <w:rsid w:val="005E512E"/>
    <w:rsid w:val="005F79CA"/>
    <w:rsid w:val="00602191"/>
    <w:rsid w:val="00607247"/>
    <w:rsid w:val="0061662D"/>
    <w:rsid w:val="0062275F"/>
    <w:rsid w:val="006233D1"/>
    <w:rsid w:val="0063481B"/>
    <w:rsid w:val="00644951"/>
    <w:rsid w:val="006460EE"/>
    <w:rsid w:val="006752BF"/>
    <w:rsid w:val="00681AEA"/>
    <w:rsid w:val="006B33CD"/>
    <w:rsid w:val="006B5E10"/>
    <w:rsid w:val="006C293A"/>
    <w:rsid w:val="006E15F9"/>
    <w:rsid w:val="006E212F"/>
    <w:rsid w:val="00707EF4"/>
    <w:rsid w:val="00732028"/>
    <w:rsid w:val="00735F20"/>
    <w:rsid w:val="0077675D"/>
    <w:rsid w:val="00782988"/>
    <w:rsid w:val="007915CE"/>
    <w:rsid w:val="007A6F89"/>
    <w:rsid w:val="007B2DBC"/>
    <w:rsid w:val="007C1ADF"/>
    <w:rsid w:val="007C6FF0"/>
    <w:rsid w:val="007E7779"/>
    <w:rsid w:val="0080074F"/>
    <w:rsid w:val="00853112"/>
    <w:rsid w:val="00871433"/>
    <w:rsid w:val="00890B6D"/>
    <w:rsid w:val="008A0096"/>
    <w:rsid w:val="008A3513"/>
    <w:rsid w:val="008A49A9"/>
    <w:rsid w:val="008A5A82"/>
    <w:rsid w:val="008D098C"/>
    <w:rsid w:val="008D5509"/>
    <w:rsid w:val="008E41B0"/>
    <w:rsid w:val="00904BD0"/>
    <w:rsid w:val="00925587"/>
    <w:rsid w:val="009955DD"/>
    <w:rsid w:val="009B6434"/>
    <w:rsid w:val="009F4F50"/>
    <w:rsid w:val="00A216AA"/>
    <w:rsid w:val="00A53104"/>
    <w:rsid w:val="00A7600F"/>
    <w:rsid w:val="00B0413F"/>
    <w:rsid w:val="00B23036"/>
    <w:rsid w:val="00B33416"/>
    <w:rsid w:val="00B92FD7"/>
    <w:rsid w:val="00BB1633"/>
    <w:rsid w:val="00BC44C6"/>
    <w:rsid w:val="00BE703B"/>
    <w:rsid w:val="00C07EB6"/>
    <w:rsid w:val="00C15249"/>
    <w:rsid w:val="00C31788"/>
    <w:rsid w:val="00C4074F"/>
    <w:rsid w:val="00C544CB"/>
    <w:rsid w:val="00C62377"/>
    <w:rsid w:val="00C6661C"/>
    <w:rsid w:val="00C74874"/>
    <w:rsid w:val="00C92B2E"/>
    <w:rsid w:val="00CC2A29"/>
    <w:rsid w:val="00CD4052"/>
    <w:rsid w:val="00CE08E4"/>
    <w:rsid w:val="00CF199C"/>
    <w:rsid w:val="00CF51E1"/>
    <w:rsid w:val="00D40B8C"/>
    <w:rsid w:val="00D4121B"/>
    <w:rsid w:val="00D6287B"/>
    <w:rsid w:val="00D91DED"/>
    <w:rsid w:val="00D964EE"/>
    <w:rsid w:val="00D97539"/>
    <w:rsid w:val="00DA2EEC"/>
    <w:rsid w:val="00DB41F4"/>
    <w:rsid w:val="00DD24A3"/>
    <w:rsid w:val="00DD510A"/>
    <w:rsid w:val="00DD60DD"/>
    <w:rsid w:val="00DE5BDB"/>
    <w:rsid w:val="00DF3CD6"/>
    <w:rsid w:val="00E21011"/>
    <w:rsid w:val="00E455A7"/>
    <w:rsid w:val="00E506E7"/>
    <w:rsid w:val="00E6172E"/>
    <w:rsid w:val="00E84513"/>
    <w:rsid w:val="00E855F6"/>
    <w:rsid w:val="00EE10F2"/>
    <w:rsid w:val="00F07021"/>
    <w:rsid w:val="00F41BE2"/>
    <w:rsid w:val="00F5740C"/>
    <w:rsid w:val="00F83B03"/>
    <w:rsid w:val="00F976E9"/>
    <w:rsid w:val="00FA7A77"/>
    <w:rsid w:val="00FA7CD7"/>
    <w:rsid w:val="00FC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8229"/>
  <w15:chartTrackingRefBased/>
  <w15:docId w15:val="{F3618263-7616-4FFD-9A14-E1BE273E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26D1"/>
    <w:rPr>
      <w:sz w:val="16"/>
      <w:szCs w:val="16"/>
    </w:rPr>
  </w:style>
  <w:style w:type="paragraph" w:styleId="CommentText">
    <w:name w:val="annotation text"/>
    <w:basedOn w:val="Normal"/>
    <w:link w:val="CommentTextChar"/>
    <w:uiPriority w:val="99"/>
    <w:unhideWhenUsed/>
    <w:rsid w:val="002F26D1"/>
    <w:pPr>
      <w:spacing w:line="240" w:lineRule="auto"/>
    </w:pPr>
    <w:rPr>
      <w:sz w:val="20"/>
      <w:szCs w:val="20"/>
    </w:rPr>
  </w:style>
  <w:style w:type="character" w:customStyle="1" w:styleId="CommentTextChar">
    <w:name w:val="Comment Text Char"/>
    <w:basedOn w:val="DefaultParagraphFont"/>
    <w:link w:val="CommentText"/>
    <w:uiPriority w:val="99"/>
    <w:rsid w:val="002F26D1"/>
    <w:rPr>
      <w:sz w:val="20"/>
      <w:szCs w:val="20"/>
    </w:rPr>
  </w:style>
  <w:style w:type="character" w:styleId="Hyperlink">
    <w:name w:val="Hyperlink"/>
    <w:basedOn w:val="DefaultParagraphFont"/>
    <w:uiPriority w:val="99"/>
    <w:unhideWhenUsed/>
    <w:rsid w:val="002F26D1"/>
    <w:rPr>
      <w:color w:val="0563C1" w:themeColor="hyperlink"/>
      <w:u w:val="single"/>
    </w:rPr>
  </w:style>
  <w:style w:type="character" w:styleId="UnresolvedMention">
    <w:name w:val="Unresolved Mention"/>
    <w:basedOn w:val="DefaultParagraphFont"/>
    <w:uiPriority w:val="99"/>
    <w:semiHidden/>
    <w:unhideWhenUsed/>
    <w:rsid w:val="002F26D1"/>
    <w:rPr>
      <w:color w:val="605E5C"/>
      <w:shd w:val="clear" w:color="auto" w:fill="E1DFDD"/>
    </w:rPr>
  </w:style>
  <w:style w:type="paragraph" w:styleId="BalloonText">
    <w:name w:val="Balloon Text"/>
    <w:basedOn w:val="Normal"/>
    <w:link w:val="BalloonTextChar"/>
    <w:uiPriority w:val="99"/>
    <w:semiHidden/>
    <w:unhideWhenUsed/>
    <w:rsid w:val="002F26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6D1"/>
    <w:rPr>
      <w:rFonts w:ascii="Segoe UI" w:hAnsi="Segoe UI" w:cs="Segoe UI"/>
      <w:sz w:val="18"/>
      <w:szCs w:val="18"/>
    </w:rPr>
  </w:style>
  <w:style w:type="paragraph" w:styleId="ListParagraph">
    <w:name w:val="List Paragraph"/>
    <w:basedOn w:val="Normal"/>
    <w:link w:val="ListParagraphChar"/>
    <w:uiPriority w:val="34"/>
    <w:qFormat/>
    <w:rsid w:val="00351EB6"/>
    <w:pPr>
      <w:ind w:left="720"/>
      <w:contextualSpacing/>
    </w:pPr>
  </w:style>
  <w:style w:type="paragraph" w:styleId="Header">
    <w:name w:val="header"/>
    <w:basedOn w:val="Normal"/>
    <w:link w:val="HeaderChar"/>
    <w:uiPriority w:val="99"/>
    <w:unhideWhenUsed/>
    <w:rsid w:val="00782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988"/>
  </w:style>
  <w:style w:type="paragraph" w:styleId="Footer">
    <w:name w:val="footer"/>
    <w:basedOn w:val="Normal"/>
    <w:link w:val="FooterChar"/>
    <w:uiPriority w:val="99"/>
    <w:unhideWhenUsed/>
    <w:rsid w:val="00782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988"/>
  </w:style>
  <w:style w:type="character" w:customStyle="1" w:styleId="ListParagraphChar">
    <w:name w:val="List Paragraph Char"/>
    <w:basedOn w:val="DefaultParagraphFont"/>
    <w:link w:val="ListParagraph"/>
    <w:uiPriority w:val="34"/>
    <w:rsid w:val="00101708"/>
  </w:style>
  <w:style w:type="paragraph" w:styleId="CommentSubject">
    <w:name w:val="annotation subject"/>
    <w:basedOn w:val="CommentText"/>
    <w:next w:val="CommentText"/>
    <w:link w:val="CommentSubjectChar"/>
    <w:uiPriority w:val="99"/>
    <w:semiHidden/>
    <w:unhideWhenUsed/>
    <w:rsid w:val="00602191"/>
    <w:rPr>
      <w:b/>
      <w:bCs/>
    </w:rPr>
  </w:style>
  <w:style w:type="character" w:customStyle="1" w:styleId="CommentSubjectChar">
    <w:name w:val="Comment Subject Char"/>
    <w:basedOn w:val="CommentTextChar"/>
    <w:link w:val="CommentSubject"/>
    <w:uiPriority w:val="99"/>
    <w:semiHidden/>
    <w:rsid w:val="00602191"/>
    <w:rPr>
      <w:b/>
      <w:bCs/>
      <w:sz w:val="20"/>
      <w:szCs w:val="20"/>
    </w:rPr>
  </w:style>
  <w:style w:type="paragraph" w:styleId="EndnoteText">
    <w:name w:val="endnote text"/>
    <w:basedOn w:val="Normal"/>
    <w:link w:val="EndnoteTextChar"/>
    <w:uiPriority w:val="99"/>
    <w:rsid w:val="00042EA4"/>
    <w:pPr>
      <w:spacing w:after="0" w:line="240" w:lineRule="auto"/>
      <w:jc w:val="both"/>
    </w:pPr>
    <w:rPr>
      <w:rFonts w:ascii="Times" w:eastAsia="Times New Roman" w:hAnsi="Times" w:cs="Times New Roman"/>
      <w:sz w:val="20"/>
      <w:szCs w:val="20"/>
    </w:rPr>
  </w:style>
  <w:style w:type="character" w:customStyle="1" w:styleId="EndnoteTextChar">
    <w:name w:val="Endnote Text Char"/>
    <w:basedOn w:val="DefaultParagraphFont"/>
    <w:link w:val="EndnoteText"/>
    <w:uiPriority w:val="99"/>
    <w:rsid w:val="00042EA4"/>
    <w:rPr>
      <w:rFonts w:ascii="Times" w:eastAsia="Times New Roman" w:hAnsi="Times" w:cs="Times New Roman"/>
      <w:sz w:val="20"/>
      <w:szCs w:val="20"/>
    </w:rPr>
  </w:style>
  <w:style w:type="paragraph" w:customStyle="1" w:styleId="4Opinion">
    <w:name w:val="4. Opinion"/>
    <w:basedOn w:val="Normal"/>
    <w:rsid w:val="00042EA4"/>
    <w:pPr>
      <w:spacing w:after="0" w:line="240" w:lineRule="auto"/>
      <w:ind w:left="360"/>
      <w:jc w:val="both"/>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07223">
      <w:bodyDiv w:val="1"/>
      <w:marLeft w:val="0"/>
      <w:marRight w:val="0"/>
      <w:marTop w:val="0"/>
      <w:marBottom w:val="0"/>
      <w:divBdr>
        <w:top w:val="none" w:sz="0" w:space="0" w:color="auto"/>
        <w:left w:val="none" w:sz="0" w:space="0" w:color="auto"/>
        <w:bottom w:val="none" w:sz="0" w:space="0" w:color="auto"/>
        <w:right w:val="none" w:sz="0" w:space="0" w:color="auto"/>
      </w:divBdr>
    </w:div>
    <w:div w:id="197617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610BA-184F-4F3B-AB9C-8B983260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2375</Words>
  <Characters>13540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Ciolfi, Kasey</dc:creator>
  <cp:keywords/>
  <dc:description/>
  <cp:lastModifiedBy>Marks, Brett (DPH)</cp:lastModifiedBy>
  <cp:revision>5</cp:revision>
  <dcterms:created xsi:type="dcterms:W3CDTF">2022-12-21T19:25:00Z</dcterms:created>
  <dcterms:modified xsi:type="dcterms:W3CDTF">2023-01-06T18:44:00Z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4873-1878-4581</vt:lpwstr>
  </property>
</Properties>
</file>