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803" w14:textId="62436E04" w:rsidR="00F511BF" w:rsidRPr="00411B7B" w:rsidRDefault="00F511BF" w:rsidP="00F511BF">
      <w:pPr>
        <w:pStyle w:val="BodyText"/>
        <w:rPr>
          <w:b/>
          <w:sz w:val="24"/>
          <w:szCs w:val="24"/>
        </w:rPr>
      </w:pPr>
      <w:r w:rsidRPr="00411B7B">
        <w:rPr>
          <w:b/>
          <w:sz w:val="24"/>
          <w:szCs w:val="24"/>
        </w:rPr>
        <w:t>Sensitivity Analysis I –</w:t>
      </w:r>
      <w:r>
        <w:rPr>
          <w:b/>
          <w:sz w:val="24"/>
          <w:szCs w:val="24"/>
        </w:rPr>
        <w:t xml:space="preserve"> </w:t>
      </w:r>
      <w:r w:rsidR="009349FC">
        <w:rPr>
          <w:b/>
          <w:sz w:val="24"/>
          <w:szCs w:val="24"/>
        </w:rPr>
        <w:t>Payor Mix</w:t>
      </w:r>
    </w:p>
    <w:p w14:paraId="3BF21F12" w14:textId="59EC28EC" w:rsidR="00F40992" w:rsidRPr="00F40992" w:rsidRDefault="001F554F" w:rsidP="00F40992">
      <w:pPr>
        <w:pStyle w:val="BodyText"/>
        <w:spacing w:before="240" w:after="240"/>
        <w:rPr>
          <w:sz w:val="24"/>
          <w:szCs w:val="24"/>
        </w:rPr>
      </w:pPr>
      <w:r w:rsidRPr="00F40992">
        <w:rPr>
          <w:sz w:val="24"/>
          <w:szCs w:val="24"/>
        </w:rPr>
        <w:t xml:space="preserve">Payor mix utilization can vary depending upon hospital admissions, the competitive and regulatory environments, and Management’s ability to execute its marketing and admission plans.  Management’s projection assumes a stabilized occupancy of </w:t>
      </w:r>
      <w:r w:rsidR="00F40992" w:rsidRPr="00F40992">
        <w:rPr>
          <w:sz w:val="24"/>
          <w:szCs w:val="24"/>
        </w:rPr>
        <w:t>62.7 beds (89.6 percent), including a stabilized Medicaid occupancy of 24.7 beds</w:t>
      </w:r>
      <w:r w:rsidRPr="00F40992">
        <w:rPr>
          <w:sz w:val="24"/>
          <w:szCs w:val="24"/>
        </w:rPr>
        <w:t xml:space="preserve">.   </w:t>
      </w:r>
      <w:r w:rsidR="00F40992" w:rsidRPr="00F40992">
        <w:rPr>
          <w:sz w:val="24"/>
          <w:szCs w:val="24"/>
        </w:rPr>
        <w:t>The following sensitivities will demonstrate</w:t>
      </w:r>
      <w:r w:rsidR="00F40992">
        <w:rPr>
          <w:sz w:val="24"/>
          <w:szCs w:val="24"/>
        </w:rPr>
        <w:t xml:space="preserve"> the effect of increasing</w:t>
      </w:r>
      <w:r w:rsidR="00F40992" w:rsidRPr="00F40992">
        <w:rPr>
          <w:sz w:val="24"/>
          <w:szCs w:val="24"/>
        </w:rPr>
        <w:t xml:space="preserve"> stabilized</w:t>
      </w:r>
      <w:r w:rsidR="00F40992">
        <w:rPr>
          <w:sz w:val="24"/>
          <w:szCs w:val="24"/>
        </w:rPr>
        <w:t xml:space="preserve"> occupancy to 65.1 beds</w:t>
      </w:r>
      <w:r w:rsidR="00F40992" w:rsidRPr="00F40992">
        <w:rPr>
          <w:sz w:val="24"/>
          <w:szCs w:val="24"/>
        </w:rPr>
        <w:t xml:space="preserve"> </w:t>
      </w:r>
      <w:r w:rsidR="00F40992">
        <w:rPr>
          <w:sz w:val="24"/>
          <w:szCs w:val="24"/>
        </w:rPr>
        <w:t>(</w:t>
      </w:r>
      <w:r w:rsidR="00F40992" w:rsidRPr="00F40992">
        <w:rPr>
          <w:sz w:val="24"/>
          <w:szCs w:val="24"/>
        </w:rPr>
        <w:t>93.0 percent</w:t>
      </w:r>
      <w:r w:rsidR="00F40992">
        <w:rPr>
          <w:sz w:val="24"/>
          <w:szCs w:val="24"/>
        </w:rPr>
        <w:t>) and making payor mix adjustments to stabilized Medicaid, Private Pay, and Medicare</w:t>
      </w:r>
      <w:r w:rsidR="00F40992" w:rsidRPr="00F40992">
        <w:rPr>
          <w:sz w:val="24"/>
          <w:szCs w:val="24"/>
        </w:rPr>
        <w:t xml:space="preserve"> occupanc</w:t>
      </w:r>
      <w:r w:rsidR="00F40992">
        <w:rPr>
          <w:sz w:val="24"/>
          <w:szCs w:val="24"/>
        </w:rPr>
        <w:t xml:space="preserve">ies.  </w:t>
      </w:r>
      <w:r w:rsidR="00F40992" w:rsidRPr="00F40992">
        <w:rPr>
          <w:sz w:val="24"/>
          <w:szCs w:val="24"/>
        </w:rPr>
        <w:t xml:space="preserve"> </w:t>
      </w:r>
    </w:p>
    <w:p w14:paraId="3FA6D94D" w14:textId="478B69E5" w:rsidR="00F511BF" w:rsidRDefault="001F554F" w:rsidP="00832CAD">
      <w:pPr>
        <w:rPr>
          <w:i/>
          <w:iCs/>
          <w:szCs w:val="24"/>
        </w:rPr>
      </w:pPr>
      <w:r>
        <w:t xml:space="preserve"> </w:t>
      </w:r>
      <w:r w:rsidR="00F511BF" w:rsidRPr="00411B7B">
        <w:rPr>
          <w:i/>
          <w:iCs/>
          <w:szCs w:val="24"/>
        </w:rPr>
        <w:t>Sensitivity Analysis I</w:t>
      </w:r>
      <w:r w:rsidR="009349FC">
        <w:rPr>
          <w:i/>
          <w:iCs/>
          <w:szCs w:val="24"/>
        </w:rPr>
        <w:t xml:space="preserve"> </w:t>
      </w:r>
      <w:r w:rsidR="005E2E78">
        <w:rPr>
          <w:i/>
          <w:iCs/>
          <w:szCs w:val="24"/>
        </w:rPr>
        <w:t>– Incremental Medicaid Occupancy</w:t>
      </w:r>
      <w:r w:rsidR="00537960">
        <w:rPr>
          <w:i/>
          <w:iCs/>
          <w:szCs w:val="24"/>
        </w:rPr>
        <w:t xml:space="preserve"> Only</w:t>
      </w:r>
    </w:p>
    <w:p w14:paraId="2F551444" w14:textId="77777777" w:rsidR="00832CAD" w:rsidRPr="00411B7B" w:rsidRDefault="00832CAD" w:rsidP="00832CAD">
      <w:pPr>
        <w:rPr>
          <w:i/>
          <w:iCs/>
          <w:szCs w:val="24"/>
        </w:rPr>
      </w:pPr>
    </w:p>
    <w:p w14:paraId="64379207" w14:textId="71FFC6C1" w:rsidR="00F10DB6" w:rsidRPr="005E2E78" w:rsidRDefault="00F511BF" w:rsidP="006D375A">
      <w:pPr>
        <w:pStyle w:val="BodyText"/>
        <w:spacing w:after="240"/>
        <w:rPr>
          <w:sz w:val="24"/>
          <w:szCs w:val="24"/>
        </w:rPr>
      </w:pPr>
      <w:r w:rsidRPr="00411B7B">
        <w:rPr>
          <w:sz w:val="24"/>
          <w:szCs w:val="24"/>
        </w:rPr>
        <w:t>The data presented in the table below demonstrate</w:t>
      </w:r>
      <w:r w:rsidR="000E1814">
        <w:rPr>
          <w:sz w:val="24"/>
          <w:szCs w:val="24"/>
        </w:rPr>
        <w:t>s</w:t>
      </w:r>
      <w:r w:rsidRPr="00411B7B">
        <w:rPr>
          <w:sz w:val="24"/>
          <w:szCs w:val="24"/>
        </w:rPr>
        <w:t xml:space="preserve"> the impact of </w:t>
      </w:r>
      <w:r w:rsidR="005F5DFC">
        <w:rPr>
          <w:sz w:val="24"/>
          <w:szCs w:val="24"/>
        </w:rPr>
        <w:t xml:space="preserve">increasing </w:t>
      </w:r>
      <w:r w:rsidR="00F40992">
        <w:rPr>
          <w:sz w:val="24"/>
          <w:szCs w:val="24"/>
        </w:rPr>
        <w:t xml:space="preserve">stabilized occupancy to 65.1 beds (93.0 percent) and increasing </w:t>
      </w:r>
      <w:r w:rsidR="005F5DFC">
        <w:rPr>
          <w:sz w:val="24"/>
          <w:szCs w:val="24"/>
        </w:rPr>
        <w:t>the Medicaid</w:t>
      </w:r>
      <w:r w:rsidR="00F40992">
        <w:rPr>
          <w:sz w:val="24"/>
          <w:szCs w:val="24"/>
        </w:rPr>
        <w:t xml:space="preserve"> stabilized</w:t>
      </w:r>
      <w:r w:rsidR="005F5DFC">
        <w:rPr>
          <w:sz w:val="24"/>
          <w:szCs w:val="24"/>
        </w:rPr>
        <w:t xml:space="preserve"> occupancy</w:t>
      </w:r>
      <w:r w:rsidR="00B97374">
        <w:rPr>
          <w:sz w:val="24"/>
          <w:szCs w:val="24"/>
        </w:rPr>
        <w:t xml:space="preserve"> </w:t>
      </w:r>
      <w:r w:rsidR="00F40992">
        <w:rPr>
          <w:sz w:val="24"/>
          <w:szCs w:val="24"/>
        </w:rPr>
        <w:t>to 2</w:t>
      </w:r>
      <w:r w:rsidR="00B604B7">
        <w:rPr>
          <w:sz w:val="24"/>
          <w:szCs w:val="24"/>
        </w:rPr>
        <w:t>8.0</w:t>
      </w:r>
      <w:r w:rsidR="00F40992">
        <w:rPr>
          <w:sz w:val="24"/>
          <w:szCs w:val="24"/>
        </w:rPr>
        <w:t xml:space="preserve"> beds. </w:t>
      </w:r>
    </w:p>
    <w:tbl>
      <w:tblPr>
        <w:tblpPr w:leftFromText="180" w:rightFromText="180" w:vertAnchor="text" w:horzAnchor="margin" w:tblpX="-90" w:tblpY="97"/>
        <w:tblW w:w="5154" w:type="pct"/>
        <w:tblLayout w:type="fixed"/>
        <w:tblLook w:val="04A0" w:firstRow="1" w:lastRow="0" w:firstColumn="1" w:lastColumn="0" w:noHBand="0" w:noVBand="1"/>
      </w:tblPr>
      <w:tblGrid>
        <w:gridCol w:w="109"/>
        <w:gridCol w:w="2886"/>
        <w:gridCol w:w="426"/>
        <w:gridCol w:w="480"/>
        <w:gridCol w:w="974"/>
        <w:gridCol w:w="884"/>
        <w:gridCol w:w="270"/>
        <w:gridCol w:w="181"/>
        <w:gridCol w:w="1530"/>
        <w:gridCol w:w="370"/>
        <w:gridCol w:w="1521"/>
        <w:gridCol w:w="17"/>
      </w:tblGrid>
      <w:tr w:rsidR="00F511BF" w14:paraId="0290CC50" w14:textId="77777777" w:rsidTr="004D2A6B">
        <w:trPr>
          <w:gridBefore w:val="1"/>
          <w:wBefore w:w="56" w:type="pct"/>
          <w:cantSplit/>
          <w:trHeight w:val="469"/>
        </w:trPr>
        <w:tc>
          <w:tcPr>
            <w:tcW w:w="4944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43F74C" w14:textId="77777777" w:rsidR="00F511BF" w:rsidRPr="00D9252B" w:rsidRDefault="00F511BF" w:rsidP="00B11AC9">
            <w:pPr>
              <w:pStyle w:val="Narrative"/>
              <w:spacing w:line="260" w:lineRule="atLeast"/>
              <w:jc w:val="center"/>
              <w:rPr>
                <w:b/>
                <w:position w:val="4"/>
                <w:szCs w:val="24"/>
              </w:rPr>
            </w:pPr>
            <w:r w:rsidRPr="00D9252B">
              <w:rPr>
                <w:b/>
                <w:position w:val="4"/>
                <w:szCs w:val="24"/>
              </w:rPr>
              <w:t>Sensitivity Analysis – I</w:t>
            </w:r>
          </w:p>
          <w:p w14:paraId="4B732003" w14:textId="77777777" w:rsidR="00F511BF" w:rsidRPr="00D9252B" w:rsidRDefault="00F511BF" w:rsidP="00B11AC9">
            <w:pPr>
              <w:pStyle w:val="Narrative"/>
              <w:spacing w:line="260" w:lineRule="atLeast"/>
              <w:jc w:val="center"/>
              <w:rPr>
                <w:b/>
                <w:position w:val="4"/>
                <w:szCs w:val="24"/>
              </w:rPr>
            </w:pPr>
            <w:r w:rsidRPr="00D9252B">
              <w:rPr>
                <w:b/>
                <w:position w:val="4"/>
                <w:szCs w:val="24"/>
              </w:rPr>
              <w:t>Estimated Financial Information</w:t>
            </w:r>
          </w:p>
          <w:p w14:paraId="1A9FE13E" w14:textId="2E345C80" w:rsidR="00F511BF" w:rsidRDefault="00F511BF" w:rsidP="00B11AC9">
            <w:pPr>
              <w:pStyle w:val="61inLRmargins"/>
              <w:spacing w:after="60"/>
              <w:ind w:right="-1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252B">
              <w:rPr>
                <w:b/>
                <w:position w:val="4"/>
                <w:szCs w:val="24"/>
              </w:rPr>
              <w:t>For the Year Ending December 31, 202</w:t>
            </w:r>
            <w:r w:rsidR="00064D53">
              <w:rPr>
                <w:b/>
                <w:position w:val="4"/>
                <w:szCs w:val="24"/>
              </w:rPr>
              <w:t>7</w:t>
            </w:r>
          </w:p>
        </w:tc>
      </w:tr>
      <w:tr w:rsidR="006D375A" w14:paraId="355EEB71" w14:textId="77777777" w:rsidTr="004D2A6B">
        <w:trPr>
          <w:gridBefore w:val="1"/>
          <w:gridAfter w:val="1"/>
          <w:wBefore w:w="56" w:type="pct"/>
          <w:wAfter w:w="9" w:type="pct"/>
          <w:cantSplit/>
          <w:trHeight w:val="333"/>
        </w:trPr>
        <w:tc>
          <w:tcPr>
            <w:tcW w:w="171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7FAC2CD" w14:textId="77777777" w:rsidR="006D375A" w:rsidRDefault="006D375A" w:rsidP="00B11AC9">
            <w:pPr>
              <w:pStyle w:val="TableText"/>
              <w:keepNext/>
              <w:keepLines/>
              <w:spacing w:before="0" w:after="0"/>
              <w:ind w:right="-107" w:hanging="108"/>
              <w:outlineLvl w:val="0"/>
              <w:rPr>
                <w:b/>
                <w:sz w:val="19"/>
                <w:szCs w:val="19"/>
              </w:rPr>
            </w:pPr>
          </w:p>
        </w:tc>
        <w:tc>
          <w:tcPr>
            <w:tcW w:w="1352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0FEC9F" w14:textId="77777777" w:rsidR="006D375A" w:rsidRDefault="006D375A" w:rsidP="0090629D">
            <w:pPr>
              <w:pStyle w:val="TableText"/>
              <w:keepNext/>
              <w:keepLines/>
              <w:spacing w:before="0"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 Projected</w:t>
            </w:r>
          </w:p>
        </w:tc>
        <w:tc>
          <w:tcPr>
            <w:tcW w:w="1867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F55870" w14:textId="795B885E" w:rsidR="006D375A" w:rsidRDefault="006D375A" w:rsidP="0090629D">
            <w:pPr>
              <w:pStyle w:val="TableText"/>
              <w:keepNext/>
              <w:keepLines/>
              <w:spacing w:before="0"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Sensitivity </w:t>
            </w:r>
            <w:proofErr w:type="gramStart"/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  <w:vertAlign w:val="superscript"/>
              </w:rPr>
              <w:t>(</w:t>
            </w:r>
            <w:proofErr w:type="gramEnd"/>
            <w:r>
              <w:rPr>
                <w:b/>
                <w:sz w:val="19"/>
                <w:szCs w:val="19"/>
                <w:vertAlign w:val="superscript"/>
              </w:rPr>
              <w:t>1)</w:t>
            </w:r>
          </w:p>
        </w:tc>
      </w:tr>
      <w:tr w:rsidR="006D375A" w14:paraId="45881C45" w14:textId="77777777" w:rsidTr="004D2A6B">
        <w:trPr>
          <w:gridBefore w:val="1"/>
          <w:gridAfter w:val="1"/>
          <w:wBefore w:w="56" w:type="pct"/>
          <w:wAfter w:w="9" w:type="pct"/>
          <w:cantSplit/>
          <w:trHeight w:val="288"/>
        </w:trPr>
        <w:tc>
          <w:tcPr>
            <w:tcW w:w="1716" w:type="pct"/>
            <w:gridSpan w:val="2"/>
            <w:vAlign w:val="center"/>
            <w:hideMark/>
          </w:tcPr>
          <w:p w14:paraId="157B1AEE" w14:textId="172912C4" w:rsidR="006D375A" w:rsidRDefault="006D375A" w:rsidP="00B11AC9">
            <w:pPr>
              <w:pStyle w:val="TableText"/>
              <w:keepNext/>
              <w:keepLines/>
              <w:spacing w:before="0" w:after="0"/>
              <w:ind w:hanging="108"/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Occupied Beds:</w:t>
            </w:r>
          </w:p>
        </w:tc>
        <w:tc>
          <w:tcPr>
            <w:tcW w:w="754" w:type="pct"/>
            <w:gridSpan w:val="2"/>
            <w:vAlign w:val="center"/>
          </w:tcPr>
          <w:p w14:paraId="2EC4DDE0" w14:textId="77777777" w:rsidR="006D375A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465" w:type="pct"/>
            <w:gridSpan w:val="6"/>
            <w:vAlign w:val="center"/>
          </w:tcPr>
          <w:p w14:paraId="5180A3CE" w14:textId="77777777" w:rsidR="006D375A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6D375A" w:rsidRPr="0090629D" w14:paraId="5E8C0F6A" w14:textId="77777777" w:rsidTr="004D2A6B">
        <w:trPr>
          <w:gridAfter w:val="1"/>
          <w:wAfter w:w="9" w:type="pct"/>
          <w:cantSplit/>
          <w:trHeight w:val="288"/>
        </w:trPr>
        <w:tc>
          <w:tcPr>
            <w:tcW w:w="1551" w:type="pct"/>
            <w:gridSpan w:val="2"/>
            <w:vAlign w:val="center"/>
            <w:hideMark/>
          </w:tcPr>
          <w:p w14:paraId="11B152CB" w14:textId="79F7C484" w:rsidR="006D375A" w:rsidRDefault="006D375A" w:rsidP="00B11AC9">
            <w:pPr>
              <w:pStyle w:val="TableText"/>
              <w:keepNext/>
              <w:keepLines/>
              <w:spacing w:before="0" w:after="0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>Private Pay</w:t>
            </w:r>
          </w:p>
        </w:tc>
        <w:tc>
          <w:tcPr>
            <w:tcW w:w="1667" w:type="pct"/>
            <w:gridSpan w:val="6"/>
            <w:vAlign w:val="center"/>
          </w:tcPr>
          <w:p w14:paraId="5AC1F369" w14:textId="1B32E7CF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24.7</w:t>
            </w:r>
          </w:p>
        </w:tc>
        <w:tc>
          <w:tcPr>
            <w:tcW w:w="1773" w:type="pct"/>
            <w:gridSpan w:val="3"/>
            <w:vAlign w:val="center"/>
          </w:tcPr>
          <w:p w14:paraId="5DA3EFCA" w14:textId="5BE5BADD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</w:t>
            </w:r>
            <w:r w:rsidR="00B604B7">
              <w:rPr>
                <w:sz w:val="19"/>
                <w:szCs w:val="19"/>
              </w:rPr>
              <w:t>3.8</w:t>
            </w:r>
          </w:p>
        </w:tc>
      </w:tr>
      <w:tr w:rsidR="006D375A" w:rsidRPr="0090629D" w14:paraId="32AC570D" w14:textId="77777777" w:rsidTr="004D2A6B">
        <w:trPr>
          <w:gridAfter w:val="1"/>
          <w:wAfter w:w="9" w:type="pct"/>
          <w:cantSplit/>
          <w:trHeight w:val="288"/>
        </w:trPr>
        <w:tc>
          <w:tcPr>
            <w:tcW w:w="1551" w:type="pct"/>
            <w:gridSpan w:val="2"/>
            <w:vAlign w:val="center"/>
          </w:tcPr>
          <w:p w14:paraId="3E38460D" w14:textId="731C102E" w:rsidR="006D375A" w:rsidRPr="001546EF" w:rsidRDefault="006D375A" w:rsidP="001546EF">
            <w:pPr>
              <w:pStyle w:val="TableText"/>
              <w:keepNext/>
              <w:keepLines/>
              <w:spacing w:before="0" w:after="0"/>
              <w:rPr>
                <w:sz w:val="19"/>
                <w:szCs w:val="19"/>
              </w:rPr>
            </w:pPr>
            <w:r w:rsidRPr="001546EF">
              <w:rPr>
                <w:sz w:val="19"/>
                <w:szCs w:val="19"/>
              </w:rPr>
              <w:t>Medicaid</w:t>
            </w:r>
          </w:p>
        </w:tc>
        <w:tc>
          <w:tcPr>
            <w:tcW w:w="1667" w:type="pct"/>
            <w:gridSpan w:val="6"/>
            <w:vAlign w:val="center"/>
          </w:tcPr>
          <w:p w14:paraId="0FE433D2" w14:textId="65B97DAF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24.7</w:t>
            </w:r>
          </w:p>
        </w:tc>
        <w:tc>
          <w:tcPr>
            <w:tcW w:w="1773" w:type="pct"/>
            <w:gridSpan w:val="3"/>
            <w:vAlign w:val="center"/>
          </w:tcPr>
          <w:p w14:paraId="40A4C3A0" w14:textId="06B7D7BC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</w:t>
            </w:r>
            <w:r w:rsidR="00B604B7">
              <w:rPr>
                <w:sz w:val="19"/>
                <w:szCs w:val="19"/>
              </w:rPr>
              <w:t>8.0</w:t>
            </w:r>
          </w:p>
        </w:tc>
      </w:tr>
      <w:tr w:rsidR="006D375A" w:rsidRPr="0090629D" w14:paraId="7248B558" w14:textId="77777777" w:rsidTr="004D2A6B">
        <w:trPr>
          <w:gridAfter w:val="1"/>
          <w:wAfter w:w="9" w:type="pct"/>
          <w:cantSplit/>
          <w:trHeight w:val="288"/>
        </w:trPr>
        <w:tc>
          <w:tcPr>
            <w:tcW w:w="1551" w:type="pct"/>
            <w:gridSpan w:val="2"/>
            <w:vAlign w:val="center"/>
          </w:tcPr>
          <w:p w14:paraId="189466BD" w14:textId="4A95B36F" w:rsidR="006D375A" w:rsidRPr="001546EF" w:rsidRDefault="006D375A" w:rsidP="001546EF">
            <w:pPr>
              <w:pStyle w:val="TableText"/>
              <w:keepNext/>
              <w:keepLines/>
              <w:spacing w:before="0" w:after="0"/>
              <w:rPr>
                <w:sz w:val="19"/>
                <w:szCs w:val="19"/>
              </w:rPr>
            </w:pPr>
            <w:r w:rsidRPr="001546EF">
              <w:rPr>
                <w:sz w:val="19"/>
                <w:szCs w:val="19"/>
              </w:rPr>
              <w:t>Medicare</w:t>
            </w:r>
          </w:p>
        </w:tc>
        <w:tc>
          <w:tcPr>
            <w:tcW w:w="1667" w:type="pct"/>
            <w:gridSpan w:val="6"/>
            <w:vAlign w:val="center"/>
          </w:tcPr>
          <w:p w14:paraId="10363269" w14:textId="030C1FB1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10.4</w:t>
            </w:r>
          </w:p>
        </w:tc>
        <w:tc>
          <w:tcPr>
            <w:tcW w:w="1773" w:type="pct"/>
            <w:gridSpan w:val="3"/>
            <w:vAlign w:val="center"/>
          </w:tcPr>
          <w:p w14:paraId="0A38A025" w14:textId="3757A335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10.4</w:t>
            </w:r>
          </w:p>
        </w:tc>
      </w:tr>
      <w:tr w:rsidR="006D375A" w:rsidRPr="0090629D" w14:paraId="3C03CB48" w14:textId="77777777" w:rsidTr="004D2A6B">
        <w:trPr>
          <w:gridAfter w:val="1"/>
          <w:wAfter w:w="9" w:type="pct"/>
          <w:cantSplit/>
          <w:trHeight w:val="288"/>
        </w:trPr>
        <w:tc>
          <w:tcPr>
            <w:tcW w:w="1551" w:type="pct"/>
            <w:gridSpan w:val="2"/>
            <w:vAlign w:val="center"/>
          </w:tcPr>
          <w:p w14:paraId="6A61E39B" w14:textId="7D0D3820" w:rsidR="006D375A" w:rsidRDefault="006D375A" w:rsidP="001546EF">
            <w:pPr>
              <w:pStyle w:val="TableText"/>
              <w:keepNext/>
              <w:keepLines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Managed Care</w:t>
            </w:r>
          </w:p>
        </w:tc>
        <w:tc>
          <w:tcPr>
            <w:tcW w:w="1667" w:type="pct"/>
            <w:gridSpan w:val="6"/>
            <w:vAlign w:val="center"/>
          </w:tcPr>
          <w:p w14:paraId="4865AE37" w14:textId="61190CE4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2.9</w:t>
            </w:r>
          </w:p>
        </w:tc>
        <w:tc>
          <w:tcPr>
            <w:tcW w:w="1773" w:type="pct"/>
            <w:gridSpan w:val="3"/>
            <w:vAlign w:val="center"/>
          </w:tcPr>
          <w:p w14:paraId="7FD945F3" w14:textId="572E06D3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2.9</w:t>
            </w:r>
          </w:p>
        </w:tc>
      </w:tr>
      <w:tr w:rsidR="006D375A" w14:paraId="357573B4" w14:textId="77777777" w:rsidTr="004D2A6B">
        <w:trPr>
          <w:gridBefore w:val="1"/>
          <w:gridAfter w:val="1"/>
          <w:wBefore w:w="56" w:type="pct"/>
          <w:wAfter w:w="9" w:type="pct"/>
          <w:cantSplit/>
          <w:trHeight w:val="288"/>
        </w:trPr>
        <w:tc>
          <w:tcPr>
            <w:tcW w:w="17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A6949" w14:textId="7969C183" w:rsidR="006D375A" w:rsidRDefault="006D375A" w:rsidP="001546EF">
            <w:pPr>
              <w:pStyle w:val="TableText"/>
              <w:keepNext/>
              <w:keepLines/>
              <w:tabs>
                <w:tab w:val="decimal" w:pos="480"/>
                <w:tab w:val="decimal" w:pos="990"/>
              </w:tabs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Total Occupied Beds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61772" w14:textId="4364AE09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62.7</w:t>
            </w:r>
          </w:p>
        </w:tc>
        <w:tc>
          <w:tcPr>
            <w:tcW w:w="200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E490F" w14:textId="1F450AB4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90629D">
              <w:rPr>
                <w:sz w:val="19"/>
                <w:szCs w:val="19"/>
              </w:rPr>
              <w:t>65.1</w:t>
            </w:r>
          </w:p>
        </w:tc>
      </w:tr>
      <w:tr w:rsidR="006D375A" w14:paraId="6B0E772A" w14:textId="77777777" w:rsidTr="004D2A6B">
        <w:trPr>
          <w:gridBefore w:val="1"/>
          <w:gridAfter w:val="1"/>
          <w:wBefore w:w="56" w:type="pct"/>
          <w:wAfter w:w="9" w:type="pct"/>
          <w:cantSplit/>
          <w:trHeight w:val="288"/>
        </w:trPr>
        <w:tc>
          <w:tcPr>
            <w:tcW w:w="1716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E47EBA" w14:textId="6039D9C9" w:rsidR="006D375A" w:rsidRDefault="006D375A" w:rsidP="001546EF">
            <w:pPr>
              <w:pStyle w:val="TableText"/>
              <w:keepNext/>
              <w:keepLines/>
              <w:tabs>
                <w:tab w:val="decimal" w:pos="480"/>
                <w:tab w:val="decimal" w:pos="990"/>
              </w:tabs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Occupancy Percentage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DEAA91" w14:textId="280E42E5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90629D">
              <w:rPr>
                <w:sz w:val="19"/>
                <w:szCs w:val="19"/>
              </w:rPr>
              <w:t>89.6%</w:t>
            </w:r>
          </w:p>
        </w:tc>
        <w:tc>
          <w:tcPr>
            <w:tcW w:w="2007" w:type="pct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426666" w14:textId="697169AF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90629D">
              <w:rPr>
                <w:sz w:val="19"/>
                <w:szCs w:val="19"/>
              </w:rPr>
              <w:t>93.0%</w:t>
            </w:r>
          </w:p>
        </w:tc>
      </w:tr>
      <w:tr w:rsidR="006D375A" w14:paraId="675BBCE9" w14:textId="77777777" w:rsidTr="004D2A6B">
        <w:trPr>
          <w:gridBefore w:val="1"/>
          <w:gridAfter w:val="1"/>
          <w:wBefore w:w="56" w:type="pct"/>
          <w:wAfter w:w="9" w:type="pct"/>
          <w:cantSplit/>
          <w:trHeight w:val="288"/>
        </w:trPr>
        <w:tc>
          <w:tcPr>
            <w:tcW w:w="1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1068DD" w14:textId="77777777" w:rsidR="006D375A" w:rsidRDefault="006D375A" w:rsidP="00B11AC9">
            <w:pPr>
              <w:pStyle w:val="TableText"/>
              <w:keepNext/>
              <w:keepLines/>
              <w:tabs>
                <w:tab w:val="decimal" w:pos="990"/>
              </w:tabs>
              <w:spacing w:before="0" w:after="0"/>
              <w:ind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Annual Debt Service Coverage Ratio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93E8BC" w14:textId="529DABF0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</w:t>
            </w:r>
            <w:r w:rsidRPr="0090629D">
              <w:rPr>
                <w:sz w:val="19"/>
                <w:szCs w:val="19"/>
              </w:rPr>
              <w:t>1.44x</w:t>
            </w:r>
          </w:p>
        </w:tc>
        <w:tc>
          <w:tcPr>
            <w:tcW w:w="246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545747" w14:textId="5B7CB325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</w:t>
            </w:r>
            <w:r w:rsidRPr="0090629D">
              <w:rPr>
                <w:sz w:val="19"/>
                <w:szCs w:val="19"/>
              </w:rPr>
              <w:t>1.</w:t>
            </w:r>
            <w:r w:rsidR="00B604B7">
              <w:rPr>
                <w:sz w:val="19"/>
                <w:szCs w:val="19"/>
              </w:rPr>
              <w:t>39</w:t>
            </w:r>
            <w:r w:rsidRPr="0090629D">
              <w:rPr>
                <w:sz w:val="19"/>
                <w:szCs w:val="19"/>
              </w:rPr>
              <w:t>x</w:t>
            </w:r>
          </w:p>
        </w:tc>
      </w:tr>
      <w:tr w:rsidR="006D375A" w14:paraId="248A9B91" w14:textId="77777777" w:rsidTr="004D2A6B">
        <w:trPr>
          <w:gridBefore w:val="1"/>
          <w:gridAfter w:val="1"/>
          <w:wBefore w:w="56" w:type="pct"/>
          <w:wAfter w:w="9" w:type="pct"/>
          <w:cantSplit/>
          <w:trHeight w:val="288"/>
        </w:trPr>
        <w:tc>
          <w:tcPr>
            <w:tcW w:w="1716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6B217E" w14:textId="77777777" w:rsidR="006D375A" w:rsidRDefault="006D375A" w:rsidP="00B11AC9">
            <w:pPr>
              <w:pStyle w:val="TableText"/>
              <w:keepNext/>
              <w:keepLines/>
              <w:tabs>
                <w:tab w:val="decimal" w:pos="990"/>
              </w:tabs>
              <w:spacing w:before="0" w:after="0"/>
              <w:ind w:hanging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Days Cash on Hand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39F0B95D" w14:textId="05D9E7AD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</w:t>
            </w:r>
            <w:r w:rsidRPr="0090629D">
              <w:rPr>
                <w:sz w:val="19"/>
                <w:szCs w:val="19"/>
              </w:rPr>
              <w:t>152</w:t>
            </w:r>
          </w:p>
        </w:tc>
        <w:tc>
          <w:tcPr>
            <w:tcW w:w="2465" w:type="pct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6303EF69" w14:textId="45ACAEF6" w:rsidR="006D375A" w:rsidRPr="0090629D" w:rsidRDefault="006D375A" w:rsidP="0090629D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</w:t>
            </w:r>
            <w:r w:rsidRPr="0090629D">
              <w:rPr>
                <w:sz w:val="19"/>
                <w:szCs w:val="19"/>
              </w:rPr>
              <w:t>1</w:t>
            </w:r>
            <w:r w:rsidR="00B604B7">
              <w:rPr>
                <w:sz w:val="19"/>
                <w:szCs w:val="19"/>
              </w:rPr>
              <w:t>39</w:t>
            </w:r>
          </w:p>
        </w:tc>
      </w:tr>
      <w:tr w:rsidR="00487817" w14:paraId="0321D480" w14:textId="77777777" w:rsidTr="004D2A6B">
        <w:trPr>
          <w:gridBefore w:val="1"/>
          <w:wBefore w:w="56" w:type="pct"/>
          <w:cantSplit/>
          <w:trHeight w:val="288"/>
        </w:trPr>
        <w:tc>
          <w:tcPr>
            <w:tcW w:w="1965" w:type="pct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7EC76A" w14:textId="77777777" w:rsidR="00F511BF" w:rsidDel="000B293E" w:rsidRDefault="00F511BF" w:rsidP="00B11AC9">
            <w:pPr>
              <w:pStyle w:val="BodyText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Source: Management</w:t>
            </w:r>
          </w:p>
        </w:tc>
        <w:tc>
          <w:tcPr>
            <w:tcW w:w="505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EB5211F" w14:textId="77777777" w:rsidR="00F511BF" w:rsidRDefault="00F511BF" w:rsidP="00B11AC9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85" w:type="pct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C48697" w14:textId="77777777" w:rsidR="00F511BF" w:rsidRDefault="00F511BF" w:rsidP="00B11AC9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ind w:right="71"/>
              <w:jc w:val="center"/>
              <w:rPr>
                <w:sz w:val="19"/>
                <w:szCs w:val="19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F6C3104" w14:textId="77777777" w:rsidR="00F511BF" w:rsidRDefault="00F511BF" w:rsidP="00B11AC9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4A117FC" w14:textId="77777777" w:rsidR="00F511BF" w:rsidRDefault="00F511BF" w:rsidP="00B11AC9">
            <w:pPr>
              <w:pStyle w:val="TableText"/>
              <w:keepNext/>
              <w:keepLines/>
              <w:tabs>
                <w:tab w:val="decimal" w:pos="20"/>
              </w:tabs>
              <w:spacing w:before="0" w:after="0"/>
              <w:jc w:val="center"/>
              <w:rPr>
                <w:sz w:val="19"/>
                <w:szCs w:val="19"/>
              </w:rPr>
            </w:pPr>
          </w:p>
        </w:tc>
      </w:tr>
    </w:tbl>
    <w:p w14:paraId="0F61AC0D" w14:textId="04B39EA1" w:rsidR="00F86E2C" w:rsidRPr="006D375A" w:rsidRDefault="00F511BF" w:rsidP="0090629D">
      <w:pPr>
        <w:pStyle w:val="ListParagraph"/>
        <w:numPr>
          <w:ilvl w:val="0"/>
          <w:numId w:val="1"/>
        </w:numPr>
      </w:pPr>
      <w:r w:rsidRPr="0090629D">
        <w:rPr>
          <w:rFonts w:ascii="Times New Roman" w:hAnsi="Times New Roman"/>
          <w:sz w:val="18"/>
          <w:szCs w:val="18"/>
        </w:rPr>
        <w:t xml:space="preserve">For purposes of the sensitivity analysis, </w:t>
      </w:r>
      <w:r w:rsidRPr="0090629D">
        <w:rPr>
          <w:sz w:val="18"/>
          <w:szCs w:val="18"/>
        </w:rPr>
        <w:t>occupancy was reduced without a corresponding adjustment to certain fixed or staffing expenses.</w:t>
      </w:r>
    </w:p>
    <w:p w14:paraId="79D9402E" w14:textId="36632914" w:rsidR="006D375A" w:rsidRDefault="006D375A" w:rsidP="006D375A"/>
    <w:p w14:paraId="152BB305" w14:textId="7605D32F" w:rsidR="006D375A" w:rsidRDefault="006D375A" w:rsidP="006D375A"/>
    <w:p w14:paraId="5883B9C5" w14:textId="507A929B" w:rsidR="00B604B7" w:rsidRDefault="00B604B7" w:rsidP="006D375A"/>
    <w:p w14:paraId="09572E90" w14:textId="70A1ED27" w:rsidR="00B604B7" w:rsidRDefault="00B604B7" w:rsidP="006D375A"/>
    <w:p w14:paraId="0F13DCC5" w14:textId="08091EC0" w:rsidR="00B604B7" w:rsidRDefault="00B604B7" w:rsidP="006D375A"/>
    <w:p w14:paraId="60ED7388" w14:textId="107602B3" w:rsidR="00B604B7" w:rsidRDefault="00B604B7" w:rsidP="006D375A"/>
    <w:p w14:paraId="1A523BC9" w14:textId="5FCC4EAE" w:rsidR="00B604B7" w:rsidRDefault="00B604B7" w:rsidP="006D375A"/>
    <w:p w14:paraId="3BF3600C" w14:textId="02B88959" w:rsidR="00B604B7" w:rsidRDefault="00B604B7" w:rsidP="006D375A"/>
    <w:p w14:paraId="7C79DEC4" w14:textId="6A63F153" w:rsidR="00B604B7" w:rsidRDefault="00B604B7" w:rsidP="006D375A"/>
    <w:p w14:paraId="172DF21E" w14:textId="58AE3121" w:rsidR="00B604B7" w:rsidRDefault="00B604B7" w:rsidP="006D375A"/>
    <w:p w14:paraId="2D9F9CBA" w14:textId="5F4C47F6" w:rsidR="00B604B7" w:rsidRDefault="00B604B7" w:rsidP="006D375A"/>
    <w:p w14:paraId="0C7191A5" w14:textId="7BED2248" w:rsidR="00B604B7" w:rsidRDefault="00B604B7" w:rsidP="006D375A"/>
    <w:p w14:paraId="53491EF6" w14:textId="3735B87B" w:rsidR="00B604B7" w:rsidRDefault="00B604B7" w:rsidP="006D375A"/>
    <w:p w14:paraId="22F31CDA" w14:textId="63A6ACB0" w:rsidR="00B604B7" w:rsidRDefault="00B604B7" w:rsidP="006D375A"/>
    <w:p w14:paraId="0C3BBF72" w14:textId="6B2C3448" w:rsidR="00B604B7" w:rsidRDefault="00B604B7" w:rsidP="006D375A"/>
    <w:p w14:paraId="02E2CE13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14CEFA3C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  <w:r w:rsidRPr="00966652">
        <w:rPr>
          <w:rFonts w:ascii="Times New Roman" w:hAnsi="Times New Roman"/>
          <w:szCs w:val="24"/>
        </w:rPr>
        <w:lastRenderedPageBreak/>
        <w:t xml:space="preserve">The following table summarizes </w:t>
      </w:r>
      <w:r>
        <w:rPr>
          <w:rFonts w:ascii="Times New Roman" w:hAnsi="Times New Roman"/>
          <w:szCs w:val="24"/>
        </w:rPr>
        <w:t>the year-to-date utilization for Windemere and the Hospital and the assumed projected utilization for the Project.</w:t>
      </w:r>
    </w:p>
    <w:p w14:paraId="63629A33" w14:textId="77777777" w:rsidR="00B604B7" w:rsidRDefault="00B604B7" w:rsidP="00B604B7">
      <w:pPr>
        <w:pStyle w:val="1-narrative"/>
        <w:rPr>
          <w:rFonts w:ascii="Times New Roman" w:hAnsi="Times New Roman"/>
          <w:szCs w:val="24"/>
        </w:rPr>
      </w:pP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900"/>
        <w:gridCol w:w="1080"/>
        <w:gridCol w:w="1080"/>
        <w:gridCol w:w="1170"/>
        <w:gridCol w:w="900"/>
        <w:gridCol w:w="1350"/>
        <w:gridCol w:w="1530"/>
      </w:tblGrid>
      <w:tr w:rsidR="00B604B7" w:rsidRPr="00770562" w14:paraId="48C9684C" w14:textId="77777777" w:rsidTr="00B80191">
        <w:trPr>
          <w:cantSplit/>
          <w:trHeight w:val="56"/>
          <w:jc w:val="center"/>
        </w:trPr>
        <w:tc>
          <w:tcPr>
            <w:tcW w:w="972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A361B7D" w14:textId="6AF64FC8" w:rsidR="00B604B7" w:rsidRDefault="00B604B7" w:rsidP="00E26599">
            <w:pPr>
              <w:pStyle w:val="EndnoteText"/>
              <w:spacing w:before="60" w:after="60" w:line="259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b/>
                <w:sz w:val="24"/>
                <w:szCs w:val="22"/>
              </w:rPr>
              <w:t>Utilization of the Green House Beds</w:t>
            </w:r>
            <w:r w:rsidR="00EC5411">
              <w:rPr>
                <w:b/>
                <w:sz w:val="24"/>
                <w:szCs w:val="22"/>
              </w:rPr>
              <w:t xml:space="preserve"> – Sensitivity I</w:t>
            </w:r>
          </w:p>
        </w:tc>
      </w:tr>
      <w:tr w:rsidR="00B604B7" w:rsidRPr="00770562" w14:paraId="6627F4CC" w14:textId="77777777" w:rsidTr="00B80191">
        <w:trPr>
          <w:cantSplit/>
          <w:trHeight w:val="411"/>
          <w:jc w:val="center"/>
        </w:trPr>
        <w:tc>
          <w:tcPr>
            <w:tcW w:w="1710" w:type="dxa"/>
            <w:vMerge w:val="restart"/>
            <w:tcBorders>
              <w:top w:val="single" w:sz="12" w:space="0" w:color="auto"/>
            </w:tcBorders>
            <w:vAlign w:val="bottom"/>
          </w:tcPr>
          <w:p w14:paraId="71B2F5EF" w14:textId="77777777" w:rsidR="00B604B7" w:rsidRDefault="00B604B7" w:rsidP="00E26599">
            <w:pPr>
              <w:pStyle w:val="EndnoteText"/>
              <w:spacing w:line="259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Month/Year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right w:val="single" w:sz="2" w:space="0" w:color="auto"/>
            </w:tcBorders>
          </w:tcPr>
          <w:p w14:paraId="7991D937" w14:textId="77777777" w:rsidR="00B604B7" w:rsidRPr="00526531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26531">
              <w:rPr>
                <w:rFonts w:ascii="Times New Roman" w:hAnsi="Times New Roman"/>
                <w:b/>
                <w:u w:val="single"/>
              </w:rPr>
              <w:t>Average Occupied Beds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bottom"/>
          </w:tcPr>
          <w:p w14:paraId="6B471BDF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Total </w:t>
            </w:r>
            <w:r>
              <w:rPr>
                <w:rFonts w:ascii="Times New Roman" w:hAnsi="Times New Roman"/>
                <w:b/>
                <w:vertAlign w:val="superscript"/>
              </w:rPr>
              <w:t>(4)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bottom"/>
          </w:tcPr>
          <w:p w14:paraId="220534D2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Beds Available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vAlign w:val="bottom"/>
          </w:tcPr>
          <w:p w14:paraId="3CC82B0A" w14:textId="77777777" w:rsidR="00B604B7" w:rsidRPr="00F476AB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Bed </w:t>
            </w:r>
            <w:r w:rsidRPr="00B2090F">
              <w:rPr>
                <w:rFonts w:ascii="Times New Roman" w:hAnsi="Times New Roman"/>
                <w:b/>
              </w:rPr>
              <w:t xml:space="preserve">Occupancy </w:t>
            </w:r>
            <w:proofErr w:type="gramStart"/>
            <w:r w:rsidRPr="00B2090F">
              <w:rPr>
                <w:rFonts w:ascii="Times New Roman" w:hAnsi="Times New Roman"/>
                <w:b/>
              </w:rPr>
              <w:t>Percentage</w:t>
            </w:r>
            <w:r>
              <w:rPr>
                <w:rFonts w:ascii="Times New Roman" w:hAnsi="Times New Roman"/>
                <w:b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/>
                <w:b/>
                <w:vertAlign w:val="superscript"/>
              </w:rPr>
              <w:t xml:space="preserve">1) </w:t>
            </w:r>
          </w:p>
        </w:tc>
      </w:tr>
      <w:tr w:rsidR="00B604B7" w:rsidRPr="00770562" w14:paraId="6A57ACAA" w14:textId="77777777" w:rsidTr="00B80191">
        <w:trPr>
          <w:cantSplit/>
          <w:trHeight w:val="348"/>
          <w:jc w:val="center"/>
        </w:trPr>
        <w:tc>
          <w:tcPr>
            <w:tcW w:w="1710" w:type="dxa"/>
            <w:vMerge/>
            <w:tcBorders>
              <w:bottom w:val="single" w:sz="8" w:space="0" w:color="auto"/>
            </w:tcBorders>
            <w:vAlign w:val="bottom"/>
          </w:tcPr>
          <w:p w14:paraId="25E731F8" w14:textId="77777777" w:rsidR="00B604B7" w:rsidRPr="00B2090F" w:rsidRDefault="00B604B7" w:rsidP="00E26599">
            <w:pPr>
              <w:pStyle w:val="EndnoteText"/>
              <w:spacing w:line="259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174B43D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Private Pay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334407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Medicaid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C59F66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Medicare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A810A9D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Managed Medicare</w:t>
            </w: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380D492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bottom"/>
          </w:tcPr>
          <w:p w14:paraId="5067ACF8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14:paraId="34638E52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B604B7" w:rsidRPr="00770562" w14:paraId="014D620C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4087DD89" w14:textId="77777777" w:rsidR="00B604B7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Historical</w:t>
            </w:r>
            <w:r w:rsidRPr="009D0D2C"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5</w:t>
            </w:r>
            <w:r w:rsidRPr="009D0D2C">
              <w:rPr>
                <w:sz w:val="18"/>
                <w:vertAlign w:val="superscript"/>
              </w:rPr>
              <w:t>)</w:t>
            </w:r>
            <w:r>
              <w:rPr>
                <w:sz w:val="18"/>
              </w:rPr>
              <w:t>: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vAlign w:val="center"/>
          </w:tcPr>
          <w:p w14:paraId="374A9A33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14:paraId="440A70AB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F91174D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5C37D43D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D61E3F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05533AEB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080FA7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</w:tr>
      <w:tr w:rsidR="00B604B7" w:rsidRPr="009D0D2C" w14:paraId="39DA55A3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10B71AD0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C56BC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83FFB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3B87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77E7D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9C5015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2B30" w14:textId="77777777" w:rsidR="00B604B7" w:rsidRPr="00A1272E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A1272E">
              <w:rPr>
                <w:sz w:val="18"/>
              </w:rPr>
              <w:t>61.0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AD06B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76.1%</w:t>
            </w:r>
          </w:p>
        </w:tc>
      </w:tr>
      <w:tr w:rsidR="00B604B7" w:rsidRPr="009D0D2C" w14:paraId="4BAD1F7D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081433F9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A7E33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81A7C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C41C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67CC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E03D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69EA" w14:textId="77777777" w:rsidR="00B604B7" w:rsidRPr="00A1272E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A1272E">
              <w:rPr>
                <w:sz w:val="18"/>
              </w:rPr>
              <w:t>61.0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D031B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85.7%</w:t>
            </w:r>
          </w:p>
        </w:tc>
      </w:tr>
      <w:tr w:rsidR="00B604B7" w:rsidRPr="009D0D2C" w14:paraId="40FBC873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4B9DE1D7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D05F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F8920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8ED0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6142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62F473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A097" w14:textId="77777777" w:rsidR="00B604B7" w:rsidRPr="00A1272E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A1272E">
              <w:rPr>
                <w:sz w:val="18"/>
              </w:rPr>
              <w:t>61.0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59F44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66.2</w:t>
            </w:r>
            <w:r w:rsidRPr="009D0D2C">
              <w:rPr>
                <w:sz w:val="18"/>
              </w:rPr>
              <w:t>%</w:t>
            </w:r>
          </w:p>
        </w:tc>
      </w:tr>
      <w:tr w:rsidR="00B604B7" w:rsidRPr="009D0D2C" w14:paraId="54F2E94B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1645A7F7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 xml:space="preserve">2022 </w:t>
            </w:r>
            <w:r w:rsidRPr="009D0D2C">
              <w:rPr>
                <w:sz w:val="18"/>
                <w:vertAlign w:val="superscript"/>
              </w:rPr>
              <w:t>(1) (</w:t>
            </w:r>
            <w:r>
              <w:rPr>
                <w:sz w:val="18"/>
                <w:vertAlign w:val="superscript"/>
              </w:rPr>
              <w:t>2</w:t>
            </w:r>
            <w:r w:rsidRPr="009D0D2C">
              <w:rPr>
                <w:sz w:val="18"/>
                <w:vertAlign w:val="superscript"/>
              </w:rPr>
              <w:t>) (</w:t>
            </w:r>
            <w:r>
              <w:rPr>
                <w:sz w:val="18"/>
                <w:vertAlign w:val="superscript"/>
              </w:rPr>
              <w:t>3</w:t>
            </w:r>
            <w:r w:rsidRPr="009D0D2C">
              <w:rPr>
                <w:sz w:val="18"/>
                <w:vertAlign w:val="superscript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96D73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88986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33.1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D516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8D0D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F0050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0009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39.0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A4698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96.7</w:t>
            </w:r>
            <w:r w:rsidRPr="009D0D2C">
              <w:rPr>
                <w:sz w:val="18"/>
              </w:rPr>
              <w:t>%</w:t>
            </w:r>
          </w:p>
        </w:tc>
      </w:tr>
      <w:tr w:rsidR="00B604B7" w:rsidRPr="009D0D2C" w14:paraId="50757FE6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5ECC54E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i/>
                <w:iCs/>
                <w:sz w:val="18"/>
              </w:rPr>
            </w:pPr>
            <w:r w:rsidRPr="009D0D2C">
              <w:rPr>
                <w:i/>
                <w:iCs/>
                <w:sz w:val="18"/>
              </w:rPr>
              <w:t>Projected: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9F9C1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F58B4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8AA0F9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E310D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C79DB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BB5B4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6C0F6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</w:tr>
      <w:tr w:rsidR="00B604B7" w:rsidRPr="009D0D2C" w14:paraId="49E0A8B4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46B86EED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 w:rsidRPr="009D0D2C">
              <w:rPr>
                <w:sz w:val="18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8441CE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DD4F27" w14:textId="050654FF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  <w:r w:rsidR="00C74DC5">
              <w:rPr>
                <w:sz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0D328AC6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67028E37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16CE56" w14:textId="3D4AF449" w:rsidR="00B604B7" w:rsidRPr="009D0D2C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B604B7">
              <w:rPr>
                <w:sz w:val="18"/>
              </w:rPr>
              <w:t>.</w:t>
            </w:r>
            <w:r>
              <w:rPr>
                <w:sz w:val="18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4DF6AAD5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Pr="009D0D2C">
              <w:rPr>
                <w:sz w:val="18"/>
              </w:rPr>
              <w:t>.0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04954F" w14:textId="62F90E1F" w:rsidR="00B604B7" w:rsidRPr="009D0D2C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9.6</w:t>
            </w:r>
            <w:r w:rsidR="00B604B7" w:rsidRPr="009D0D2C">
              <w:rPr>
                <w:sz w:val="18"/>
              </w:rPr>
              <w:t>%</w:t>
            </w:r>
          </w:p>
        </w:tc>
      </w:tr>
      <w:tr w:rsidR="00B604B7" w:rsidRPr="009D0D2C" w14:paraId="48CE45F6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vAlign w:val="center"/>
          </w:tcPr>
          <w:p w14:paraId="4AB4D349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 w:rsidRPr="009D0D2C">
              <w:rPr>
                <w:sz w:val="18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1A85D1" w14:textId="44977734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  <w:r w:rsidR="00820C74">
              <w:rPr>
                <w:sz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C64CA" w14:textId="1C9BF7BB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2</w:t>
            </w:r>
            <w:r w:rsidR="00C74DC5">
              <w:rPr>
                <w:sz w:val="18"/>
              </w:rPr>
              <w:t>8.0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2F036643" w14:textId="5E31DF76" w:rsidR="00B604B7" w:rsidRPr="009D0D2C" w:rsidRDefault="00820C74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3076D9C1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2.</w:t>
            </w:r>
            <w:r>
              <w:rPr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A8C8A8B" w14:textId="5F172378" w:rsidR="00B604B7" w:rsidRPr="009D0D2C" w:rsidRDefault="00515819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5CABD0A2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Pr="009D0D2C">
              <w:rPr>
                <w:sz w:val="18"/>
              </w:rPr>
              <w:t>.0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6FC466" w14:textId="34211C35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515819">
              <w:rPr>
                <w:sz w:val="18"/>
              </w:rPr>
              <w:t>6.0</w:t>
            </w:r>
            <w:r w:rsidRPr="009D0D2C">
              <w:rPr>
                <w:sz w:val="18"/>
              </w:rPr>
              <w:t>%</w:t>
            </w:r>
          </w:p>
        </w:tc>
      </w:tr>
      <w:tr w:rsidR="00B604B7" w:rsidRPr="009D0D2C" w14:paraId="3974337C" w14:textId="77777777" w:rsidTr="00B80191">
        <w:trPr>
          <w:cantSplit/>
          <w:trHeight w:hRule="exact" w:val="28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C5EBE18" w14:textId="77777777" w:rsidR="00B604B7" w:rsidRPr="009D0D2C" w:rsidRDefault="00B604B7" w:rsidP="00E26599">
            <w:pPr>
              <w:tabs>
                <w:tab w:val="left" w:pos="0"/>
              </w:tabs>
              <w:jc w:val="left"/>
              <w:rPr>
                <w:sz w:val="18"/>
              </w:rPr>
            </w:pPr>
            <w:r w:rsidRPr="009D0D2C">
              <w:rPr>
                <w:sz w:val="18"/>
              </w:rPr>
              <w:t>2026 - 2029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F5C62" w14:textId="65F88D68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2</w:t>
            </w:r>
            <w:r w:rsidR="00820C74">
              <w:rPr>
                <w:sz w:val="18"/>
              </w:rPr>
              <w:t>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8083F" w14:textId="6CB3C3AB" w:rsidR="00B604B7" w:rsidRPr="009D0D2C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14144" w14:textId="253A706D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10.</w:t>
            </w:r>
            <w:r w:rsidR="00820C74">
              <w:rPr>
                <w:sz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18228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D0D2C">
              <w:rPr>
                <w:sz w:val="18"/>
              </w:rPr>
              <w:t>2.9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AF1B4" w14:textId="55816A47" w:rsidR="00B604B7" w:rsidRPr="009D0D2C" w:rsidRDefault="00515819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76792" w14:textId="77777777" w:rsidR="00B604B7" w:rsidRPr="009D0D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Pr="009D0D2C">
              <w:rPr>
                <w:sz w:val="18"/>
              </w:rPr>
              <w:t>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D3C6E" w14:textId="69B97F88" w:rsidR="00B604B7" w:rsidRPr="009D0D2C" w:rsidRDefault="00515819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93.0</w:t>
            </w:r>
            <w:r w:rsidR="00B604B7" w:rsidRPr="009D0D2C">
              <w:rPr>
                <w:sz w:val="18"/>
              </w:rPr>
              <w:t>%</w:t>
            </w:r>
          </w:p>
        </w:tc>
      </w:tr>
    </w:tbl>
    <w:p w14:paraId="39E7E8A0" w14:textId="77777777" w:rsidR="00B604B7" w:rsidRPr="009D0D2C" w:rsidRDefault="00B604B7" w:rsidP="00B604B7">
      <w:pPr>
        <w:pStyle w:val="4Opinion"/>
        <w:ind w:left="0"/>
        <w:rPr>
          <w:i/>
          <w:iCs/>
        </w:rPr>
      </w:pPr>
      <w:r w:rsidRPr="009D0D2C">
        <w:rPr>
          <w:sz w:val="18"/>
          <w:szCs w:val="18"/>
        </w:rPr>
        <w:t>Source: Management</w:t>
      </w:r>
    </w:p>
    <w:p w14:paraId="10D40E08" w14:textId="77777777" w:rsidR="00B604B7" w:rsidRPr="0046526F" w:rsidRDefault="00B604B7" w:rsidP="00B604B7">
      <w:pPr>
        <w:pStyle w:val="4Opinion"/>
        <w:numPr>
          <w:ilvl w:val="0"/>
          <w:numId w:val="2"/>
        </w:numPr>
        <w:rPr>
          <w:i/>
          <w:iCs/>
        </w:rPr>
      </w:pPr>
      <w:r w:rsidRPr="009D0D2C">
        <w:rPr>
          <w:sz w:val="18"/>
          <w:szCs w:val="18"/>
        </w:rPr>
        <w:t xml:space="preserve">Year to date occupancy through </w:t>
      </w:r>
      <w:r>
        <w:rPr>
          <w:sz w:val="18"/>
          <w:szCs w:val="18"/>
        </w:rPr>
        <w:t>July 1, 2022.</w:t>
      </w:r>
    </w:p>
    <w:p w14:paraId="322AFC75" w14:textId="77777777" w:rsidR="00B604B7" w:rsidRDefault="00B604B7" w:rsidP="00B604B7">
      <w:pPr>
        <w:pStyle w:val="4Opinion"/>
        <w:numPr>
          <w:ilvl w:val="0"/>
          <w:numId w:val="2"/>
        </w:numPr>
        <w:rPr>
          <w:sz w:val="18"/>
          <w:szCs w:val="18"/>
        </w:rPr>
      </w:pPr>
      <w:r w:rsidRPr="0046526F">
        <w:rPr>
          <w:sz w:val="18"/>
          <w:szCs w:val="18"/>
        </w:rPr>
        <w:t xml:space="preserve">Due to </w:t>
      </w:r>
      <w:r>
        <w:rPr>
          <w:sz w:val="18"/>
          <w:szCs w:val="18"/>
        </w:rPr>
        <w:t>COVID</w:t>
      </w:r>
      <w:r w:rsidRPr="0046526F">
        <w:rPr>
          <w:sz w:val="18"/>
          <w:szCs w:val="18"/>
        </w:rPr>
        <w:t xml:space="preserve"> constraints</w:t>
      </w:r>
      <w:r>
        <w:rPr>
          <w:sz w:val="18"/>
          <w:szCs w:val="18"/>
        </w:rPr>
        <w:t xml:space="preserve"> Windemere limited the number of occupied residents, decreasing the number of available beds from 61.0 to 39.0</w:t>
      </w:r>
    </w:p>
    <w:p w14:paraId="3623ED25" w14:textId="77777777" w:rsidR="00B604B7" w:rsidRDefault="00B604B7" w:rsidP="00B604B7">
      <w:pPr>
        <w:pStyle w:val="4Opinion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Prior to COVID Windemere average annual occupancy was 96.7%, or 59.0 occupied beds of the licensed 61.0 available beds.</w:t>
      </w:r>
    </w:p>
    <w:p w14:paraId="1B4D79B6" w14:textId="77777777" w:rsidR="00B604B7" w:rsidRDefault="00B604B7" w:rsidP="00B604B7">
      <w:pPr>
        <w:pStyle w:val="4Opinion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As of September 1, </w:t>
      </w:r>
      <w:proofErr w:type="gramStart"/>
      <w:r>
        <w:rPr>
          <w:sz w:val="18"/>
          <w:szCs w:val="18"/>
        </w:rPr>
        <w:t>2022</w:t>
      </w:r>
      <w:proofErr w:type="gramEnd"/>
      <w:r>
        <w:rPr>
          <w:sz w:val="18"/>
          <w:szCs w:val="18"/>
        </w:rPr>
        <w:t xml:space="preserve"> there is currently a fifteen-person waitlist for Windemere Hospital. </w:t>
      </w:r>
    </w:p>
    <w:p w14:paraId="064309B9" w14:textId="77777777" w:rsidR="00B604B7" w:rsidRDefault="00B604B7" w:rsidP="00B604B7">
      <w:pPr>
        <w:pStyle w:val="4Opinion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Historical utilization is based on Windemere Hospital.</w:t>
      </w:r>
    </w:p>
    <w:p w14:paraId="283143B7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593E12C2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07F1359D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3643416A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778890A9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40FCE398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56B5B883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4C6123C3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076A2507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465965C9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740FEF6C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7F3CCDB5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28107C60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1F08B8FB" w14:textId="7777777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</w:p>
    <w:p w14:paraId="6E14AE58" w14:textId="2CAD3087" w:rsidR="00B604B7" w:rsidRDefault="00B604B7" w:rsidP="00B604B7">
      <w:pPr>
        <w:pStyle w:val="1-narrative"/>
        <w:spacing w:after="120"/>
        <w:rPr>
          <w:rFonts w:ascii="Times New Roman" w:hAnsi="Times New Roman"/>
          <w:szCs w:val="24"/>
        </w:rPr>
      </w:pPr>
      <w:r w:rsidRPr="00966652">
        <w:rPr>
          <w:rFonts w:ascii="Times New Roman" w:hAnsi="Times New Roman"/>
          <w:szCs w:val="24"/>
        </w:rPr>
        <w:t xml:space="preserve">The following table summarizes </w:t>
      </w:r>
      <w:r>
        <w:rPr>
          <w:rFonts w:ascii="Times New Roman" w:hAnsi="Times New Roman"/>
          <w:szCs w:val="24"/>
        </w:rPr>
        <w:t>the assumed occupancy and payor mix for the Project beginning in November 2024.</w:t>
      </w:r>
    </w:p>
    <w:p w14:paraId="3EA90D81" w14:textId="7677ECF2" w:rsidR="00B604B7" w:rsidRDefault="00B604B7" w:rsidP="006D375A"/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990"/>
        <w:gridCol w:w="1080"/>
        <w:gridCol w:w="1080"/>
        <w:gridCol w:w="1080"/>
        <w:gridCol w:w="1260"/>
        <w:gridCol w:w="1080"/>
        <w:gridCol w:w="1350"/>
      </w:tblGrid>
      <w:tr w:rsidR="00B604B7" w:rsidRPr="00770562" w14:paraId="16EFA85B" w14:textId="77777777" w:rsidTr="00B80191">
        <w:trPr>
          <w:cantSplit/>
          <w:trHeight w:val="56"/>
          <w:jc w:val="center"/>
        </w:trPr>
        <w:tc>
          <w:tcPr>
            <w:tcW w:w="990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3C35063" w14:textId="19D26472" w:rsidR="00B604B7" w:rsidRDefault="00B604B7" w:rsidP="00E26599">
            <w:pPr>
              <w:pStyle w:val="EndnoteText"/>
              <w:spacing w:before="60" w:after="60" w:line="259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0" w:name="_Hlk112833384"/>
            <w:r w:rsidRPr="00A37A0E">
              <w:rPr>
                <w:b/>
                <w:sz w:val="24"/>
                <w:szCs w:val="22"/>
              </w:rPr>
              <w:t>Monthly</w:t>
            </w:r>
            <w:r>
              <w:rPr>
                <w:b/>
                <w:sz w:val="24"/>
                <w:szCs w:val="22"/>
              </w:rPr>
              <w:t xml:space="preserve"> Fill In</w:t>
            </w:r>
            <w:r w:rsidRPr="00A37A0E">
              <w:rPr>
                <w:b/>
                <w:sz w:val="24"/>
                <w:szCs w:val="22"/>
              </w:rPr>
              <w:t xml:space="preserve">– </w:t>
            </w:r>
            <w:r>
              <w:rPr>
                <w:b/>
                <w:sz w:val="24"/>
                <w:szCs w:val="22"/>
              </w:rPr>
              <w:t>Project</w:t>
            </w:r>
            <w:r w:rsidR="00EC5411">
              <w:rPr>
                <w:b/>
                <w:sz w:val="24"/>
                <w:szCs w:val="22"/>
              </w:rPr>
              <w:t xml:space="preserve"> – Sensitivity I</w:t>
            </w:r>
          </w:p>
        </w:tc>
      </w:tr>
      <w:tr w:rsidR="00B604B7" w:rsidRPr="00770562" w14:paraId="452C2F74" w14:textId="77777777" w:rsidTr="00B80191">
        <w:trPr>
          <w:cantSplit/>
          <w:trHeight w:val="41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bottom"/>
          </w:tcPr>
          <w:p w14:paraId="031A5BFE" w14:textId="77777777" w:rsidR="00B604B7" w:rsidRDefault="00B604B7" w:rsidP="00E26599">
            <w:pPr>
              <w:pStyle w:val="EndnoteText"/>
              <w:spacing w:line="259" w:lineRule="auto"/>
              <w:jc w:val="left"/>
              <w:rPr>
                <w:rFonts w:ascii="Times New Roman" w:hAnsi="Times New Roman"/>
                <w:b/>
              </w:rPr>
            </w:pPr>
            <w:bookmarkStart w:id="1" w:name="_Hlk112059102"/>
            <w:r>
              <w:rPr>
                <w:rFonts w:ascii="Times New Roman" w:hAnsi="Times New Roman"/>
                <w:b/>
              </w:rPr>
              <w:t>Month/Year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right w:val="single" w:sz="2" w:space="0" w:color="auto"/>
            </w:tcBorders>
          </w:tcPr>
          <w:p w14:paraId="2547C3D7" w14:textId="77777777" w:rsidR="00B604B7" w:rsidRPr="00526531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26531">
              <w:rPr>
                <w:rFonts w:ascii="Times New Roman" w:hAnsi="Times New Roman"/>
                <w:b/>
                <w:u w:val="single"/>
              </w:rPr>
              <w:t>Average Occupied Beds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bottom"/>
          </w:tcPr>
          <w:p w14:paraId="4D30DB29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Cumulative Move Ins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bottom"/>
          </w:tcPr>
          <w:p w14:paraId="66548C62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Beds Available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bottom"/>
          </w:tcPr>
          <w:p w14:paraId="549A794C" w14:textId="77777777" w:rsidR="00B604B7" w:rsidRPr="00F476AB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Bed </w:t>
            </w:r>
            <w:r w:rsidRPr="00B2090F">
              <w:rPr>
                <w:rFonts w:ascii="Times New Roman" w:hAnsi="Times New Roman"/>
                <w:b/>
              </w:rPr>
              <w:t>Occupancy Percentage</w:t>
            </w:r>
          </w:p>
        </w:tc>
      </w:tr>
      <w:tr w:rsidR="00B604B7" w:rsidRPr="00770562" w14:paraId="34804BD0" w14:textId="77777777" w:rsidTr="00B80191">
        <w:trPr>
          <w:cantSplit/>
          <w:trHeight w:val="348"/>
          <w:jc w:val="center"/>
        </w:trPr>
        <w:tc>
          <w:tcPr>
            <w:tcW w:w="1980" w:type="dxa"/>
            <w:vMerge/>
            <w:tcBorders>
              <w:bottom w:val="single" w:sz="8" w:space="0" w:color="auto"/>
            </w:tcBorders>
            <w:vAlign w:val="bottom"/>
          </w:tcPr>
          <w:p w14:paraId="4B253C9F" w14:textId="77777777" w:rsidR="00B604B7" w:rsidRPr="00B2090F" w:rsidRDefault="00B604B7" w:rsidP="00E26599">
            <w:pPr>
              <w:pStyle w:val="EndnoteText"/>
              <w:spacing w:line="259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E93848A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Private Pay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5087BD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Medicaid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741CD4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Medicare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82A937" w14:textId="77777777" w:rsidR="00B604B7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Managed Medicare</w:t>
            </w: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4A25F4B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142EC8EB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61DE9ED5" w14:textId="77777777" w:rsidR="00B604B7" w:rsidRPr="00B2090F" w:rsidRDefault="00B604B7" w:rsidP="00E26599">
            <w:pPr>
              <w:pStyle w:val="EndnoteText"/>
              <w:spacing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B604B7" w:rsidRPr="00770562" w14:paraId="164121D3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38E93CC2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2024: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  <w:vAlign w:val="center"/>
          </w:tcPr>
          <w:p w14:paraId="66CCC247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14:paraId="58461BE5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4A914EF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594C827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CF43E8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556CD68C" w14:textId="77777777" w:rsidR="00B604B7" w:rsidRPr="00913B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FACB3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</w:tr>
      <w:tr w:rsidR="00B604B7" w:rsidRPr="00770562" w14:paraId="67880462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5BBB6A7A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November 2024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0A775" w14:textId="77777777" w:rsidR="00B604B7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E84A68">
              <w:rPr>
                <w:sz w:val="18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04E1" w14:textId="580635AC" w:rsidR="00B604B7" w:rsidRPr="00B4223A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8E940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152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1BD768" w14:textId="0B213E97" w:rsidR="00B604B7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38AD9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Pr="00E2159B">
              <w:rPr>
                <w:sz w:val="18"/>
              </w:rPr>
              <w:t>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2670D" w14:textId="158C5700" w:rsidR="00B604B7" w:rsidRPr="00913B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C74DC5">
              <w:rPr>
                <w:sz w:val="18"/>
              </w:rPr>
              <w:t>2.0</w:t>
            </w:r>
            <w:r>
              <w:rPr>
                <w:sz w:val="18"/>
              </w:rPr>
              <w:t>%</w:t>
            </w:r>
          </w:p>
        </w:tc>
      </w:tr>
      <w:tr w:rsidR="00B604B7" w:rsidRPr="00770562" w14:paraId="13B0BD90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681D1950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December 2024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0F99D" w14:textId="77777777" w:rsidR="00B604B7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E84A68">
              <w:rPr>
                <w:sz w:val="18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4D6ED" w14:textId="0568CFC3" w:rsidR="00B604B7" w:rsidRPr="00B4223A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023C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A437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B8CBE4" w14:textId="6561E32F" w:rsidR="00B604B7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2B19B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Pr="00E2159B">
              <w:rPr>
                <w:sz w:val="18"/>
              </w:rPr>
              <w:t>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87F6" w14:textId="6AE4367F" w:rsidR="00B604B7" w:rsidRPr="00913B2C" w:rsidRDefault="00C74DC5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62.0</w:t>
            </w:r>
            <w:r w:rsidR="00B604B7">
              <w:rPr>
                <w:sz w:val="18"/>
              </w:rPr>
              <w:t>%</w:t>
            </w:r>
          </w:p>
        </w:tc>
      </w:tr>
      <w:tr w:rsidR="00B604B7" w:rsidRPr="00770562" w14:paraId="579CDB62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7E6504F1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2025: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8445" w14:textId="77777777" w:rsidR="00B604B7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0224" w14:textId="77777777" w:rsidR="00B604B7" w:rsidRPr="00B4223A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E5F7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E1C3" w14:textId="77777777" w:rsidR="00B604B7" w:rsidRPr="004913F4" w:rsidDel="00A52D6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AFD60D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6CE3" w14:textId="77777777" w:rsidR="00B604B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3B33" w14:textId="77777777" w:rsidR="00B604B7" w:rsidRPr="00913B2C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</w:p>
        </w:tc>
      </w:tr>
      <w:tr w:rsidR="00B604B7" w:rsidRPr="00770562" w14:paraId="2C28597A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37991FDC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January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80BEC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E84A68">
              <w:rPr>
                <w:sz w:val="18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E1DC6" w14:textId="5A7C9B72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506E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01E2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037C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64715C" w14:textId="58D0C231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D8A92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ED11" w14:textId="1804B4F2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69.1</w:t>
            </w:r>
            <w:r w:rsidR="00B604B7">
              <w:rPr>
                <w:sz w:val="18"/>
              </w:rPr>
              <w:t>%</w:t>
            </w:r>
          </w:p>
        </w:tc>
      </w:tr>
      <w:tr w:rsidR="00B604B7" w:rsidRPr="00770562" w14:paraId="66D32381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22FD6EEC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February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50B4B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E84A68">
              <w:rPr>
                <w:sz w:val="18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F1D3E" w14:textId="16D4885B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506E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9F6D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F283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04067D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D643B" w14:textId="66F5DB26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B00B3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C7FE" w14:textId="2417BD8B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74.9</w:t>
            </w:r>
            <w:r w:rsidR="00B604B7">
              <w:rPr>
                <w:sz w:val="18"/>
              </w:rPr>
              <w:t>%</w:t>
            </w:r>
          </w:p>
        </w:tc>
      </w:tr>
      <w:tr w:rsidR="00B604B7" w:rsidRPr="00770562" w14:paraId="420CC243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4D05E999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March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F7556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120E4E">
              <w:rPr>
                <w:sz w:val="18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54D83" w14:textId="5F72F33E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A2BC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E1C9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8AD8A" w14:textId="1BD4ED2D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78F3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D8D1" w14:textId="364888D7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81.8</w:t>
            </w:r>
            <w:r w:rsidR="00B604B7">
              <w:rPr>
                <w:sz w:val="18"/>
              </w:rPr>
              <w:t>%</w:t>
            </w:r>
          </w:p>
        </w:tc>
      </w:tr>
      <w:tr w:rsidR="00B604B7" w:rsidRPr="00770562" w14:paraId="1C945CFB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7E855363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April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CEF01" w14:textId="7A1B0B5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</w:t>
            </w:r>
            <w:r w:rsidR="00820C74">
              <w:rPr>
                <w:sz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E4E3" w14:textId="576A9D5A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A50A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23363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62E6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54EB8B" w14:textId="284F16C1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D131B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C3F5" w14:textId="48846FAE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84.2</w:t>
            </w:r>
            <w:r w:rsidR="00B604B7">
              <w:rPr>
                <w:sz w:val="18"/>
              </w:rPr>
              <w:t>%</w:t>
            </w:r>
          </w:p>
        </w:tc>
      </w:tr>
      <w:tr w:rsidR="00B604B7" w:rsidRPr="00770562" w14:paraId="33A8B490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02BFCDE6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May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A9353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2956C" w14:textId="5A708148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188B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23363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4AD6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8D261" w14:textId="167ADF71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B9685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70DE" w14:textId="178BE8DE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85.6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4DFE8908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6A23CFD4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June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8D7D8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85E2" w14:textId="4805EBDB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183B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23363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3CD7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86E0CB" w14:textId="54369341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A99AD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31BA" w14:textId="2C29530F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87.1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43D092CA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38DBD74A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July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147D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1DABF" w14:textId="0444E531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BB55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233634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A5EF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6BDFA" w14:textId="7BEEA5B0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31F34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B945" w14:textId="49C61664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88.5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1661F346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339C19A3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August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5C48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0F65E" w14:textId="7FAE247E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678A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E87B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B9E3B" w14:textId="1A6EED3B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3EAF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A628" w14:textId="67EE5D28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89.9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5DE026B9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46BE7462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  <w:r w:rsidRPr="00E3747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3B709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892B" w14:textId="5D0E0E7B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8199B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00C2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A90E2F" w14:textId="331411F9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1F6B7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BBEC" w14:textId="3107ABD1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91.4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19A44E15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7B3A66D0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October</w:t>
            </w:r>
            <w:r w:rsidRPr="0017223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73114" w14:textId="77777777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120E4E">
              <w:rPr>
                <w:sz w:val="18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274F3" w14:textId="7DFFDBAA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8051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08EF2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E8CCDB" w14:textId="4C65C725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B99D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7D86" w14:textId="022424EB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92.8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770562" w14:paraId="3C0CA1C5" w14:textId="77777777" w:rsidTr="00B80191">
        <w:trPr>
          <w:cantSplit/>
          <w:trHeight w:hRule="exact" w:val="288"/>
          <w:jc w:val="center"/>
        </w:trPr>
        <w:tc>
          <w:tcPr>
            <w:tcW w:w="1980" w:type="dxa"/>
            <w:vAlign w:val="center"/>
          </w:tcPr>
          <w:p w14:paraId="4F542B48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November</w:t>
            </w:r>
            <w:r w:rsidRPr="00172230">
              <w:rPr>
                <w:sz w:val="18"/>
              </w:rPr>
              <w:t xml:space="preserve">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5713" w14:textId="722C96AB" w:rsidR="00B604B7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820C74">
              <w:rPr>
                <w:sz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5FA5" w14:textId="66770E51" w:rsidR="00B604B7" w:rsidRPr="00B4223A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6C3429"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44F0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78BC" w14:textId="77777777" w:rsidR="00B604B7" w:rsidRPr="004913F4" w:rsidDel="00A52D6C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9F24A5">
              <w:rPr>
                <w:sz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DC46C" w14:textId="5A271937" w:rsidR="00B604B7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5544D" w14:textId="77777777" w:rsidR="00B604B7" w:rsidRDefault="00B604B7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54776D">
              <w:rPr>
                <w:sz w:val="18"/>
              </w:rPr>
              <w:t>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EB8F" w14:textId="56D3F8A7" w:rsidR="00B604B7" w:rsidRPr="00913B2C" w:rsidRDefault="00C74DC5" w:rsidP="00B604B7">
            <w:pPr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93.0</w:t>
            </w:r>
            <w:r w:rsidR="00B604B7" w:rsidRPr="00CD151C">
              <w:rPr>
                <w:sz w:val="18"/>
              </w:rPr>
              <w:t>%</w:t>
            </w:r>
          </w:p>
        </w:tc>
      </w:tr>
      <w:tr w:rsidR="00B604B7" w:rsidRPr="00B2090F" w14:paraId="3988053D" w14:textId="77777777" w:rsidTr="00B80191">
        <w:trPr>
          <w:cantSplit/>
          <w:trHeight w:hRule="exact" w:val="28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6CDB8" w14:textId="77777777" w:rsidR="00B604B7" w:rsidRPr="00D14277" w:rsidRDefault="00B604B7" w:rsidP="00E26599">
            <w:pPr>
              <w:tabs>
                <w:tab w:val="left" w:pos="0"/>
              </w:tabs>
              <w:jc w:val="center"/>
              <w:rPr>
                <w:sz w:val="18"/>
              </w:rPr>
            </w:pPr>
            <w:r w:rsidRPr="00D14277">
              <w:rPr>
                <w:rFonts w:ascii="Times New Roman" w:hAnsi="Times New Roman"/>
                <w:b/>
                <w:sz w:val="18"/>
              </w:rPr>
              <w:t xml:space="preserve">Average </w:t>
            </w:r>
            <w:r>
              <w:rPr>
                <w:rFonts w:ascii="Times New Roman" w:hAnsi="Times New Roman"/>
                <w:b/>
                <w:sz w:val="18"/>
              </w:rPr>
              <w:t>beds occupied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2EECCD" w14:textId="2E19E278" w:rsidR="00B604B7" w:rsidRPr="00AB3E6D" w:rsidRDefault="00B604B7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</w:t>
            </w:r>
            <w:r w:rsidR="00820C74">
              <w:rPr>
                <w:b/>
                <w:sz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F4FF5" w14:textId="66A07B81" w:rsidR="00B604B7" w:rsidRPr="00AB3E6D" w:rsidRDefault="00B604B7" w:rsidP="00E26599">
            <w:pPr>
              <w:tabs>
                <w:tab w:val="left" w:pos="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28.0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EB61E4" w14:textId="77777777" w:rsidR="00B604B7" w:rsidRPr="008C0C24" w:rsidRDefault="00B604B7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173347" w14:textId="77777777" w:rsidR="00B604B7" w:rsidRPr="008C0C24" w:rsidRDefault="00B604B7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1727A0" w14:textId="5E9EC019" w:rsidR="00B604B7" w:rsidRPr="008C0C24" w:rsidRDefault="00C74DC5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7F047" w14:textId="77777777" w:rsidR="00B604B7" w:rsidRPr="008C0C24" w:rsidRDefault="00B604B7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9B4BF" w14:textId="20DAB69B" w:rsidR="00B604B7" w:rsidRPr="008C0C24" w:rsidRDefault="00C74DC5" w:rsidP="00E26599">
            <w:pPr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93.0</w:t>
            </w:r>
            <w:r w:rsidR="00B604B7" w:rsidRPr="008C0C24">
              <w:rPr>
                <w:b/>
                <w:sz w:val="18"/>
              </w:rPr>
              <w:t>%</w:t>
            </w:r>
          </w:p>
        </w:tc>
      </w:tr>
      <w:bookmarkEnd w:id="0"/>
      <w:bookmarkEnd w:id="1"/>
    </w:tbl>
    <w:p w14:paraId="71C9ED02" w14:textId="77777777" w:rsidR="00B604B7" w:rsidRDefault="00B604B7" w:rsidP="006D375A"/>
    <w:sectPr w:rsidR="00B604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0415" w14:textId="77777777" w:rsidR="0056580C" w:rsidRDefault="0056580C" w:rsidP="000872FD">
      <w:r>
        <w:separator/>
      </w:r>
    </w:p>
  </w:endnote>
  <w:endnote w:type="continuationSeparator" w:id="0">
    <w:p w14:paraId="16E6EC53" w14:textId="77777777" w:rsidR="0056580C" w:rsidRDefault="0056580C" w:rsidP="0008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888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4FE40D" w14:textId="45C43A23" w:rsidR="00B604B7" w:rsidRDefault="00B604B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56DF68" w14:textId="5706EA1B" w:rsidR="000872FD" w:rsidRDefault="0008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381A" w14:textId="77777777" w:rsidR="0056580C" w:rsidRDefault="0056580C" w:rsidP="000872FD">
      <w:r>
        <w:separator/>
      </w:r>
    </w:p>
  </w:footnote>
  <w:footnote w:type="continuationSeparator" w:id="0">
    <w:p w14:paraId="2EA212BC" w14:textId="77777777" w:rsidR="0056580C" w:rsidRDefault="0056580C" w:rsidP="0008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54B7" w14:textId="6B76922C" w:rsidR="000872FD" w:rsidRPr="00B604B7" w:rsidRDefault="00B604B7" w:rsidP="00B604B7">
    <w:pPr>
      <w:pStyle w:val="Header"/>
      <w:jc w:val="right"/>
    </w:pPr>
    <w:r>
      <w:t>Navigator Homes of Martha’s Vineyard</w:t>
    </w:r>
    <w:r w:rsidRPr="00B604B7">
      <w:ptab w:relativeTo="margin" w:alignment="center" w:leader="none"/>
    </w:r>
    <w:r w:rsidRPr="00B604B7">
      <w:ptab w:relativeTo="margin" w:alignment="right" w:leader="none"/>
    </w:r>
    <w:r>
      <w:t>12/20/2022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4E0B"/>
    <w:multiLevelType w:val="hybridMultilevel"/>
    <w:tmpl w:val="51384838"/>
    <w:lvl w:ilvl="0" w:tplc="3F22564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1C11"/>
    <w:multiLevelType w:val="hybridMultilevel"/>
    <w:tmpl w:val="1C9E4384"/>
    <w:lvl w:ilvl="0" w:tplc="147E7B3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2048">
    <w:abstractNumId w:val="1"/>
  </w:num>
  <w:num w:numId="2" w16cid:durableId="86999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F"/>
    <w:rsid w:val="00064D53"/>
    <w:rsid w:val="000872FD"/>
    <w:rsid w:val="000E1814"/>
    <w:rsid w:val="001546EF"/>
    <w:rsid w:val="00187788"/>
    <w:rsid w:val="001F554F"/>
    <w:rsid w:val="00227617"/>
    <w:rsid w:val="002352A5"/>
    <w:rsid w:val="002F3FCA"/>
    <w:rsid w:val="00487817"/>
    <w:rsid w:val="004D2A6B"/>
    <w:rsid w:val="00515819"/>
    <w:rsid w:val="00537960"/>
    <w:rsid w:val="0056580C"/>
    <w:rsid w:val="005A1D56"/>
    <w:rsid w:val="005E2E78"/>
    <w:rsid w:val="005F5DFC"/>
    <w:rsid w:val="006D375A"/>
    <w:rsid w:val="006E5D28"/>
    <w:rsid w:val="00747AA4"/>
    <w:rsid w:val="00820C74"/>
    <w:rsid w:val="00832CAD"/>
    <w:rsid w:val="00885AE1"/>
    <w:rsid w:val="008C2383"/>
    <w:rsid w:val="0090629D"/>
    <w:rsid w:val="009349FC"/>
    <w:rsid w:val="009761FD"/>
    <w:rsid w:val="00A5481A"/>
    <w:rsid w:val="00B604B7"/>
    <w:rsid w:val="00B80191"/>
    <w:rsid w:val="00B97374"/>
    <w:rsid w:val="00BA5711"/>
    <w:rsid w:val="00C74DC5"/>
    <w:rsid w:val="00D41F3D"/>
    <w:rsid w:val="00EB3BE5"/>
    <w:rsid w:val="00EC5411"/>
    <w:rsid w:val="00F10DB6"/>
    <w:rsid w:val="00F40992"/>
    <w:rsid w:val="00F511BF"/>
    <w:rsid w:val="00F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6892"/>
  <w15:chartTrackingRefBased/>
  <w15:docId w15:val="{68EB043A-51A6-4D58-B47E-476743EA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BF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11BF"/>
    <w:pPr>
      <w:keepNext/>
      <w:pBdr>
        <w:top w:val="single" w:sz="12" w:space="4" w:color="auto"/>
        <w:bottom w:val="single" w:sz="12" w:space="4" w:color="auto"/>
      </w:pBdr>
      <w:jc w:val="center"/>
      <w:outlineLvl w:val="4"/>
    </w:pPr>
    <w:rPr>
      <w:rFonts w:ascii="Times New Roman" w:hAnsi="Times New Roman"/>
      <w:b/>
      <w:position w:val="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511BF"/>
    <w:rPr>
      <w:rFonts w:ascii="Times New Roman" w:eastAsia="Times New Roman" w:hAnsi="Times New Roman" w:cs="Times New Roman"/>
      <w:b/>
      <w:position w:val="4"/>
      <w:szCs w:val="20"/>
    </w:rPr>
  </w:style>
  <w:style w:type="paragraph" w:customStyle="1" w:styleId="61inLRmargins">
    <w:name w:val="6. 1 in L/R margins"/>
    <w:basedOn w:val="Normal"/>
    <w:rsid w:val="00F511BF"/>
  </w:style>
  <w:style w:type="paragraph" w:customStyle="1" w:styleId="Narrative">
    <w:name w:val="Narrative"/>
    <w:basedOn w:val="Normal"/>
    <w:rsid w:val="00F511BF"/>
    <w:pPr>
      <w:jc w:val="left"/>
    </w:pPr>
    <w:rPr>
      <w:rFonts w:ascii="Times New Roman" w:hAnsi="Times New Roman"/>
    </w:rPr>
  </w:style>
  <w:style w:type="paragraph" w:styleId="BodyText">
    <w:name w:val="Body Text"/>
    <w:aliases w:val="BT,bd,bt,body text,Body Text x"/>
    <w:basedOn w:val="Normal"/>
    <w:link w:val="BodyTextChar"/>
    <w:rsid w:val="00F511BF"/>
    <w:rPr>
      <w:rFonts w:ascii="Times New Roman" w:hAnsi="Times New Roman"/>
      <w:position w:val="4"/>
      <w:sz w:val="22"/>
    </w:rPr>
  </w:style>
  <w:style w:type="character" w:customStyle="1" w:styleId="BodyTextChar">
    <w:name w:val="Body Text Char"/>
    <w:aliases w:val="BT Char,bd Char,bt Char,body text Char,Body Text x Char"/>
    <w:basedOn w:val="DefaultParagraphFont"/>
    <w:link w:val="BodyText"/>
    <w:rsid w:val="00F511BF"/>
    <w:rPr>
      <w:rFonts w:ascii="Times New Roman" w:eastAsia="Times New Roman" w:hAnsi="Times New Roman" w:cs="Times New Roman"/>
      <w:position w:val="4"/>
      <w:szCs w:val="20"/>
    </w:rPr>
  </w:style>
  <w:style w:type="paragraph" w:customStyle="1" w:styleId="TableText">
    <w:name w:val="Table Text"/>
    <w:basedOn w:val="Normal"/>
    <w:link w:val="TableTextChar"/>
    <w:rsid w:val="00F511BF"/>
    <w:pPr>
      <w:spacing w:before="60" w:after="60" w:line="260" w:lineRule="atLeast"/>
      <w:jc w:val="left"/>
    </w:pPr>
    <w:rPr>
      <w:rFonts w:ascii="Times New Roman" w:hAnsi="Times New Roman"/>
      <w:sz w:val="20"/>
    </w:rPr>
  </w:style>
  <w:style w:type="character" w:customStyle="1" w:styleId="TableTextChar">
    <w:name w:val="Table Text Char"/>
    <w:basedOn w:val="DefaultParagraphFont"/>
    <w:link w:val="TableText"/>
    <w:rsid w:val="00F511B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2F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7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2FD"/>
    <w:rPr>
      <w:rFonts w:ascii="Times" w:eastAsia="Times New Roman" w:hAnsi="Times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rsid w:val="00B604B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604B7"/>
    <w:rPr>
      <w:rFonts w:ascii="Times" w:eastAsia="Times New Roman" w:hAnsi="Times" w:cs="Times New Roman"/>
      <w:sz w:val="20"/>
      <w:szCs w:val="20"/>
    </w:rPr>
  </w:style>
  <w:style w:type="paragraph" w:customStyle="1" w:styleId="2ndblockindt">
    <w:name w:val="2nd block indt"/>
    <w:basedOn w:val="Normal"/>
    <w:rsid w:val="00B604B7"/>
    <w:pPr>
      <w:widowControl w:val="0"/>
      <w:spacing w:line="260" w:lineRule="auto"/>
      <w:ind w:left="1080"/>
    </w:pPr>
    <w:rPr>
      <w:rFonts w:ascii="Times New Roman" w:hAnsi="Times New Roman"/>
    </w:rPr>
  </w:style>
  <w:style w:type="paragraph" w:customStyle="1" w:styleId="1-narrative">
    <w:name w:val="1-narrative"/>
    <w:basedOn w:val="Normal"/>
    <w:rsid w:val="00B604B7"/>
  </w:style>
  <w:style w:type="paragraph" w:customStyle="1" w:styleId="4Opinion">
    <w:name w:val="4. Opinion"/>
    <w:basedOn w:val="Normal"/>
    <w:rsid w:val="00B604B7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Holdway, Derek</dc:creator>
  <cp:keywords/>
  <dc:description/>
  <cp:lastModifiedBy>Marks, Brett (DPH)</cp:lastModifiedBy>
  <cp:revision>5</cp:revision>
  <cp:lastPrinted>2022-12-19T18:32:00Z</cp:lastPrinted>
  <dcterms:created xsi:type="dcterms:W3CDTF">2022-12-20T17:49:00Z</dcterms:created>
  <dcterms:modified xsi:type="dcterms:W3CDTF">2023-01-06T19:24:00Z</dcterms:modified>
</cp:coreProperties>
</file>