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59785" w14:textId="4978145F" w:rsidR="00E06969" w:rsidRPr="00444CC5" w:rsidRDefault="00DE5294" w:rsidP="00E06969">
      <w:pPr>
        <w:pStyle w:val="BodyText"/>
        <w:rPr>
          <w:noProof/>
          <w:sz w:val="20"/>
        </w:rPr>
      </w:pPr>
      <w:r w:rsidRPr="00444CC5">
        <w:rPr>
          <w:noProof/>
          <w:sz w:val="20"/>
        </w:rPr>
        <mc:AlternateContent>
          <mc:Choice Requires="wps">
            <w:drawing>
              <wp:anchor distT="0" distB="0" distL="114300" distR="114300" simplePos="0" relativeHeight="251680768" behindDoc="0" locked="0" layoutInCell="1" allowOverlap="1" wp14:anchorId="55DD0EAD" wp14:editId="1EB25AF4">
                <wp:simplePos x="0" y="0"/>
                <wp:positionH relativeFrom="margin">
                  <wp:align>right</wp:align>
                </wp:positionH>
                <wp:positionV relativeFrom="page">
                  <wp:posOffset>304800</wp:posOffset>
                </wp:positionV>
                <wp:extent cx="7741920" cy="1805940"/>
                <wp:effectExtent l="0" t="0" r="0" b="41910"/>
                <wp:wrapNone/>
                <wp:docPr id="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1920" cy="1805940"/>
                        </a:xfrm>
                        <a:prstGeom prst="rect">
                          <a:avLst/>
                        </a:prstGeom>
                        <a:noFill/>
                        <a:ln>
                          <a:noFill/>
                        </a:ln>
                        <a:scene3d>
                          <a:camera prst="isometricLeftDown"/>
                          <a:lightRig rig="threePt" dir="t"/>
                        </a:scene3d>
                        <a:sp3d>
                          <a:bevelT prst="angle"/>
                        </a:sp3d>
                        <a:extLst>
                          <a:ext uri="{909E8E84-426E-40DD-AFC4-6F175D3DCCD1}">
                            <a14:hiddenFill xmlns:a14="http://schemas.microsoft.com/office/drawing/2010/main">
                              <a:solidFill>
                                <a:srgbClr val="0078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1CFB3" w14:textId="77777777" w:rsidR="0038163E" w:rsidRPr="0096247D" w:rsidRDefault="0038163E" w:rsidP="00E06969">
                            <w:pPr>
                              <w:pStyle w:val="Masthead"/>
                              <w:ind w:left="3600"/>
                              <w:rPr>
                                <w:b/>
                                <w:sz w:val="72"/>
                                <w:szCs w:val="72"/>
                              </w:rPr>
                            </w:pPr>
                            <w:r>
                              <w:t xml:space="preserve"> </w:t>
                            </w:r>
                          </w:p>
                          <w:p w14:paraId="63D9CDBB" w14:textId="388D4FF9" w:rsidR="0038163E" w:rsidRPr="004A2164" w:rsidRDefault="0038163E" w:rsidP="00E06969">
                            <w:pPr>
                              <w:pStyle w:val="Masthead"/>
                              <w:ind w:left="1584" w:firstLine="576"/>
                              <w:rPr>
                                <w:b/>
                                <w:sz w:val="72"/>
                                <w:szCs w:val="72"/>
                              </w:rPr>
                            </w:pPr>
                            <w:r w:rsidRPr="0096247D">
                              <w:rPr>
                                <w:sz w:val="72"/>
                                <w:szCs w:val="72"/>
                              </w:rPr>
                              <w:t xml:space="preserve">     </w:t>
                            </w:r>
                            <w:r w:rsidR="00573F31">
                              <w:rPr>
                                <w:sz w:val="72"/>
                                <w:szCs w:val="72"/>
                              </w:rPr>
                              <w:t xml:space="preserve">    </w:t>
                            </w:r>
                            <w:r w:rsidRPr="0096247D">
                              <w:rPr>
                                <w:b/>
                                <w:sz w:val="72"/>
                                <w:szCs w:val="72"/>
                              </w:rPr>
                              <w:t>First Do No Harm</w:t>
                            </w:r>
                            <w:r w:rsidRPr="004A2164">
                              <w:rPr>
                                <w:b/>
                                <w:sz w:val="72"/>
                                <w:szCs w:val="72"/>
                              </w:rPr>
                              <w:t xml:space="preserve"> </w:t>
                            </w:r>
                          </w:p>
                          <w:p w14:paraId="35B6789E" w14:textId="77777777" w:rsidR="0038163E" w:rsidRDefault="0038163E" w:rsidP="00E06969">
                            <w:pPr>
                              <w:pStyle w:val="Masthead"/>
                              <w:rPr>
                                <w:sz w:val="28"/>
                                <w:szCs w:val="28"/>
                              </w:rPr>
                            </w:pPr>
                          </w:p>
                          <w:p w14:paraId="343E1EA4" w14:textId="4894F354" w:rsidR="0038163E" w:rsidRDefault="0038163E" w:rsidP="00E06969">
                            <w:pPr>
                              <w:pStyle w:val="Masthead"/>
                              <w:rPr>
                                <w:sz w:val="24"/>
                                <w:szCs w:val="24"/>
                              </w:rPr>
                            </w:pPr>
                            <w:r>
                              <w:rPr>
                                <w:sz w:val="24"/>
                                <w:szCs w:val="24"/>
                              </w:rPr>
                              <w:t xml:space="preserve">          </w:t>
                            </w:r>
                            <w:r w:rsidR="00DE5294">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14:paraId="4E2A39DE" w14:textId="77777777" w:rsidR="0038163E" w:rsidRPr="004A2164" w:rsidRDefault="0038163E" w:rsidP="00E06969">
                            <w:pPr>
                              <w:pStyle w:val="Masthead"/>
                              <w:rPr>
                                <w:sz w:val="24"/>
                                <w:szCs w:val="24"/>
                              </w:rPr>
                            </w:pPr>
                          </w:p>
                          <w:p w14:paraId="44FACDA5" w14:textId="77777777" w:rsidR="0038163E" w:rsidRDefault="0038163E" w:rsidP="00E06969">
                            <w:pPr>
                              <w:pStyle w:val="Masthead"/>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D0EAD" id="_x0000_t202" coordsize="21600,21600" o:spt="202" path="m,l,21600r21600,l21600,xe">
                <v:stroke joinstyle="miter"/>
                <v:path gradientshapeok="t" o:connecttype="rect"/>
              </v:shapetype>
              <v:shape id="Text Box 276" o:spid="_x0000_s1026" type="#_x0000_t202" style="position:absolute;left:0;text-align:left;margin-left:558.4pt;margin-top:24pt;width:609.6pt;height:142.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" filled="f" fillcolor="#0078b4" stroked="f">
                <o:extrusion v:ext="view" viewpoint="-100pt,-100pt" viewpointorigin="-.5" skewangle="0" skewamt="0"/>
                <v:textbox inset=",,,0">
                  <w:txbxContent>
                    <w:p w14:paraId="3B91CFB3" w14:textId="77777777" w:rsidR="0038163E" w:rsidRPr="0096247D" w:rsidRDefault="0038163E" w:rsidP="00E06969">
                      <w:pPr>
                        <w:pStyle w:val="Masthead"/>
                        <w:ind w:left="3600"/>
                        <w:rPr>
                          <w:b/>
                          <w:sz w:val="72"/>
                          <w:szCs w:val="72"/>
                        </w:rPr>
                      </w:pPr>
                      <w:r>
                        <w:t xml:space="preserve"> </w:t>
                      </w:r>
                    </w:p>
                    <w:p w14:paraId="63D9CDBB" w14:textId="388D4FF9" w:rsidR="0038163E" w:rsidRPr="004A2164" w:rsidRDefault="0038163E" w:rsidP="00E06969">
                      <w:pPr>
                        <w:pStyle w:val="Masthead"/>
                        <w:ind w:left="1584" w:firstLine="576"/>
                        <w:rPr>
                          <w:b/>
                          <w:sz w:val="72"/>
                          <w:szCs w:val="72"/>
                        </w:rPr>
                      </w:pPr>
                      <w:r w:rsidRPr="0096247D">
                        <w:rPr>
                          <w:sz w:val="72"/>
                          <w:szCs w:val="72"/>
                        </w:rPr>
                        <w:t xml:space="preserve">     </w:t>
                      </w:r>
                      <w:r w:rsidR="00573F31">
                        <w:rPr>
                          <w:sz w:val="72"/>
                          <w:szCs w:val="72"/>
                        </w:rPr>
                        <w:t xml:space="preserve">    </w:t>
                      </w:r>
                      <w:r w:rsidRPr="0096247D">
                        <w:rPr>
                          <w:b/>
                          <w:sz w:val="72"/>
                          <w:szCs w:val="72"/>
                        </w:rPr>
                        <w:t>First Do No Harm</w:t>
                      </w:r>
                      <w:r w:rsidRPr="004A2164">
                        <w:rPr>
                          <w:b/>
                          <w:sz w:val="72"/>
                          <w:szCs w:val="72"/>
                        </w:rPr>
                        <w:t xml:space="preserve"> </w:t>
                      </w:r>
                    </w:p>
                    <w:p w14:paraId="35B6789E" w14:textId="77777777" w:rsidR="0038163E" w:rsidRDefault="0038163E" w:rsidP="00E06969">
                      <w:pPr>
                        <w:pStyle w:val="Masthead"/>
                        <w:rPr>
                          <w:sz w:val="28"/>
                          <w:szCs w:val="28"/>
                        </w:rPr>
                      </w:pPr>
                    </w:p>
                    <w:p w14:paraId="343E1EA4" w14:textId="4894F354" w:rsidR="0038163E" w:rsidRDefault="0038163E" w:rsidP="00E06969">
                      <w:pPr>
                        <w:pStyle w:val="Masthead"/>
                        <w:rPr>
                          <w:sz w:val="24"/>
                          <w:szCs w:val="24"/>
                        </w:rPr>
                      </w:pPr>
                      <w:r>
                        <w:rPr>
                          <w:sz w:val="24"/>
                          <w:szCs w:val="24"/>
                        </w:rPr>
                        <w:t xml:space="preserve">          </w:t>
                      </w:r>
                      <w:r w:rsidR="00DE5294">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14:paraId="4E2A39DE" w14:textId="77777777" w:rsidR="0038163E" w:rsidRPr="004A2164" w:rsidRDefault="0038163E" w:rsidP="00E06969">
                      <w:pPr>
                        <w:pStyle w:val="Masthead"/>
                        <w:rPr>
                          <w:sz w:val="24"/>
                          <w:szCs w:val="24"/>
                        </w:rPr>
                      </w:pPr>
                    </w:p>
                    <w:p w14:paraId="44FACDA5" w14:textId="77777777" w:rsidR="0038163E" w:rsidRDefault="0038163E" w:rsidP="00E06969">
                      <w:pPr>
                        <w:pStyle w:val="Masthead"/>
                      </w:pPr>
                    </w:p>
                  </w:txbxContent>
                </v:textbox>
                <w10:wrap anchorx="margin" anchory="page"/>
              </v:shape>
            </w:pict>
          </mc:Fallback>
        </mc:AlternateContent>
      </w:r>
      <w:r w:rsidR="00F31352" w:rsidRPr="00444CC5">
        <w:rPr>
          <w:noProof/>
          <w:sz w:val="20"/>
        </w:rPr>
        <mc:AlternateContent>
          <mc:Choice Requires="wps">
            <w:drawing>
              <wp:anchor distT="0" distB="0" distL="114300" distR="114300" simplePos="0" relativeHeight="251681792" behindDoc="0" locked="0" layoutInCell="1" allowOverlap="1" wp14:anchorId="57D8C8A4" wp14:editId="21D5C72F">
                <wp:simplePos x="0" y="0"/>
                <wp:positionH relativeFrom="page">
                  <wp:posOffset>598170</wp:posOffset>
                </wp:positionH>
                <wp:positionV relativeFrom="page">
                  <wp:posOffset>571500</wp:posOffset>
                </wp:positionV>
                <wp:extent cx="6732270" cy="262890"/>
                <wp:effectExtent l="0" t="0" r="0" b="3810"/>
                <wp:wrapSquare wrapText="bothSides"/>
                <wp:docPr id="5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0A3F8" w14:textId="1EA4A31A" w:rsidR="0038163E" w:rsidRPr="009F6C1A" w:rsidRDefault="002E14DA" w:rsidP="00E06969">
                            <w:pPr>
                              <w:pStyle w:val="VolumeandIssue"/>
                              <w:rPr>
                                <w:sz w:val="22"/>
                                <w:szCs w:val="22"/>
                              </w:rPr>
                            </w:pPr>
                            <w:r>
                              <w:rPr>
                                <w:sz w:val="22"/>
                                <w:szCs w:val="22"/>
                              </w:rPr>
                              <w:t>WINTER</w:t>
                            </w:r>
                            <w:r w:rsidR="0038163E">
                              <w:rPr>
                                <w:sz w:val="22"/>
                                <w:szCs w:val="22"/>
                              </w:rPr>
                              <w:t xml:space="preserve"> 202</w:t>
                            </w:r>
                            <w:r>
                              <w:rPr>
                                <w:sz w:val="22"/>
                                <w:szCs w:val="22"/>
                              </w:rPr>
                              <w:t>1</w:t>
                            </w:r>
                            <w:r w:rsidR="0038163E" w:rsidRPr="009F6C1A">
                              <w:rPr>
                                <w:sz w:val="22"/>
                                <w:szCs w:val="22"/>
                              </w:rPr>
                              <w:t xml:space="preserve">  </w:t>
                            </w:r>
                            <w:r w:rsidR="0038163E">
                              <w:rPr>
                                <w:sz w:val="22"/>
                                <w:szCs w:val="22"/>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D8C8A4" id="Text Box 277" o:spid="_x0000_s1027" type="#_x0000_t202" style="position:absolute;left:0;text-align:left;margin-left:47.1pt;margin-top:45pt;width:530.1pt;height:20.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" filled="f" stroked="f">
                <v:textbox style="mso-fit-shape-to-text:t">
                  <w:txbxContent>
                    <w:p w14:paraId="3D50A3F8" w14:textId="1EA4A31A" w:rsidR="0038163E" w:rsidRPr="009F6C1A" w:rsidRDefault="002E14DA" w:rsidP="00E06969">
                      <w:pPr>
                        <w:pStyle w:val="VolumeandIssue"/>
                        <w:rPr>
                          <w:sz w:val="22"/>
                          <w:szCs w:val="22"/>
                        </w:rPr>
                      </w:pPr>
                      <w:r>
                        <w:rPr>
                          <w:sz w:val="22"/>
                          <w:szCs w:val="22"/>
                        </w:rPr>
                        <w:t>WINTER</w:t>
                      </w:r>
                      <w:r w:rsidR="0038163E">
                        <w:rPr>
                          <w:sz w:val="22"/>
                          <w:szCs w:val="22"/>
                        </w:rPr>
                        <w:t xml:space="preserve"> 202</w:t>
                      </w:r>
                      <w:r>
                        <w:rPr>
                          <w:sz w:val="22"/>
                          <w:szCs w:val="22"/>
                        </w:rPr>
                        <w:t>1</w:t>
                      </w:r>
                      <w:r w:rsidR="0038163E" w:rsidRPr="009F6C1A">
                        <w:rPr>
                          <w:sz w:val="22"/>
                          <w:szCs w:val="22"/>
                        </w:rPr>
                        <w:t xml:space="preserve">  </w:t>
                      </w:r>
                      <w:r w:rsidR="0038163E">
                        <w:rPr>
                          <w:sz w:val="22"/>
                          <w:szCs w:val="22"/>
                        </w:rPr>
                        <w:t xml:space="preserve">                                                                              </w:t>
                      </w:r>
                    </w:p>
                  </w:txbxContent>
                </v:textbox>
                <w10:wrap type="square" anchorx="page" anchory="page"/>
              </v:shape>
            </w:pict>
          </mc:Fallback>
        </mc:AlternateContent>
      </w:r>
      <w:bookmarkStart w:id="0" w:name="_Hlk60212792"/>
      <w:bookmarkEnd w:id="0"/>
      <w:r w:rsidR="00E06969" w:rsidRPr="00444CC5">
        <w:rPr>
          <w:noProof/>
          <w:sz w:val="20"/>
        </w:rPr>
        <mc:AlternateContent>
          <mc:Choice Requires="wps">
            <w:drawing>
              <wp:anchor distT="0" distB="0" distL="114300" distR="114300" simplePos="0" relativeHeight="251686912" behindDoc="0" locked="0" layoutInCell="1" allowOverlap="1" wp14:anchorId="4B2ACABA" wp14:editId="75B136FA">
                <wp:simplePos x="0" y="0"/>
                <wp:positionH relativeFrom="page">
                  <wp:posOffset>594360</wp:posOffset>
                </wp:positionH>
                <wp:positionV relativeFrom="page">
                  <wp:posOffset>2083435</wp:posOffset>
                </wp:positionV>
                <wp:extent cx="6654165" cy="212725"/>
                <wp:effectExtent l="3810" t="0" r="0" b="0"/>
                <wp:wrapNone/>
                <wp:docPr id="5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69F8C" w14:textId="77777777" w:rsidR="0038163E" w:rsidRPr="003458CB" w:rsidRDefault="0038163E" w:rsidP="00E06969">
                            <w:pPr>
                              <w:pStyle w:val="NewsletterDate"/>
                              <w:rPr>
                                <w:b/>
                                <w:bCs/>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ACABA" id="Text Box 324" o:spid="_x0000_s1028" type="#_x0000_t202" style="position:absolute;left:0;text-align:left;margin-left:46.8pt;margin-top:164.05pt;width:523.95pt;height:16.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" filled="f" stroked="f">
                <v:textbox inset=",0,,0">
                  <w:txbxContent>
                    <w:p w14:paraId="4EB69F8C" w14:textId="77777777" w:rsidR="0038163E" w:rsidRPr="003458CB" w:rsidRDefault="0038163E" w:rsidP="00E06969">
                      <w:pPr>
                        <w:pStyle w:val="NewsletterDate"/>
                        <w:rPr>
                          <w:b/>
                          <w:bCs/>
                        </w:rPr>
                      </w:pPr>
                    </w:p>
                  </w:txbxContent>
                </v:textbox>
                <w10:wrap anchorx="page" anchory="page"/>
              </v:shape>
            </w:pict>
          </mc:Fallback>
        </mc:AlternateContent>
      </w:r>
      <w:r w:rsidR="00E06969" w:rsidRPr="00444CC5">
        <w:rPr>
          <w:noProof/>
          <w:sz w:val="20"/>
        </w:rPr>
        <mc:AlternateContent>
          <mc:Choice Requires="wps">
            <w:drawing>
              <wp:anchor distT="0" distB="0" distL="114300" distR="114300" simplePos="0" relativeHeight="251682816" behindDoc="1" locked="0" layoutInCell="1" allowOverlap="1" wp14:anchorId="4413AC48" wp14:editId="41C52BFC">
                <wp:simplePos x="0" y="0"/>
                <wp:positionH relativeFrom="page">
                  <wp:align>center</wp:align>
                </wp:positionH>
                <wp:positionV relativeFrom="page">
                  <wp:posOffset>365760</wp:posOffset>
                </wp:positionV>
                <wp:extent cx="7086600" cy="1783080"/>
                <wp:effectExtent l="0" t="3810" r="0" b="635"/>
                <wp:wrapNone/>
                <wp:docPr id="4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B368" w14:textId="77777777" w:rsidR="0038163E" w:rsidRDefault="0038163E" w:rsidP="00E06969">
                            <w:r>
                              <w:rPr>
                                <w:noProof/>
                              </w:rPr>
                              <w:drawing>
                                <wp:inline distT="0" distB="0" distL="0" distR="0" wp14:anchorId="76207323" wp14:editId="55EDF2BC">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7"/>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13AC48" id="Text Box 334" o:spid="_x0000_s1029" type="#_x0000_t202" style="position:absolute;left:0;text-align:left;margin-left:0;margin-top:28.8pt;width:558pt;height:140.4pt;z-index:-251633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" filled="f" stroked="f">
                <v:textbox style="mso-fit-shape-to-text:t" inset=",7.2pt,,7.2pt">
                  <w:txbxContent>
                    <w:p w14:paraId="2FC5B368" w14:textId="77777777" w:rsidR="0038163E" w:rsidRDefault="0038163E" w:rsidP="00E06969">
                      <w:r>
                        <w:rPr>
                          <w:noProof/>
                        </w:rPr>
                        <w:drawing>
                          <wp:inline distT="0" distB="0" distL="0" distR="0" wp14:anchorId="76207323" wp14:editId="55EDF2BC">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7"/>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r w:rsidR="00E06969" w:rsidRPr="00444CC5">
        <w:rPr>
          <w:noProof/>
          <w:sz w:val="20"/>
        </w:rPr>
        <mc:AlternateContent>
          <mc:Choice Requires="wps">
            <w:drawing>
              <wp:anchor distT="0" distB="0" distL="114300" distR="114300" simplePos="0" relativeHeight="251670528" behindDoc="0" locked="0" layoutInCell="1" allowOverlap="1" wp14:anchorId="4435369E" wp14:editId="487D1D98">
                <wp:simplePos x="0" y="0"/>
                <wp:positionH relativeFrom="page">
                  <wp:posOffset>2540000</wp:posOffset>
                </wp:positionH>
                <wp:positionV relativeFrom="page">
                  <wp:posOffset>3149600</wp:posOffset>
                </wp:positionV>
                <wp:extent cx="91440" cy="91440"/>
                <wp:effectExtent l="0" t="0" r="0" b="0"/>
                <wp:wrapNone/>
                <wp:docPr id="4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39CF" w14:textId="77777777" w:rsidR="0038163E" w:rsidRDefault="0038163E"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5369E" id="Text Box 144" o:spid="_x0000_s1030" type="#_x0000_t202" style="position:absolute;left:0;text-align:left;margin-left:200pt;margin-top:248pt;width:7.2pt;height:7.2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" filled="f" stroked="f">
                <v:textbox inset="0,0,0,0">
                  <w:txbxContent>
                    <w:p w14:paraId="2F6239CF" w14:textId="77777777" w:rsidR="0038163E" w:rsidRDefault="0038163E" w:rsidP="00E06969">
                      <w:pPr>
                        <w:pStyle w:val="BodyText"/>
                      </w:pPr>
                    </w:p>
                  </w:txbxContent>
                </v:textbox>
                <w10:wrap anchorx="page" anchory="page"/>
              </v:shape>
            </w:pict>
          </mc:Fallback>
        </mc:AlternateContent>
      </w:r>
      <w:r w:rsidR="00E06969" w:rsidRPr="00444CC5">
        <w:rPr>
          <w:noProof/>
          <w:sz w:val="20"/>
        </w:rPr>
        <mc:AlternateContent>
          <mc:Choice Requires="wps">
            <w:drawing>
              <wp:anchor distT="0" distB="0" distL="114300" distR="114300" simplePos="0" relativeHeight="251678720" behindDoc="0" locked="0" layoutInCell="1" allowOverlap="1" wp14:anchorId="02E53407" wp14:editId="2E09A1EC">
                <wp:simplePos x="0" y="0"/>
                <wp:positionH relativeFrom="page">
                  <wp:posOffset>476250</wp:posOffset>
                </wp:positionH>
                <wp:positionV relativeFrom="page">
                  <wp:posOffset>1638300</wp:posOffset>
                </wp:positionV>
                <wp:extent cx="6810375" cy="0"/>
                <wp:effectExtent l="0" t="0" r="0" b="0"/>
                <wp:wrapNone/>
                <wp:docPr id="47"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72C568E" id="Line 26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" stroked="f">
                <w10:wrap anchorx="page" anchory="page"/>
              </v:line>
            </w:pict>
          </mc:Fallback>
        </mc:AlternateContent>
      </w:r>
      <w:r w:rsidR="00E06969" w:rsidRPr="00444CC5">
        <w:rPr>
          <w:noProof/>
          <w:sz w:val="20"/>
        </w:rPr>
        <mc:AlternateContent>
          <mc:Choice Requires="wps">
            <w:drawing>
              <wp:anchor distT="0" distB="0" distL="114300" distR="114300" simplePos="0" relativeHeight="251671552" behindDoc="0" locked="0" layoutInCell="1" allowOverlap="1" wp14:anchorId="4295A91D" wp14:editId="028587DE">
                <wp:simplePos x="0" y="0"/>
                <wp:positionH relativeFrom="page">
                  <wp:posOffset>2529840</wp:posOffset>
                </wp:positionH>
                <wp:positionV relativeFrom="page">
                  <wp:posOffset>6601460</wp:posOffset>
                </wp:positionV>
                <wp:extent cx="91440" cy="91440"/>
                <wp:effectExtent l="0" t="635" r="0" b="3175"/>
                <wp:wrapNone/>
                <wp:docPr id="46"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691A1" w14:textId="77777777" w:rsidR="0038163E" w:rsidRDefault="0038163E"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5A91D" id="Text Box 148" o:spid="_x0000_s1031" type="#_x0000_t202" style="position:absolute;left:0;text-align:left;margin-left:199.2pt;margin-top:519.8pt;width:7.2pt;height:7.2pt;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" filled="f" stroked="f">
                <v:textbox inset="0,0,0,0">
                  <w:txbxContent>
                    <w:p w14:paraId="39D691A1" w14:textId="77777777" w:rsidR="0038163E" w:rsidRDefault="0038163E" w:rsidP="00E06969">
                      <w:pPr>
                        <w:pStyle w:val="BodyText"/>
                      </w:pPr>
                    </w:p>
                  </w:txbxContent>
                </v:textbox>
                <w10:wrap anchorx="page" anchory="page"/>
              </v:shape>
            </w:pict>
          </mc:Fallback>
        </mc:AlternateContent>
      </w:r>
      <w:r w:rsidR="00E06969" w:rsidRPr="00444CC5">
        <w:rPr>
          <w:noProof/>
          <w:sz w:val="20"/>
        </w:rPr>
        <w:t>`</w:t>
      </w:r>
    </w:p>
    <w:p w14:paraId="5CD2B24A" w14:textId="18F7458D" w:rsidR="00E06969" w:rsidRPr="00444CC5" w:rsidRDefault="00E06969" w:rsidP="00E06969">
      <w:pPr>
        <w:rPr>
          <w:noProof/>
          <w:sz w:val="20"/>
        </w:rPr>
      </w:pPr>
    </w:p>
    <w:p w14:paraId="1A0EAD15" w14:textId="3C5728EB" w:rsidR="00E06969" w:rsidRPr="00444CC5" w:rsidRDefault="00E06969" w:rsidP="00E06969">
      <w:pPr>
        <w:rPr>
          <w:sz w:val="20"/>
        </w:rPr>
      </w:pPr>
    </w:p>
    <w:p w14:paraId="4012BD32" w14:textId="392D130C" w:rsidR="00E06969" w:rsidRPr="00444CC5" w:rsidRDefault="00E06969" w:rsidP="00E06969">
      <w:pPr>
        <w:rPr>
          <w:sz w:val="20"/>
        </w:rPr>
      </w:pPr>
    </w:p>
    <w:p w14:paraId="29F0F458" w14:textId="35A390CA" w:rsidR="00E06969" w:rsidRPr="00444CC5" w:rsidRDefault="00E06969" w:rsidP="00E06969">
      <w:pPr>
        <w:rPr>
          <w:sz w:val="20"/>
        </w:rPr>
      </w:pPr>
    </w:p>
    <w:p w14:paraId="1BDA8AE5" w14:textId="6357C1A5" w:rsidR="00E06969" w:rsidRPr="00444CC5" w:rsidRDefault="00E06969" w:rsidP="00E06969">
      <w:pPr>
        <w:rPr>
          <w:sz w:val="20"/>
        </w:rPr>
      </w:pPr>
    </w:p>
    <w:p w14:paraId="2A0F2C23" w14:textId="221BD602" w:rsidR="00E06969" w:rsidRPr="00444CC5" w:rsidRDefault="00E06969" w:rsidP="00E06969">
      <w:pPr>
        <w:rPr>
          <w:sz w:val="20"/>
        </w:rPr>
      </w:pPr>
    </w:p>
    <w:p w14:paraId="231D165B" w14:textId="6D30BBDB" w:rsidR="00E06969" w:rsidRPr="00444CC5" w:rsidRDefault="00E06969" w:rsidP="00E06969">
      <w:pPr>
        <w:rPr>
          <w:sz w:val="20"/>
        </w:rPr>
      </w:pPr>
    </w:p>
    <w:p w14:paraId="2DEF5A28" w14:textId="01A3B587" w:rsidR="00E06969" w:rsidRPr="00444CC5" w:rsidRDefault="002E14DA" w:rsidP="00E06969">
      <w:pPr>
        <w:jc w:val="right"/>
        <w:rPr>
          <w:sz w:val="20"/>
        </w:rPr>
      </w:pPr>
      <w:r w:rsidRPr="00444CC5">
        <w:rPr>
          <w:noProof/>
          <w:sz w:val="20"/>
        </w:rPr>
        <mc:AlternateContent>
          <mc:Choice Requires="wps">
            <w:drawing>
              <wp:anchor distT="0" distB="0" distL="114300" distR="114300" simplePos="0" relativeHeight="251668480" behindDoc="0" locked="0" layoutInCell="1" allowOverlap="1" wp14:anchorId="57BA0A51" wp14:editId="1DF84518">
                <wp:simplePos x="0" y="0"/>
                <wp:positionH relativeFrom="margin">
                  <wp:posOffset>1411605</wp:posOffset>
                </wp:positionH>
                <wp:positionV relativeFrom="page">
                  <wp:posOffset>2178685</wp:posOffset>
                </wp:positionV>
                <wp:extent cx="4114800" cy="553720"/>
                <wp:effectExtent l="0" t="0" r="0" b="1778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D5363" w14:textId="77777777" w:rsidR="0038163E" w:rsidRPr="00AE6D5F" w:rsidRDefault="0038163E" w:rsidP="00E06969">
                            <w:pPr>
                              <w:pStyle w:val="Heading1"/>
                              <w:rPr>
                                <w:color w:val="5B718F"/>
                              </w:rPr>
                            </w:pPr>
                            <w:r>
                              <w:t xml:space="preserve">Message from QPSD </w:t>
                            </w:r>
                            <w:r w:rsidRPr="008969A5">
                              <w:t>Leadership</w:t>
                            </w:r>
                          </w:p>
                          <w:p w14:paraId="5E54F320" w14:textId="39AE64EE" w:rsidR="0038163E" w:rsidRDefault="0038163E" w:rsidP="00E06969">
                            <w:pPr>
                              <w:rPr>
                                <w:sz w:val="18"/>
                                <w:szCs w:val="18"/>
                              </w:rPr>
                            </w:pPr>
                            <w:r>
                              <w:rPr>
                                <w:sz w:val="18"/>
                                <w:szCs w:val="18"/>
                              </w:rPr>
                              <w:t>Julian N. Robinson,</w:t>
                            </w:r>
                            <w:r w:rsidRPr="00236E1E">
                              <w:rPr>
                                <w:sz w:val="18"/>
                                <w:szCs w:val="18"/>
                              </w:rPr>
                              <w:t xml:space="preserve"> MD   </w:t>
                            </w:r>
                            <w:r>
                              <w:rPr>
                                <w:sz w:val="18"/>
                                <w:szCs w:val="18"/>
                              </w:rPr>
                              <w:t xml:space="preserve">                    </w:t>
                            </w:r>
                            <w:r>
                              <w:rPr>
                                <w:sz w:val="18"/>
                                <w:szCs w:val="18"/>
                              </w:rPr>
                              <w:tab/>
                              <w:t>Daniela Brown, MSN, RN, CIC</w:t>
                            </w:r>
                          </w:p>
                          <w:p w14:paraId="7BFFFDB2" w14:textId="0A9CBA94" w:rsidR="0038163E" w:rsidRPr="00231A6E" w:rsidRDefault="0038163E" w:rsidP="00E06969">
                            <w:r>
                              <w:rPr>
                                <w:sz w:val="18"/>
                                <w:szCs w:val="18"/>
                              </w:rPr>
                              <w:t>Chairperson, QPS Committee</w:t>
                            </w:r>
                            <w:r>
                              <w:rPr>
                                <w:sz w:val="18"/>
                                <w:szCs w:val="18"/>
                              </w:rPr>
                              <w:tab/>
                            </w:r>
                            <w:r>
                              <w:rPr>
                                <w:sz w:val="18"/>
                                <w:szCs w:val="18"/>
                              </w:rPr>
                              <w:tab/>
                              <w:t>Director, QPS Division</w:t>
                            </w:r>
                          </w:p>
                          <w:p w14:paraId="26B48529" w14:textId="77777777" w:rsidR="0038163E" w:rsidRPr="00913ACC" w:rsidRDefault="0038163E" w:rsidP="00E06969">
                            <w:pPr>
                              <w:pStyle w:val="Head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A0A51" id="Text Box 15" o:spid="_x0000_s1032" type="#_x0000_t202" style="position:absolute;left:0;text-align:left;margin-left:111.15pt;margin-top:171.55pt;width:324pt;height:4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" filled="f" stroked="f">
                <v:textbox inset="0,0,0,0">
                  <w:txbxContent>
                    <w:p w14:paraId="735D5363" w14:textId="77777777" w:rsidR="0038163E" w:rsidRPr="00AE6D5F" w:rsidRDefault="0038163E" w:rsidP="00E06969">
                      <w:pPr>
                        <w:pStyle w:val="Heading1"/>
                        <w:rPr>
                          <w:color w:val="5B718F"/>
                        </w:rPr>
                      </w:pPr>
                      <w:r>
                        <w:t xml:space="preserve">Message from QPSD </w:t>
                      </w:r>
                      <w:r w:rsidRPr="008969A5">
                        <w:t>Leadership</w:t>
                      </w:r>
                    </w:p>
                    <w:p w14:paraId="5E54F320" w14:textId="39AE64EE" w:rsidR="0038163E" w:rsidRDefault="0038163E" w:rsidP="00E06969">
                      <w:pPr>
                        <w:rPr>
                          <w:sz w:val="18"/>
                          <w:szCs w:val="18"/>
                        </w:rPr>
                      </w:pPr>
                      <w:r>
                        <w:rPr>
                          <w:sz w:val="18"/>
                          <w:szCs w:val="18"/>
                        </w:rPr>
                        <w:t>Julian N. Robinson,</w:t>
                      </w:r>
                      <w:r w:rsidRPr="00236E1E">
                        <w:rPr>
                          <w:sz w:val="18"/>
                          <w:szCs w:val="18"/>
                        </w:rPr>
                        <w:t xml:space="preserve"> MD   </w:t>
                      </w:r>
                      <w:r>
                        <w:rPr>
                          <w:sz w:val="18"/>
                          <w:szCs w:val="18"/>
                        </w:rPr>
                        <w:t xml:space="preserve">                    </w:t>
                      </w:r>
                      <w:r>
                        <w:rPr>
                          <w:sz w:val="18"/>
                          <w:szCs w:val="18"/>
                        </w:rPr>
                        <w:tab/>
                        <w:t>Daniela Brown, MSN, RN, CIC</w:t>
                      </w:r>
                    </w:p>
                    <w:p w14:paraId="7BFFFDB2" w14:textId="0A9CBA94" w:rsidR="0038163E" w:rsidRPr="00231A6E" w:rsidRDefault="0038163E" w:rsidP="00E06969">
                      <w:r>
                        <w:rPr>
                          <w:sz w:val="18"/>
                          <w:szCs w:val="18"/>
                        </w:rPr>
                        <w:t>Chairperson, QPS Committee</w:t>
                      </w:r>
                      <w:r>
                        <w:rPr>
                          <w:sz w:val="18"/>
                          <w:szCs w:val="18"/>
                        </w:rPr>
                        <w:tab/>
                      </w:r>
                      <w:r>
                        <w:rPr>
                          <w:sz w:val="18"/>
                          <w:szCs w:val="18"/>
                        </w:rPr>
                        <w:tab/>
                        <w:t>Director, QPS Division</w:t>
                      </w:r>
                    </w:p>
                    <w:p w14:paraId="26B48529" w14:textId="77777777" w:rsidR="0038163E" w:rsidRPr="00913ACC" w:rsidRDefault="0038163E" w:rsidP="00E06969">
                      <w:pPr>
                        <w:pStyle w:val="Heading1"/>
                      </w:pPr>
                    </w:p>
                  </w:txbxContent>
                </v:textbox>
                <w10:wrap anchorx="margin" anchory="page"/>
              </v:shape>
            </w:pict>
          </mc:Fallback>
        </mc:AlternateContent>
      </w:r>
    </w:p>
    <w:p w14:paraId="3F513924" w14:textId="77777777" w:rsidR="002E14DA" w:rsidRDefault="00C84CAA" w:rsidP="002E14DA">
      <w:pPr>
        <w:rPr>
          <w:sz w:val="20"/>
        </w:rPr>
      </w:pPr>
      <w:r w:rsidRPr="00444CC5">
        <w:rPr>
          <w:noProof/>
          <w:sz w:val="20"/>
        </w:rPr>
        <mc:AlternateContent>
          <mc:Choice Requires="wpg">
            <w:drawing>
              <wp:anchor distT="0" distB="0" distL="228600" distR="228600" simplePos="0" relativeHeight="251715584" behindDoc="0" locked="0" layoutInCell="1" allowOverlap="1" wp14:anchorId="11EBED64" wp14:editId="265D139A">
                <wp:simplePos x="0" y="0"/>
                <wp:positionH relativeFrom="page">
                  <wp:posOffset>38100</wp:posOffset>
                </wp:positionH>
                <wp:positionV relativeFrom="margin">
                  <wp:posOffset>2314575</wp:posOffset>
                </wp:positionV>
                <wp:extent cx="1828800" cy="6238875"/>
                <wp:effectExtent l="0" t="0" r="0" b="9525"/>
                <wp:wrapSquare wrapText="bothSides"/>
                <wp:docPr id="19" name="Group 19"/>
                <wp:cNvGraphicFramePr/>
                <a:graphic xmlns:a="http://schemas.openxmlformats.org/drawingml/2006/main">
                  <a:graphicData uri="http://schemas.microsoft.com/office/word/2010/wordprocessingGroup">
                    <wpg:wgp>
                      <wpg:cNvGrpSpPr/>
                      <wpg:grpSpPr>
                        <a:xfrm>
                          <a:off x="0" y="0"/>
                          <a:ext cx="1828800" cy="6238875"/>
                          <a:chOff x="158072" y="-6718"/>
                          <a:chExt cx="1724946" cy="5274271"/>
                        </a:xfrm>
                      </wpg:grpSpPr>
                      <wps:wsp>
                        <wps:cNvPr id="30" name="Text Box 30"/>
                        <wps:cNvSpPr txBox="1"/>
                        <wps:spPr>
                          <a:xfrm>
                            <a:off x="158072" y="-6718"/>
                            <a:ext cx="1724946" cy="5274271"/>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04FFE839" w14:textId="687C7386" w:rsidR="0038163E" w:rsidRDefault="0038163E" w:rsidP="00A81488">
                              <w:pPr>
                                <w:pStyle w:val="TOCText"/>
                                <w:numPr>
                                  <w:ilvl w:val="0"/>
                                  <w:numId w:val="18"/>
                                </w:numPr>
                                <w:tabs>
                                  <w:tab w:val="left" w:pos="588"/>
                                </w:tabs>
                                <w:contextualSpacing/>
                                <w:rPr>
                                  <w:rFonts w:ascii="Arial" w:hAnsi="Arial" w:cs="Arial"/>
                                  <w:b/>
                                  <w:color w:val="FFFFFF" w:themeColor="background1"/>
                                  <w:sz w:val="14"/>
                                  <w:szCs w:val="14"/>
                                </w:rPr>
                              </w:pPr>
                              <w:r w:rsidRPr="00A81488">
                                <w:rPr>
                                  <w:rFonts w:ascii="Arial" w:hAnsi="Arial" w:cs="Arial"/>
                                  <w:b/>
                                  <w:color w:val="FFFFFF" w:themeColor="background1"/>
                                  <w:sz w:val="14"/>
                                  <w:szCs w:val="14"/>
                                </w:rPr>
                                <w:t>Message from QPS</w:t>
                              </w:r>
                              <w:r>
                                <w:rPr>
                                  <w:rFonts w:ascii="Arial" w:hAnsi="Arial" w:cs="Arial"/>
                                  <w:b/>
                                  <w:color w:val="FFFFFF" w:themeColor="background1"/>
                                  <w:sz w:val="14"/>
                                  <w:szCs w:val="14"/>
                                </w:rPr>
                                <w:t xml:space="preserve"> </w:t>
                              </w:r>
                            </w:p>
                            <w:p w14:paraId="13FACFFB" w14:textId="73DBB687" w:rsidR="0038163E" w:rsidRPr="00A81488" w:rsidRDefault="0038163E" w:rsidP="00A81488">
                              <w:pPr>
                                <w:pStyle w:val="TOCText"/>
                                <w:tabs>
                                  <w:tab w:val="left" w:pos="588"/>
                                </w:tabs>
                                <w:ind w:left="-12"/>
                                <w:contextualSpacing/>
                                <w:rPr>
                                  <w:rFonts w:ascii="Arial" w:hAnsi="Arial" w:cs="Arial"/>
                                  <w:b/>
                                  <w:color w:val="FFFFFF" w:themeColor="background1"/>
                                  <w:sz w:val="14"/>
                                  <w:szCs w:val="14"/>
                                </w:rPr>
                              </w:pPr>
                              <w:r>
                                <w:rPr>
                                  <w:rFonts w:ascii="Arial" w:hAnsi="Arial" w:cs="Arial"/>
                                  <w:b/>
                                  <w:color w:val="FFFFFF" w:themeColor="background1"/>
                                  <w:sz w:val="14"/>
                                  <w:szCs w:val="14"/>
                                </w:rPr>
                                <w:t xml:space="preserve">           </w:t>
                              </w:r>
                              <w:r w:rsidRPr="00A81488">
                                <w:rPr>
                                  <w:rFonts w:ascii="Arial" w:hAnsi="Arial" w:cs="Arial"/>
                                  <w:b/>
                                  <w:color w:val="FFFFFF" w:themeColor="background1"/>
                                  <w:sz w:val="14"/>
                                  <w:szCs w:val="14"/>
                                </w:rPr>
                                <w:t>Leadership</w:t>
                              </w:r>
                              <w:r>
                                <w:rPr>
                                  <w:rFonts w:ascii="Arial" w:hAnsi="Arial" w:cs="Arial"/>
                                  <w:b/>
                                  <w:color w:val="FFFFFF" w:themeColor="background1"/>
                                  <w:sz w:val="14"/>
                                  <w:szCs w:val="14"/>
                                </w:rPr>
                                <w:t xml:space="preserve"> </w:t>
                              </w:r>
                            </w:p>
                            <w:p w14:paraId="4C07A8E5" w14:textId="5BA46223" w:rsidR="00D94481" w:rsidRDefault="00D94481" w:rsidP="002E14DA">
                              <w:pPr>
                                <w:pStyle w:val="TOCText"/>
                                <w:numPr>
                                  <w:ilvl w:val="0"/>
                                  <w:numId w:val="18"/>
                                </w:numPr>
                                <w:tabs>
                                  <w:tab w:val="left" w:pos="588"/>
                                </w:tabs>
                                <w:contextualSpacing/>
                                <w:rPr>
                                  <w:rFonts w:ascii="Arial" w:hAnsi="Arial" w:cs="Arial"/>
                                  <w:color w:val="FFFFFF" w:themeColor="background1"/>
                                  <w:sz w:val="14"/>
                                  <w:szCs w:val="14"/>
                                </w:rPr>
                              </w:pPr>
                              <w:r>
                                <w:rPr>
                                  <w:rFonts w:ascii="Arial" w:hAnsi="Arial" w:cs="Arial"/>
                                  <w:color w:val="FFFFFF" w:themeColor="background1"/>
                                  <w:sz w:val="14"/>
                                  <w:szCs w:val="14"/>
                                </w:rPr>
                                <w:t xml:space="preserve">QPS </w:t>
                              </w:r>
                              <w:r w:rsidR="007A6644">
                                <w:rPr>
                                  <w:rFonts w:ascii="Arial" w:hAnsi="Arial" w:cs="Arial"/>
                                  <w:color w:val="FFFFFF" w:themeColor="background1"/>
                                  <w:sz w:val="14"/>
                                  <w:szCs w:val="14"/>
                                </w:rPr>
                                <w:t xml:space="preserve">Committee </w:t>
                              </w:r>
                              <w:r w:rsidR="003E07B5">
                                <w:rPr>
                                  <w:rFonts w:ascii="Arial" w:hAnsi="Arial" w:cs="Arial"/>
                                  <w:color w:val="FFFFFF" w:themeColor="background1"/>
                                  <w:sz w:val="14"/>
                                  <w:szCs w:val="14"/>
                                </w:rPr>
                                <w:t xml:space="preserve"> </w:t>
                              </w:r>
                              <w:r w:rsidR="007A6644">
                                <w:rPr>
                                  <w:rFonts w:ascii="Arial" w:hAnsi="Arial" w:cs="Arial"/>
                                  <w:color w:val="FFFFFF" w:themeColor="background1"/>
                                  <w:sz w:val="14"/>
                                  <w:szCs w:val="14"/>
                                </w:rPr>
                                <w:t xml:space="preserve"> member</w:t>
                              </w:r>
                            </w:p>
                            <w:p w14:paraId="7A5B9CF0" w14:textId="0B9E1E93" w:rsidR="002E14DA" w:rsidRDefault="002E14DA" w:rsidP="00D94481">
                              <w:pPr>
                                <w:pStyle w:val="TOCText"/>
                                <w:tabs>
                                  <w:tab w:val="left" w:pos="588"/>
                                </w:tabs>
                                <w:ind w:left="423"/>
                                <w:contextualSpacing/>
                                <w:rPr>
                                  <w:rFonts w:ascii="Arial" w:hAnsi="Arial" w:cs="Arial"/>
                                  <w:color w:val="FFFFFF" w:themeColor="background1"/>
                                  <w:sz w:val="14"/>
                                  <w:szCs w:val="14"/>
                                </w:rPr>
                              </w:pPr>
                              <w:r>
                                <w:rPr>
                                  <w:rFonts w:ascii="Arial" w:hAnsi="Arial" w:cs="Arial"/>
                                  <w:color w:val="FFFFFF" w:themeColor="background1"/>
                                  <w:sz w:val="14"/>
                                  <w:szCs w:val="14"/>
                                </w:rPr>
                                <w:t>Ziad Alfarah, MD</w:t>
                              </w:r>
                            </w:p>
                            <w:p w14:paraId="7F1F7C05" w14:textId="38DD5B2A" w:rsidR="00080EEE" w:rsidRDefault="00080EEE" w:rsidP="002E14DA">
                              <w:pPr>
                                <w:pStyle w:val="TOCText"/>
                                <w:numPr>
                                  <w:ilvl w:val="0"/>
                                  <w:numId w:val="18"/>
                                </w:numPr>
                                <w:tabs>
                                  <w:tab w:val="left" w:pos="588"/>
                                </w:tabs>
                                <w:contextualSpacing/>
                                <w:rPr>
                                  <w:rFonts w:ascii="Arial" w:hAnsi="Arial" w:cs="Arial"/>
                                  <w:color w:val="FFFFFF" w:themeColor="background1"/>
                                  <w:sz w:val="14"/>
                                  <w:szCs w:val="14"/>
                                </w:rPr>
                              </w:pPr>
                              <w:r>
                                <w:rPr>
                                  <w:rFonts w:ascii="Arial" w:hAnsi="Arial" w:cs="Arial"/>
                                  <w:color w:val="FFFFFF" w:themeColor="background1"/>
                                  <w:sz w:val="14"/>
                                  <w:szCs w:val="14"/>
                                </w:rPr>
                                <w:t>Cambridge Health Alliance Hospital</w:t>
                              </w:r>
                            </w:p>
                            <w:p w14:paraId="23C049C6" w14:textId="49305E13" w:rsidR="0038163E" w:rsidRPr="00A81488" w:rsidRDefault="00080EEE" w:rsidP="00080EEE">
                              <w:pPr>
                                <w:pStyle w:val="TOCText"/>
                                <w:numPr>
                                  <w:ilvl w:val="0"/>
                                  <w:numId w:val="18"/>
                                </w:numPr>
                                <w:tabs>
                                  <w:tab w:val="left" w:pos="588"/>
                                </w:tabs>
                                <w:contextualSpacing/>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Massachusetts General</w:t>
                              </w:r>
                            </w:p>
                            <w:p w14:paraId="089725F1" w14:textId="1B4AF6C0" w:rsidR="0038163E" w:rsidRPr="00A81488" w:rsidRDefault="0038163E" w:rsidP="00F31352">
                              <w:pPr>
                                <w:pStyle w:val="TOCText"/>
                                <w:tabs>
                                  <w:tab w:val="left" w:pos="588"/>
                                </w:tabs>
                                <w:ind w:left="-12"/>
                                <w:contextualSpacing/>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Hospital                       </w:t>
                              </w:r>
                            </w:p>
                            <w:p w14:paraId="1628700F" w14:textId="60A19794" w:rsidR="0038163E" w:rsidRPr="00A81488" w:rsidRDefault="0038163E" w:rsidP="003766BE">
                              <w:pPr>
                                <w:pStyle w:val="TOCText"/>
                                <w:tabs>
                                  <w:tab w:val="left" w:pos="588"/>
                                </w:tabs>
                                <w:ind w:left="-12"/>
                                <w:contextualSpacing/>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5</w:t>
                              </w:r>
                              <w:r w:rsidRPr="00A81488">
                                <w:rPr>
                                  <w:rStyle w:val="TOCNumberChar"/>
                                  <w:rFonts w:ascii="Arial" w:hAnsi="Arial" w:cs="Arial"/>
                                  <w:b w:val="0"/>
                                  <w:bCs/>
                                  <w:color w:val="FFFFFF" w:themeColor="background1"/>
                                  <w:sz w:val="14"/>
                                  <w:szCs w:val="14"/>
                                </w:rPr>
                                <w:t xml:space="preserve">         </w:t>
                              </w:r>
                              <w:r w:rsidR="00080EEE">
                                <w:rPr>
                                  <w:rStyle w:val="TOCNumberChar"/>
                                  <w:rFonts w:ascii="Arial" w:hAnsi="Arial" w:cs="Arial"/>
                                  <w:b w:val="0"/>
                                  <w:bCs/>
                                  <w:color w:val="FFFFFF" w:themeColor="background1"/>
                                  <w:sz w:val="14"/>
                                  <w:szCs w:val="14"/>
                                </w:rPr>
                                <w:t>McLean Hospital</w:t>
                              </w:r>
                            </w:p>
                            <w:p w14:paraId="307F9397" w14:textId="5AFCC570" w:rsidR="0038163E" w:rsidRPr="00A81488" w:rsidRDefault="00A27D68" w:rsidP="00080EEE">
                              <w:pPr>
                                <w:pStyle w:val="TOCText"/>
                                <w:tabs>
                                  <w:tab w:val="left" w:pos="588"/>
                                </w:tabs>
                                <w:ind w:left="-12"/>
                                <w:contextualSpacing/>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6</w:t>
                              </w:r>
                              <w:r w:rsidR="0038163E" w:rsidRPr="00A81488">
                                <w:rPr>
                                  <w:rStyle w:val="TOCNumberChar"/>
                                  <w:rFonts w:ascii="Arial" w:hAnsi="Arial" w:cs="Arial"/>
                                  <w:b w:val="0"/>
                                  <w:bCs/>
                                  <w:color w:val="FFFFFF" w:themeColor="background1"/>
                                  <w:sz w:val="14"/>
                                  <w:szCs w:val="14"/>
                                </w:rPr>
                                <w:t xml:space="preserve">         </w:t>
                              </w:r>
                              <w:r w:rsidR="00080EEE">
                                <w:rPr>
                                  <w:rStyle w:val="TOCNumberChar"/>
                                  <w:rFonts w:ascii="Arial" w:hAnsi="Arial" w:cs="Arial"/>
                                  <w:b w:val="0"/>
                                  <w:bCs/>
                                  <w:color w:val="FFFFFF" w:themeColor="background1"/>
                                  <w:sz w:val="14"/>
                                  <w:szCs w:val="14"/>
                                </w:rPr>
                                <w:t>Tufts Medical Center</w:t>
                              </w:r>
                            </w:p>
                            <w:p w14:paraId="0723BE65" w14:textId="41B83B54" w:rsidR="0038163E" w:rsidRPr="00A81488" w:rsidRDefault="00B1410A" w:rsidP="00080EEE">
                              <w:pPr>
                                <w:pStyle w:val="TOCText"/>
                                <w:tabs>
                                  <w:tab w:val="left" w:pos="588"/>
                                </w:tabs>
                                <w:ind w:left="-12"/>
                                <w:contextualSpacing/>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7</w:t>
                              </w:r>
                              <w:r w:rsidR="0038163E" w:rsidRPr="00A81488">
                                <w:rPr>
                                  <w:rStyle w:val="TOCNumberChar"/>
                                  <w:rFonts w:ascii="Arial" w:hAnsi="Arial" w:cs="Arial"/>
                                  <w:b w:val="0"/>
                                  <w:bCs/>
                                  <w:color w:val="FFFFFF" w:themeColor="background1"/>
                                  <w:sz w:val="14"/>
                                  <w:szCs w:val="14"/>
                                </w:rPr>
                                <w:t xml:space="preserve">       </w:t>
                              </w:r>
                              <w:r w:rsidR="006B73E3">
                                <w:rPr>
                                  <w:rStyle w:val="TOCNumberChar"/>
                                  <w:rFonts w:ascii="Arial" w:hAnsi="Arial" w:cs="Arial"/>
                                  <w:b w:val="0"/>
                                  <w:bCs/>
                                  <w:color w:val="FFFFFF" w:themeColor="background1"/>
                                  <w:sz w:val="14"/>
                                  <w:szCs w:val="14"/>
                                </w:rPr>
                                <w:t xml:space="preserve"> </w:t>
                              </w:r>
                              <w:r w:rsidR="0038163E" w:rsidRPr="00A81488">
                                <w:rPr>
                                  <w:rStyle w:val="TOCNumberChar"/>
                                  <w:rFonts w:ascii="Arial" w:hAnsi="Arial" w:cs="Arial"/>
                                  <w:b w:val="0"/>
                                  <w:bCs/>
                                  <w:color w:val="FFFFFF" w:themeColor="background1"/>
                                  <w:sz w:val="14"/>
                                  <w:szCs w:val="14"/>
                                </w:rPr>
                                <w:t xml:space="preserve"> </w:t>
                              </w:r>
                              <w:r w:rsidR="00A27D68">
                                <w:rPr>
                                  <w:rStyle w:val="TOCNumberChar"/>
                                  <w:rFonts w:ascii="Arial" w:hAnsi="Arial" w:cs="Arial"/>
                                  <w:b w:val="0"/>
                                  <w:bCs/>
                                  <w:color w:val="FFFFFF" w:themeColor="background1"/>
                                  <w:sz w:val="14"/>
                                  <w:szCs w:val="14"/>
                                </w:rPr>
                                <w:t>Update: Reporting to QPSD</w:t>
                              </w:r>
                            </w:p>
                            <w:p w14:paraId="2761A17F" w14:textId="38CED462" w:rsidR="0038163E" w:rsidRPr="00A81488" w:rsidRDefault="0038163E" w:rsidP="00080EEE">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w:t>
                              </w:r>
                            </w:p>
                            <w:p w14:paraId="1A2021A4" w14:textId="791FEB08" w:rsidR="0038163E" w:rsidRPr="00A81488" w:rsidRDefault="0038163E" w:rsidP="00F31352">
                              <w:pPr>
                                <w:pStyle w:val="TOCText"/>
                                <w:tabs>
                                  <w:tab w:val="left" w:pos="588"/>
                                </w:tabs>
                                <w:ind w:left="-12"/>
                                <w:rPr>
                                  <w:rFonts w:ascii="Arial" w:hAnsi="Arial" w:cs="Arial"/>
                                  <w:b/>
                                  <w:color w:val="FFFFFF" w:themeColor="background1"/>
                                  <w:sz w:val="14"/>
                                  <w:szCs w:val="14"/>
                                </w:rPr>
                              </w:pPr>
                            </w:p>
                            <w:p w14:paraId="2E484CFA" w14:textId="1164A616" w:rsidR="0038163E" w:rsidRPr="00F31352" w:rsidRDefault="0038163E" w:rsidP="00F31352">
                              <w:pPr>
                                <w:pStyle w:val="TOCHeading"/>
                                <w:rPr>
                                  <w:b/>
                                  <w:bCs/>
                                  <w:sz w:val="16"/>
                                  <w:szCs w:val="16"/>
                                </w:rPr>
                              </w:pPr>
                            </w:p>
                            <w:p w14:paraId="15C6AB13" w14:textId="084AC015" w:rsidR="0038163E" w:rsidRPr="00F31352" w:rsidRDefault="0038163E" w:rsidP="005808A8">
                              <w:pPr>
                                <w:pStyle w:val="TOCHeading"/>
                                <w:jc w:val="center"/>
                                <w:rPr>
                                  <w:b/>
                                  <w:bCs/>
                                  <w:sz w:val="16"/>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44" name="Pentagon 4"/>
                        <wps:cNvSpPr/>
                        <wps:spPr>
                          <a:xfrm>
                            <a:off x="172445" y="330569"/>
                            <a:ext cx="1609950" cy="384809"/>
                          </a:xfrm>
                          <a:prstGeom prst="homePlat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6BDDECD" w14:textId="76FF0F25" w:rsidR="0038163E" w:rsidRPr="00AE6D5F" w:rsidRDefault="0038163E" w:rsidP="008969A5">
                              <w:pPr>
                                <w:pStyle w:val="Masthead"/>
                                <w:rPr>
                                  <w:rFonts w:asciiTheme="majorHAnsi" w:eastAsiaTheme="majorEastAsia" w:hAnsiTheme="majorHAnsi" w:cstheme="majorBidi"/>
                                  <w:b/>
                                  <w:bCs/>
                                  <w:color w:val="FFFFFF" w:themeColor="background1"/>
                                  <w:sz w:val="26"/>
                                  <w:szCs w:val="26"/>
                                </w:rPr>
                              </w:pPr>
                              <w:r w:rsidRPr="00AE6D5F">
                                <w:rPr>
                                  <w:rFonts w:asciiTheme="majorHAnsi" w:eastAsiaTheme="majorEastAsia" w:hAnsiTheme="majorHAnsi" w:cstheme="majorBidi"/>
                                  <w:b/>
                                  <w:bCs/>
                                  <w:color w:val="FFFFFF" w:themeColor="background1"/>
                                  <w:sz w:val="26"/>
                                  <w:szCs w:val="26"/>
                                </w:rPr>
                                <w:t>In This Issue</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EBED64" id="Group 19" o:spid="_x0000_s1033" style="position:absolute;margin-left:3pt;margin-top:182.25pt;width:2in;height:491.25pt;z-index:251715584;mso-wrap-distance-left:18pt;mso-wrap-distance-right:18pt;mso-position-horizontal-relative:page;mso-position-vertical-relative:margin" coordorigin="1580,-67" coordsize="17249,5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">
                <v:shape id="Text Box 30" o:spid="_x0000_s1034" type="#_x0000_t202" style="position:absolute;left:1580;top:-67;width:17250;height:5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" fillcolor="#385766 [2152]" stroked="f">
                  <v:fill color2="#95b6c5 [1944]" rotate="t" angle="180" colors="0 #385867;31457f #57899f;1 #95b6c5" focus="100%" type="gradient"/>
                  <v:textbox inset="14.4pt,1in,14.4pt,14.4pt">
                    <w:txbxContent>
                      <w:p w14:paraId="04FFE839" w14:textId="687C7386" w:rsidR="0038163E" w:rsidRDefault="0038163E" w:rsidP="00A81488">
                        <w:pPr>
                          <w:pStyle w:val="TOCText"/>
                          <w:numPr>
                            <w:ilvl w:val="0"/>
                            <w:numId w:val="18"/>
                          </w:numPr>
                          <w:tabs>
                            <w:tab w:val="left" w:pos="588"/>
                          </w:tabs>
                          <w:contextualSpacing/>
                          <w:rPr>
                            <w:rFonts w:ascii="Arial" w:hAnsi="Arial" w:cs="Arial"/>
                            <w:b/>
                            <w:color w:val="FFFFFF" w:themeColor="background1"/>
                            <w:sz w:val="14"/>
                            <w:szCs w:val="14"/>
                          </w:rPr>
                        </w:pPr>
                        <w:r w:rsidRPr="00A81488">
                          <w:rPr>
                            <w:rFonts w:ascii="Arial" w:hAnsi="Arial" w:cs="Arial"/>
                            <w:b/>
                            <w:color w:val="FFFFFF" w:themeColor="background1"/>
                            <w:sz w:val="14"/>
                            <w:szCs w:val="14"/>
                          </w:rPr>
                          <w:t>Message from QPS</w:t>
                        </w:r>
                        <w:r>
                          <w:rPr>
                            <w:rFonts w:ascii="Arial" w:hAnsi="Arial" w:cs="Arial"/>
                            <w:b/>
                            <w:color w:val="FFFFFF" w:themeColor="background1"/>
                            <w:sz w:val="14"/>
                            <w:szCs w:val="14"/>
                          </w:rPr>
                          <w:t xml:space="preserve"> </w:t>
                        </w:r>
                      </w:p>
                      <w:p w14:paraId="13FACFFB" w14:textId="73DBB687" w:rsidR="0038163E" w:rsidRPr="00A81488" w:rsidRDefault="0038163E" w:rsidP="00A81488">
                        <w:pPr>
                          <w:pStyle w:val="TOCText"/>
                          <w:tabs>
                            <w:tab w:val="left" w:pos="588"/>
                          </w:tabs>
                          <w:ind w:left="-12"/>
                          <w:contextualSpacing/>
                          <w:rPr>
                            <w:rFonts w:ascii="Arial" w:hAnsi="Arial" w:cs="Arial"/>
                            <w:b/>
                            <w:color w:val="FFFFFF" w:themeColor="background1"/>
                            <w:sz w:val="14"/>
                            <w:szCs w:val="14"/>
                          </w:rPr>
                        </w:pPr>
                        <w:r>
                          <w:rPr>
                            <w:rFonts w:ascii="Arial" w:hAnsi="Arial" w:cs="Arial"/>
                            <w:b/>
                            <w:color w:val="FFFFFF" w:themeColor="background1"/>
                            <w:sz w:val="14"/>
                            <w:szCs w:val="14"/>
                          </w:rPr>
                          <w:t xml:space="preserve">           </w:t>
                        </w:r>
                        <w:r w:rsidRPr="00A81488">
                          <w:rPr>
                            <w:rFonts w:ascii="Arial" w:hAnsi="Arial" w:cs="Arial"/>
                            <w:b/>
                            <w:color w:val="FFFFFF" w:themeColor="background1"/>
                            <w:sz w:val="14"/>
                            <w:szCs w:val="14"/>
                          </w:rPr>
                          <w:t>Leadership</w:t>
                        </w:r>
                        <w:r>
                          <w:rPr>
                            <w:rFonts w:ascii="Arial" w:hAnsi="Arial" w:cs="Arial"/>
                            <w:b/>
                            <w:color w:val="FFFFFF" w:themeColor="background1"/>
                            <w:sz w:val="14"/>
                            <w:szCs w:val="14"/>
                          </w:rPr>
                          <w:t xml:space="preserve"> </w:t>
                        </w:r>
                      </w:p>
                      <w:p w14:paraId="4C07A8E5" w14:textId="5BA46223" w:rsidR="00D94481" w:rsidRDefault="00D94481" w:rsidP="002E14DA">
                        <w:pPr>
                          <w:pStyle w:val="TOCText"/>
                          <w:numPr>
                            <w:ilvl w:val="0"/>
                            <w:numId w:val="18"/>
                          </w:numPr>
                          <w:tabs>
                            <w:tab w:val="left" w:pos="588"/>
                          </w:tabs>
                          <w:contextualSpacing/>
                          <w:rPr>
                            <w:rFonts w:ascii="Arial" w:hAnsi="Arial" w:cs="Arial"/>
                            <w:color w:val="FFFFFF" w:themeColor="background1"/>
                            <w:sz w:val="14"/>
                            <w:szCs w:val="14"/>
                          </w:rPr>
                        </w:pPr>
                        <w:r>
                          <w:rPr>
                            <w:rFonts w:ascii="Arial" w:hAnsi="Arial" w:cs="Arial"/>
                            <w:color w:val="FFFFFF" w:themeColor="background1"/>
                            <w:sz w:val="14"/>
                            <w:szCs w:val="14"/>
                          </w:rPr>
                          <w:t xml:space="preserve">QPS </w:t>
                        </w:r>
                        <w:r w:rsidR="007A6644">
                          <w:rPr>
                            <w:rFonts w:ascii="Arial" w:hAnsi="Arial" w:cs="Arial"/>
                            <w:color w:val="FFFFFF" w:themeColor="background1"/>
                            <w:sz w:val="14"/>
                            <w:szCs w:val="14"/>
                          </w:rPr>
                          <w:t xml:space="preserve">Committee </w:t>
                        </w:r>
                        <w:r w:rsidR="003E07B5">
                          <w:rPr>
                            <w:rFonts w:ascii="Arial" w:hAnsi="Arial" w:cs="Arial"/>
                            <w:color w:val="FFFFFF" w:themeColor="background1"/>
                            <w:sz w:val="14"/>
                            <w:szCs w:val="14"/>
                          </w:rPr>
                          <w:t xml:space="preserve"> </w:t>
                        </w:r>
                        <w:r w:rsidR="007A6644">
                          <w:rPr>
                            <w:rFonts w:ascii="Arial" w:hAnsi="Arial" w:cs="Arial"/>
                            <w:color w:val="FFFFFF" w:themeColor="background1"/>
                            <w:sz w:val="14"/>
                            <w:szCs w:val="14"/>
                          </w:rPr>
                          <w:t xml:space="preserve"> member</w:t>
                        </w:r>
                      </w:p>
                      <w:p w14:paraId="7A5B9CF0" w14:textId="0B9E1E93" w:rsidR="002E14DA" w:rsidRDefault="002E14DA" w:rsidP="00D94481">
                        <w:pPr>
                          <w:pStyle w:val="TOCText"/>
                          <w:tabs>
                            <w:tab w:val="left" w:pos="588"/>
                          </w:tabs>
                          <w:ind w:left="423"/>
                          <w:contextualSpacing/>
                          <w:rPr>
                            <w:rFonts w:ascii="Arial" w:hAnsi="Arial" w:cs="Arial"/>
                            <w:color w:val="FFFFFF" w:themeColor="background1"/>
                            <w:sz w:val="14"/>
                            <w:szCs w:val="14"/>
                          </w:rPr>
                        </w:pPr>
                        <w:r>
                          <w:rPr>
                            <w:rFonts w:ascii="Arial" w:hAnsi="Arial" w:cs="Arial"/>
                            <w:color w:val="FFFFFF" w:themeColor="background1"/>
                            <w:sz w:val="14"/>
                            <w:szCs w:val="14"/>
                          </w:rPr>
                          <w:t>Ziad Alfarah, MD</w:t>
                        </w:r>
                      </w:p>
                      <w:p w14:paraId="7F1F7C05" w14:textId="38DD5B2A" w:rsidR="00080EEE" w:rsidRDefault="00080EEE" w:rsidP="002E14DA">
                        <w:pPr>
                          <w:pStyle w:val="TOCText"/>
                          <w:numPr>
                            <w:ilvl w:val="0"/>
                            <w:numId w:val="18"/>
                          </w:numPr>
                          <w:tabs>
                            <w:tab w:val="left" w:pos="588"/>
                          </w:tabs>
                          <w:contextualSpacing/>
                          <w:rPr>
                            <w:rFonts w:ascii="Arial" w:hAnsi="Arial" w:cs="Arial"/>
                            <w:color w:val="FFFFFF" w:themeColor="background1"/>
                            <w:sz w:val="14"/>
                            <w:szCs w:val="14"/>
                          </w:rPr>
                        </w:pPr>
                        <w:r>
                          <w:rPr>
                            <w:rFonts w:ascii="Arial" w:hAnsi="Arial" w:cs="Arial"/>
                            <w:color w:val="FFFFFF" w:themeColor="background1"/>
                            <w:sz w:val="14"/>
                            <w:szCs w:val="14"/>
                          </w:rPr>
                          <w:t>Cambridge Health Alliance Hospital</w:t>
                        </w:r>
                      </w:p>
                      <w:p w14:paraId="23C049C6" w14:textId="49305E13" w:rsidR="0038163E" w:rsidRPr="00A81488" w:rsidRDefault="00080EEE" w:rsidP="00080EEE">
                        <w:pPr>
                          <w:pStyle w:val="TOCText"/>
                          <w:numPr>
                            <w:ilvl w:val="0"/>
                            <w:numId w:val="18"/>
                          </w:numPr>
                          <w:tabs>
                            <w:tab w:val="left" w:pos="588"/>
                          </w:tabs>
                          <w:contextualSpacing/>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Massachusetts General</w:t>
                        </w:r>
                      </w:p>
                      <w:p w14:paraId="089725F1" w14:textId="1B4AF6C0" w:rsidR="0038163E" w:rsidRPr="00A81488" w:rsidRDefault="0038163E" w:rsidP="00F31352">
                        <w:pPr>
                          <w:pStyle w:val="TOCText"/>
                          <w:tabs>
                            <w:tab w:val="left" w:pos="588"/>
                          </w:tabs>
                          <w:ind w:left="-12"/>
                          <w:contextualSpacing/>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Hospital                       </w:t>
                        </w:r>
                      </w:p>
                      <w:p w14:paraId="1628700F" w14:textId="60A19794" w:rsidR="0038163E" w:rsidRPr="00A81488" w:rsidRDefault="0038163E" w:rsidP="003766BE">
                        <w:pPr>
                          <w:pStyle w:val="TOCText"/>
                          <w:tabs>
                            <w:tab w:val="left" w:pos="588"/>
                          </w:tabs>
                          <w:ind w:left="-12"/>
                          <w:contextualSpacing/>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5</w:t>
                        </w:r>
                        <w:r w:rsidRPr="00A81488">
                          <w:rPr>
                            <w:rStyle w:val="TOCNumberChar"/>
                            <w:rFonts w:ascii="Arial" w:hAnsi="Arial" w:cs="Arial"/>
                            <w:b w:val="0"/>
                            <w:bCs/>
                            <w:color w:val="FFFFFF" w:themeColor="background1"/>
                            <w:sz w:val="14"/>
                            <w:szCs w:val="14"/>
                          </w:rPr>
                          <w:t xml:space="preserve">         </w:t>
                        </w:r>
                        <w:r w:rsidR="00080EEE">
                          <w:rPr>
                            <w:rStyle w:val="TOCNumberChar"/>
                            <w:rFonts w:ascii="Arial" w:hAnsi="Arial" w:cs="Arial"/>
                            <w:b w:val="0"/>
                            <w:bCs/>
                            <w:color w:val="FFFFFF" w:themeColor="background1"/>
                            <w:sz w:val="14"/>
                            <w:szCs w:val="14"/>
                          </w:rPr>
                          <w:t>McLean Hospital</w:t>
                        </w:r>
                      </w:p>
                      <w:p w14:paraId="307F9397" w14:textId="5AFCC570" w:rsidR="0038163E" w:rsidRPr="00A81488" w:rsidRDefault="00A27D68" w:rsidP="00080EEE">
                        <w:pPr>
                          <w:pStyle w:val="TOCText"/>
                          <w:tabs>
                            <w:tab w:val="left" w:pos="588"/>
                          </w:tabs>
                          <w:ind w:left="-12"/>
                          <w:contextualSpacing/>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6</w:t>
                        </w:r>
                        <w:r w:rsidR="0038163E" w:rsidRPr="00A81488">
                          <w:rPr>
                            <w:rStyle w:val="TOCNumberChar"/>
                            <w:rFonts w:ascii="Arial" w:hAnsi="Arial" w:cs="Arial"/>
                            <w:b w:val="0"/>
                            <w:bCs/>
                            <w:color w:val="FFFFFF" w:themeColor="background1"/>
                            <w:sz w:val="14"/>
                            <w:szCs w:val="14"/>
                          </w:rPr>
                          <w:t xml:space="preserve">         </w:t>
                        </w:r>
                        <w:r w:rsidR="00080EEE">
                          <w:rPr>
                            <w:rStyle w:val="TOCNumberChar"/>
                            <w:rFonts w:ascii="Arial" w:hAnsi="Arial" w:cs="Arial"/>
                            <w:b w:val="0"/>
                            <w:bCs/>
                            <w:color w:val="FFFFFF" w:themeColor="background1"/>
                            <w:sz w:val="14"/>
                            <w:szCs w:val="14"/>
                          </w:rPr>
                          <w:t>Tufts Medical Center</w:t>
                        </w:r>
                      </w:p>
                      <w:p w14:paraId="0723BE65" w14:textId="41B83B54" w:rsidR="0038163E" w:rsidRPr="00A81488" w:rsidRDefault="00B1410A" w:rsidP="00080EEE">
                        <w:pPr>
                          <w:pStyle w:val="TOCText"/>
                          <w:tabs>
                            <w:tab w:val="left" w:pos="588"/>
                          </w:tabs>
                          <w:ind w:left="-12"/>
                          <w:contextualSpacing/>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7</w:t>
                        </w:r>
                        <w:r w:rsidR="0038163E" w:rsidRPr="00A81488">
                          <w:rPr>
                            <w:rStyle w:val="TOCNumberChar"/>
                            <w:rFonts w:ascii="Arial" w:hAnsi="Arial" w:cs="Arial"/>
                            <w:b w:val="0"/>
                            <w:bCs/>
                            <w:color w:val="FFFFFF" w:themeColor="background1"/>
                            <w:sz w:val="14"/>
                            <w:szCs w:val="14"/>
                          </w:rPr>
                          <w:t xml:space="preserve">       </w:t>
                        </w:r>
                        <w:r w:rsidR="006B73E3">
                          <w:rPr>
                            <w:rStyle w:val="TOCNumberChar"/>
                            <w:rFonts w:ascii="Arial" w:hAnsi="Arial" w:cs="Arial"/>
                            <w:b w:val="0"/>
                            <w:bCs/>
                            <w:color w:val="FFFFFF" w:themeColor="background1"/>
                            <w:sz w:val="14"/>
                            <w:szCs w:val="14"/>
                          </w:rPr>
                          <w:t xml:space="preserve"> </w:t>
                        </w:r>
                        <w:r w:rsidR="0038163E" w:rsidRPr="00A81488">
                          <w:rPr>
                            <w:rStyle w:val="TOCNumberChar"/>
                            <w:rFonts w:ascii="Arial" w:hAnsi="Arial" w:cs="Arial"/>
                            <w:b w:val="0"/>
                            <w:bCs/>
                            <w:color w:val="FFFFFF" w:themeColor="background1"/>
                            <w:sz w:val="14"/>
                            <w:szCs w:val="14"/>
                          </w:rPr>
                          <w:t xml:space="preserve"> </w:t>
                        </w:r>
                        <w:r w:rsidR="00A27D68">
                          <w:rPr>
                            <w:rStyle w:val="TOCNumberChar"/>
                            <w:rFonts w:ascii="Arial" w:hAnsi="Arial" w:cs="Arial"/>
                            <w:b w:val="0"/>
                            <w:bCs/>
                            <w:color w:val="FFFFFF" w:themeColor="background1"/>
                            <w:sz w:val="14"/>
                            <w:szCs w:val="14"/>
                          </w:rPr>
                          <w:t>Update: Reporting to QPSD</w:t>
                        </w:r>
                      </w:p>
                      <w:p w14:paraId="2761A17F" w14:textId="38CED462" w:rsidR="0038163E" w:rsidRPr="00A81488" w:rsidRDefault="0038163E" w:rsidP="00080EEE">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w:t>
                        </w:r>
                      </w:p>
                      <w:p w14:paraId="1A2021A4" w14:textId="791FEB08" w:rsidR="0038163E" w:rsidRPr="00A81488" w:rsidRDefault="0038163E" w:rsidP="00F31352">
                        <w:pPr>
                          <w:pStyle w:val="TOCText"/>
                          <w:tabs>
                            <w:tab w:val="left" w:pos="588"/>
                          </w:tabs>
                          <w:ind w:left="-12"/>
                          <w:rPr>
                            <w:rFonts w:ascii="Arial" w:hAnsi="Arial" w:cs="Arial"/>
                            <w:b/>
                            <w:color w:val="FFFFFF" w:themeColor="background1"/>
                            <w:sz w:val="14"/>
                            <w:szCs w:val="14"/>
                          </w:rPr>
                        </w:pPr>
                      </w:p>
                      <w:p w14:paraId="2E484CFA" w14:textId="1164A616" w:rsidR="0038163E" w:rsidRPr="00F31352" w:rsidRDefault="0038163E" w:rsidP="00F31352">
                        <w:pPr>
                          <w:pStyle w:val="TOCHeading"/>
                          <w:rPr>
                            <w:b/>
                            <w:bCs/>
                            <w:sz w:val="16"/>
                            <w:szCs w:val="16"/>
                          </w:rPr>
                        </w:pPr>
                      </w:p>
                      <w:p w14:paraId="15C6AB13" w14:textId="084AC015" w:rsidR="0038163E" w:rsidRPr="00F31352" w:rsidRDefault="0038163E" w:rsidP="005808A8">
                        <w:pPr>
                          <w:pStyle w:val="TOCHeading"/>
                          <w:jc w:val="center"/>
                          <w:rPr>
                            <w:b/>
                            <w:bCs/>
                            <w:sz w:val="16"/>
                            <w:szCs w:val="16"/>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5" type="#_x0000_t15" style="position:absolute;left:1724;top:3305;width:16099;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" adj="19019" fillcolor="#385766 [2152]" stroked="f">
                  <v:fill color2="#95b6c5 [1944]" rotate="t" angle="180" colors="0 #385867;31457f #57899f;1 #95b6c5" focus="100%" type="gradient"/>
                  <v:textbox inset="28.8pt,0,14.4pt,0">
                    <w:txbxContent>
                      <w:p w14:paraId="26BDDECD" w14:textId="76FF0F25" w:rsidR="0038163E" w:rsidRPr="00AE6D5F" w:rsidRDefault="0038163E" w:rsidP="008969A5">
                        <w:pPr>
                          <w:pStyle w:val="Masthead"/>
                          <w:rPr>
                            <w:rFonts w:asciiTheme="majorHAnsi" w:eastAsiaTheme="majorEastAsia" w:hAnsiTheme="majorHAnsi" w:cstheme="majorBidi"/>
                            <w:b/>
                            <w:bCs/>
                            <w:color w:val="FFFFFF" w:themeColor="background1"/>
                            <w:sz w:val="26"/>
                            <w:szCs w:val="26"/>
                          </w:rPr>
                        </w:pPr>
                        <w:r w:rsidRPr="00AE6D5F">
                          <w:rPr>
                            <w:rFonts w:asciiTheme="majorHAnsi" w:eastAsiaTheme="majorEastAsia" w:hAnsiTheme="majorHAnsi" w:cstheme="majorBidi"/>
                            <w:b/>
                            <w:bCs/>
                            <w:color w:val="FFFFFF" w:themeColor="background1"/>
                            <w:sz w:val="26"/>
                            <w:szCs w:val="26"/>
                          </w:rPr>
                          <w:t>In This Issue</w:t>
                        </w:r>
                      </w:p>
                    </w:txbxContent>
                  </v:textbox>
                </v:shape>
                <w10:wrap type="square" anchorx="page" anchory="margin"/>
              </v:group>
            </w:pict>
          </mc:Fallback>
        </mc:AlternateContent>
      </w:r>
      <w:r w:rsidR="00D53F3F" w:rsidRPr="00444CC5">
        <w:rPr>
          <w:noProof/>
          <w:sz w:val="20"/>
        </w:rPr>
        <mc:AlternateContent>
          <mc:Choice Requires="wps">
            <w:drawing>
              <wp:anchor distT="0" distB="0" distL="114300" distR="114300" simplePos="0" relativeHeight="251667456" behindDoc="0" locked="0" layoutInCell="1" allowOverlap="1" wp14:anchorId="5A776D81" wp14:editId="76A0F216">
                <wp:simplePos x="0" y="0"/>
                <wp:positionH relativeFrom="page">
                  <wp:posOffset>1889760</wp:posOffset>
                </wp:positionH>
                <wp:positionV relativeFrom="page">
                  <wp:align>bottom</wp:align>
                </wp:positionV>
                <wp:extent cx="5667375" cy="7254240"/>
                <wp:effectExtent l="0" t="0" r="0" b="3810"/>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25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88C0" w14:textId="535A9BFD" w:rsidR="0038163E" w:rsidRPr="0052763B" w:rsidRDefault="0038163E" w:rsidP="00C967E1">
                            <w:pPr>
                              <w:rPr>
                                <w:rFonts w:asciiTheme="majorHAnsi" w:hAnsiTheme="majorHAnsi" w:cs="Calibri"/>
                                <w:sz w:val="20"/>
                              </w:rPr>
                            </w:pPr>
                            <w:r w:rsidRPr="0052763B">
                              <w:rPr>
                                <w:rFonts w:asciiTheme="majorHAnsi" w:hAnsiTheme="majorHAnsi" w:cs="Calibri"/>
                                <w:sz w:val="20"/>
                              </w:rPr>
                              <w:t>Dear Colleagues,</w:t>
                            </w:r>
                          </w:p>
                          <w:p w14:paraId="561F221C" w14:textId="77777777" w:rsidR="0038163E" w:rsidRPr="0052763B" w:rsidRDefault="0038163E" w:rsidP="00C967E1">
                            <w:pPr>
                              <w:rPr>
                                <w:rFonts w:asciiTheme="majorHAnsi" w:hAnsiTheme="majorHAnsi" w:cs="Calibri"/>
                                <w:sz w:val="20"/>
                              </w:rPr>
                            </w:pPr>
                          </w:p>
                          <w:p w14:paraId="282CF965" w14:textId="036504DF" w:rsidR="00CA70BD" w:rsidRDefault="00324B6D" w:rsidP="00324B6D">
                            <w:pPr>
                              <w:rPr>
                                <w:rFonts w:asciiTheme="majorHAnsi" w:hAnsiTheme="majorHAnsi" w:cs="Calibri"/>
                                <w:sz w:val="20"/>
                              </w:rPr>
                            </w:pPr>
                            <w:r>
                              <w:rPr>
                                <w:rFonts w:asciiTheme="majorHAnsi" w:hAnsiTheme="majorHAnsi" w:cs="Calibri"/>
                                <w:sz w:val="20"/>
                              </w:rPr>
                              <w:t xml:space="preserve">As we navigate through a second surge of the pandemic, the disproportionate impact being experienced by minorities and people of color </w:t>
                            </w:r>
                            <w:r w:rsidR="00CA70BD">
                              <w:rPr>
                                <w:rFonts w:asciiTheme="majorHAnsi" w:hAnsiTheme="majorHAnsi" w:cs="Calibri"/>
                                <w:sz w:val="20"/>
                              </w:rPr>
                              <w:t xml:space="preserve">continues to be </w:t>
                            </w:r>
                            <w:r>
                              <w:rPr>
                                <w:rFonts w:asciiTheme="majorHAnsi" w:hAnsiTheme="majorHAnsi" w:cs="Calibri"/>
                                <w:sz w:val="20"/>
                              </w:rPr>
                              <w:t xml:space="preserve">evident. </w:t>
                            </w:r>
                            <w:r w:rsidRPr="00324B6D">
                              <w:rPr>
                                <w:rFonts w:asciiTheme="majorHAnsi" w:hAnsiTheme="majorHAnsi" w:cs="Calibri"/>
                                <w:sz w:val="20"/>
                              </w:rPr>
                              <w:t xml:space="preserve">Long-standing health and social inequities </w:t>
                            </w:r>
                            <w:r>
                              <w:rPr>
                                <w:rFonts w:asciiTheme="majorHAnsi" w:hAnsiTheme="majorHAnsi" w:cs="Calibri"/>
                                <w:sz w:val="20"/>
                              </w:rPr>
                              <w:t>have put racial, ethnic</w:t>
                            </w:r>
                            <w:r w:rsidR="00CA70BD">
                              <w:rPr>
                                <w:rFonts w:asciiTheme="majorHAnsi" w:hAnsiTheme="majorHAnsi" w:cs="Calibri"/>
                                <w:sz w:val="20"/>
                              </w:rPr>
                              <w:t>, and LGBTQ minority</w:t>
                            </w:r>
                            <w:r>
                              <w:rPr>
                                <w:rFonts w:asciiTheme="majorHAnsi" w:hAnsiTheme="majorHAnsi" w:cs="Calibri"/>
                                <w:sz w:val="20"/>
                              </w:rPr>
                              <w:t xml:space="preserve"> groups at higher risk of serious illness and death related to Covid 19. </w:t>
                            </w:r>
                            <w:r w:rsidR="00CA70BD">
                              <w:rPr>
                                <w:rFonts w:asciiTheme="majorHAnsi" w:hAnsiTheme="majorHAnsi" w:cs="Calibri"/>
                                <w:sz w:val="20"/>
                              </w:rPr>
                              <w:t xml:space="preserve">In order to combat these inequities, barriers such as lack of access to care, poverty, </w:t>
                            </w:r>
                            <w:r w:rsidR="007E561B">
                              <w:rPr>
                                <w:rFonts w:asciiTheme="majorHAnsi" w:hAnsiTheme="majorHAnsi" w:cs="Calibri"/>
                                <w:sz w:val="20"/>
                              </w:rPr>
                              <w:t xml:space="preserve">food </w:t>
                            </w:r>
                            <w:r w:rsidR="007174B8">
                              <w:rPr>
                                <w:rFonts w:asciiTheme="majorHAnsi" w:hAnsiTheme="majorHAnsi" w:cs="Calibri"/>
                                <w:sz w:val="20"/>
                              </w:rPr>
                              <w:t>in</w:t>
                            </w:r>
                            <w:r w:rsidR="007E561B">
                              <w:rPr>
                                <w:rFonts w:asciiTheme="majorHAnsi" w:hAnsiTheme="majorHAnsi" w:cs="Calibri"/>
                                <w:sz w:val="20"/>
                              </w:rPr>
                              <w:t xml:space="preserve">security, </w:t>
                            </w:r>
                            <w:r w:rsidR="00CA70BD">
                              <w:rPr>
                                <w:rFonts w:asciiTheme="majorHAnsi" w:hAnsiTheme="majorHAnsi" w:cs="Calibri"/>
                                <w:sz w:val="20"/>
                              </w:rPr>
                              <w:t xml:space="preserve">and discrimination must be </w:t>
                            </w:r>
                            <w:r w:rsidR="001E0C68">
                              <w:rPr>
                                <w:rFonts w:asciiTheme="majorHAnsi" w:hAnsiTheme="majorHAnsi" w:cs="Calibri"/>
                                <w:sz w:val="20"/>
                              </w:rPr>
                              <w:t>identified and acted upon</w:t>
                            </w:r>
                            <w:r w:rsidR="00CA70BD">
                              <w:rPr>
                                <w:rFonts w:asciiTheme="majorHAnsi" w:hAnsiTheme="majorHAnsi" w:cs="Calibri"/>
                                <w:sz w:val="20"/>
                              </w:rPr>
                              <w:t xml:space="preserve">. </w:t>
                            </w:r>
                          </w:p>
                          <w:p w14:paraId="213FE6EF" w14:textId="77777777" w:rsidR="00CA70BD" w:rsidRDefault="00CA70BD" w:rsidP="00324B6D">
                            <w:pPr>
                              <w:rPr>
                                <w:rFonts w:asciiTheme="majorHAnsi" w:hAnsiTheme="majorHAnsi" w:cs="Calibri"/>
                                <w:sz w:val="20"/>
                              </w:rPr>
                            </w:pPr>
                          </w:p>
                          <w:p w14:paraId="63220386" w14:textId="040A7B2F" w:rsidR="00E83DDA" w:rsidRDefault="00CA70BD" w:rsidP="00324B6D">
                            <w:pPr>
                              <w:rPr>
                                <w:rFonts w:asciiTheme="majorHAnsi" w:hAnsiTheme="majorHAnsi" w:cs="Calibri"/>
                                <w:sz w:val="20"/>
                              </w:rPr>
                            </w:pPr>
                            <w:r>
                              <w:rPr>
                                <w:rFonts w:asciiTheme="majorHAnsi" w:hAnsiTheme="majorHAnsi" w:cs="Calibri"/>
                                <w:sz w:val="20"/>
                              </w:rPr>
                              <w:t>The Quality and Patient Safety Division</w:t>
                            </w:r>
                            <w:r w:rsidR="007174B8">
                              <w:rPr>
                                <w:rFonts w:asciiTheme="majorHAnsi" w:hAnsiTheme="majorHAnsi" w:cs="Calibri"/>
                                <w:sz w:val="20"/>
                              </w:rPr>
                              <w:t xml:space="preserve"> (QPSD) </w:t>
                            </w:r>
                            <w:r>
                              <w:rPr>
                                <w:rFonts w:asciiTheme="majorHAnsi" w:hAnsiTheme="majorHAnsi" w:cs="Calibri"/>
                                <w:sz w:val="20"/>
                              </w:rPr>
                              <w:t xml:space="preserve">has asked </w:t>
                            </w:r>
                            <w:r w:rsidR="007E561B">
                              <w:rPr>
                                <w:rFonts w:asciiTheme="majorHAnsi" w:hAnsiTheme="majorHAnsi" w:cs="Calibri"/>
                                <w:sz w:val="20"/>
                              </w:rPr>
                              <w:t>several</w:t>
                            </w:r>
                            <w:r>
                              <w:rPr>
                                <w:rFonts w:asciiTheme="majorHAnsi" w:hAnsiTheme="majorHAnsi" w:cs="Calibri"/>
                                <w:sz w:val="20"/>
                              </w:rPr>
                              <w:t xml:space="preserve"> of the </w:t>
                            </w:r>
                            <w:r w:rsidR="007E561B">
                              <w:rPr>
                                <w:rFonts w:asciiTheme="majorHAnsi" w:hAnsiTheme="majorHAnsi" w:cs="Calibri"/>
                                <w:sz w:val="20"/>
                              </w:rPr>
                              <w:t>hospitals that report to us</w:t>
                            </w:r>
                            <w:r>
                              <w:rPr>
                                <w:rFonts w:asciiTheme="majorHAnsi" w:hAnsiTheme="majorHAnsi" w:cs="Calibri"/>
                                <w:sz w:val="20"/>
                              </w:rPr>
                              <w:t xml:space="preserve"> to share some of the programs that they have implemented to </w:t>
                            </w:r>
                            <w:r w:rsidR="007174B8">
                              <w:rPr>
                                <w:rFonts w:asciiTheme="majorHAnsi" w:hAnsiTheme="majorHAnsi" w:cs="Calibri"/>
                                <w:sz w:val="20"/>
                              </w:rPr>
                              <w:t xml:space="preserve">address </w:t>
                            </w:r>
                            <w:r>
                              <w:rPr>
                                <w:rFonts w:asciiTheme="majorHAnsi" w:hAnsiTheme="majorHAnsi" w:cs="Calibri"/>
                                <w:sz w:val="20"/>
                              </w:rPr>
                              <w:t xml:space="preserve">the inequities in healthcare. </w:t>
                            </w:r>
                            <w:r w:rsidR="000B4586">
                              <w:rPr>
                                <w:rFonts w:asciiTheme="majorHAnsi" w:hAnsiTheme="majorHAnsi" w:cs="Calibri"/>
                                <w:sz w:val="20"/>
                              </w:rPr>
                              <w:t>M</w:t>
                            </w:r>
                            <w:r>
                              <w:rPr>
                                <w:rFonts w:asciiTheme="majorHAnsi" w:hAnsiTheme="majorHAnsi" w:cs="Calibri"/>
                                <w:sz w:val="20"/>
                              </w:rPr>
                              <w:t>any organizations are attempting to close that gap</w:t>
                            </w:r>
                            <w:r w:rsidR="000B4586">
                              <w:rPr>
                                <w:rFonts w:asciiTheme="majorHAnsi" w:hAnsiTheme="majorHAnsi" w:cs="Calibri"/>
                                <w:sz w:val="20"/>
                              </w:rPr>
                              <w:t xml:space="preserve"> by addressing </w:t>
                            </w:r>
                            <w:r w:rsidR="000B4586" w:rsidRPr="00CA70BD">
                              <w:rPr>
                                <w:rFonts w:asciiTheme="majorHAnsi" w:hAnsiTheme="majorHAnsi" w:cs="Calibri"/>
                                <w:sz w:val="20"/>
                              </w:rPr>
                              <w:t>the social, physical and economic conditions that impact health</w:t>
                            </w:r>
                            <w:r>
                              <w:rPr>
                                <w:rFonts w:asciiTheme="majorHAnsi" w:hAnsiTheme="majorHAnsi" w:cs="Calibri"/>
                                <w:sz w:val="20"/>
                              </w:rPr>
                              <w:t>. We encourage all hospitals and ambulatory clinics to continue to share their efforts with us</w:t>
                            </w:r>
                            <w:r w:rsidR="001E7007">
                              <w:rPr>
                                <w:rFonts w:asciiTheme="majorHAnsi" w:hAnsiTheme="majorHAnsi" w:cs="Calibri"/>
                                <w:sz w:val="20"/>
                              </w:rPr>
                              <w:t xml:space="preserve"> through their reporting</w:t>
                            </w:r>
                            <w:r>
                              <w:rPr>
                                <w:rFonts w:asciiTheme="majorHAnsi" w:hAnsiTheme="majorHAnsi" w:cs="Calibri"/>
                                <w:sz w:val="20"/>
                              </w:rPr>
                              <w:t xml:space="preserve">. </w:t>
                            </w:r>
                            <w:r w:rsidR="006E669C">
                              <w:rPr>
                                <w:rFonts w:asciiTheme="majorHAnsi" w:hAnsiTheme="majorHAnsi" w:cs="Calibri"/>
                                <w:sz w:val="20"/>
                              </w:rPr>
                              <w:t>QPS Committee member, Dr. Ziad Alfarah also shares his thoughts on the changes that we individually can make in the fight against racism.</w:t>
                            </w:r>
                          </w:p>
                          <w:p w14:paraId="437D6C8A" w14:textId="3DB9C3E6" w:rsidR="007174B8" w:rsidRDefault="007174B8" w:rsidP="00324B6D">
                            <w:pPr>
                              <w:rPr>
                                <w:rFonts w:asciiTheme="majorHAnsi" w:hAnsiTheme="majorHAnsi" w:cs="Calibri"/>
                                <w:sz w:val="20"/>
                              </w:rPr>
                            </w:pPr>
                          </w:p>
                          <w:p w14:paraId="1A9D1943" w14:textId="17A45023" w:rsidR="007174B8" w:rsidRDefault="007174B8" w:rsidP="00324B6D">
                            <w:pPr>
                              <w:rPr>
                                <w:rFonts w:asciiTheme="majorHAnsi" w:hAnsiTheme="majorHAnsi" w:cs="Calibri"/>
                                <w:sz w:val="20"/>
                              </w:rPr>
                            </w:pPr>
                            <w:r>
                              <w:rPr>
                                <w:rFonts w:asciiTheme="majorHAnsi" w:hAnsiTheme="majorHAnsi" w:cs="Calibri"/>
                                <w:sz w:val="20"/>
                              </w:rPr>
                              <w:t>The QPSD is mindful of the ongoing toll the pandemic has taken on hospitals and ambulatory clinics in the Commonwealth. In 2020, we attempted to reduce the burden related to reporting by excusing the spring annual and semi-</w:t>
                            </w:r>
                            <w:r w:rsidR="00B476D7">
                              <w:rPr>
                                <w:rFonts w:asciiTheme="majorHAnsi" w:hAnsiTheme="majorHAnsi" w:cs="Calibri"/>
                                <w:sz w:val="20"/>
                              </w:rPr>
                              <w:t>annual</w:t>
                            </w:r>
                            <w:r>
                              <w:rPr>
                                <w:rFonts w:asciiTheme="majorHAnsi" w:hAnsiTheme="majorHAnsi" w:cs="Calibri"/>
                                <w:sz w:val="20"/>
                              </w:rPr>
                              <w:t xml:space="preserve"> reports and making the fall semi-annual report and select SQRs optional. </w:t>
                            </w:r>
                            <w:r w:rsidR="00B476D7">
                              <w:rPr>
                                <w:rFonts w:asciiTheme="majorHAnsi" w:hAnsiTheme="majorHAnsi" w:cs="Calibri"/>
                                <w:sz w:val="20"/>
                              </w:rPr>
                              <w:t xml:space="preserve">In 2021, we have made additional amendments to reporting including an extension for the spring </w:t>
                            </w:r>
                            <w:r w:rsidR="001E7007">
                              <w:rPr>
                                <w:rFonts w:asciiTheme="majorHAnsi" w:hAnsiTheme="majorHAnsi" w:cs="Calibri"/>
                                <w:sz w:val="20"/>
                              </w:rPr>
                              <w:t xml:space="preserve">2021 </w:t>
                            </w:r>
                            <w:r w:rsidR="00B476D7">
                              <w:rPr>
                                <w:rFonts w:asciiTheme="majorHAnsi" w:hAnsiTheme="majorHAnsi" w:cs="Calibri"/>
                                <w:sz w:val="20"/>
                              </w:rPr>
                              <w:t xml:space="preserve">annual and semi-annual reports as well as an option to submit modified reports in lieu of the standard annual and semi-annual reports. Details regarding these changes were emailed to PCA Coordinators in December and may also be found on page seven of this newsletter. </w:t>
                            </w:r>
                          </w:p>
                          <w:p w14:paraId="37DC46A1" w14:textId="188E730B" w:rsidR="00B476D7" w:rsidRDefault="00B476D7" w:rsidP="00324B6D">
                            <w:pPr>
                              <w:rPr>
                                <w:rFonts w:asciiTheme="majorHAnsi" w:hAnsiTheme="majorHAnsi" w:cs="Calibri"/>
                                <w:sz w:val="20"/>
                              </w:rPr>
                            </w:pPr>
                          </w:p>
                          <w:p w14:paraId="4B028BD3" w14:textId="654DABE3" w:rsidR="00B476D7" w:rsidRDefault="00B476D7" w:rsidP="00B476D7">
                            <w:pPr>
                              <w:shd w:val="clear" w:color="auto" w:fill="FFFFFF"/>
                              <w:rPr>
                                <w:rFonts w:asciiTheme="majorHAnsi" w:hAnsiTheme="majorHAnsi" w:cs="Calibri"/>
                                <w:sz w:val="20"/>
                              </w:rPr>
                            </w:pPr>
                            <w:r>
                              <w:rPr>
                                <w:rFonts w:asciiTheme="majorHAnsi" w:hAnsiTheme="majorHAnsi" w:cs="Calibri"/>
                                <w:sz w:val="20"/>
                              </w:rPr>
                              <w:t xml:space="preserve">We would also like to announce </w:t>
                            </w:r>
                            <w:r w:rsidR="009E3297">
                              <w:rPr>
                                <w:rFonts w:asciiTheme="majorHAnsi" w:hAnsiTheme="majorHAnsi" w:cs="Calibri"/>
                                <w:sz w:val="20"/>
                              </w:rPr>
                              <w:t>additional changes to our division</w:t>
                            </w:r>
                            <w:r>
                              <w:rPr>
                                <w:rFonts w:asciiTheme="majorHAnsi" w:hAnsiTheme="majorHAnsi" w:cs="Calibri"/>
                                <w:sz w:val="20"/>
                              </w:rPr>
                              <w:t xml:space="preserve">. In 2020, the Board’s Quality and Patient Safety Committee was fortunate to welcome </w:t>
                            </w:r>
                            <w:r w:rsidR="000B4586">
                              <w:rPr>
                                <w:rFonts w:asciiTheme="majorHAnsi" w:hAnsiTheme="majorHAnsi" w:cs="Calibri"/>
                                <w:sz w:val="20"/>
                              </w:rPr>
                              <w:t xml:space="preserve">Dr. Yvonne Cheung from Mount Auburn Hospital and </w:t>
                            </w:r>
                            <w:r>
                              <w:rPr>
                                <w:rFonts w:asciiTheme="majorHAnsi" w:hAnsiTheme="majorHAnsi" w:cs="Calibri"/>
                                <w:sz w:val="20"/>
                              </w:rPr>
                              <w:t xml:space="preserve">Dr. Leslie Selbovitz from Milford Regional Medical Center. We were also fortunate to add Dorothy Doweiko, </w:t>
                            </w:r>
                            <w:r w:rsidRPr="00B476D7">
                              <w:rPr>
                                <w:rFonts w:asciiTheme="majorHAnsi" w:hAnsiTheme="majorHAnsi" w:cs="Calibri"/>
                                <w:sz w:val="20"/>
                              </w:rPr>
                              <w:t>MHA, BSN, RN</w:t>
                            </w:r>
                            <w:r>
                              <w:rPr>
                                <w:rFonts w:asciiTheme="majorHAnsi" w:hAnsiTheme="majorHAnsi" w:cs="Calibri"/>
                                <w:sz w:val="20"/>
                              </w:rPr>
                              <w:t xml:space="preserve"> to the QPS</w:t>
                            </w:r>
                            <w:r w:rsidR="009E3297">
                              <w:rPr>
                                <w:rFonts w:asciiTheme="majorHAnsi" w:hAnsiTheme="majorHAnsi" w:cs="Calibri"/>
                                <w:sz w:val="20"/>
                              </w:rPr>
                              <w:t>D</w:t>
                            </w:r>
                            <w:r>
                              <w:rPr>
                                <w:rFonts w:asciiTheme="majorHAnsi" w:hAnsiTheme="majorHAnsi" w:cs="Calibri"/>
                                <w:sz w:val="20"/>
                              </w:rPr>
                              <w:t xml:space="preserve">. We are </w:t>
                            </w:r>
                            <w:r w:rsidR="009E3297">
                              <w:rPr>
                                <w:rFonts w:asciiTheme="majorHAnsi" w:hAnsiTheme="majorHAnsi" w:cs="Calibri"/>
                                <w:sz w:val="20"/>
                              </w:rPr>
                              <w:t xml:space="preserve">now </w:t>
                            </w:r>
                            <w:r>
                              <w:rPr>
                                <w:rFonts w:asciiTheme="majorHAnsi" w:hAnsiTheme="majorHAnsi" w:cs="Calibri"/>
                                <w:sz w:val="20"/>
                              </w:rPr>
                              <w:t>pleased to announce the addition o</w:t>
                            </w:r>
                            <w:r w:rsidR="009E3297">
                              <w:rPr>
                                <w:rFonts w:asciiTheme="majorHAnsi" w:hAnsiTheme="majorHAnsi" w:cs="Calibri"/>
                                <w:sz w:val="20"/>
                              </w:rPr>
                              <w:t>f</w:t>
                            </w:r>
                            <w:r>
                              <w:rPr>
                                <w:rFonts w:asciiTheme="majorHAnsi" w:hAnsiTheme="majorHAnsi" w:cs="Calibri"/>
                                <w:sz w:val="20"/>
                              </w:rPr>
                              <w:t xml:space="preserve"> another member</w:t>
                            </w:r>
                            <w:r w:rsidR="009E3297">
                              <w:rPr>
                                <w:rFonts w:asciiTheme="majorHAnsi" w:hAnsiTheme="majorHAnsi" w:cs="Calibri"/>
                                <w:sz w:val="20"/>
                              </w:rPr>
                              <w:t xml:space="preserve"> of QPSD</w:t>
                            </w:r>
                            <w:r>
                              <w:rPr>
                                <w:rFonts w:asciiTheme="majorHAnsi" w:hAnsiTheme="majorHAnsi" w:cs="Calibri"/>
                                <w:sz w:val="20"/>
                              </w:rPr>
                              <w:t xml:space="preserve">, Trinh Ly-Lucas, </w:t>
                            </w:r>
                            <w:r w:rsidR="009E3297">
                              <w:rPr>
                                <w:rFonts w:asciiTheme="majorHAnsi" w:hAnsiTheme="majorHAnsi" w:cs="Calibri"/>
                                <w:sz w:val="20"/>
                              </w:rPr>
                              <w:t xml:space="preserve">MSN, AGNP-BC. We are </w:t>
                            </w:r>
                            <w:r w:rsidR="00684B50">
                              <w:rPr>
                                <w:rFonts w:asciiTheme="majorHAnsi" w:hAnsiTheme="majorHAnsi" w:cs="Calibri"/>
                                <w:sz w:val="20"/>
                              </w:rPr>
                              <w:t>delighted</w:t>
                            </w:r>
                            <w:r w:rsidR="009E3297">
                              <w:rPr>
                                <w:rFonts w:asciiTheme="majorHAnsi" w:hAnsiTheme="majorHAnsi" w:cs="Calibri"/>
                                <w:sz w:val="20"/>
                              </w:rPr>
                              <w:t xml:space="preserve"> to welcome Trinh as a valued member of our team. </w:t>
                            </w:r>
                          </w:p>
                          <w:p w14:paraId="013120CC" w14:textId="54C3DD31" w:rsidR="009E3297" w:rsidRDefault="009E3297" w:rsidP="00B476D7">
                            <w:pPr>
                              <w:shd w:val="clear" w:color="auto" w:fill="FFFFFF"/>
                              <w:rPr>
                                <w:rFonts w:asciiTheme="majorHAnsi" w:hAnsiTheme="majorHAnsi" w:cs="Calibri"/>
                                <w:sz w:val="20"/>
                              </w:rPr>
                            </w:pPr>
                          </w:p>
                          <w:p w14:paraId="79098BA6" w14:textId="6AE33F74" w:rsidR="009E3297" w:rsidRDefault="001E0C68" w:rsidP="00B476D7">
                            <w:pPr>
                              <w:shd w:val="clear" w:color="auto" w:fill="FFFFFF"/>
                              <w:rPr>
                                <w:rFonts w:asciiTheme="majorHAnsi" w:hAnsiTheme="majorHAnsi" w:cs="Calibri"/>
                                <w:sz w:val="20"/>
                              </w:rPr>
                            </w:pPr>
                            <w:r w:rsidRPr="001E0C68">
                              <w:rPr>
                                <w:rFonts w:asciiTheme="majorHAnsi" w:hAnsiTheme="majorHAnsi" w:cs="Calibri"/>
                                <w:sz w:val="20"/>
                              </w:rPr>
                              <w:t>There is no doubt that 2020</w:t>
                            </w:r>
                            <w:r>
                              <w:rPr>
                                <w:rFonts w:asciiTheme="majorHAnsi" w:hAnsiTheme="majorHAnsi" w:cs="Calibri"/>
                                <w:sz w:val="20"/>
                              </w:rPr>
                              <w:t xml:space="preserve"> has challenged us in ways that we have never experienced before. The new year also presents challenges, but with the introduction of the new Covid 19 vaccine and with the knowledge of disease management and treatment options that were discovered during the first surge, the new year brings hope. We look forward to continuing to work with you and to a time </w:t>
                            </w:r>
                            <w:r w:rsidR="004B078A">
                              <w:rPr>
                                <w:rFonts w:asciiTheme="majorHAnsi" w:hAnsiTheme="majorHAnsi" w:cs="Calibri"/>
                                <w:sz w:val="20"/>
                              </w:rPr>
                              <w:t xml:space="preserve">when </w:t>
                            </w:r>
                            <w:r>
                              <w:rPr>
                                <w:rFonts w:asciiTheme="majorHAnsi" w:hAnsiTheme="majorHAnsi" w:cs="Calibri"/>
                                <w:sz w:val="20"/>
                              </w:rPr>
                              <w:t>we can gather together again.</w:t>
                            </w:r>
                          </w:p>
                          <w:p w14:paraId="54EC631B" w14:textId="4CC65FE7" w:rsidR="001E7007" w:rsidRPr="001E0C68" w:rsidRDefault="001E7007" w:rsidP="00B476D7">
                            <w:pPr>
                              <w:shd w:val="clear" w:color="auto" w:fill="FFFFFF"/>
                              <w:rPr>
                                <w:rFonts w:asciiTheme="majorHAnsi" w:hAnsiTheme="majorHAnsi" w:cs="Calibri"/>
                                <w:sz w:val="20"/>
                              </w:rPr>
                            </w:pPr>
                            <w:r>
                              <w:rPr>
                                <w:rFonts w:asciiTheme="majorHAnsi" w:hAnsiTheme="majorHAnsi" w:cs="Calibri"/>
                                <w:sz w:val="20"/>
                              </w:rPr>
                              <w:t>Best,</w:t>
                            </w:r>
                          </w:p>
                          <w:p w14:paraId="1A980871" w14:textId="715A0A90" w:rsidR="0038163E" w:rsidRPr="001E7007" w:rsidRDefault="00B476D7" w:rsidP="001E7007">
                            <w:pPr>
                              <w:shd w:val="clear" w:color="auto" w:fill="FFFFFF"/>
                              <w:rPr>
                                <w:rFonts w:ascii="Segoe UI" w:hAnsi="Segoe UI" w:cs="Segoe UI"/>
                                <w:color w:val="212121"/>
                                <w:sz w:val="23"/>
                                <w:szCs w:val="23"/>
                              </w:rPr>
                            </w:pPr>
                            <w:r w:rsidRPr="00B476D7">
                              <w:rPr>
                                <w:rFonts w:ascii="Calibri" w:hAnsi="Calibri" w:cs="Segoe UI"/>
                                <w:color w:val="212121"/>
                                <w:sz w:val="22"/>
                                <w:szCs w:val="22"/>
                              </w:rPr>
                              <w:t> </w:t>
                            </w:r>
                            <w:r w:rsidR="0038163E" w:rsidRPr="00602FC0">
                              <w:rPr>
                                <w:rFonts w:ascii="Bradley Hand ITC" w:hAnsi="Bradley Hand ITC" w:cs="Calibri"/>
                                <w:b/>
                                <w:sz w:val="22"/>
                                <w:szCs w:val="22"/>
                              </w:rPr>
                              <w:t>Julian N. Robinson, MD</w:t>
                            </w:r>
                            <w:r w:rsidR="0038163E">
                              <w:rPr>
                                <w:rFonts w:ascii="Bradley Hand ITC" w:hAnsi="Bradley Hand ITC" w:cs="Calibri"/>
                                <w:b/>
                                <w:sz w:val="22"/>
                                <w:szCs w:val="22"/>
                              </w:rPr>
                              <w:t xml:space="preserve"> and Daniela Brown, RN</w:t>
                            </w:r>
                          </w:p>
                          <w:p w14:paraId="532069F1" w14:textId="77777777" w:rsidR="0038163E" w:rsidRPr="006B71EB" w:rsidRDefault="0038163E" w:rsidP="00E06969">
                            <w:pPr>
                              <w:rPr>
                                <w:rFonts w:ascii="Calibri" w:hAnsi="Calibri" w:cs="Calibri"/>
                                <w:sz w:val="22"/>
                                <w:szCs w:val="22"/>
                              </w:rPr>
                            </w:pPr>
                          </w:p>
                          <w:p w14:paraId="4BBD4086" w14:textId="1834F10A" w:rsidR="0038163E" w:rsidRPr="006B71EB" w:rsidRDefault="0038163E" w:rsidP="00E06969">
                            <w:pPr>
                              <w:rPr>
                                <w:rFonts w:ascii="Calibri" w:hAnsi="Calibri" w:cs="Calibri"/>
                                <w:sz w:val="22"/>
                                <w:szCs w:val="22"/>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76D81" id="Text Box 14" o:spid="_x0000_s1036" type="#_x0000_t202" style="position:absolute;margin-left:148.8pt;margin-top:0;width:446.25pt;height:571.2pt;z-index:25166745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" filled="f" stroked="f">
                <v:textbox inset="0,0,,0">
                  <w:txbxContent>
                    <w:p w14:paraId="714588C0" w14:textId="535A9BFD" w:rsidR="0038163E" w:rsidRPr="0052763B" w:rsidRDefault="0038163E" w:rsidP="00C967E1">
                      <w:pPr>
                        <w:rPr>
                          <w:rFonts w:asciiTheme="majorHAnsi" w:hAnsiTheme="majorHAnsi" w:cs="Calibri"/>
                          <w:sz w:val="20"/>
                        </w:rPr>
                      </w:pPr>
                      <w:r w:rsidRPr="0052763B">
                        <w:rPr>
                          <w:rFonts w:asciiTheme="majorHAnsi" w:hAnsiTheme="majorHAnsi" w:cs="Calibri"/>
                          <w:sz w:val="20"/>
                        </w:rPr>
                        <w:t>Dear Colleagues,</w:t>
                      </w:r>
                    </w:p>
                    <w:p w14:paraId="561F221C" w14:textId="77777777" w:rsidR="0038163E" w:rsidRPr="0052763B" w:rsidRDefault="0038163E" w:rsidP="00C967E1">
                      <w:pPr>
                        <w:rPr>
                          <w:rFonts w:asciiTheme="majorHAnsi" w:hAnsiTheme="majorHAnsi" w:cs="Calibri"/>
                          <w:sz w:val="20"/>
                        </w:rPr>
                      </w:pPr>
                    </w:p>
                    <w:p w14:paraId="282CF965" w14:textId="036504DF" w:rsidR="00CA70BD" w:rsidRDefault="00324B6D" w:rsidP="00324B6D">
                      <w:pPr>
                        <w:rPr>
                          <w:rFonts w:asciiTheme="majorHAnsi" w:hAnsiTheme="majorHAnsi" w:cs="Calibri"/>
                          <w:sz w:val="20"/>
                        </w:rPr>
                      </w:pPr>
                      <w:r>
                        <w:rPr>
                          <w:rFonts w:asciiTheme="majorHAnsi" w:hAnsiTheme="majorHAnsi" w:cs="Calibri"/>
                          <w:sz w:val="20"/>
                        </w:rPr>
                        <w:t xml:space="preserve">As we navigate through a second surge of the pandemic, the disproportionate impact being experienced by minorities and people of color </w:t>
                      </w:r>
                      <w:r w:rsidR="00CA70BD">
                        <w:rPr>
                          <w:rFonts w:asciiTheme="majorHAnsi" w:hAnsiTheme="majorHAnsi" w:cs="Calibri"/>
                          <w:sz w:val="20"/>
                        </w:rPr>
                        <w:t xml:space="preserve">continues to be </w:t>
                      </w:r>
                      <w:r>
                        <w:rPr>
                          <w:rFonts w:asciiTheme="majorHAnsi" w:hAnsiTheme="majorHAnsi" w:cs="Calibri"/>
                          <w:sz w:val="20"/>
                        </w:rPr>
                        <w:t xml:space="preserve">evident. </w:t>
                      </w:r>
                      <w:r w:rsidRPr="00324B6D">
                        <w:rPr>
                          <w:rFonts w:asciiTheme="majorHAnsi" w:hAnsiTheme="majorHAnsi" w:cs="Calibri"/>
                          <w:sz w:val="20"/>
                        </w:rPr>
                        <w:t xml:space="preserve">Long-standing health and social inequities </w:t>
                      </w:r>
                      <w:r>
                        <w:rPr>
                          <w:rFonts w:asciiTheme="majorHAnsi" w:hAnsiTheme="majorHAnsi" w:cs="Calibri"/>
                          <w:sz w:val="20"/>
                        </w:rPr>
                        <w:t>have put racial, ethnic</w:t>
                      </w:r>
                      <w:r w:rsidR="00CA70BD">
                        <w:rPr>
                          <w:rFonts w:asciiTheme="majorHAnsi" w:hAnsiTheme="majorHAnsi" w:cs="Calibri"/>
                          <w:sz w:val="20"/>
                        </w:rPr>
                        <w:t>, and LGBTQ minority</w:t>
                      </w:r>
                      <w:r>
                        <w:rPr>
                          <w:rFonts w:asciiTheme="majorHAnsi" w:hAnsiTheme="majorHAnsi" w:cs="Calibri"/>
                          <w:sz w:val="20"/>
                        </w:rPr>
                        <w:t xml:space="preserve"> groups at higher risk of serious illness and death related to Covid 19. </w:t>
                      </w:r>
                      <w:r w:rsidR="00CA70BD">
                        <w:rPr>
                          <w:rFonts w:asciiTheme="majorHAnsi" w:hAnsiTheme="majorHAnsi" w:cs="Calibri"/>
                          <w:sz w:val="20"/>
                        </w:rPr>
                        <w:t xml:space="preserve">In order to combat these inequities, barriers such as lack of access to care, poverty, </w:t>
                      </w:r>
                      <w:r w:rsidR="007E561B">
                        <w:rPr>
                          <w:rFonts w:asciiTheme="majorHAnsi" w:hAnsiTheme="majorHAnsi" w:cs="Calibri"/>
                          <w:sz w:val="20"/>
                        </w:rPr>
                        <w:t xml:space="preserve">food </w:t>
                      </w:r>
                      <w:r w:rsidR="007174B8">
                        <w:rPr>
                          <w:rFonts w:asciiTheme="majorHAnsi" w:hAnsiTheme="majorHAnsi" w:cs="Calibri"/>
                          <w:sz w:val="20"/>
                        </w:rPr>
                        <w:t>in</w:t>
                      </w:r>
                      <w:r w:rsidR="007E561B">
                        <w:rPr>
                          <w:rFonts w:asciiTheme="majorHAnsi" w:hAnsiTheme="majorHAnsi" w:cs="Calibri"/>
                          <w:sz w:val="20"/>
                        </w:rPr>
                        <w:t xml:space="preserve">security, </w:t>
                      </w:r>
                      <w:r w:rsidR="00CA70BD">
                        <w:rPr>
                          <w:rFonts w:asciiTheme="majorHAnsi" w:hAnsiTheme="majorHAnsi" w:cs="Calibri"/>
                          <w:sz w:val="20"/>
                        </w:rPr>
                        <w:t xml:space="preserve">and discrimination must be </w:t>
                      </w:r>
                      <w:r w:rsidR="001E0C68">
                        <w:rPr>
                          <w:rFonts w:asciiTheme="majorHAnsi" w:hAnsiTheme="majorHAnsi" w:cs="Calibri"/>
                          <w:sz w:val="20"/>
                        </w:rPr>
                        <w:t>identified and acted upon</w:t>
                      </w:r>
                      <w:r w:rsidR="00CA70BD">
                        <w:rPr>
                          <w:rFonts w:asciiTheme="majorHAnsi" w:hAnsiTheme="majorHAnsi" w:cs="Calibri"/>
                          <w:sz w:val="20"/>
                        </w:rPr>
                        <w:t xml:space="preserve">. </w:t>
                      </w:r>
                    </w:p>
                    <w:p w14:paraId="213FE6EF" w14:textId="77777777" w:rsidR="00CA70BD" w:rsidRDefault="00CA70BD" w:rsidP="00324B6D">
                      <w:pPr>
                        <w:rPr>
                          <w:rFonts w:asciiTheme="majorHAnsi" w:hAnsiTheme="majorHAnsi" w:cs="Calibri"/>
                          <w:sz w:val="20"/>
                        </w:rPr>
                      </w:pPr>
                    </w:p>
                    <w:p w14:paraId="63220386" w14:textId="040A7B2F" w:rsidR="00E83DDA" w:rsidRDefault="00CA70BD" w:rsidP="00324B6D">
                      <w:pPr>
                        <w:rPr>
                          <w:rFonts w:asciiTheme="majorHAnsi" w:hAnsiTheme="majorHAnsi" w:cs="Calibri"/>
                          <w:sz w:val="20"/>
                        </w:rPr>
                      </w:pPr>
                      <w:r>
                        <w:rPr>
                          <w:rFonts w:asciiTheme="majorHAnsi" w:hAnsiTheme="majorHAnsi" w:cs="Calibri"/>
                          <w:sz w:val="20"/>
                        </w:rPr>
                        <w:t>The Quality and Patient Safety Division</w:t>
                      </w:r>
                      <w:r w:rsidR="007174B8">
                        <w:rPr>
                          <w:rFonts w:asciiTheme="majorHAnsi" w:hAnsiTheme="majorHAnsi" w:cs="Calibri"/>
                          <w:sz w:val="20"/>
                        </w:rPr>
                        <w:t xml:space="preserve"> (QPSD) </w:t>
                      </w:r>
                      <w:r>
                        <w:rPr>
                          <w:rFonts w:asciiTheme="majorHAnsi" w:hAnsiTheme="majorHAnsi" w:cs="Calibri"/>
                          <w:sz w:val="20"/>
                        </w:rPr>
                        <w:t xml:space="preserve">has asked </w:t>
                      </w:r>
                      <w:r w:rsidR="007E561B">
                        <w:rPr>
                          <w:rFonts w:asciiTheme="majorHAnsi" w:hAnsiTheme="majorHAnsi" w:cs="Calibri"/>
                          <w:sz w:val="20"/>
                        </w:rPr>
                        <w:t>several</w:t>
                      </w:r>
                      <w:r>
                        <w:rPr>
                          <w:rFonts w:asciiTheme="majorHAnsi" w:hAnsiTheme="majorHAnsi" w:cs="Calibri"/>
                          <w:sz w:val="20"/>
                        </w:rPr>
                        <w:t xml:space="preserve"> of the </w:t>
                      </w:r>
                      <w:r w:rsidR="007E561B">
                        <w:rPr>
                          <w:rFonts w:asciiTheme="majorHAnsi" w:hAnsiTheme="majorHAnsi" w:cs="Calibri"/>
                          <w:sz w:val="20"/>
                        </w:rPr>
                        <w:t>hospitals that report to us</w:t>
                      </w:r>
                      <w:r>
                        <w:rPr>
                          <w:rFonts w:asciiTheme="majorHAnsi" w:hAnsiTheme="majorHAnsi" w:cs="Calibri"/>
                          <w:sz w:val="20"/>
                        </w:rPr>
                        <w:t xml:space="preserve"> to share some of the programs that they have implemented to </w:t>
                      </w:r>
                      <w:r w:rsidR="007174B8">
                        <w:rPr>
                          <w:rFonts w:asciiTheme="majorHAnsi" w:hAnsiTheme="majorHAnsi" w:cs="Calibri"/>
                          <w:sz w:val="20"/>
                        </w:rPr>
                        <w:t xml:space="preserve">address </w:t>
                      </w:r>
                      <w:r>
                        <w:rPr>
                          <w:rFonts w:asciiTheme="majorHAnsi" w:hAnsiTheme="majorHAnsi" w:cs="Calibri"/>
                          <w:sz w:val="20"/>
                        </w:rPr>
                        <w:t xml:space="preserve">the inequities in healthcare. </w:t>
                      </w:r>
                      <w:r w:rsidR="000B4586">
                        <w:rPr>
                          <w:rFonts w:asciiTheme="majorHAnsi" w:hAnsiTheme="majorHAnsi" w:cs="Calibri"/>
                          <w:sz w:val="20"/>
                        </w:rPr>
                        <w:t>M</w:t>
                      </w:r>
                      <w:r>
                        <w:rPr>
                          <w:rFonts w:asciiTheme="majorHAnsi" w:hAnsiTheme="majorHAnsi" w:cs="Calibri"/>
                          <w:sz w:val="20"/>
                        </w:rPr>
                        <w:t>any organizations are attempting to close that gap</w:t>
                      </w:r>
                      <w:r w:rsidR="000B4586">
                        <w:rPr>
                          <w:rFonts w:asciiTheme="majorHAnsi" w:hAnsiTheme="majorHAnsi" w:cs="Calibri"/>
                          <w:sz w:val="20"/>
                        </w:rPr>
                        <w:t xml:space="preserve"> by addressing </w:t>
                      </w:r>
                      <w:r w:rsidR="000B4586" w:rsidRPr="00CA70BD">
                        <w:rPr>
                          <w:rFonts w:asciiTheme="majorHAnsi" w:hAnsiTheme="majorHAnsi" w:cs="Calibri"/>
                          <w:sz w:val="20"/>
                        </w:rPr>
                        <w:t>the social, physical and economic conditions that impact health</w:t>
                      </w:r>
                      <w:r>
                        <w:rPr>
                          <w:rFonts w:asciiTheme="majorHAnsi" w:hAnsiTheme="majorHAnsi" w:cs="Calibri"/>
                          <w:sz w:val="20"/>
                        </w:rPr>
                        <w:t>. We encourage all hospitals and ambulatory clinics to continue to share their efforts with us</w:t>
                      </w:r>
                      <w:r w:rsidR="001E7007">
                        <w:rPr>
                          <w:rFonts w:asciiTheme="majorHAnsi" w:hAnsiTheme="majorHAnsi" w:cs="Calibri"/>
                          <w:sz w:val="20"/>
                        </w:rPr>
                        <w:t xml:space="preserve"> through their reporting</w:t>
                      </w:r>
                      <w:r>
                        <w:rPr>
                          <w:rFonts w:asciiTheme="majorHAnsi" w:hAnsiTheme="majorHAnsi" w:cs="Calibri"/>
                          <w:sz w:val="20"/>
                        </w:rPr>
                        <w:t xml:space="preserve">. </w:t>
                      </w:r>
                      <w:r w:rsidR="006E669C">
                        <w:rPr>
                          <w:rFonts w:asciiTheme="majorHAnsi" w:hAnsiTheme="majorHAnsi" w:cs="Calibri"/>
                          <w:sz w:val="20"/>
                        </w:rPr>
                        <w:t>QPS Committee member, Dr. Ziad Alfarah also shares his thoughts on the changes that we individually can make in the fight against racism.</w:t>
                      </w:r>
                    </w:p>
                    <w:p w14:paraId="437D6C8A" w14:textId="3DB9C3E6" w:rsidR="007174B8" w:rsidRDefault="007174B8" w:rsidP="00324B6D">
                      <w:pPr>
                        <w:rPr>
                          <w:rFonts w:asciiTheme="majorHAnsi" w:hAnsiTheme="majorHAnsi" w:cs="Calibri"/>
                          <w:sz w:val="20"/>
                        </w:rPr>
                      </w:pPr>
                    </w:p>
                    <w:p w14:paraId="1A9D1943" w14:textId="17A45023" w:rsidR="007174B8" w:rsidRDefault="007174B8" w:rsidP="00324B6D">
                      <w:pPr>
                        <w:rPr>
                          <w:rFonts w:asciiTheme="majorHAnsi" w:hAnsiTheme="majorHAnsi" w:cs="Calibri"/>
                          <w:sz w:val="20"/>
                        </w:rPr>
                      </w:pPr>
                      <w:r>
                        <w:rPr>
                          <w:rFonts w:asciiTheme="majorHAnsi" w:hAnsiTheme="majorHAnsi" w:cs="Calibri"/>
                          <w:sz w:val="20"/>
                        </w:rPr>
                        <w:t>The QPSD is mindful of the ongoing toll the pandemic has taken on hospitals and ambulatory clinics in the Commonwealth. In 2020, we attempted to reduce the burden related to reporting by excusing the spring annual and semi-</w:t>
                      </w:r>
                      <w:r w:rsidR="00B476D7">
                        <w:rPr>
                          <w:rFonts w:asciiTheme="majorHAnsi" w:hAnsiTheme="majorHAnsi" w:cs="Calibri"/>
                          <w:sz w:val="20"/>
                        </w:rPr>
                        <w:t>annual</w:t>
                      </w:r>
                      <w:r>
                        <w:rPr>
                          <w:rFonts w:asciiTheme="majorHAnsi" w:hAnsiTheme="majorHAnsi" w:cs="Calibri"/>
                          <w:sz w:val="20"/>
                        </w:rPr>
                        <w:t xml:space="preserve"> reports and making the fall semi-annual report and select SQRs optional. </w:t>
                      </w:r>
                      <w:r w:rsidR="00B476D7">
                        <w:rPr>
                          <w:rFonts w:asciiTheme="majorHAnsi" w:hAnsiTheme="majorHAnsi" w:cs="Calibri"/>
                          <w:sz w:val="20"/>
                        </w:rPr>
                        <w:t xml:space="preserve">In 2021, we have made additional amendments to reporting including an extension for the spring </w:t>
                      </w:r>
                      <w:r w:rsidR="001E7007">
                        <w:rPr>
                          <w:rFonts w:asciiTheme="majorHAnsi" w:hAnsiTheme="majorHAnsi" w:cs="Calibri"/>
                          <w:sz w:val="20"/>
                        </w:rPr>
                        <w:t xml:space="preserve">2021 </w:t>
                      </w:r>
                      <w:r w:rsidR="00B476D7">
                        <w:rPr>
                          <w:rFonts w:asciiTheme="majorHAnsi" w:hAnsiTheme="majorHAnsi" w:cs="Calibri"/>
                          <w:sz w:val="20"/>
                        </w:rPr>
                        <w:t xml:space="preserve">annual and semi-annual reports as well as an option to submit modified reports in lieu of the standard annual and semi-annual reports. Details regarding these changes were emailed to PCA Coordinators in December and may also be found on page seven of this newsletter. </w:t>
                      </w:r>
                    </w:p>
                    <w:p w14:paraId="37DC46A1" w14:textId="188E730B" w:rsidR="00B476D7" w:rsidRDefault="00B476D7" w:rsidP="00324B6D">
                      <w:pPr>
                        <w:rPr>
                          <w:rFonts w:asciiTheme="majorHAnsi" w:hAnsiTheme="majorHAnsi" w:cs="Calibri"/>
                          <w:sz w:val="20"/>
                        </w:rPr>
                      </w:pPr>
                    </w:p>
                    <w:p w14:paraId="4B028BD3" w14:textId="654DABE3" w:rsidR="00B476D7" w:rsidRDefault="00B476D7" w:rsidP="00B476D7">
                      <w:pPr>
                        <w:shd w:val="clear" w:color="auto" w:fill="FFFFFF"/>
                        <w:rPr>
                          <w:rFonts w:asciiTheme="majorHAnsi" w:hAnsiTheme="majorHAnsi" w:cs="Calibri"/>
                          <w:sz w:val="20"/>
                        </w:rPr>
                      </w:pPr>
                      <w:r>
                        <w:rPr>
                          <w:rFonts w:asciiTheme="majorHAnsi" w:hAnsiTheme="majorHAnsi" w:cs="Calibri"/>
                          <w:sz w:val="20"/>
                        </w:rPr>
                        <w:t xml:space="preserve">We would also like to announce </w:t>
                      </w:r>
                      <w:r w:rsidR="009E3297">
                        <w:rPr>
                          <w:rFonts w:asciiTheme="majorHAnsi" w:hAnsiTheme="majorHAnsi" w:cs="Calibri"/>
                          <w:sz w:val="20"/>
                        </w:rPr>
                        <w:t>additional changes to our division</w:t>
                      </w:r>
                      <w:r>
                        <w:rPr>
                          <w:rFonts w:asciiTheme="majorHAnsi" w:hAnsiTheme="majorHAnsi" w:cs="Calibri"/>
                          <w:sz w:val="20"/>
                        </w:rPr>
                        <w:t xml:space="preserve">. In 2020, the Board’s Quality and Patient Safety Committee was fortunate to welcome </w:t>
                      </w:r>
                      <w:r w:rsidR="000B4586">
                        <w:rPr>
                          <w:rFonts w:asciiTheme="majorHAnsi" w:hAnsiTheme="majorHAnsi" w:cs="Calibri"/>
                          <w:sz w:val="20"/>
                        </w:rPr>
                        <w:t xml:space="preserve">Dr. Yvonne Cheung from Mount Auburn Hospital and </w:t>
                      </w:r>
                      <w:r>
                        <w:rPr>
                          <w:rFonts w:asciiTheme="majorHAnsi" w:hAnsiTheme="majorHAnsi" w:cs="Calibri"/>
                          <w:sz w:val="20"/>
                        </w:rPr>
                        <w:t xml:space="preserve">Dr. Leslie Selbovitz from Milford Regional Medical Center. We were also fortunate to add Dorothy Doweiko, </w:t>
                      </w:r>
                      <w:r w:rsidRPr="00B476D7">
                        <w:rPr>
                          <w:rFonts w:asciiTheme="majorHAnsi" w:hAnsiTheme="majorHAnsi" w:cs="Calibri"/>
                          <w:sz w:val="20"/>
                        </w:rPr>
                        <w:t>MHA, BSN, RN</w:t>
                      </w:r>
                      <w:r>
                        <w:rPr>
                          <w:rFonts w:asciiTheme="majorHAnsi" w:hAnsiTheme="majorHAnsi" w:cs="Calibri"/>
                          <w:sz w:val="20"/>
                        </w:rPr>
                        <w:t xml:space="preserve"> to the QPS</w:t>
                      </w:r>
                      <w:r w:rsidR="009E3297">
                        <w:rPr>
                          <w:rFonts w:asciiTheme="majorHAnsi" w:hAnsiTheme="majorHAnsi" w:cs="Calibri"/>
                          <w:sz w:val="20"/>
                        </w:rPr>
                        <w:t>D</w:t>
                      </w:r>
                      <w:r>
                        <w:rPr>
                          <w:rFonts w:asciiTheme="majorHAnsi" w:hAnsiTheme="majorHAnsi" w:cs="Calibri"/>
                          <w:sz w:val="20"/>
                        </w:rPr>
                        <w:t xml:space="preserve">. We are </w:t>
                      </w:r>
                      <w:r w:rsidR="009E3297">
                        <w:rPr>
                          <w:rFonts w:asciiTheme="majorHAnsi" w:hAnsiTheme="majorHAnsi" w:cs="Calibri"/>
                          <w:sz w:val="20"/>
                        </w:rPr>
                        <w:t xml:space="preserve">now </w:t>
                      </w:r>
                      <w:r>
                        <w:rPr>
                          <w:rFonts w:asciiTheme="majorHAnsi" w:hAnsiTheme="majorHAnsi" w:cs="Calibri"/>
                          <w:sz w:val="20"/>
                        </w:rPr>
                        <w:t>pleased to announce the addition o</w:t>
                      </w:r>
                      <w:r w:rsidR="009E3297">
                        <w:rPr>
                          <w:rFonts w:asciiTheme="majorHAnsi" w:hAnsiTheme="majorHAnsi" w:cs="Calibri"/>
                          <w:sz w:val="20"/>
                        </w:rPr>
                        <w:t>f</w:t>
                      </w:r>
                      <w:r>
                        <w:rPr>
                          <w:rFonts w:asciiTheme="majorHAnsi" w:hAnsiTheme="majorHAnsi" w:cs="Calibri"/>
                          <w:sz w:val="20"/>
                        </w:rPr>
                        <w:t xml:space="preserve"> another member</w:t>
                      </w:r>
                      <w:r w:rsidR="009E3297">
                        <w:rPr>
                          <w:rFonts w:asciiTheme="majorHAnsi" w:hAnsiTheme="majorHAnsi" w:cs="Calibri"/>
                          <w:sz w:val="20"/>
                        </w:rPr>
                        <w:t xml:space="preserve"> of QPSD</w:t>
                      </w:r>
                      <w:r>
                        <w:rPr>
                          <w:rFonts w:asciiTheme="majorHAnsi" w:hAnsiTheme="majorHAnsi" w:cs="Calibri"/>
                          <w:sz w:val="20"/>
                        </w:rPr>
                        <w:t xml:space="preserve">, Trinh Ly-Lucas, </w:t>
                      </w:r>
                      <w:r w:rsidR="009E3297">
                        <w:rPr>
                          <w:rFonts w:asciiTheme="majorHAnsi" w:hAnsiTheme="majorHAnsi" w:cs="Calibri"/>
                          <w:sz w:val="20"/>
                        </w:rPr>
                        <w:t xml:space="preserve">MSN, AGNP-BC. We are </w:t>
                      </w:r>
                      <w:r w:rsidR="00684B50">
                        <w:rPr>
                          <w:rFonts w:asciiTheme="majorHAnsi" w:hAnsiTheme="majorHAnsi" w:cs="Calibri"/>
                          <w:sz w:val="20"/>
                        </w:rPr>
                        <w:t>delighted</w:t>
                      </w:r>
                      <w:r w:rsidR="009E3297">
                        <w:rPr>
                          <w:rFonts w:asciiTheme="majorHAnsi" w:hAnsiTheme="majorHAnsi" w:cs="Calibri"/>
                          <w:sz w:val="20"/>
                        </w:rPr>
                        <w:t xml:space="preserve"> to welcome Trinh as a valued member of our team. </w:t>
                      </w:r>
                    </w:p>
                    <w:p w14:paraId="013120CC" w14:textId="54C3DD31" w:rsidR="009E3297" w:rsidRDefault="009E3297" w:rsidP="00B476D7">
                      <w:pPr>
                        <w:shd w:val="clear" w:color="auto" w:fill="FFFFFF"/>
                        <w:rPr>
                          <w:rFonts w:asciiTheme="majorHAnsi" w:hAnsiTheme="majorHAnsi" w:cs="Calibri"/>
                          <w:sz w:val="20"/>
                        </w:rPr>
                      </w:pPr>
                    </w:p>
                    <w:p w14:paraId="79098BA6" w14:textId="6AE33F74" w:rsidR="009E3297" w:rsidRDefault="001E0C68" w:rsidP="00B476D7">
                      <w:pPr>
                        <w:shd w:val="clear" w:color="auto" w:fill="FFFFFF"/>
                        <w:rPr>
                          <w:rFonts w:asciiTheme="majorHAnsi" w:hAnsiTheme="majorHAnsi" w:cs="Calibri"/>
                          <w:sz w:val="20"/>
                        </w:rPr>
                      </w:pPr>
                      <w:r w:rsidRPr="001E0C68">
                        <w:rPr>
                          <w:rFonts w:asciiTheme="majorHAnsi" w:hAnsiTheme="majorHAnsi" w:cs="Calibri"/>
                          <w:sz w:val="20"/>
                        </w:rPr>
                        <w:t>There is no doubt that 2020</w:t>
                      </w:r>
                      <w:r>
                        <w:rPr>
                          <w:rFonts w:asciiTheme="majorHAnsi" w:hAnsiTheme="majorHAnsi" w:cs="Calibri"/>
                          <w:sz w:val="20"/>
                        </w:rPr>
                        <w:t xml:space="preserve"> has challenged us in ways that we have never experienced before. The new year also presents challenges, but with the introduction of the new Covid 19 vaccine and with the knowledge of disease management and treatment options that were discovered during the first surge, the new year brings hope. We look forward to continuing to work with you and to a time </w:t>
                      </w:r>
                      <w:r w:rsidR="004B078A">
                        <w:rPr>
                          <w:rFonts w:asciiTheme="majorHAnsi" w:hAnsiTheme="majorHAnsi" w:cs="Calibri"/>
                          <w:sz w:val="20"/>
                        </w:rPr>
                        <w:t xml:space="preserve">when </w:t>
                      </w:r>
                      <w:r>
                        <w:rPr>
                          <w:rFonts w:asciiTheme="majorHAnsi" w:hAnsiTheme="majorHAnsi" w:cs="Calibri"/>
                          <w:sz w:val="20"/>
                        </w:rPr>
                        <w:t>we can gather together again.</w:t>
                      </w:r>
                    </w:p>
                    <w:p w14:paraId="54EC631B" w14:textId="4CC65FE7" w:rsidR="001E7007" w:rsidRPr="001E0C68" w:rsidRDefault="001E7007" w:rsidP="00B476D7">
                      <w:pPr>
                        <w:shd w:val="clear" w:color="auto" w:fill="FFFFFF"/>
                        <w:rPr>
                          <w:rFonts w:asciiTheme="majorHAnsi" w:hAnsiTheme="majorHAnsi" w:cs="Calibri"/>
                          <w:sz w:val="20"/>
                        </w:rPr>
                      </w:pPr>
                      <w:r>
                        <w:rPr>
                          <w:rFonts w:asciiTheme="majorHAnsi" w:hAnsiTheme="majorHAnsi" w:cs="Calibri"/>
                          <w:sz w:val="20"/>
                        </w:rPr>
                        <w:t>Best,</w:t>
                      </w:r>
                    </w:p>
                    <w:p w14:paraId="1A980871" w14:textId="715A0A90" w:rsidR="0038163E" w:rsidRPr="001E7007" w:rsidRDefault="00B476D7" w:rsidP="001E7007">
                      <w:pPr>
                        <w:shd w:val="clear" w:color="auto" w:fill="FFFFFF"/>
                        <w:rPr>
                          <w:rFonts w:ascii="Segoe UI" w:hAnsi="Segoe UI" w:cs="Segoe UI"/>
                          <w:color w:val="212121"/>
                          <w:sz w:val="23"/>
                          <w:szCs w:val="23"/>
                        </w:rPr>
                      </w:pPr>
                      <w:r w:rsidRPr="00B476D7">
                        <w:rPr>
                          <w:rFonts w:ascii="Calibri" w:hAnsi="Calibri" w:cs="Segoe UI"/>
                          <w:color w:val="212121"/>
                          <w:sz w:val="22"/>
                          <w:szCs w:val="22"/>
                        </w:rPr>
                        <w:t> </w:t>
                      </w:r>
                      <w:r w:rsidR="0038163E" w:rsidRPr="00602FC0">
                        <w:rPr>
                          <w:rFonts w:ascii="Bradley Hand ITC" w:hAnsi="Bradley Hand ITC" w:cs="Calibri"/>
                          <w:b/>
                          <w:sz w:val="22"/>
                          <w:szCs w:val="22"/>
                        </w:rPr>
                        <w:t>Julian N. Robinson, MD</w:t>
                      </w:r>
                      <w:r w:rsidR="0038163E">
                        <w:rPr>
                          <w:rFonts w:ascii="Bradley Hand ITC" w:hAnsi="Bradley Hand ITC" w:cs="Calibri"/>
                          <w:b/>
                          <w:sz w:val="22"/>
                          <w:szCs w:val="22"/>
                        </w:rPr>
                        <w:t xml:space="preserve"> and Daniela Brown, RN</w:t>
                      </w:r>
                    </w:p>
                    <w:p w14:paraId="532069F1" w14:textId="77777777" w:rsidR="0038163E" w:rsidRPr="006B71EB" w:rsidRDefault="0038163E" w:rsidP="00E06969">
                      <w:pPr>
                        <w:rPr>
                          <w:rFonts w:ascii="Calibri" w:hAnsi="Calibri" w:cs="Calibri"/>
                          <w:sz w:val="22"/>
                          <w:szCs w:val="22"/>
                        </w:rPr>
                      </w:pPr>
                    </w:p>
                    <w:p w14:paraId="4BBD4086" w14:textId="1834F10A" w:rsidR="0038163E" w:rsidRPr="006B71EB" w:rsidRDefault="0038163E" w:rsidP="00E06969">
                      <w:pPr>
                        <w:rPr>
                          <w:rFonts w:ascii="Calibri" w:hAnsi="Calibri" w:cs="Calibri"/>
                          <w:sz w:val="22"/>
                          <w:szCs w:val="22"/>
                        </w:rPr>
                      </w:pPr>
                    </w:p>
                  </w:txbxContent>
                </v:textbox>
                <w10:wrap anchorx="page" anchory="page"/>
              </v:shape>
            </w:pict>
          </mc:Fallback>
        </mc:AlternateContent>
      </w:r>
      <w:r w:rsidR="00E06969" w:rsidRPr="00444CC5">
        <w:rPr>
          <w:sz w:val="20"/>
        </w:rPr>
        <w:br w:type="page"/>
      </w:r>
    </w:p>
    <w:p w14:paraId="5A5B15FE" w14:textId="77777777" w:rsidR="002E14DA" w:rsidRDefault="002E14DA" w:rsidP="002E14DA">
      <w:pPr>
        <w:rPr>
          <w:sz w:val="20"/>
        </w:rPr>
      </w:pPr>
    </w:p>
    <w:p w14:paraId="65E92DDC" w14:textId="77777777" w:rsidR="002E14DA" w:rsidRDefault="002E14DA" w:rsidP="002E14DA">
      <w:pPr>
        <w:rPr>
          <w:sz w:val="20"/>
        </w:rPr>
      </w:pPr>
    </w:p>
    <w:p w14:paraId="0A13139D" w14:textId="77777777" w:rsidR="002E14DA" w:rsidRDefault="002E14DA" w:rsidP="002E14DA">
      <w:pPr>
        <w:rPr>
          <w:sz w:val="20"/>
        </w:rPr>
      </w:pPr>
    </w:p>
    <w:p w14:paraId="014E42A1" w14:textId="77777777" w:rsidR="002E14DA" w:rsidRDefault="002E14DA" w:rsidP="002E14DA">
      <w:pPr>
        <w:rPr>
          <w:sz w:val="20"/>
        </w:rPr>
      </w:pPr>
    </w:p>
    <w:p w14:paraId="6D4BC421" w14:textId="325ED742" w:rsidR="002E14DA" w:rsidRPr="007562B2" w:rsidRDefault="002E14DA" w:rsidP="002E14DA">
      <w:pPr>
        <w:rPr>
          <w:b/>
          <w:bCs/>
          <w:color w:val="2A424D" w:themeColor="accent5" w:themeShade="80"/>
          <w:szCs w:val="24"/>
        </w:rPr>
      </w:pPr>
      <w:r w:rsidRPr="007562B2">
        <w:rPr>
          <w:b/>
          <w:bCs/>
          <w:color w:val="2A424D" w:themeColor="accent5" w:themeShade="80"/>
          <w:szCs w:val="24"/>
        </w:rPr>
        <w:t>Ziad Alfarah, MD</w:t>
      </w:r>
    </w:p>
    <w:p w14:paraId="0EB0072C" w14:textId="77777777" w:rsidR="002E14DA" w:rsidRPr="002E14DA" w:rsidRDefault="002E14DA" w:rsidP="002E14DA">
      <w:pPr>
        <w:rPr>
          <w:sz w:val="20"/>
        </w:rPr>
      </w:pPr>
      <w:r w:rsidRPr="002E14DA">
        <w:rPr>
          <w:sz w:val="20"/>
        </w:rPr>
        <w:t xml:space="preserve">Associate CMO, Perfect Health Inc. </w:t>
      </w:r>
    </w:p>
    <w:p w14:paraId="1932C355" w14:textId="26C8CCB8" w:rsidR="001B170B" w:rsidRDefault="002E14DA" w:rsidP="002E14DA">
      <w:pPr>
        <w:rPr>
          <w:sz w:val="20"/>
        </w:rPr>
      </w:pPr>
      <w:r w:rsidRPr="002E14DA">
        <w:rPr>
          <w:sz w:val="20"/>
        </w:rPr>
        <w:t>Assistant Professor of Medicine, Tufts University</w:t>
      </w:r>
    </w:p>
    <w:p w14:paraId="00627FB2" w14:textId="27FE1A90" w:rsidR="002E14DA" w:rsidRDefault="002E14DA" w:rsidP="002E14DA">
      <w:pPr>
        <w:rPr>
          <w:sz w:val="20"/>
        </w:rPr>
      </w:pPr>
      <w:r>
        <w:rPr>
          <w:sz w:val="20"/>
        </w:rPr>
        <w:t>Member, BORIM, Quality &amp; Patient Safety Committee</w:t>
      </w:r>
    </w:p>
    <w:p w14:paraId="5A4DD3F0" w14:textId="76C87EEB" w:rsidR="002E14DA" w:rsidRDefault="002E14DA" w:rsidP="002E14DA">
      <w:pPr>
        <w:rPr>
          <w:sz w:val="20"/>
        </w:rPr>
      </w:pPr>
    </w:p>
    <w:p w14:paraId="7127581F" w14:textId="72AC3DDE" w:rsidR="002E14DA" w:rsidRDefault="002E14DA" w:rsidP="002E14DA">
      <w:pPr>
        <w:rPr>
          <w:sz w:val="20"/>
        </w:rPr>
      </w:pPr>
      <w:r w:rsidRPr="002E14DA">
        <w:rPr>
          <w:sz w:val="20"/>
        </w:rPr>
        <w:t xml:space="preserve">During the early stages of </w:t>
      </w:r>
      <w:r w:rsidR="004B078A">
        <w:rPr>
          <w:sz w:val="20"/>
        </w:rPr>
        <w:t xml:space="preserve">the </w:t>
      </w:r>
      <w:r w:rsidRPr="002E14DA">
        <w:rPr>
          <w:sz w:val="20"/>
        </w:rPr>
        <w:t xml:space="preserve">state reopening this past June, one of my ambulatory patients presented for a routine exam. He was Hispanic, worked in the hospitality industry and was diagnosed with hypertension and hyperlipidemia. I soon came to find that, due to the Covid-19 pandemic, he had lost his job and health insurance. His diet and access to medications </w:t>
      </w:r>
      <w:r w:rsidR="000B4586">
        <w:rPr>
          <w:sz w:val="20"/>
        </w:rPr>
        <w:t>were now</w:t>
      </w:r>
      <w:r w:rsidRPr="002E14DA">
        <w:rPr>
          <w:sz w:val="20"/>
        </w:rPr>
        <w:t xml:space="preserve"> irregular. As I began to counsel him on the importance of a low salt diet, lifestyle changes, and adhering to his medication regimen, I felt the hollowness and futility of my words. </w:t>
      </w:r>
    </w:p>
    <w:p w14:paraId="79BF1D71" w14:textId="77777777" w:rsidR="000B4586" w:rsidRPr="002E14DA" w:rsidRDefault="000B4586" w:rsidP="002E14DA">
      <w:pPr>
        <w:rPr>
          <w:sz w:val="20"/>
        </w:rPr>
      </w:pPr>
    </w:p>
    <w:p w14:paraId="0D6C85CB" w14:textId="14299F4B" w:rsidR="002E14DA" w:rsidRPr="002E14DA" w:rsidRDefault="002E14DA" w:rsidP="002E14DA">
      <w:pPr>
        <w:rPr>
          <w:sz w:val="20"/>
        </w:rPr>
      </w:pPr>
      <w:r w:rsidRPr="002E14DA">
        <w:rPr>
          <w:sz w:val="20"/>
        </w:rPr>
        <w:t xml:space="preserve">“Why treat people and send them back to the conditions that made them sick?” </w:t>
      </w:r>
      <w:r w:rsidR="004B078A">
        <w:rPr>
          <w:sz w:val="20"/>
        </w:rPr>
        <w:t>w</w:t>
      </w:r>
      <w:r w:rsidRPr="002E14DA">
        <w:rPr>
          <w:sz w:val="20"/>
        </w:rPr>
        <w:t>ondered Michael Marmot, the president of the World Medical Association in the first page of his book, The Health Gap. Health disparities, or inequities, are preventable differences in the burden of disease, injury, violence, or opportunities to achieve optimal health that are experienced by socially disadvantaged populations.</w:t>
      </w:r>
      <w:r w:rsidRPr="002E14DA">
        <w:rPr>
          <w:sz w:val="20"/>
          <w:vertAlign w:val="superscript"/>
        </w:rPr>
        <w:t>1</w:t>
      </w:r>
      <w:r w:rsidRPr="002E14DA">
        <w:rPr>
          <w:sz w:val="20"/>
        </w:rPr>
        <w:t xml:space="preserve"> Poverty, ethnicity, race, educational inequities, and environmental threats, are among the major social determinants leading to such disparities in health outcomes. While the social determinants of health are global themes, race has become a rough proxy for socioeconomic status in the United States given four centuries of slavery, racism and structural discrimination. Race has a profound influence on the daily lived experiences of African Americans. </w:t>
      </w:r>
      <w:r w:rsidRPr="002E14DA">
        <w:rPr>
          <w:sz w:val="20"/>
          <w:vertAlign w:val="superscript"/>
        </w:rPr>
        <w:t>2</w:t>
      </w:r>
      <w:r w:rsidRPr="002E14DA">
        <w:rPr>
          <w:sz w:val="20"/>
        </w:rPr>
        <w:t xml:space="preserve"> The correlation between obesity and food insecurity,</w:t>
      </w:r>
      <w:r w:rsidRPr="002E14DA">
        <w:rPr>
          <w:sz w:val="20"/>
          <w:vertAlign w:val="superscript"/>
        </w:rPr>
        <w:t>3</w:t>
      </w:r>
      <w:r w:rsidRPr="002E14DA">
        <w:rPr>
          <w:sz w:val="20"/>
        </w:rPr>
        <w:t xml:space="preserve"> the link between a woman’s level of education and infant mortality,</w:t>
      </w:r>
      <w:r w:rsidRPr="002E14DA">
        <w:rPr>
          <w:sz w:val="20"/>
          <w:vertAlign w:val="superscript"/>
        </w:rPr>
        <w:t>4</w:t>
      </w:r>
      <w:r w:rsidRPr="002E14DA">
        <w:rPr>
          <w:sz w:val="20"/>
        </w:rPr>
        <w:t xml:space="preserve"> and the disproportionate impact of the COVID-19 pandemic on Black Americans and other people of color are painfully striking examples.</w:t>
      </w:r>
      <w:r w:rsidRPr="002E14DA">
        <w:rPr>
          <w:sz w:val="20"/>
          <w:vertAlign w:val="superscript"/>
        </w:rPr>
        <w:t>5</w:t>
      </w:r>
    </w:p>
    <w:p w14:paraId="17556463" w14:textId="77777777" w:rsidR="002E14DA" w:rsidRPr="002E14DA" w:rsidRDefault="002E14DA" w:rsidP="002E14DA">
      <w:pPr>
        <w:rPr>
          <w:sz w:val="20"/>
        </w:rPr>
      </w:pPr>
    </w:p>
    <w:p w14:paraId="36AF5DD3" w14:textId="77777777" w:rsidR="000B4586" w:rsidRDefault="002E14DA" w:rsidP="002E14DA">
      <w:pPr>
        <w:rPr>
          <w:sz w:val="20"/>
        </w:rPr>
      </w:pPr>
      <w:r w:rsidRPr="002E14DA">
        <w:rPr>
          <w:sz w:val="20"/>
        </w:rPr>
        <w:t xml:space="preserve">As providers, we encounter these inequities every day. They can be frustrating and impact our ability to do our jobs well. We often respond by calling the patient “non-compliant” or irresponsible. But we fail to ask: What choices are really available to them? And what are the social circumstances within which those choices are made? Inequities violate egalitarian roots as healthcare providers. They </w:t>
      </w:r>
    </w:p>
    <w:p w14:paraId="5FD7A047" w14:textId="77777777" w:rsidR="000B4586" w:rsidRDefault="000B4586" w:rsidP="002E14DA">
      <w:pPr>
        <w:rPr>
          <w:sz w:val="20"/>
        </w:rPr>
      </w:pPr>
    </w:p>
    <w:p w14:paraId="43E127DF" w14:textId="77777777" w:rsidR="000B4586" w:rsidRDefault="000B4586" w:rsidP="002E14DA">
      <w:pPr>
        <w:rPr>
          <w:sz w:val="20"/>
        </w:rPr>
      </w:pPr>
    </w:p>
    <w:p w14:paraId="7761D2F8" w14:textId="77777777" w:rsidR="000B4586" w:rsidRDefault="000B4586" w:rsidP="002E14DA">
      <w:pPr>
        <w:rPr>
          <w:sz w:val="20"/>
        </w:rPr>
      </w:pPr>
    </w:p>
    <w:p w14:paraId="0DE73612" w14:textId="77777777" w:rsidR="000B4586" w:rsidRDefault="000B4586" w:rsidP="002E14DA">
      <w:pPr>
        <w:rPr>
          <w:sz w:val="20"/>
        </w:rPr>
      </w:pPr>
    </w:p>
    <w:p w14:paraId="204D9DD5" w14:textId="77777777" w:rsidR="000B4586" w:rsidRDefault="000B4586" w:rsidP="002E14DA">
      <w:pPr>
        <w:rPr>
          <w:sz w:val="20"/>
        </w:rPr>
      </w:pPr>
    </w:p>
    <w:p w14:paraId="6BF191B4" w14:textId="77777777" w:rsidR="000B4586" w:rsidRDefault="000B4586" w:rsidP="002E14DA">
      <w:pPr>
        <w:rPr>
          <w:sz w:val="20"/>
        </w:rPr>
      </w:pPr>
    </w:p>
    <w:p w14:paraId="018C3F1A" w14:textId="0C900A6F" w:rsidR="002E14DA" w:rsidRDefault="002E14DA" w:rsidP="002E14DA">
      <w:pPr>
        <w:rPr>
          <w:sz w:val="20"/>
        </w:rPr>
      </w:pPr>
      <w:r w:rsidRPr="002E14DA">
        <w:rPr>
          <w:sz w:val="20"/>
        </w:rPr>
        <w:t>leave us helpless</w:t>
      </w:r>
      <w:r w:rsidR="004B078A">
        <w:rPr>
          <w:sz w:val="20"/>
        </w:rPr>
        <w:t>,</w:t>
      </w:r>
      <w:r w:rsidRPr="002E14DA">
        <w:rPr>
          <w:sz w:val="20"/>
        </w:rPr>
        <w:t xml:space="preserve"> searching for ways to try and “get it right.” In this day and age, with healthcare </w:t>
      </w:r>
    </w:p>
    <w:p w14:paraId="41F8E0D0" w14:textId="2D6F9BA8" w:rsidR="002E14DA" w:rsidRDefault="002E14DA" w:rsidP="002E14DA">
      <w:pPr>
        <w:rPr>
          <w:sz w:val="20"/>
        </w:rPr>
      </w:pPr>
      <w:r w:rsidRPr="002E14DA">
        <w:rPr>
          <w:sz w:val="20"/>
        </w:rPr>
        <w:t xml:space="preserve">cost skyrocketing, inequities are not only immoral; they are also expensive, and we are all paying the cost. </w:t>
      </w:r>
    </w:p>
    <w:p w14:paraId="2DB339D9" w14:textId="77777777" w:rsidR="000B4586" w:rsidRPr="002E14DA" w:rsidRDefault="000B4586" w:rsidP="002E14DA">
      <w:pPr>
        <w:rPr>
          <w:sz w:val="20"/>
        </w:rPr>
      </w:pPr>
    </w:p>
    <w:p w14:paraId="03D563E8" w14:textId="22EF0C20" w:rsidR="002E14DA" w:rsidRDefault="002E14DA" w:rsidP="002E14DA">
      <w:pPr>
        <w:rPr>
          <w:sz w:val="20"/>
          <w:vertAlign w:val="superscript"/>
        </w:rPr>
      </w:pPr>
      <w:r w:rsidRPr="002E14DA">
        <w:rPr>
          <w:sz w:val="20"/>
        </w:rPr>
        <w:t>While addressing health inequities will require collective action, government intervention, and policy change, each of us can still play a role. We all witnessed a level of unprecedented activism among healthcare professionals after the brutal killing of George Floyd at the hands of the police. The mass protests on the streets were met with silent kneeling and vigils in many healthcare organizations. I am also encouraged by the actions taken in healthcare centers, large and small, all across the country to make fighting racism a healthcare issue.</w:t>
      </w:r>
      <w:r w:rsidRPr="002E14DA">
        <w:rPr>
          <w:sz w:val="20"/>
          <w:vertAlign w:val="superscript"/>
        </w:rPr>
        <w:t>6</w:t>
      </w:r>
    </w:p>
    <w:p w14:paraId="47B0FDF1" w14:textId="77777777" w:rsidR="000B4586" w:rsidRPr="002E14DA" w:rsidRDefault="000B4586" w:rsidP="002E14DA">
      <w:pPr>
        <w:rPr>
          <w:sz w:val="20"/>
        </w:rPr>
      </w:pPr>
    </w:p>
    <w:p w14:paraId="2C6674AE" w14:textId="77777777" w:rsidR="002E14DA" w:rsidRPr="002E14DA" w:rsidRDefault="002E14DA" w:rsidP="002E14DA">
      <w:pPr>
        <w:rPr>
          <w:sz w:val="20"/>
        </w:rPr>
      </w:pPr>
      <w:r w:rsidRPr="002E14DA">
        <w:rPr>
          <w:sz w:val="20"/>
        </w:rPr>
        <w:t xml:space="preserve">As new reimbursement models emerge, we must continue to push for reinvestment in our disadvantaged communities and removing social barriers to care. Empowering our patients to make healthy choices and live a healthy, dignified life should be incorporated in our everyday interactions with them. Isn’t this, after all, the ultimate meaning of our roles as providers? </w:t>
      </w:r>
    </w:p>
    <w:p w14:paraId="7196EFEE" w14:textId="77777777" w:rsidR="002E14DA" w:rsidRPr="002E14DA" w:rsidRDefault="002E14DA" w:rsidP="002E14DA">
      <w:pPr>
        <w:rPr>
          <w:sz w:val="20"/>
        </w:rPr>
      </w:pPr>
    </w:p>
    <w:p w14:paraId="375B7E3F" w14:textId="77777777" w:rsidR="002E14DA" w:rsidRPr="002E14DA" w:rsidRDefault="002E14DA" w:rsidP="002E14DA">
      <w:pPr>
        <w:rPr>
          <w:sz w:val="20"/>
        </w:rPr>
      </w:pPr>
      <w:r w:rsidRPr="002E14DA">
        <w:rPr>
          <w:sz w:val="20"/>
        </w:rPr>
        <w:t>References</w:t>
      </w:r>
    </w:p>
    <w:p w14:paraId="4C070676" w14:textId="77777777" w:rsidR="002E14DA" w:rsidRPr="002E14DA" w:rsidRDefault="002E14DA" w:rsidP="002E14DA">
      <w:pPr>
        <w:rPr>
          <w:sz w:val="20"/>
        </w:rPr>
      </w:pPr>
    </w:p>
    <w:p w14:paraId="448FB2F6" w14:textId="3785D588" w:rsidR="002E14DA" w:rsidRPr="002E14DA" w:rsidRDefault="002E14DA" w:rsidP="002E14DA">
      <w:pPr>
        <w:rPr>
          <w:sz w:val="20"/>
        </w:rPr>
      </w:pPr>
      <w:r w:rsidRPr="00BA3510">
        <w:rPr>
          <w:sz w:val="20"/>
          <w:vertAlign w:val="superscript"/>
        </w:rPr>
        <w:t>1</w:t>
      </w:r>
      <w:r w:rsidRPr="002E14DA">
        <w:rPr>
          <w:sz w:val="20"/>
        </w:rPr>
        <w:t>CDC. Community Health and Program Services (CHAPS): Health Disparities Among Racial/Ethnic Populations. Atlanta: U.S. Department of Health and Human Services; 2008</w:t>
      </w:r>
    </w:p>
    <w:p w14:paraId="57D155E4" w14:textId="33ECE954" w:rsidR="002E14DA" w:rsidRPr="002E14DA" w:rsidRDefault="002E14DA" w:rsidP="002E14DA">
      <w:pPr>
        <w:rPr>
          <w:sz w:val="20"/>
        </w:rPr>
      </w:pPr>
      <w:r w:rsidRPr="00BA3510">
        <w:rPr>
          <w:sz w:val="20"/>
          <w:vertAlign w:val="superscript"/>
        </w:rPr>
        <w:t>2</w:t>
      </w:r>
      <w:r w:rsidRPr="002E14DA">
        <w:rPr>
          <w:sz w:val="20"/>
        </w:rPr>
        <w:t>Jones C.P. Levels of Racism: A Theoretic Framework and a Gardener’s Tale. American Journal of Public Health. August 2000; 90(8):1212-1215</w:t>
      </w:r>
    </w:p>
    <w:p w14:paraId="14D8F375" w14:textId="3F4AA6DC" w:rsidR="002E14DA" w:rsidRPr="002E14DA" w:rsidRDefault="002E14DA" w:rsidP="002E14DA">
      <w:pPr>
        <w:rPr>
          <w:sz w:val="20"/>
        </w:rPr>
      </w:pPr>
      <w:r w:rsidRPr="00BA3510">
        <w:rPr>
          <w:sz w:val="20"/>
          <w:vertAlign w:val="superscript"/>
        </w:rPr>
        <w:t>3</w:t>
      </w:r>
      <w:r w:rsidRPr="002E14DA">
        <w:rPr>
          <w:sz w:val="20"/>
        </w:rPr>
        <w:t>Morales ME, Berkowitz SA. The Relationship between Food Insecurity, Dietary Patterns, and Obesity. Curr Nutr Rep. 2016; 5(1):54-60</w:t>
      </w:r>
    </w:p>
    <w:p w14:paraId="62008AFF" w14:textId="6DE5C5B1" w:rsidR="002E14DA" w:rsidRPr="002E14DA" w:rsidRDefault="002E14DA" w:rsidP="002E14DA">
      <w:pPr>
        <w:rPr>
          <w:sz w:val="20"/>
        </w:rPr>
      </w:pPr>
      <w:r w:rsidRPr="00BA3510">
        <w:rPr>
          <w:sz w:val="20"/>
          <w:vertAlign w:val="superscript"/>
        </w:rPr>
        <w:t>4</w:t>
      </w:r>
      <w:r w:rsidRPr="002E14DA">
        <w:rPr>
          <w:sz w:val="20"/>
        </w:rPr>
        <w:t>Marmot M. The Health Gap. London and New York: Bloomsbury Publishing Plc; 2015</w:t>
      </w:r>
    </w:p>
    <w:p w14:paraId="49E13B04" w14:textId="3DA89CA4" w:rsidR="002E14DA" w:rsidRPr="002E14DA" w:rsidRDefault="002E14DA" w:rsidP="002E14DA">
      <w:pPr>
        <w:rPr>
          <w:sz w:val="20"/>
        </w:rPr>
      </w:pPr>
      <w:r w:rsidRPr="00BA3510">
        <w:rPr>
          <w:sz w:val="20"/>
          <w:vertAlign w:val="superscript"/>
        </w:rPr>
        <w:t>5</w:t>
      </w:r>
      <w:r w:rsidRPr="002E14DA">
        <w:rPr>
          <w:sz w:val="20"/>
        </w:rPr>
        <w:t>CDC. Health Equity Considerations and Racial and Ethnic Minority Groups. https://www.cdc.gov/coronavirus/2019-ncov/community/health-equity/race-ethnicity.html July 24, 2020. Accessed September 21, 2020</w:t>
      </w:r>
    </w:p>
    <w:p w14:paraId="04B9EA52" w14:textId="4F6084CF" w:rsidR="002E14DA" w:rsidRDefault="002E14DA" w:rsidP="002E14DA">
      <w:pPr>
        <w:rPr>
          <w:sz w:val="20"/>
        </w:rPr>
      </w:pPr>
      <w:r w:rsidRPr="00BA3510">
        <w:rPr>
          <w:sz w:val="20"/>
          <w:vertAlign w:val="superscript"/>
        </w:rPr>
        <w:t>6</w:t>
      </w:r>
      <w:r w:rsidRPr="002E14DA">
        <w:rPr>
          <w:sz w:val="20"/>
        </w:rPr>
        <w:t>Morse M, Loscalzo J. Creating Real Change at Academic Medical Centers — How Social Movements Can Be Timely Catalysts. NEJM. 2020; 383(3): 199-201</w:t>
      </w:r>
    </w:p>
    <w:p w14:paraId="1CC8D309" w14:textId="6990AB6E" w:rsidR="00DA1521" w:rsidRDefault="00DA1521" w:rsidP="002E14DA">
      <w:pPr>
        <w:rPr>
          <w:sz w:val="20"/>
        </w:rPr>
      </w:pPr>
    </w:p>
    <w:p w14:paraId="6E0D838F" w14:textId="77777777" w:rsidR="00442FE3" w:rsidRDefault="00442FE3" w:rsidP="002E14DA">
      <w:pPr>
        <w:rPr>
          <w:sz w:val="20"/>
        </w:rPr>
      </w:pPr>
    </w:p>
    <w:p w14:paraId="3317599E" w14:textId="77777777" w:rsidR="00442FE3" w:rsidRDefault="00442FE3" w:rsidP="00442FE3">
      <w:pPr>
        <w:rPr>
          <w:sz w:val="20"/>
        </w:rPr>
      </w:pPr>
    </w:p>
    <w:p w14:paraId="21302736" w14:textId="77777777" w:rsidR="00442FE3" w:rsidRDefault="00442FE3" w:rsidP="00442FE3">
      <w:pPr>
        <w:rPr>
          <w:sz w:val="20"/>
        </w:rPr>
      </w:pPr>
    </w:p>
    <w:p w14:paraId="3C8AA631" w14:textId="77777777" w:rsidR="00442FE3" w:rsidRDefault="00442FE3" w:rsidP="00442FE3">
      <w:pPr>
        <w:rPr>
          <w:sz w:val="20"/>
        </w:rPr>
      </w:pPr>
    </w:p>
    <w:p w14:paraId="311A1D84" w14:textId="77777777" w:rsidR="00442FE3" w:rsidRDefault="00442FE3" w:rsidP="00442FE3">
      <w:pPr>
        <w:rPr>
          <w:sz w:val="20"/>
        </w:rPr>
      </w:pPr>
    </w:p>
    <w:p w14:paraId="6633535C" w14:textId="6F7B7DFF" w:rsidR="00442FE3" w:rsidRPr="00442FE3" w:rsidRDefault="00442FE3" w:rsidP="00442FE3">
      <w:pPr>
        <w:rPr>
          <w:b/>
          <w:bCs/>
          <w:color w:val="2A424D" w:themeColor="accent5" w:themeShade="80"/>
          <w:szCs w:val="24"/>
        </w:rPr>
      </w:pPr>
      <w:r w:rsidRPr="00442FE3">
        <w:rPr>
          <w:b/>
          <w:bCs/>
          <w:color w:val="2A424D" w:themeColor="accent5" w:themeShade="80"/>
          <w:szCs w:val="24"/>
        </w:rPr>
        <w:t>Cambridge Health Alliance</w:t>
      </w:r>
    </w:p>
    <w:p w14:paraId="4718C2CF" w14:textId="77777777" w:rsidR="002C4ECF" w:rsidRPr="007A6644" w:rsidRDefault="00442FE3" w:rsidP="00442FE3">
      <w:pPr>
        <w:rPr>
          <w:b/>
          <w:bCs/>
          <w:sz w:val="22"/>
          <w:szCs w:val="22"/>
        </w:rPr>
      </w:pPr>
      <w:r w:rsidRPr="007A6644">
        <w:rPr>
          <w:b/>
          <w:bCs/>
          <w:sz w:val="22"/>
          <w:szCs w:val="22"/>
        </w:rPr>
        <w:t xml:space="preserve">Managing COVID in the Community: </w:t>
      </w:r>
    </w:p>
    <w:p w14:paraId="0C3AD62B" w14:textId="260C7607" w:rsidR="00442FE3" w:rsidRPr="007A6644" w:rsidRDefault="00442FE3" w:rsidP="00442FE3">
      <w:pPr>
        <w:rPr>
          <w:b/>
          <w:bCs/>
          <w:sz w:val="22"/>
          <w:szCs w:val="22"/>
        </w:rPr>
      </w:pPr>
      <w:r w:rsidRPr="007A6644">
        <w:rPr>
          <w:b/>
          <w:bCs/>
          <w:sz w:val="22"/>
          <w:szCs w:val="22"/>
        </w:rPr>
        <w:t>CHA Advances Health Equity</w:t>
      </w:r>
    </w:p>
    <w:p w14:paraId="6F9D9A71" w14:textId="340CE770" w:rsidR="00442FE3" w:rsidRPr="0060391B" w:rsidRDefault="00442FE3" w:rsidP="00442FE3">
      <w:pPr>
        <w:rPr>
          <w:sz w:val="20"/>
        </w:rPr>
      </w:pPr>
      <w:r w:rsidRPr="0060391B">
        <w:rPr>
          <w:sz w:val="20"/>
        </w:rPr>
        <w:t>Maren K. Batalden, MD, MPH, Chief Quality Officer, Jessamyn Blau, MD, Regional Medical Director</w:t>
      </w:r>
    </w:p>
    <w:p w14:paraId="3466132B" w14:textId="77777777" w:rsidR="00442FE3" w:rsidRDefault="00442FE3" w:rsidP="00442FE3">
      <w:pPr>
        <w:rPr>
          <w:sz w:val="20"/>
        </w:rPr>
      </w:pPr>
    </w:p>
    <w:p w14:paraId="731FCFED" w14:textId="664306BB" w:rsidR="00442FE3" w:rsidRPr="00442FE3" w:rsidRDefault="00442FE3" w:rsidP="00442FE3">
      <w:pPr>
        <w:rPr>
          <w:sz w:val="20"/>
        </w:rPr>
      </w:pPr>
      <w:r w:rsidRPr="00442FE3">
        <w:rPr>
          <w:sz w:val="20"/>
        </w:rPr>
        <w:t>As COVID swept through Massachusetts in the spring, the Cambridge Health Alliance (CHA), a</w:t>
      </w:r>
    </w:p>
    <w:p w14:paraId="2678BF65" w14:textId="77777777" w:rsidR="00442FE3" w:rsidRPr="00442FE3" w:rsidRDefault="00442FE3" w:rsidP="00442FE3">
      <w:pPr>
        <w:rPr>
          <w:sz w:val="20"/>
        </w:rPr>
      </w:pPr>
      <w:r w:rsidRPr="00442FE3">
        <w:rPr>
          <w:sz w:val="20"/>
        </w:rPr>
        <w:t>community-based academic safety net health system based in metro northeast Boston, was at</w:t>
      </w:r>
    </w:p>
    <w:p w14:paraId="4058CC39" w14:textId="3B090F84" w:rsidR="00442FE3" w:rsidRPr="00442FE3" w:rsidRDefault="00442FE3" w:rsidP="00442FE3">
      <w:pPr>
        <w:rPr>
          <w:sz w:val="20"/>
        </w:rPr>
      </w:pPr>
      <w:r w:rsidRPr="00442FE3">
        <w:rPr>
          <w:sz w:val="20"/>
        </w:rPr>
        <w:t>the front line of the equity challenges exposed by the pandemic. CHA serves a panel of</w:t>
      </w:r>
      <w:r w:rsidR="006E669C">
        <w:rPr>
          <w:sz w:val="20"/>
        </w:rPr>
        <w:t xml:space="preserve"> </w:t>
      </w:r>
      <w:r w:rsidRPr="00442FE3">
        <w:rPr>
          <w:sz w:val="20"/>
        </w:rPr>
        <w:t>140,000 patients -- the majority are publicly insured, including a large and diverse immigrant</w:t>
      </w:r>
      <w:r w:rsidR="006E669C">
        <w:rPr>
          <w:sz w:val="20"/>
        </w:rPr>
        <w:t xml:space="preserve"> </w:t>
      </w:r>
      <w:r w:rsidRPr="00442FE3">
        <w:rPr>
          <w:sz w:val="20"/>
        </w:rPr>
        <w:t>community; over 40% of our primary care panel speak a primary language other than English</w:t>
      </w:r>
      <w:r w:rsidR="004B078A">
        <w:rPr>
          <w:sz w:val="20"/>
        </w:rPr>
        <w:t>,</w:t>
      </w:r>
      <w:r w:rsidR="006E669C">
        <w:rPr>
          <w:sz w:val="20"/>
        </w:rPr>
        <w:t xml:space="preserve"> </w:t>
      </w:r>
      <w:r w:rsidRPr="00442FE3">
        <w:rPr>
          <w:sz w:val="20"/>
        </w:rPr>
        <w:t xml:space="preserve">and approximately two thirds identify themselves as belonging to a racial group other </w:t>
      </w:r>
      <w:r w:rsidR="004B078A">
        <w:rPr>
          <w:sz w:val="20"/>
        </w:rPr>
        <w:t xml:space="preserve">than </w:t>
      </w:r>
      <w:r w:rsidRPr="00442FE3">
        <w:rPr>
          <w:sz w:val="20"/>
        </w:rPr>
        <w:t>white. Our</w:t>
      </w:r>
      <w:r w:rsidR="006E669C">
        <w:rPr>
          <w:sz w:val="20"/>
        </w:rPr>
        <w:t xml:space="preserve"> </w:t>
      </w:r>
      <w:r w:rsidRPr="00442FE3">
        <w:rPr>
          <w:sz w:val="20"/>
        </w:rPr>
        <w:t>patient population and the geographic communities we serve in Chelsea, Everett, and Revere</w:t>
      </w:r>
      <w:r w:rsidR="006E669C">
        <w:rPr>
          <w:sz w:val="20"/>
        </w:rPr>
        <w:t xml:space="preserve"> </w:t>
      </w:r>
      <w:r w:rsidRPr="00442FE3">
        <w:rPr>
          <w:sz w:val="20"/>
        </w:rPr>
        <w:t>were hit disproportionately hard by the COVID pandemic in the spring, obligating us early to</w:t>
      </w:r>
      <w:r w:rsidR="006E669C">
        <w:rPr>
          <w:sz w:val="20"/>
        </w:rPr>
        <w:t xml:space="preserve"> </w:t>
      </w:r>
      <w:r w:rsidRPr="00442FE3">
        <w:rPr>
          <w:sz w:val="20"/>
        </w:rPr>
        <w:t>nearly triple critical care capacity in our two small hospitals. Simultaneously under Governor</w:t>
      </w:r>
      <w:r w:rsidR="006E669C">
        <w:rPr>
          <w:sz w:val="20"/>
        </w:rPr>
        <w:t xml:space="preserve"> </w:t>
      </w:r>
      <w:r w:rsidRPr="00442FE3">
        <w:rPr>
          <w:sz w:val="20"/>
        </w:rPr>
        <w:t>Baker’s order in the spring, we closed our ambulatory clinics and transitioned almost overnight</w:t>
      </w:r>
      <w:r w:rsidR="006E669C">
        <w:rPr>
          <w:sz w:val="20"/>
        </w:rPr>
        <w:t xml:space="preserve"> </w:t>
      </w:r>
      <w:r w:rsidRPr="00442FE3">
        <w:rPr>
          <w:sz w:val="20"/>
        </w:rPr>
        <w:t>to a telemedicine model of medical and behavioral health care. We stood up a portfolio of new</w:t>
      </w:r>
      <w:r w:rsidR="006E669C">
        <w:rPr>
          <w:sz w:val="20"/>
        </w:rPr>
        <w:t xml:space="preserve"> </w:t>
      </w:r>
      <w:r w:rsidRPr="00442FE3">
        <w:rPr>
          <w:sz w:val="20"/>
        </w:rPr>
        <w:t>ambulatory services to meet COVID-related demands: testing tents, a COVID-specific call</w:t>
      </w:r>
      <w:r w:rsidR="006E669C">
        <w:rPr>
          <w:sz w:val="20"/>
        </w:rPr>
        <w:t xml:space="preserve"> </w:t>
      </w:r>
      <w:r w:rsidRPr="00442FE3">
        <w:rPr>
          <w:sz w:val="20"/>
        </w:rPr>
        <w:t>center, a dedicated respiratory clinic, and COVID case management program. Approximately</w:t>
      </w:r>
      <w:r w:rsidR="006E669C">
        <w:rPr>
          <w:sz w:val="20"/>
        </w:rPr>
        <w:t xml:space="preserve"> </w:t>
      </w:r>
      <w:r w:rsidRPr="00442FE3">
        <w:rPr>
          <w:sz w:val="20"/>
        </w:rPr>
        <w:t>75 staff were redeployed from other parts of the health system to staff these dedicated</w:t>
      </w:r>
    </w:p>
    <w:p w14:paraId="299F6E31" w14:textId="77777777" w:rsidR="00442FE3" w:rsidRPr="00442FE3" w:rsidRDefault="00442FE3" w:rsidP="00442FE3">
      <w:pPr>
        <w:rPr>
          <w:sz w:val="20"/>
        </w:rPr>
      </w:pPr>
      <w:r w:rsidRPr="00442FE3">
        <w:rPr>
          <w:sz w:val="20"/>
        </w:rPr>
        <w:t>outpatient COVID services; teams tested up to 600 patients daily, triaged up to 900 calls, and</w:t>
      </w:r>
    </w:p>
    <w:p w14:paraId="1E135CA9" w14:textId="1C8741A8" w:rsidR="00442FE3" w:rsidRDefault="00442FE3" w:rsidP="00442FE3">
      <w:pPr>
        <w:rPr>
          <w:sz w:val="20"/>
        </w:rPr>
      </w:pPr>
      <w:r w:rsidRPr="00442FE3">
        <w:rPr>
          <w:sz w:val="20"/>
        </w:rPr>
        <w:t>provided in-person care for up to 100 patients with respiratory symptoms. Over several months,</w:t>
      </w:r>
      <w:r w:rsidR="006E669C">
        <w:rPr>
          <w:sz w:val="20"/>
        </w:rPr>
        <w:t xml:space="preserve"> </w:t>
      </w:r>
      <w:r w:rsidRPr="00442FE3">
        <w:rPr>
          <w:sz w:val="20"/>
        </w:rPr>
        <w:t>the team has provided case management services for a panel of more than 2,500 high risk</w:t>
      </w:r>
      <w:r w:rsidR="006E669C">
        <w:rPr>
          <w:sz w:val="20"/>
        </w:rPr>
        <w:t xml:space="preserve"> </w:t>
      </w:r>
      <w:r w:rsidRPr="00442FE3">
        <w:rPr>
          <w:sz w:val="20"/>
        </w:rPr>
        <w:t>COVID positive patients.</w:t>
      </w:r>
    </w:p>
    <w:p w14:paraId="0BEE883A" w14:textId="77777777" w:rsidR="00880040" w:rsidRPr="00442FE3" w:rsidRDefault="00880040" w:rsidP="00442FE3">
      <w:pPr>
        <w:rPr>
          <w:sz w:val="20"/>
        </w:rPr>
      </w:pPr>
    </w:p>
    <w:p w14:paraId="67D67797" w14:textId="7F54703E" w:rsidR="00442FE3" w:rsidRPr="00442FE3" w:rsidRDefault="00442FE3" w:rsidP="00442FE3">
      <w:pPr>
        <w:rPr>
          <w:sz w:val="20"/>
        </w:rPr>
      </w:pPr>
      <w:r w:rsidRPr="00442FE3">
        <w:rPr>
          <w:sz w:val="20"/>
        </w:rPr>
        <w:t>At the heart of our ambulatory COVID program is a commitment to rapidly evolving protocols in</w:t>
      </w:r>
    </w:p>
    <w:p w14:paraId="29B6BE8A" w14:textId="087D6889" w:rsidR="00442FE3" w:rsidRPr="00442FE3" w:rsidRDefault="00442FE3" w:rsidP="00442FE3">
      <w:pPr>
        <w:rPr>
          <w:sz w:val="20"/>
        </w:rPr>
      </w:pPr>
      <w:r w:rsidRPr="00442FE3">
        <w:rPr>
          <w:sz w:val="20"/>
        </w:rPr>
        <w:t>response to emerging clinical evidence</w:t>
      </w:r>
      <w:r w:rsidR="004B078A">
        <w:rPr>
          <w:sz w:val="20"/>
        </w:rPr>
        <w:t>,</w:t>
      </w:r>
      <w:r w:rsidRPr="00442FE3">
        <w:rPr>
          <w:sz w:val="20"/>
        </w:rPr>
        <w:t xml:space="preserve"> and an </w:t>
      </w:r>
      <w:r w:rsidR="002C4ECF" w:rsidRPr="00442FE3">
        <w:rPr>
          <w:sz w:val="20"/>
        </w:rPr>
        <w:t>ever-deepening</w:t>
      </w:r>
      <w:r w:rsidRPr="00442FE3">
        <w:rPr>
          <w:sz w:val="20"/>
        </w:rPr>
        <w:t xml:space="preserve"> understanding of patient need.</w:t>
      </w:r>
    </w:p>
    <w:p w14:paraId="62B87013" w14:textId="77777777" w:rsidR="00442FE3" w:rsidRPr="00442FE3" w:rsidRDefault="00442FE3" w:rsidP="00442FE3">
      <w:pPr>
        <w:rPr>
          <w:sz w:val="20"/>
        </w:rPr>
      </w:pPr>
      <w:r w:rsidRPr="00442FE3">
        <w:rPr>
          <w:sz w:val="20"/>
        </w:rPr>
        <w:t>Using a population health mindset last spring, we identified individuals at high risk for COVID</w:t>
      </w:r>
    </w:p>
    <w:p w14:paraId="63B9DC3A" w14:textId="77777777" w:rsidR="00880040" w:rsidRDefault="00442FE3" w:rsidP="00442FE3">
      <w:pPr>
        <w:rPr>
          <w:sz w:val="20"/>
        </w:rPr>
      </w:pPr>
      <w:r w:rsidRPr="00442FE3">
        <w:rPr>
          <w:sz w:val="20"/>
        </w:rPr>
        <w:t>complications because of age, medical comorbidities, and sociodemographic variables including</w:t>
      </w:r>
      <w:r w:rsidR="00880040">
        <w:rPr>
          <w:sz w:val="20"/>
        </w:rPr>
        <w:t xml:space="preserve"> </w:t>
      </w:r>
      <w:r w:rsidRPr="00442FE3">
        <w:rPr>
          <w:sz w:val="20"/>
        </w:rPr>
        <w:t>living conditions and access to transportation. Ever refining our understanding of “high risk,” we</w:t>
      </w:r>
      <w:r w:rsidR="00880040">
        <w:rPr>
          <w:sz w:val="20"/>
        </w:rPr>
        <w:t xml:space="preserve"> </w:t>
      </w:r>
      <w:r w:rsidRPr="00442FE3">
        <w:rPr>
          <w:sz w:val="20"/>
        </w:rPr>
        <w:t xml:space="preserve">began proactive outreach to these </w:t>
      </w:r>
    </w:p>
    <w:p w14:paraId="4F95FAC3" w14:textId="77777777" w:rsidR="00880040" w:rsidRDefault="00880040" w:rsidP="00442FE3">
      <w:pPr>
        <w:rPr>
          <w:sz w:val="20"/>
        </w:rPr>
      </w:pPr>
    </w:p>
    <w:p w14:paraId="732CC75D" w14:textId="77777777" w:rsidR="00880040" w:rsidRDefault="00880040" w:rsidP="00442FE3">
      <w:pPr>
        <w:rPr>
          <w:sz w:val="20"/>
        </w:rPr>
      </w:pPr>
    </w:p>
    <w:p w14:paraId="69A58C5D" w14:textId="77777777" w:rsidR="00880040" w:rsidRDefault="00880040" w:rsidP="00442FE3">
      <w:pPr>
        <w:rPr>
          <w:sz w:val="20"/>
        </w:rPr>
      </w:pPr>
    </w:p>
    <w:p w14:paraId="0D999677" w14:textId="77777777" w:rsidR="00880040" w:rsidRDefault="00880040" w:rsidP="00442FE3">
      <w:pPr>
        <w:rPr>
          <w:sz w:val="20"/>
        </w:rPr>
      </w:pPr>
    </w:p>
    <w:p w14:paraId="772ED1A8" w14:textId="77777777" w:rsidR="00880040" w:rsidRDefault="00880040" w:rsidP="00442FE3">
      <w:pPr>
        <w:rPr>
          <w:sz w:val="20"/>
        </w:rPr>
      </w:pPr>
    </w:p>
    <w:p w14:paraId="46F52583" w14:textId="6F0A7405" w:rsidR="00442FE3" w:rsidRPr="00442FE3" w:rsidRDefault="00442FE3" w:rsidP="00442FE3">
      <w:pPr>
        <w:rPr>
          <w:sz w:val="20"/>
        </w:rPr>
      </w:pPr>
      <w:r w:rsidRPr="00442FE3">
        <w:rPr>
          <w:sz w:val="20"/>
        </w:rPr>
        <w:t>patients to provide targeted education about preventing</w:t>
      </w:r>
      <w:r w:rsidR="00880040">
        <w:rPr>
          <w:sz w:val="20"/>
        </w:rPr>
        <w:t xml:space="preserve"> </w:t>
      </w:r>
      <w:r w:rsidRPr="00442FE3">
        <w:rPr>
          <w:sz w:val="20"/>
        </w:rPr>
        <w:t>COVID and support for medication refills, scheduling tele</w:t>
      </w:r>
      <w:r w:rsidR="002C4ECF">
        <w:rPr>
          <w:sz w:val="20"/>
        </w:rPr>
        <w:t>-</w:t>
      </w:r>
      <w:r w:rsidRPr="00442FE3">
        <w:rPr>
          <w:sz w:val="20"/>
        </w:rPr>
        <w:t>visits and helping people navigate</w:t>
      </w:r>
      <w:r w:rsidR="00880040">
        <w:rPr>
          <w:sz w:val="20"/>
        </w:rPr>
        <w:t xml:space="preserve"> </w:t>
      </w:r>
      <w:r w:rsidRPr="00442FE3">
        <w:rPr>
          <w:sz w:val="20"/>
        </w:rPr>
        <w:t>disparate access to technology necessary for tele</w:t>
      </w:r>
      <w:r w:rsidR="002C4ECF">
        <w:rPr>
          <w:sz w:val="20"/>
        </w:rPr>
        <w:t>-</w:t>
      </w:r>
      <w:r w:rsidRPr="00442FE3">
        <w:rPr>
          <w:sz w:val="20"/>
        </w:rPr>
        <w:t>visits. As some communities expressed</w:t>
      </w:r>
      <w:r w:rsidR="00880040">
        <w:rPr>
          <w:sz w:val="20"/>
        </w:rPr>
        <w:t xml:space="preserve"> </w:t>
      </w:r>
      <w:r w:rsidRPr="00442FE3">
        <w:rPr>
          <w:sz w:val="20"/>
        </w:rPr>
        <w:t>concerns about hospitalization and treatment in the face of this novel disease, CHA staff and</w:t>
      </w:r>
      <w:r w:rsidR="00880040">
        <w:rPr>
          <w:sz w:val="20"/>
        </w:rPr>
        <w:t xml:space="preserve"> </w:t>
      </w:r>
      <w:r w:rsidRPr="00442FE3">
        <w:rPr>
          <w:sz w:val="20"/>
        </w:rPr>
        <w:t>providers engaged with local community organizations and churches, including multilingual</w:t>
      </w:r>
    </w:p>
    <w:p w14:paraId="45ACFCB0" w14:textId="77777777" w:rsidR="00442FE3" w:rsidRPr="00442FE3" w:rsidRDefault="00442FE3" w:rsidP="00442FE3">
      <w:pPr>
        <w:rPr>
          <w:sz w:val="20"/>
        </w:rPr>
      </w:pPr>
      <w:r w:rsidRPr="00442FE3">
        <w:rPr>
          <w:sz w:val="20"/>
        </w:rPr>
        <w:t>social media platforms, to provide information and education, and to learn about what we could</w:t>
      </w:r>
    </w:p>
    <w:p w14:paraId="1866CD92" w14:textId="77777777" w:rsidR="00442FE3" w:rsidRPr="00442FE3" w:rsidRDefault="00442FE3" w:rsidP="00442FE3">
      <w:pPr>
        <w:rPr>
          <w:sz w:val="20"/>
        </w:rPr>
      </w:pPr>
      <w:r w:rsidRPr="00442FE3">
        <w:rPr>
          <w:sz w:val="20"/>
        </w:rPr>
        <w:t>do to help. When it became clear that we had a crisis of rising rates of infection in our</w:t>
      </w:r>
    </w:p>
    <w:p w14:paraId="3AE92784" w14:textId="77777777" w:rsidR="00442FE3" w:rsidRPr="00442FE3" w:rsidRDefault="00442FE3" w:rsidP="00442FE3">
      <w:pPr>
        <w:rPr>
          <w:sz w:val="20"/>
        </w:rPr>
      </w:pPr>
      <w:r w:rsidRPr="00442FE3">
        <w:rPr>
          <w:sz w:val="20"/>
        </w:rPr>
        <w:t>facility-based geriatrics practices, we helped our nursing home colleagues develop protocols for</w:t>
      </w:r>
    </w:p>
    <w:p w14:paraId="1D9DC5C0" w14:textId="77777777" w:rsidR="00442FE3" w:rsidRPr="00442FE3" w:rsidRDefault="00442FE3" w:rsidP="00442FE3">
      <w:pPr>
        <w:rPr>
          <w:sz w:val="20"/>
        </w:rPr>
      </w:pPr>
      <w:r w:rsidRPr="00442FE3">
        <w:rPr>
          <w:sz w:val="20"/>
        </w:rPr>
        <w:t>testing and cohorting residents. Recognizing the special vulnerability facing people who are</w:t>
      </w:r>
    </w:p>
    <w:p w14:paraId="48B82593" w14:textId="77777777" w:rsidR="00442FE3" w:rsidRPr="00442FE3" w:rsidRDefault="00442FE3" w:rsidP="00442FE3">
      <w:pPr>
        <w:rPr>
          <w:sz w:val="20"/>
        </w:rPr>
      </w:pPr>
      <w:r w:rsidRPr="00442FE3">
        <w:rPr>
          <w:sz w:val="20"/>
        </w:rPr>
        <w:t>unhoused, we worked with the city of Cambridge to staff a dedicated temporary shelter in a</w:t>
      </w:r>
    </w:p>
    <w:p w14:paraId="5B865589" w14:textId="77777777" w:rsidR="00442FE3" w:rsidRPr="00442FE3" w:rsidRDefault="00442FE3" w:rsidP="00442FE3">
      <w:pPr>
        <w:rPr>
          <w:sz w:val="20"/>
        </w:rPr>
      </w:pPr>
      <w:r w:rsidRPr="00442FE3">
        <w:rPr>
          <w:sz w:val="20"/>
        </w:rPr>
        <w:t>neighborhood gymnasium to facilitate quarantine and isolation. When patients expressed</w:t>
      </w:r>
    </w:p>
    <w:p w14:paraId="4B8C6081" w14:textId="77777777" w:rsidR="00442FE3" w:rsidRPr="00442FE3" w:rsidRDefault="00442FE3" w:rsidP="00442FE3">
      <w:pPr>
        <w:rPr>
          <w:sz w:val="20"/>
        </w:rPr>
      </w:pPr>
      <w:r w:rsidRPr="00442FE3">
        <w:rPr>
          <w:sz w:val="20"/>
        </w:rPr>
        <w:t>concerns about getting enough to eat, we paved referral pathways to five local food pantries.</w:t>
      </w:r>
    </w:p>
    <w:p w14:paraId="635F18BE" w14:textId="77777777" w:rsidR="00442FE3" w:rsidRPr="00442FE3" w:rsidRDefault="00442FE3" w:rsidP="00442FE3">
      <w:pPr>
        <w:rPr>
          <w:sz w:val="20"/>
        </w:rPr>
      </w:pPr>
      <w:r w:rsidRPr="00442FE3">
        <w:rPr>
          <w:sz w:val="20"/>
        </w:rPr>
        <w:t>Now, when members of the CHA team call patients with COVID test results, asking about food</w:t>
      </w:r>
    </w:p>
    <w:p w14:paraId="52450FBB" w14:textId="77777777" w:rsidR="00442FE3" w:rsidRPr="00442FE3" w:rsidRDefault="00442FE3" w:rsidP="00442FE3">
      <w:pPr>
        <w:rPr>
          <w:sz w:val="20"/>
        </w:rPr>
      </w:pPr>
      <w:r w:rsidRPr="00442FE3">
        <w:rPr>
          <w:sz w:val="20"/>
        </w:rPr>
        <w:t>insecurity is part of the script; in the last several months, we have connected more than 3,500</w:t>
      </w:r>
    </w:p>
    <w:p w14:paraId="3E79698D" w14:textId="77777777" w:rsidR="00442FE3" w:rsidRPr="00442FE3" w:rsidRDefault="00442FE3" w:rsidP="00442FE3">
      <w:pPr>
        <w:rPr>
          <w:sz w:val="20"/>
        </w:rPr>
      </w:pPr>
      <w:r w:rsidRPr="00442FE3">
        <w:rPr>
          <w:sz w:val="20"/>
        </w:rPr>
        <w:t>people with groceries. Responding to the parallel pandemic of behavioral health needs, we</w:t>
      </w:r>
    </w:p>
    <w:p w14:paraId="52D32049" w14:textId="77777777" w:rsidR="00442FE3" w:rsidRPr="00442FE3" w:rsidRDefault="00442FE3" w:rsidP="00442FE3">
      <w:pPr>
        <w:rPr>
          <w:sz w:val="20"/>
        </w:rPr>
      </w:pPr>
      <w:r w:rsidRPr="00442FE3">
        <w:rPr>
          <w:sz w:val="20"/>
        </w:rPr>
        <w:t>have - among other things - expanded virtual mindfulness programming, offering scholarships</w:t>
      </w:r>
    </w:p>
    <w:p w14:paraId="088A771A" w14:textId="4ECCFDFA" w:rsidR="00442FE3" w:rsidRDefault="00442FE3" w:rsidP="00442FE3">
      <w:pPr>
        <w:rPr>
          <w:sz w:val="20"/>
        </w:rPr>
      </w:pPr>
      <w:r w:rsidRPr="00442FE3">
        <w:rPr>
          <w:sz w:val="20"/>
        </w:rPr>
        <w:t>for people of color.</w:t>
      </w:r>
    </w:p>
    <w:p w14:paraId="29384008" w14:textId="77777777" w:rsidR="00880040" w:rsidRPr="00442FE3" w:rsidRDefault="00880040" w:rsidP="00442FE3">
      <w:pPr>
        <w:rPr>
          <w:sz w:val="20"/>
        </w:rPr>
      </w:pPr>
    </w:p>
    <w:p w14:paraId="4307C71C" w14:textId="77777777" w:rsidR="00442FE3" w:rsidRPr="00442FE3" w:rsidRDefault="00442FE3" w:rsidP="00442FE3">
      <w:pPr>
        <w:rPr>
          <w:sz w:val="20"/>
        </w:rPr>
      </w:pPr>
      <w:r w:rsidRPr="00442FE3">
        <w:rPr>
          <w:sz w:val="20"/>
        </w:rPr>
        <w:t>Building on a strong patient-centered primary care orientation and deep pre-existing</w:t>
      </w:r>
    </w:p>
    <w:p w14:paraId="1C6E4C86" w14:textId="77777777" w:rsidR="00442FE3" w:rsidRPr="00442FE3" w:rsidRDefault="00442FE3" w:rsidP="00442FE3">
      <w:pPr>
        <w:rPr>
          <w:sz w:val="20"/>
        </w:rPr>
      </w:pPr>
      <w:r w:rsidRPr="00442FE3">
        <w:rPr>
          <w:sz w:val="20"/>
        </w:rPr>
        <w:t>partnerships, CHA rose to the challenge of the COVID pandemic in service to our stated</w:t>
      </w:r>
    </w:p>
    <w:p w14:paraId="4E7A71DE" w14:textId="77777777" w:rsidR="00442FE3" w:rsidRPr="00442FE3" w:rsidRDefault="00442FE3" w:rsidP="00442FE3">
      <w:pPr>
        <w:rPr>
          <w:sz w:val="20"/>
        </w:rPr>
      </w:pPr>
      <w:r w:rsidRPr="00442FE3">
        <w:rPr>
          <w:sz w:val="20"/>
        </w:rPr>
        <w:t>institutional mission to “improve the health of our communities.” In a pandemic that has shone a</w:t>
      </w:r>
    </w:p>
    <w:p w14:paraId="4A6F2C89" w14:textId="77777777" w:rsidR="00442FE3" w:rsidRPr="00442FE3" w:rsidRDefault="00442FE3" w:rsidP="00442FE3">
      <w:pPr>
        <w:rPr>
          <w:sz w:val="20"/>
        </w:rPr>
      </w:pPr>
      <w:r w:rsidRPr="00442FE3">
        <w:rPr>
          <w:sz w:val="20"/>
        </w:rPr>
        <w:t>bright light on health disparities, we have pursued a commitment to equity by keeping the needs</w:t>
      </w:r>
    </w:p>
    <w:p w14:paraId="260C6A46" w14:textId="77777777" w:rsidR="00442FE3" w:rsidRPr="00442FE3" w:rsidRDefault="00442FE3" w:rsidP="00442FE3">
      <w:pPr>
        <w:rPr>
          <w:sz w:val="20"/>
        </w:rPr>
      </w:pPr>
      <w:r w:rsidRPr="00442FE3">
        <w:rPr>
          <w:sz w:val="20"/>
        </w:rPr>
        <w:t>of the most vulnerable in the center of our strategy.</w:t>
      </w:r>
    </w:p>
    <w:p w14:paraId="6A06E0C6" w14:textId="77777777" w:rsidR="00880040" w:rsidRPr="000B4586" w:rsidRDefault="00880040" w:rsidP="00442FE3">
      <w:pPr>
        <w:rPr>
          <w:rFonts w:asciiTheme="minorHAnsi" w:hAnsiTheme="minorHAnsi"/>
          <w:sz w:val="20"/>
        </w:rPr>
      </w:pPr>
    </w:p>
    <w:p w14:paraId="4555C57D" w14:textId="7F11D435" w:rsidR="00442FE3" w:rsidRPr="000B4586" w:rsidRDefault="00442FE3" w:rsidP="00442FE3">
      <w:pPr>
        <w:rPr>
          <w:rFonts w:asciiTheme="minorHAnsi" w:hAnsiTheme="minorHAnsi"/>
          <w:sz w:val="20"/>
        </w:rPr>
      </w:pPr>
      <w:r w:rsidRPr="000B4586">
        <w:rPr>
          <w:rFonts w:asciiTheme="minorHAnsi" w:hAnsiTheme="minorHAnsi"/>
          <w:sz w:val="20"/>
        </w:rPr>
        <w:t xml:space="preserve">For more information on CHA’s efforts to advance health equity, please contact </w:t>
      </w:r>
      <w:bookmarkStart w:id="1" w:name="_Hlk58233599"/>
      <w:r w:rsidRPr="000B4586">
        <w:rPr>
          <w:rFonts w:asciiTheme="minorHAnsi" w:hAnsiTheme="minorHAnsi"/>
          <w:sz w:val="20"/>
        </w:rPr>
        <w:t>Maren K.</w:t>
      </w:r>
    </w:p>
    <w:p w14:paraId="2DE3BEF0" w14:textId="77777777" w:rsidR="000B4586" w:rsidRPr="000B4586" w:rsidRDefault="00442FE3" w:rsidP="00442FE3">
      <w:pPr>
        <w:rPr>
          <w:rFonts w:asciiTheme="minorHAnsi" w:hAnsiTheme="minorHAnsi"/>
          <w:sz w:val="20"/>
        </w:rPr>
      </w:pPr>
      <w:r w:rsidRPr="000B4586">
        <w:rPr>
          <w:rFonts w:asciiTheme="minorHAnsi" w:hAnsiTheme="minorHAnsi"/>
          <w:sz w:val="20"/>
        </w:rPr>
        <w:t xml:space="preserve">Batalden, MD, MPH, Chief Quality Officer, at </w:t>
      </w:r>
    </w:p>
    <w:p w14:paraId="06861FE2" w14:textId="5C480AE8" w:rsidR="00442FE3" w:rsidRPr="000B4586" w:rsidRDefault="008C0757" w:rsidP="00442FE3">
      <w:pPr>
        <w:rPr>
          <w:rFonts w:asciiTheme="minorHAnsi" w:hAnsiTheme="minorHAnsi" w:cs="Segoe UI"/>
          <w:color w:val="0072C6"/>
          <w:sz w:val="20"/>
        </w:rPr>
      </w:pPr>
      <w:hyperlink r:id="rId8" w:history="1">
        <w:r w:rsidR="000B4586" w:rsidRPr="000B4586">
          <w:rPr>
            <w:rStyle w:val="Hyperlink"/>
            <w:rFonts w:asciiTheme="minorHAnsi" w:hAnsiTheme="minorHAnsi" w:cs="Segoe UI"/>
            <w:sz w:val="20"/>
          </w:rPr>
          <w:t>mbatalden@challiance.org</w:t>
        </w:r>
      </w:hyperlink>
      <w:r w:rsidR="000B4586" w:rsidRPr="000B4586">
        <w:rPr>
          <w:rStyle w:val="rpc41"/>
          <w:rFonts w:asciiTheme="minorHAnsi" w:hAnsiTheme="minorHAnsi" w:cs="Segoe UI"/>
          <w:color w:val="0072C6"/>
          <w:sz w:val="20"/>
        </w:rPr>
        <w:t xml:space="preserve"> </w:t>
      </w:r>
      <w:r w:rsidR="00442FE3" w:rsidRPr="000B4586">
        <w:rPr>
          <w:rFonts w:asciiTheme="minorHAnsi" w:hAnsiTheme="minorHAnsi"/>
          <w:sz w:val="20"/>
        </w:rPr>
        <w:t>or Jessamyn Blau, MD,</w:t>
      </w:r>
    </w:p>
    <w:p w14:paraId="609342A8" w14:textId="3FCB1FF0" w:rsidR="00DA1521" w:rsidRPr="000B4586" w:rsidRDefault="00442FE3" w:rsidP="002E14DA">
      <w:pPr>
        <w:rPr>
          <w:rStyle w:val="rpc41"/>
          <w:sz w:val="20"/>
        </w:rPr>
      </w:pPr>
      <w:r w:rsidRPr="000B4586">
        <w:rPr>
          <w:rFonts w:asciiTheme="minorHAnsi" w:hAnsiTheme="minorHAnsi"/>
          <w:sz w:val="20"/>
        </w:rPr>
        <w:t>Regional Medical Director</w:t>
      </w:r>
      <w:bookmarkEnd w:id="1"/>
      <w:r w:rsidRPr="000B4586">
        <w:rPr>
          <w:rFonts w:asciiTheme="minorHAnsi" w:hAnsiTheme="minorHAnsi"/>
          <w:sz w:val="20"/>
        </w:rPr>
        <w:t xml:space="preserve">, at </w:t>
      </w:r>
      <w:hyperlink r:id="rId9" w:history="1">
        <w:r w:rsidR="000B4586" w:rsidRPr="000B4586">
          <w:rPr>
            <w:rStyle w:val="Hyperlink"/>
            <w:rFonts w:asciiTheme="minorHAnsi" w:hAnsiTheme="minorHAnsi" w:cs="Segoe UI"/>
            <w:sz w:val="20"/>
          </w:rPr>
          <w:t>jblau@challiance.org</w:t>
        </w:r>
      </w:hyperlink>
    </w:p>
    <w:p w14:paraId="04839ADB" w14:textId="77777777" w:rsidR="000B4586" w:rsidRDefault="000B4586" w:rsidP="002E14DA">
      <w:pPr>
        <w:rPr>
          <w:sz w:val="20"/>
        </w:rPr>
      </w:pPr>
    </w:p>
    <w:p w14:paraId="66D675B3" w14:textId="4C6E350F" w:rsidR="00DA1521" w:rsidRDefault="00DA1521" w:rsidP="002E14DA">
      <w:pPr>
        <w:rPr>
          <w:sz w:val="20"/>
        </w:rPr>
      </w:pPr>
    </w:p>
    <w:p w14:paraId="3AF662E8" w14:textId="2F729D02" w:rsidR="00DA1521" w:rsidRDefault="00DA1521" w:rsidP="002E14DA">
      <w:pPr>
        <w:rPr>
          <w:sz w:val="20"/>
        </w:rPr>
      </w:pPr>
    </w:p>
    <w:p w14:paraId="5AFE3050" w14:textId="64905E0D" w:rsidR="00DA1521" w:rsidRDefault="00DA1521" w:rsidP="002E14DA">
      <w:pPr>
        <w:rPr>
          <w:sz w:val="20"/>
        </w:rPr>
      </w:pPr>
    </w:p>
    <w:p w14:paraId="117515A2" w14:textId="53CB9375" w:rsidR="00DA1521" w:rsidRDefault="00DA1521" w:rsidP="002E14DA">
      <w:pPr>
        <w:rPr>
          <w:sz w:val="20"/>
        </w:rPr>
      </w:pPr>
    </w:p>
    <w:p w14:paraId="43E4E4C4" w14:textId="5223F1A3" w:rsidR="00DA1521" w:rsidRDefault="00DA1521" w:rsidP="002E14DA">
      <w:pPr>
        <w:rPr>
          <w:sz w:val="20"/>
        </w:rPr>
      </w:pPr>
    </w:p>
    <w:p w14:paraId="34FB2A48" w14:textId="77777777" w:rsidR="00442FE3" w:rsidRDefault="00442FE3" w:rsidP="002E14DA">
      <w:pPr>
        <w:rPr>
          <w:b/>
          <w:bCs/>
          <w:color w:val="2A424D" w:themeColor="accent5" w:themeShade="80"/>
          <w:szCs w:val="24"/>
        </w:rPr>
      </w:pPr>
    </w:p>
    <w:p w14:paraId="4FD87456" w14:textId="77777777" w:rsidR="00442FE3" w:rsidRDefault="00442FE3" w:rsidP="002E14DA">
      <w:pPr>
        <w:rPr>
          <w:b/>
          <w:bCs/>
          <w:color w:val="2A424D" w:themeColor="accent5" w:themeShade="80"/>
          <w:szCs w:val="24"/>
        </w:rPr>
      </w:pPr>
    </w:p>
    <w:p w14:paraId="20DC07D4" w14:textId="77777777" w:rsidR="0060391B" w:rsidRDefault="0060391B" w:rsidP="002E14DA">
      <w:pPr>
        <w:rPr>
          <w:b/>
          <w:bCs/>
          <w:color w:val="2A424D" w:themeColor="accent5" w:themeShade="80"/>
          <w:szCs w:val="24"/>
        </w:rPr>
      </w:pPr>
    </w:p>
    <w:p w14:paraId="47F9E8F6" w14:textId="3EDF8AC9" w:rsidR="007562B2" w:rsidRPr="007562B2" w:rsidRDefault="007562B2" w:rsidP="002E14DA">
      <w:pPr>
        <w:rPr>
          <w:b/>
          <w:bCs/>
          <w:color w:val="2A424D" w:themeColor="accent5" w:themeShade="80"/>
          <w:szCs w:val="24"/>
        </w:rPr>
      </w:pPr>
      <w:r w:rsidRPr="007562B2">
        <w:rPr>
          <w:b/>
          <w:bCs/>
          <w:color w:val="2A424D" w:themeColor="accent5" w:themeShade="80"/>
          <w:szCs w:val="24"/>
        </w:rPr>
        <w:t>Massachusetts General Hospital</w:t>
      </w:r>
    </w:p>
    <w:p w14:paraId="4A850DE6" w14:textId="77777777" w:rsidR="00053B9D" w:rsidRPr="007A6644" w:rsidRDefault="00053B9D" w:rsidP="002E14DA">
      <w:pPr>
        <w:rPr>
          <w:b/>
          <w:bCs/>
          <w:sz w:val="22"/>
          <w:szCs w:val="22"/>
        </w:rPr>
      </w:pPr>
      <w:r w:rsidRPr="007A6644">
        <w:rPr>
          <w:b/>
          <w:bCs/>
          <w:sz w:val="22"/>
          <w:szCs w:val="22"/>
        </w:rPr>
        <w:t>MGH Mobile Response Program for COVID-19</w:t>
      </w:r>
    </w:p>
    <w:p w14:paraId="15DAC8BE" w14:textId="6087884E" w:rsidR="00053B9D" w:rsidRPr="0060391B" w:rsidRDefault="00053B9D" w:rsidP="002E14DA">
      <w:pPr>
        <w:rPr>
          <w:sz w:val="20"/>
        </w:rPr>
      </w:pPr>
      <w:r w:rsidRPr="0060391B">
        <w:rPr>
          <w:sz w:val="20"/>
        </w:rPr>
        <w:t xml:space="preserve">Avital DeSharone, MA, PMP </w:t>
      </w:r>
    </w:p>
    <w:p w14:paraId="266FFEF4" w14:textId="71C7B795" w:rsidR="00DA1521" w:rsidRPr="0060391B" w:rsidRDefault="00053B9D" w:rsidP="002E14DA">
      <w:pPr>
        <w:rPr>
          <w:sz w:val="20"/>
        </w:rPr>
      </w:pPr>
      <w:r w:rsidRPr="0060391B">
        <w:rPr>
          <w:sz w:val="20"/>
        </w:rPr>
        <w:t>Stephen Dorner, MD, MPH, MSc</w:t>
      </w:r>
    </w:p>
    <w:p w14:paraId="1250A5B2" w14:textId="77777777" w:rsidR="007562B2" w:rsidRDefault="007562B2" w:rsidP="00DA1521">
      <w:pPr>
        <w:rPr>
          <w:sz w:val="20"/>
        </w:rPr>
      </w:pPr>
    </w:p>
    <w:p w14:paraId="4938B422" w14:textId="59D8B793" w:rsidR="00DA1521" w:rsidRDefault="00DA1521" w:rsidP="00DA1521">
      <w:pPr>
        <w:rPr>
          <w:sz w:val="20"/>
        </w:rPr>
      </w:pPr>
      <w:r w:rsidRPr="00DA1521">
        <w:rPr>
          <w:sz w:val="20"/>
        </w:rPr>
        <w:t>COVID-19 brought health equity to the fore</w:t>
      </w:r>
      <w:r w:rsidR="004B078A">
        <w:rPr>
          <w:sz w:val="20"/>
        </w:rPr>
        <w:t>front</w:t>
      </w:r>
      <w:r w:rsidRPr="00DA1521">
        <w:rPr>
          <w:sz w:val="20"/>
        </w:rPr>
        <w:t xml:space="preserve"> with unprecedented momentum this spring. During this time, MGH served many communities disproportionately impacted by COVID, including Boston, Chelsea, Revere, and Lynn. Many of these communities have higher populations of non-English speaking and racial or ethnic minority patients. With telemedicine emerging as the primary alternative mode of care in the early months of the pandemic, access to technology or internet further exacerbated existing disparities for already vulnerable groups in these communities. </w:t>
      </w:r>
    </w:p>
    <w:p w14:paraId="520711CE" w14:textId="0A8438AD" w:rsidR="00663D34" w:rsidRPr="00DA1521" w:rsidRDefault="00663D34" w:rsidP="00DA1521">
      <w:pPr>
        <w:rPr>
          <w:sz w:val="20"/>
        </w:rPr>
      </w:pPr>
    </w:p>
    <w:p w14:paraId="1F634F99" w14:textId="02C80008" w:rsidR="00DA1521" w:rsidRDefault="00DA1521" w:rsidP="00DA1521">
      <w:pPr>
        <w:rPr>
          <w:sz w:val="20"/>
        </w:rPr>
      </w:pPr>
      <w:r w:rsidRPr="00DA1521">
        <w:rPr>
          <w:sz w:val="20"/>
        </w:rPr>
        <w:t>In seeking to address the hospital’s inpatient capacity constraints and avoid overcrowding in the Emergency Department, the Mobile Response Program (MRP) for COVID-19 launched in April. The MRP offered an alternative to patients that may have otherwise sought care in the Emergency Department for symptoms of COVID-19. Instead, patients received a visit at home from a specially trained paramedic who took vital signs and performed an evaluation with medial direction from a physician or advanced practice provider (NP/PA) participating in the visit by video. For non-English speaking patients, an interpreter joined the visit by telephone or video. Patients were assessed for clinical stability to remain at home to continue to self-</w:t>
      </w:r>
      <w:r w:rsidR="00663D34" w:rsidRPr="00DA1521">
        <w:rPr>
          <w:sz w:val="20"/>
        </w:rPr>
        <w:t>isolate or</w:t>
      </w:r>
      <w:r w:rsidRPr="00DA1521">
        <w:rPr>
          <w:sz w:val="20"/>
        </w:rPr>
        <w:t xml:space="preserve"> come into the hospital to be seen in the Emergency Department and potentially be admitted. </w:t>
      </w:r>
    </w:p>
    <w:p w14:paraId="11CAC01B" w14:textId="77777777" w:rsidR="00663D34" w:rsidRPr="00DA1521" w:rsidRDefault="00663D34" w:rsidP="00DA1521">
      <w:pPr>
        <w:rPr>
          <w:sz w:val="20"/>
        </w:rPr>
      </w:pPr>
    </w:p>
    <w:p w14:paraId="3FF172DB" w14:textId="68C1D1A7" w:rsidR="00DA1521" w:rsidRPr="00DA1521" w:rsidRDefault="00DA1521" w:rsidP="00DA1521">
      <w:pPr>
        <w:rPr>
          <w:sz w:val="20"/>
        </w:rPr>
      </w:pPr>
      <w:r w:rsidRPr="00DA1521">
        <w:rPr>
          <w:sz w:val="20"/>
        </w:rPr>
        <w:t>Between April 16 and June 23, 2020, the program received 185 referrals, and performed 107 evaluations. Among patients evaluated, 43% spoke a primary language other than English, and 54% identified as non-white. Overall, 99 (92%) of patients evaluated could continue in-home isolation. There were no emergent transports to the E</w:t>
      </w:r>
      <w:r w:rsidR="0060391B">
        <w:rPr>
          <w:sz w:val="20"/>
        </w:rPr>
        <w:t xml:space="preserve">mergency </w:t>
      </w:r>
      <w:r w:rsidRPr="00DA1521">
        <w:rPr>
          <w:sz w:val="20"/>
        </w:rPr>
        <w:t>D</w:t>
      </w:r>
      <w:r w:rsidR="0060391B">
        <w:rPr>
          <w:sz w:val="20"/>
        </w:rPr>
        <w:t>epartment</w:t>
      </w:r>
      <w:r w:rsidRPr="00DA1521">
        <w:rPr>
          <w:sz w:val="20"/>
        </w:rPr>
        <w:t xml:space="preserve">. </w:t>
      </w:r>
    </w:p>
    <w:p w14:paraId="2CCFFFF8" w14:textId="77777777" w:rsidR="00DA1521" w:rsidRPr="00DA1521" w:rsidRDefault="00DA1521" w:rsidP="00DA1521">
      <w:pPr>
        <w:rPr>
          <w:sz w:val="20"/>
        </w:rPr>
      </w:pPr>
    </w:p>
    <w:p w14:paraId="51E7C6ED" w14:textId="468B40A6" w:rsidR="007562B2" w:rsidRDefault="00DA1521" w:rsidP="00DA1521">
      <w:pPr>
        <w:rPr>
          <w:sz w:val="20"/>
        </w:rPr>
      </w:pPr>
      <w:r w:rsidRPr="00DA1521">
        <w:rPr>
          <w:sz w:val="20"/>
        </w:rPr>
        <w:t xml:space="preserve">By bringing care to patients’ homes during this period, potential Emergency Department visits were avoided. At this time, we are unable to define the exact number of MRP visits that would have otherwise become an Emergency Department visit. </w:t>
      </w:r>
    </w:p>
    <w:p w14:paraId="673BFE43" w14:textId="03964801" w:rsidR="00E854D4" w:rsidRDefault="00E854D4" w:rsidP="00DA1521">
      <w:pPr>
        <w:rPr>
          <w:sz w:val="20"/>
        </w:rPr>
      </w:pPr>
    </w:p>
    <w:p w14:paraId="375504E9" w14:textId="77777777" w:rsidR="00E854D4" w:rsidRDefault="00E854D4" w:rsidP="00DA1521">
      <w:pPr>
        <w:rPr>
          <w:sz w:val="20"/>
        </w:rPr>
      </w:pPr>
    </w:p>
    <w:p w14:paraId="4F740AF6" w14:textId="77777777" w:rsidR="007562B2" w:rsidRDefault="007562B2" w:rsidP="00DA1521">
      <w:pPr>
        <w:rPr>
          <w:sz w:val="20"/>
        </w:rPr>
      </w:pPr>
    </w:p>
    <w:p w14:paraId="640DB26B" w14:textId="77777777" w:rsidR="007562B2" w:rsidRDefault="007562B2" w:rsidP="00DA1521">
      <w:pPr>
        <w:rPr>
          <w:sz w:val="20"/>
        </w:rPr>
      </w:pPr>
    </w:p>
    <w:p w14:paraId="3C2B3C70" w14:textId="77777777" w:rsidR="007562B2" w:rsidRDefault="007562B2" w:rsidP="00DA1521">
      <w:pPr>
        <w:rPr>
          <w:sz w:val="20"/>
        </w:rPr>
      </w:pPr>
    </w:p>
    <w:p w14:paraId="484601AE" w14:textId="77777777" w:rsidR="007562B2" w:rsidRDefault="007562B2" w:rsidP="00DA1521">
      <w:pPr>
        <w:rPr>
          <w:sz w:val="20"/>
        </w:rPr>
      </w:pPr>
    </w:p>
    <w:p w14:paraId="6CD25DDB" w14:textId="77777777" w:rsidR="007562B2" w:rsidRDefault="007562B2" w:rsidP="00DA1521">
      <w:pPr>
        <w:rPr>
          <w:sz w:val="20"/>
        </w:rPr>
      </w:pPr>
    </w:p>
    <w:p w14:paraId="2C0B1923" w14:textId="24E9FEF2" w:rsidR="007562B2" w:rsidRDefault="00DA1521" w:rsidP="00DA1521">
      <w:pPr>
        <w:rPr>
          <w:sz w:val="20"/>
        </w:rPr>
      </w:pPr>
      <w:r w:rsidRPr="00DA1521">
        <w:rPr>
          <w:sz w:val="20"/>
        </w:rPr>
        <w:t xml:space="preserve">However, as a patient-centered model especially for vulnerable populations, this program served </w:t>
      </w:r>
    </w:p>
    <w:p w14:paraId="429BA0B7" w14:textId="70016F4C" w:rsidR="00DA1521" w:rsidRPr="00DA1521" w:rsidRDefault="00DA1521" w:rsidP="00DA1521">
      <w:pPr>
        <w:rPr>
          <w:sz w:val="20"/>
        </w:rPr>
      </w:pPr>
      <w:r w:rsidRPr="00DA1521">
        <w:rPr>
          <w:sz w:val="20"/>
        </w:rPr>
        <w:t>purposes beyond hospital capacity and E</w:t>
      </w:r>
      <w:r w:rsidR="0060391B">
        <w:rPr>
          <w:sz w:val="20"/>
        </w:rPr>
        <w:t xml:space="preserve">mergency </w:t>
      </w:r>
      <w:r w:rsidRPr="00DA1521">
        <w:rPr>
          <w:sz w:val="20"/>
        </w:rPr>
        <w:t>D</w:t>
      </w:r>
      <w:r w:rsidR="0060391B">
        <w:rPr>
          <w:sz w:val="20"/>
        </w:rPr>
        <w:t>epartment</w:t>
      </w:r>
      <w:r w:rsidRPr="00DA1521">
        <w:rPr>
          <w:sz w:val="20"/>
        </w:rPr>
        <w:t xml:space="preserve"> avoidance.</w:t>
      </w:r>
    </w:p>
    <w:p w14:paraId="67715B3A" w14:textId="77777777" w:rsidR="00DA1521" w:rsidRPr="00DA1521" w:rsidRDefault="00DA1521" w:rsidP="00DA1521">
      <w:pPr>
        <w:rPr>
          <w:sz w:val="20"/>
        </w:rPr>
      </w:pPr>
    </w:p>
    <w:p w14:paraId="0936AD78" w14:textId="77777777" w:rsidR="00663D34" w:rsidRDefault="00DA1521" w:rsidP="00DA1521">
      <w:pPr>
        <w:rPr>
          <w:sz w:val="20"/>
        </w:rPr>
      </w:pPr>
      <w:r w:rsidRPr="00DA1521">
        <w:rPr>
          <w:sz w:val="20"/>
        </w:rPr>
        <w:t xml:space="preserve">With additional COVID surge planning underway, the MRP remains in place and will continue to </w:t>
      </w:r>
    </w:p>
    <w:p w14:paraId="6E8E90EE" w14:textId="6A076049" w:rsidR="00DA1521" w:rsidRDefault="00DA1521" w:rsidP="00DA1521">
      <w:pPr>
        <w:rPr>
          <w:sz w:val="20"/>
        </w:rPr>
      </w:pPr>
      <w:r w:rsidRPr="00DA1521">
        <w:rPr>
          <w:sz w:val="20"/>
        </w:rPr>
        <w:t>support patients in the communities surrounding MGH</w:t>
      </w:r>
      <w:r w:rsidR="004B078A">
        <w:rPr>
          <w:sz w:val="20"/>
        </w:rPr>
        <w:t>,</w:t>
      </w:r>
      <w:r w:rsidRPr="00DA1521">
        <w:rPr>
          <w:sz w:val="20"/>
        </w:rPr>
        <w:t xml:space="preserve"> to improve access to care with special and </w:t>
      </w:r>
    </w:p>
    <w:p w14:paraId="2F084314" w14:textId="67ED26ED" w:rsidR="00663D34" w:rsidRDefault="00DA1521" w:rsidP="00DA1521">
      <w:pPr>
        <w:rPr>
          <w:sz w:val="20"/>
        </w:rPr>
      </w:pPr>
      <w:r w:rsidRPr="00DA1521">
        <w:rPr>
          <w:sz w:val="20"/>
        </w:rPr>
        <w:t>ongoing attention towards maintaining equity among vulnerable populations.</w:t>
      </w:r>
      <w:r w:rsidR="00663D34">
        <w:rPr>
          <w:sz w:val="20"/>
        </w:rPr>
        <w:t xml:space="preserve"> </w:t>
      </w:r>
    </w:p>
    <w:p w14:paraId="0FFB33E2" w14:textId="77777777" w:rsidR="00117C9A" w:rsidRDefault="00117C9A" w:rsidP="00DA1521">
      <w:pPr>
        <w:rPr>
          <w:sz w:val="20"/>
        </w:rPr>
      </w:pPr>
    </w:p>
    <w:p w14:paraId="02C5BC9B" w14:textId="1645AF76" w:rsidR="00DA1521" w:rsidRPr="00663D34" w:rsidRDefault="00663D34" w:rsidP="00DA1521">
      <w:pPr>
        <w:rPr>
          <w:sz w:val="20"/>
        </w:rPr>
      </w:pPr>
      <w:r>
        <w:rPr>
          <w:sz w:val="20"/>
        </w:rPr>
        <w:t xml:space="preserve">Please contact </w:t>
      </w:r>
      <w:r w:rsidRPr="00663D34">
        <w:rPr>
          <w:sz w:val="20"/>
        </w:rPr>
        <w:t xml:space="preserve">Avital DeSharone, </w:t>
      </w:r>
      <w:r>
        <w:rPr>
          <w:sz w:val="20"/>
        </w:rPr>
        <w:t xml:space="preserve">at </w:t>
      </w:r>
      <w:hyperlink r:id="rId10" w:history="1">
        <w:r w:rsidRPr="00C13F77">
          <w:rPr>
            <w:rStyle w:val="Hyperlink"/>
            <w:sz w:val="20"/>
          </w:rPr>
          <w:t>avital.desharone@mgh.harvard.edu</w:t>
        </w:r>
      </w:hyperlink>
      <w:r w:rsidR="00B47C10" w:rsidRPr="00B47C10">
        <w:rPr>
          <w:sz w:val="20"/>
        </w:rPr>
        <w:t xml:space="preserve"> </w:t>
      </w:r>
      <w:r w:rsidRPr="00663D34">
        <w:rPr>
          <w:sz w:val="20"/>
        </w:rPr>
        <w:t>for additional information</w:t>
      </w:r>
      <w:r>
        <w:rPr>
          <w:sz w:val="20"/>
        </w:rPr>
        <w:t>.</w:t>
      </w:r>
    </w:p>
    <w:p w14:paraId="390E19A8" w14:textId="3D57133C" w:rsidR="00DA1521" w:rsidRPr="00B47C10" w:rsidRDefault="00DA1521" w:rsidP="00DA1521">
      <w:pPr>
        <w:rPr>
          <w:sz w:val="20"/>
          <w:vertAlign w:val="superscript"/>
        </w:rPr>
      </w:pPr>
    </w:p>
    <w:p w14:paraId="76E1356F" w14:textId="51B48EAC" w:rsidR="00DA1521" w:rsidRPr="00DA1521" w:rsidRDefault="00DA1521" w:rsidP="00DA1521">
      <w:pPr>
        <w:rPr>
          <w:sz w:val="20"/>
        </w:rPr>
      </w:pPr>
      <w:r w:rsidRPr="00B47C10">
        <w:rPr>
          <w:sz w:val="20"/>
          <w:vertAlign w:val="superscript"/>
        </w:rPr>
        <w:t xml:space="preserve"> </w:t>
      </w:r>
      <w:r w:rsidRPr="00B47C10">
        <w:rPr>
          <w:rStyle w:val="FootnoteReference"/>
        </w:rPr>
        <w:footnoteRef/>
      </w:r>
      <w:r w:rsidRPr="00BA3510">
        <w:rPr>
          <w:sz w:val="20"/>
        </w:rPr>
        <w:t>https://pubmed.ncbi.nlm.nih.gov/32866264/</w:t>
      </w:r>
    </w:p>
    <w:p w14:paraId="6C442D69" w14:textId="39A460D5" w:rsidR="00BA3510" w:rsidRDefault="00BA3510" w:rsidP="00DA1521">
      <w:pPr>
        <w:rPr>
          <w:sz w:val="20"/>
        </w:rPr>
      </w:pPr>
    </w:p>
    <w:p w14:paraId="2C130098" w14:textId="7B3E9F69" w:rsidR="00DA1521" w:rsidRDefault="00DA1521" w:rsidP="00DA1521">
      <w:pPr>
        <w:rPr>
          <w:sz w:val="20"/>
        </w:rPr>
      </w:pPr>
      <w:r w:rsidRPr="00DA1521">
        <w:rPr>
          <w:sz w:val="20"/>
        </w:rPr>
        <w:t>Map of MIH Evaluations</w:t>
      </w:r>
    </w:p>
    <w:p w14:paraId="459EAF33" w14:textId="5080D994" w:rsidR="00E854D4" w:rsidRDefault="000C75D0" w:rsidP="00DA1521">
      <w:pPr>
        <w:rPr>
          <w:sz w:val="20"/>
        </w:rPr>
      </w:pPr>
      <w:r>
        <w:rPr>
          <w:noProof/>
          <w:sz w:val="20"/>
        </w:rPr>
        <w:drawing>
          <wp:anchor distT="0" distB="0" distL="114300" distR="114300" simplePos="0" relativeHeight="251716608" behindDoc="0" locked="0" layoutInCell="1" allowOverlap="1" wp14:anchorId="25819AF8" wp14:editId="4024EC29">
            <wp:simplePos x="0" y="0"/>
            <wp:positionH relativeFrom="margin">
              <wp:posOffset>3576955</wp:posOffset>
            </wp:positionH>
            <wp:positionV relativeFrom="margin">
              <wp:posOffset>3813810</wp:posOffset>
            </wp:positionV>
            <wp:extent cx="3437890" cy="2373630"/>
            <wp:effectExtent l="19050" t="19050" r="10160" b="266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890" cy="237363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p>
    <w:p w14:paraId="5E9ACE5A" w14:textId="12D6AB93" w:rsidR="00E854D4" w:rsidRDefault="00E854D4" w:rsidP="00DA1521">
      <w:pPr>
        <w:rPr>
          <w:sz w:val="20"/>
        </w:rPr>
      </w:pPr>
    </w:p>
    <w:p w14:paraId="23A4AC94" w14:textId="4051C085" w:rsidR="00E854D4" w:rsidRDefault="00E854D4" w:rsidP="00DA1521">
      <w:pPr>
        <w:rPr>
          <w:sz w:val="20"/>
        </w:rPr>
      </w:pPr>
    </w:p>
    <w:p w14:paraId="07B3E218" w14:textId="143BAA15" w:rsidR="00E854D4" w:rsidRDefault="00E854D4" w:rsidP="00DA1521">
      <w:pPr>
        <w:rPr>
          <w:sz w:val="20"/>
        </w:rPr>
      </w:pPr>
    </w:p>
    <w:p w14:paraId="55BFC26B" w14:textId="00CDC776" w:rsidR="00E854D4" w:rsidRDefault="00E854D4" w:rsidP="00DA1521">
      <w:pPr>
        <w:rPr>
          <w:sz w:val="20"/>
        </w:rPr>
      </w:pPr>
    </w:p>
    <w:p w14:paraId="6337B590" w14:textId="6B3D35BE" w:rsidR="00E854D4" w:rsidRDefault="00E854D4" w:rsidP="00DA1521">
      <w:pPr>
        <w:rPr>
          <w:sz w:val="20"/>
        </w:rPr>
      </w:pPr>
    </w:p>
    <w:p w14:paraId="2643B176" w14:textId="0DFBC407" w:rsidR="00E854D4" w:rsidRDefault="00E854D4" w:rsidP="00DA1521">
      <w:pPr>
        <w:rPr>
          <w:sz w:val="20"/>
        </w:rPr>
      </w:pPr>
    </w:p>
    <w:p w14:paraId="0E9BF0F3" w14:textId="0F775ACB" w:rsidR="00E854D4" w:rsidRDefault="00E854D4" w:rsidP="00DA1521">
      <w:pPr>
        <w:rPr>
          <w:sz w:val="20"/>
        </w:rPr>
      </w:pPr>
    </w:p>
    <w:p w14:paraId="70E2E048" w14:textId="4AC30F62" w:rsidR="00E854D4" w:rsidRDefault="00E854D4" w:rsidP="00DA1521">
      <w:pPr>
        <w:rPr>
          <w:sz w:val="20"/>
        </w:rPr>
      </w:pPr>
    </w:p>
    <w:p w14:paraId="38320BBA" w14:textId="72F8B256" w:rsidR="00E854D4" w:rsidRDefault="00E854D4" w:rsidP="00DA1521">
      <w:pPr>
        <w:rPr>
          <w:sz w:val="20"/>
        </w:rPr>
      </w:pPr>
    </w:p>
    <w:p w14:paraId="49DE904B" w14:textId="7A525B3E" w:rsidR="00E854D4" w:rsidRDefault="00E854D4" w:rsidP="00DA1521">
      <w:pPr>
        <w:rPr>
          <w:sz w:val="20"/>
        </w:rPr>
      </w:pPr>
    </w:p>
    <w:p w14:paraId="44835D19" w14:textId="7E97606B" w:rsidR="00E854D4" w:rsidRDefault="00E854D4" w:rsidP="00DA1521">
      <w:pPr>
        <w:rPr>
          <w:sz w:val="20"/>
        </w:rPr>
      </w:pPr>
    </w:p>
    <w:p w14:paraId="105AEEFF" w14:textId="0B8F6583" w:rsidR="00E854D4" w:rsidRDefault="00E854D4" w:rsidP="00DA1521">
      <w:pPr>
        <w:rPr>
          <w:sz w:val="20"/>
        </w:rPr>
      </w:pPr>
    </w:p>
    <w:p w14:paraId="173600E6" w14:textId="0DCD34C6" w:rsidR="00E854D4" w:rsidRDefault="00E854D4" w:rsidP="00DA1521">
      <w:pPr>
        <w:rPr>
          <w:sz w:val="20"/>
        </w:rPr>
      </w:pPr>
    </w:p>
    <w:p w14:paraId="146E52C5" w14:textId="676A03F0" w:rsidR="00E854D4" w:rsidRDefault="00E854D4" w:rsidP="00DA1521">
      <w:pPr>
        <w:rPr>
          <w:sz w:val="20"/>
        </w:rPr>
      </w:pPr>
    </w:p>
    <w:p w14:paraId="69260D1D" w14:textId="167C65AF" w:rsidR="00E854D4" w:rsidRDefault="00E854D4" w:rsidP="00DA1521">
      <w:pPr>
        <w:rPr>
          <w:sz w:val="20"/>
        </w:rPr>
      </w:pPr>
    </w:p>
    <w:p w14:paraId="3D559D87" w14:textId="18890B4D" w:rsidR="008058F2" w:rsidRDefault="008058F2" w:rsidP="00DA1521">
      <w:pPr>
        <w:rPr>
          <w:sz w:val="20"/>
        </w:rPr>
      </w:pPr>
    </w:p>
    <w:p w14:paraId="5C8358D8" w14:textId="35F44870" w:rsidR="008058F2" w:rsidRDefault="008058F2" w:rsidP="00DA1521">
      <w:pPr>
        <w:rPr>
          <w:sz w:val="20"/>
        </w:rPr>
      </w:pPr>
    </w:p>
    <w:p w14:paraId="778BAEBA" w14:textId="44BAFEB2" w:rsidR="008058F2" w:rsidRDefault="008058F2" w:rsidP="00DA1521">
      <w:pPr>
        <w:rPr>
          <w:sz w:val="20"/>
        </w:rPr>
      </w:pPr>
    </w:p>
    <w:p w14:paraId="54C9C682" w14:textId="5BD14CE1" w:rsidR="008058F2" w:rsidRDefault="008058F2" w:rsidP="00DA1521">
      <w:pPr>
        <w:rPr>
          <w:sz w:val="20"/>
        </w:rPr>
      </w:pPr>
    </w:p>
    <w:p w14:paraId="077F43E9" w14:textId="385CF1E6" w:rsidR="008058F2" w:rsidRDefault="008058F2" w:rsidP="00DA1521">
      <w:pPr>
        <w:rPr>
          <w:sz w:val="20"/>
        </w:rPr>
      </w:pPr>
    </w:p>
    <w:p w14:paraId="60B8DD7E" w14:textId="2F161BEB" w:rsidR="008058F2" w:rsidRDefault="008058F2" w:rsidP="00DA1521">
      <w:pPr>
        <w:rPr>
          <w:sz w:val="20"/>
        </w:rPr>
      </w:pPr>
    </w:p>
    <w:p w14:paraId="7E39C47C" w14:textId="0933B925" w:rsidR="008058F2" w:rsidRDefault="008058F2" w:rsidP="00DA1521">
      <w:pPr>
        <w:rPr>
          <w:sz w:val="20"/>
        </w:rPr>
      </w:pPr>
    </w:p>
    <w:p w14:paraId="04146769" w14:textId="34251C72" w:rsidR="008058F2" w:rsidRPr="008058F2" w:rsidRDefault="008058F2" w:rsidP="008058F2">
      <w:pPr>
        <w:rPr>
          <w:b/>
          <w:bCs/>
          <w:color w:val="2A424D" w:themeColor="accent5" w:themeShade="80"/>
          <w:szCs w:val="24"/>
        </w:rPr>
      </w:pPr>
      <w:r w:rsidRPr="008058F2">
        <w:rPr>
          <w:b/>
          <w:bCs/>
          <w:color w:val="2A424D" w:themeColor="accent5" w:themeShade="80"/>
          <w:szCs w:val="24"/>
        </w:rPr>
        <w:t xml:space="preserve">McLean Hospital </w:t>
      </w:r>
    </w:p>
    <w:p w14:paraId="6FA9EAE5" w14:textId="3EC98F74" w:rsidR="00117C9A" w:rsidRPr="007A6644" w:rsidRDefault="008058F2" w:rsidP="008058F2">
      <w:pPr>
        <w:rPr>
          <w:b/>
          <w:bCs/>
          <w:sz w:val="22"/>
          <w:szCs w:val="22"/>
        </w:rPr>
      </w:pPr>
      <w:r w:rsidRPr="007A6644">
        <w:rPr>
          <w:b/>
          <w:bCs/>
          <w:sz w:val="22"/>
          <w:szCs w:val="22"/>
        </w:rPr>
        <w:t>Equity and Health Care</w:t>
      </w:r>
      <w:r w:rsidR="00117C9A" w:rsidRPr="007A6644">
        <w:rPr>
          <w:b/>
          <w:bCs/>
          <w:sz w:val="22"/>
          <w:szCs w:val="22"/>
        </w:rPr>
        <w:t>-</w:t>
      </w:r>
    </w:p>
    <w:p w14:paraId="1947CD32" w14:textId="260C89B0" w:rsidR="008058F2" w:rsidRPr="007A6644" w:rsidRDefault="008058F2" w:rsidP="008058F2">
      <w:pPr>
        <w:rPr>
          <w:b/>
          <w:bCs/>
          <w:sz w:val="22"/>
          <w:szCs w:val="22"/>
        </w:rPr>
      </w:pPr>
      <w:r w:rsidRPr="007A6644">
        <w:rPr>
          <w:b/>
          <w:bCs/>
          <w:sz w:val="22"/>
          <w:szCs w:val="22"/>
        </w:rPr>
        <w:t xml:space="preserve">Efforts to </w:t>
      </w:r>
      <w:r w:rsidR="004B078A">
        <w:rPr>
          <w:b/>
          <w:bCs/>
          <w:sz w:val="22"/>
          <w:szCs w:val="22"/>
        </w:rPr>
        <w:t>C</w:t>
      </w:r>
      <w:r w:rsidRPr="007A6644">
        <w:rPr>
          <w:b/>
          <w:bCs/>
          <w:sz w:val="22"/>
          <w:szCs w:val="22"/>
        </w:rPr>
        <w:t xml:space="preserve">lose the </w:t>
      </w:r>
      <w:r w:rsidR="004B078A">
        <w:rPr>
          <w:b/>
          <w:bCs/>
          <w:sz w:val="22"/>
          <w:szCs w:val="22"/>
        </w:rPr>
        <w:t>G</w:t>
      </w:r>
      <w:r w:rsidRPr="007A6644">
        <w:rPr>
          <w:b/>
          <w:bCs/>
          <w:sz w:val="22"/>
          <w:szCs w:val="22"/>
        </w:rPr>
        <w:t>ap</w:t>
      </w:r>
    </w:p>
    <w:p w14:paraId="783E1EA8" w14:textId="1DF3E886" w:rsidR="00C22E51" w:rsidRPr="0060391B" w:rsidRDefault="008058F2" w:rsidP="008058F2">
      <w:pPr>
        <w:rPr>
          <w:sz w:val="20"/>
        </w:rPr>
      </w:pPr>
      <w:r w:rsidRPr="0060391B">
        <w:rPr>
          <w:sz w:val="20"/>
        </w:rPr>
        <w:t>Gail Tsimprea</w:t>
      </w:r>
      <w:r w:rsidR="00BC5B7D" w:rsidRPr="0060391B">
        <w:rPr>
          <w:sz w:val="20"/>
        </w:rPr>
        <w:t>, Ph.D., RNPC</w:t>
      </w:r>
    </w:p>
    <w:p w14:paraId="7297ABFC" w14:textId="23FE9245" w:rsidR="008058F2" w:rsidRPr="008058F2" w:rsidRDefault="008058F2" w:rsidP="008058F2">
      <w:pPr>
        <w:rPr>
          <w:sz w:val="20"/>
        </w:rPr>
      </w:pPr>
      <w:r w:rsidRPr="008058F2">
        <w:rPr>
          <w:sz w:val="20"/>
        </w:rPr>
        <w:t xml:space="preserve">Chief Quality and Risk Management Officer </w:t>
      </w:r>
    </w:p>
    <w:p w14:paraId="3FADE4EC" w14:textId="77777777" w:rsidR="008058F2" w:rsidRPr="008058F2" w:rsidRDefault="008058F2" w:rsidP="008058F2">
      <w:pPr>
        <w:rPr>
          <w:sz w:val="20"/>
        </w:rPr>
      </w:pPr>
    </w:p>
    <w:p w14:paraId="0D340DAD" w14:textId="299FF3A3" w:rsidR="008058F2" w:rsidRDefault="008058F2" w:rsidP="008058F2">
      <w:pPr>
        <w:rPr>
          <w:sz w:val="20"/>
        </w:rPr>
      </w:pPr>
      <w:r w:rsidRPr="008058F2">
        <w:rPr>
          <w:sz w:val="20"/>
        </w:rPr>
        <w:t>One of the important issues being considered today is equality in the setting of health care.   In an effort to close the gap between the two, McLean Hospital has initiated the following two programs These efforts are aligned with broader Health Equity efforts across MassGeneral</w:t>
      </w:r>
      <w:r>
        <w:rPr>
          <w:sz w:val="20"/>
        </w:rPr>
        <w:t xml:space="preserve"> </w:t>
      </w:r>
      <w:r w:rsidRPr="008058F2">
        <w:rPr>
          <w:sz w:val="20"/>
        </w:rPr>
        <w:t>Brigham.</w:t>
      </w:r>
    </w:p>
    <w:p w14:paraId="5E52692A" w14:textId="77777777" w:rsidR="008058F2" w:rsidRPr="008058F2" w:rsidRDefault="008058F2" w:rsidP="008058F2">
      <w:pPr>
        <w:rPr>
          <w:sz w:val="20"/>
        </w:rPr>
      </w:pPr>
    </w:p>
    <w:p w14:paraId="319DBF3B" w14:textId="2C0A6526" w:rsidR="008058F2" w:rsidRDefault="008058F2" w:rsidP="008058F2">
      <w:pPr>
        <w:rPr>
          <w:sz w:val="20"/>
        </w:rPr>
      </w:pPr>
      <w:r w:rsidRPr="008058F2">
        <w:rPr>
          <w:b/>
          <w:bCs/>
          <w:sz w:val="20"/>
        </w:rPr>
        <w:t>PROGRAM 1</w:t>
      </w:r>
      <w:r>
        <w:rPr>
          <w:b/>
          <w:bCs/>
          <w:sz w:val="20"/>
        </w:rPr>
        <w:t>-</w:t>
      </w:r>
      <w:r w:rsidRPr="008058F2">
        <w:rPr>
          <w:b/>
          <w:bCs/>
          <w:sz w:val="20"/>
        </w:rPr>
        <w:t>Anti-Rac</w:t>
      </w:r>
      <w:r w:rsidR="0060391B">
        <w:rPr>
          <w:b/>
          <w:bCs/>
          <w:sz w:val="20"/>
        </w:rPr>
        <w:t>ism</w:t>
      </w:r>
      <w:r w:rsidRPr="008058F2">
        <w:rPr>
          <w:b/>
          <w:bCs/>
          <w:sz w:val="20"/>
        </w:rPr>
        <w:t>, Justice, and Health Equity</w:t>
      </w:r>
    </w:p>
    <w:p w14:paraId="7B5A9BE9" w14:textId="77777777" w:rsidR="008058F2" w:rsidRPr="008058F2" w:rsidRDefault="008058F2" w:rsidP="008058F2">
      <w:pPr>
        <w:rPr>
          <w:b/>
          <w:bCs/>
          <w:sz w:val="20"/>
        </w:rPr>
      </w:pPr>
    </w:p>
    <w:p w14:paraId="0BBE1327" w14:textId="218F78F8" w:rsidR="008058F2" w:rsidRPr="008058F2" w:rsidRDefault="008058F2" w:rsidP="008058F2">
      <w:pPr>
        <w:rPr>
          <w:sz w:val="20"/>
        </w:rPr>
      </w:pPr>
      <w:r w:rsidRPr="008058F2">
        <w:rPr>
          <w:sz w:val="20"/>
        </w:rPr>
        <w:t>McLean Hospital is committed to addressing racial injustice and inequity within its walls and more broadly across greater Boston and national communities. With these goals in mind, McLean appointed Stephanie Pinder-Amaker, PhD, as its first Chief Diversity, Equity, and Inclusion officer (CDEIO) in August 2020. “My overarching vision for advancing diversity, equity, and inclusion at McLean is really straightforward,” said Pinder-Amaker upon accepting this new role. “I envision a McLean in which employees across all of our mission elements–across clinical, research, and training, wherever you sit within our organization–that you see yourself within these efforts and have a growing understanding of what your contributions can be.”</w:t>
      </w:r>
    </w:p>
    <w:p w14:paraId="15F1750B" w14:textId="77777777" w:rsidR="008058F2" w:rsidRPr="008058F2" w:rsidRDefault="008058F2" w:rsidP="008058F2">
      <w:pPr>
        <w:rPr>
          <w:sz w:val="20"/>
        </w:rPr>
      </w:pPr>
    </w:p>
    <w:p w14:paraId="6B23F179" w14:textId="5E1C39B2" w:rsidR="008058F2" w:rsidRDefault="008058F2" w:rsidP="008058F2">
      <w:pPr>
        <w:rPr>
          <w:sz w:val="20"/>
        </w:rPr>
      </w:pPr>
      <w:r w:rsidRPr="008058F2">
        <w:rPr>
          <w:sz w:val="20"/>
        </w:rPr>
        <w:t>Among her first milestones as CDEIO, Pinder-Amaker lead McLean’s Anti-Racist, Justice, and Health Equity Oversight Committee to create McLean Hospital’s Anti-Racist, Justice, and Health Equity Action Plan.</w:t>
      </w:r>
    </w:p>
    <w:p w14:paraId="7BDE4BD6" w14:textId="77777777" w:rsidR="008058F2" w:rsidRPr="008058F2" w:rsidRDefault="008058F2" w:rsidP="008058F2">
      <w:pPr>
        <w:rPr>
          <w:sz w:val="20"/>
        </w:rPr>
      </w:pPr>
    </w:p>
    <w:p w14:paraId="5CF39DED" w14:textId="1EF8B4FA" w:rsidR="008058F2" w:rsidRDefault="008058F2" w:rsidP="008058F2">
      <w:pPr>
        <w:rPr>
          <w:sz w:val="20"/>
        </w:rPr>
      </w:pPr>
      <w:r w:rsidRPr="008058F2">
        <w:rPr>
          <w:sz w:val="20"/>
        </w:rPr>
        <w:t>The plan includes a call to action to address long standing systemic and structural racism, injustice, and health inequities.  These are a sample of the questions to be addressed:</w:t>
      </w:r>
    </w:p>
    <w:p w14:paraId="464391BE" w14:textId="77777777" w:rsidR="008C0757" w:rsidRPr="008058F2" w:rsidRDefault="008C0757" w:rsidP="008058F2">
      <w:pPr>
        <w:rPr>
          <w:sz w:val="20"/>
        </w:rPr>
      </w:pPr>
    </w:p>
    <w:p w14:paraId="08FE6764" w14:textId="7B74AE52" w:rsidR="008058F2" w:rsidRPr="008058F2" w:rsidRDefault="008058F2" w:rsidP="008058F2">
      <w:pPr>
        <w:rPr>
          <w:sz w:val="20"/>
        </w:rPr>
      </w:pPr>
      <w:r w:rsidRPr="008058F2">
        <w:rPr>
          <w:sz w:val="20"/>
        </w:rPr>
        <w:t>•</w:t>
      </w:r>
      <w:r>
        <w:rPr>
          <w:sz w:val="20"/>
        </w:rPr>
        <w:t xml:space="preserve"> </w:t>
      </w:r>
      <w:r w:rsidRPr="008058F2">
        <w:rPr>
          <w:sz w:val="20"/>
        </w:rPr>
        <w:t>How do we continually improve our understanding of the need?</w:t>
      </w:r>
    </w:p>
    <w:p w14:paraId="22D11616" w14:textId="184B309C" w:rsidR="008058F2" w:rsidRPr="008058F2" w:rsidRDefault="008058F2" w:rsidP="008058F2">
      <w:pPr>
        <w:rPr>
          <w:sz w:val="20"/>
        </w:rPr>
      </w:pPr>
      <w:r w:rsidRPr="008058F2">
        <w:rPr>
          <w:sz w:val="20"/>
        </w:rPr>
        <w:t>•</w:t>
      </w:r>
      <w:r>
        <w:rPr>
          <w:sz w:val="20"/>
        </w:rPr>
        <w:t xml:space="preserve"> </w:t>
      </w:r>
      <w:r w:rsidRPr="008058F2">
        <w:rPr>
          <w:sz w:val="20"/>
        </w:rPr>
        <w:t>How do we meet the need?</w:t>
      </w:r>
    </w:p>
    <w:p w14:paraId="4A490AA8" w14:textId="371D1D4C" w:rsidR="008058F2" w:rsidRPr="008058F2" w:rsidRDefault="008058F2" w:rsidP="008058F2">
      <w:pPr>
        <w:rPr>
          <w:sz w:val="20"/>
        </w:rPr>
      </w:pPr>
      <w:r w:rsidRPr="008058F2">
        <w:rPr>
          <w:sz w:val="20"/>
        </w:rPr>
        <w:t>•</w:t>
      </w:r>
      <w:r>
        <w:rPr>
          <w:sz w:val="20"/>
        </w:rPr>
        <w:t xml:space="preserve"> </w:t>
      </w:r>
      <w:r w:rsidRPr="008058F2">
        <w:rPr>
          <w:sz w:val="20"/>
        </w:rPr>
        <w:t>What are the barriers?</w:t>
      </w:r>
    </w:p>
    <w:p w14:paraId="6F2A9F80" w14:textId="72396737" w:rsidR="008058F2" w:rsidRPr="008058F2" w:rsidRDefault="008058F2" w:rsidP="008058F2">
      <w:pPr>
        <w:rPr>
          <w:sz w:val="20"/>
        </w:rPr>
      </w:pPr>
      <w:r w:rsidRPr="008058F2">
        <w:rPr>
          <w:sz w:val="20"/>
        </w:rPr>
        <w:t>•</w:t>
      </w:r>
      <w:r>
        <w:rPr>
          <w:sz w:val="20"/>
        </w:rPr>
        <w:t xml:space="preserve"> </w:t>
      </w:r>
      <w:r w:rsidRPr="008058F2">
        <w:rPr>
          <w:sz w:val="20"/>
        </w:rPr>
        <w:t>How do we change our culture from within to ensure that all members of our community feel seen, valued, respected, empowered, engaged, and included?</w:t>
      </w:r>
    </w:p>
    <w:p w14:paraId="5135F4D9" w14:textId="00C35158" w:rsidR="008058F2" w:rsidRPr="008058F2" w:rsidRDefault="008058F2" w:rsidP="008058F2">
      <w:pPr>
        <w:rPr>
          <w:sz w:val="20"/>
        </w:rPr>
      </w:pPr>
      <w:r w:rsidRPr="008058F2">
        <w:rPr>
          <w:sz w:val="20"/>
        </w:rPr>
        <w:t>•</w:t>
      </w:r>
      <w:r>
        <w:rPr>
          <w:sz w:val="20"/>
        </w:rPr>
        <w:t xml:space="preserve"> </w:t>
      </w:r>
      <w:r w:rsidRPr="008058F2">
        <w:rPr>
          <w:sz w:val="20"/>
        </w:rPr>
        <w:t>How do we ensure that anti-racism and racial equity remain at the forefront of everything we do going forward?</w:t>
      </w:r>
    </w:p>
    <w:p w14:paraId="7F896A93" w14:textId="77777777" w:rsidR="00F37474" w:rsidRDefault="00F37474" w:rsidP="008058F2">
      <w:pPr>
        <w:rPr>
          <w:sz w:val="20"/>
        </w:rPr>
      </w:pPr>
    </w:p>
    <w:p w14:paraId="56612D3B" w14:textId="77777777" w:rsidR="00F37474" w:rsidRDefault="00F37474" w:rsidP="008058F2">
      <w:pPr>
        <w:rPr>
          <w:sz w:val="20"/>
        </w:rPr>
      </w:pPr>
    </w:p>
    <w:p w14:paraId="4D091982" w14:textId="77777777" w:rsidR="00F37474" w:rsidRDefault="00F37474" w:rsidP="008058F2">
      <w:pPr>
        <w:rPr>
          <w:sz w:val="20"/>
        </w:rPr>
      </w:pPr>
    </w:p>
    <w:p w14:paraId="1CDAC1CA" w14:textId="77777777" w:rsidR="00F37474" w:rsidRDefault="00F37474" w:rsidP="008058F2">
      <w:pPr>
        <w:rPr>
          <w:sz w:val="20"/>
        </w:rPr>
      </w:pPr>
    </w:p>
    <w:p w14:paraId="72B214B8" w14:textId="77777777" w:rsidR="00117C9A" w:rsidRDefault="00117C9A" w:rsidP="008058F2">
      <w:pPr>
        <w:rPr>
          <w:sz w:val="20"/>
        </w:rPr>
      </w:pPr>
    </w:p>
    <w:p w14:paraId="4BB7BAA4" w14:textId="33021A27" w:rsidR="008058F2" w:rsidRDefault="008058F2" w:rsidP="008058F2">
      <w:pPr>
        <w:rPr>
          <w:sz w:val="20"/>
        </w:rPr>
      </w:pPr>
      <w:r w:rsidRPr="008058F2">
        <w:rPr>
          <w:sz w:val="20"/>
        </w:rPr>
        <w:t>•</w:t>
      </w:r>
      <w:r>
        <w:rPr>
          <w:sz w:val="20"/>
        </w:rPr>
        <w:t xml:space="preserve"> </w:t>
      </w:r>
      <w:r w:rsidRPr="008058F2">
        <w:rPr>
          <w:sz w:val="20"/>
        </w:rPr>
        <w:t>How do we integrate standards and practices for accountability system-wide?</w:t>
      </w:r>
    </w:p>
    <w:p w14:paraId="5D7D767B" w14:textId="651D0A88" w:rsidR="008058F2" w:rsidRPr="008058F2" w:rsidRDefault="008058F2" w:rsidP="008058F2">
      <w:pPr>
        <w:rPr>
          <w:sz w:val="20"/>
        </w:rPr>
      </w:pPr>
      <w:r w:rsidRPr="008058F2">
        <w:rPr>
          <w:sz w:val="20"/>
        </w:rPr>
        <w:t>•</w:t>
      </w:r>
      <w:r>
        <w:rPr>
          <w:sz w:val="20"/>
        </w:rPr>
        <w:t xml:space="preserve"> </w:t>
      </w:r>
      <w:r w:rsidRPr="008058F2">
        <w:rPr>
          <w:sz w:val="20"/>
        </w:rPr>
        <w:t>What strategies do we employ to establish a workforce reflective of the patient population we seek to serve?</w:t>
      </w:r>
    </w:p>
    <w:p w14:paraId="31372686" w14:textId="3CB2DBD1" w:rsidR="008058F2" w:rsidRPr="008058F2" w:rsidRDefault="008058F2" w:rsidP="008058F2">
      <w:pPr>
        <w:rPr>
          <w:sz w:val="20"/>
        </w:rPr>
      </w:pPr>
      <w:r w:rsidRPr="008058F2">
        <w:rPr>
          <w:sz w:val="20"/>
        </w:rPr>
        <w:t>•</w:t>
      </w:r>
      <w:r>
        <w:rPr>
          <w:sz w:val="20"/>
        </w:rPr>
        <w:t xml:space="preserve"> </w:t>
      </w:r>
      <w:r w:rsidRPr="008058F2">
        <w:rPr>
          <w:sz w:val="20"/>
        </w:rPr>
        <w:t>How do we improve clinical outcomes, reduce disparities, and promote equity in the care we provide?</w:t>
      </w:r>
    </w:p>
    <w:p w14:paraId="0D8CBA17" w14:textId="79CBE490" w:rsidR="008058F2" w:rsidRDefault="001B406B" w:rsidP="008058F2">
      <w:pPr>
        <w:rPr>
          <w:sz w:val="20"/>
        </w:rPr>
      </w:pPr>
      <w:r>
        <w:rPr>
          <w:sz w:val="20"/>
        </w:rPr>
        <w:br/>
      </w:r>
      <w:r w:rsidR="008C0757">
        <w:rPr>
          <w:sz w:val="20"/>
        </w:rPr>
        <w:t xml:space="preserve">The </w:t>
      </w:r>
      <w:r w:rsidR="008058F2" w:rsidRPr="008058F2">
        <w:rPr>
          <w:sz w:val="20"/>
        </w:rPr>
        <w:t>Advance the “Walls to Halls” projec</w:t>
      </w:r>
      <w:r w:rsidR="008C0757">
        <w:rPr>
          <w:sz w:val="20"/>
        </w:rPr>
        <w:t>t is</w:t>
      </w:r>
      <w:r w:rsidR="008058F2" w:rsidRPr="008058F2">
        <w:rPr>
          <w:sz w:val="20"/>
        </w:rPr>
        <w:t xml:space="preserve"> an initiative aimed at diversifying the portraits of leaders that adorn the hospital halls and meeting rooms</w:t>
      </w:r>
      <w:r>
        <w:rPr>
          <w:sz w:val="20"/>
        </w:rPr>
        <w:t xml:space="preserve">. </w:t>
      </w:r>
      <w:r w:rsidR="008058F2" w:rsidRPr="008058F2">
        <w:rPr>
          <w:sz w:val="20"/>
        </w:rPr>
        <w:t>This work includes gaining a more accurate and deeper understanding of the systemic racism and inequities experienced by Black, Indigenous, and people of color within the McLean community.</w:t>
      </w:r>
    </w:p>
    <w:p w14:paraId="3A57DDAE" w14:textId="77777777" w:rsidR="008058F2" w:rsidRPr="008058F2" w:rsidRDefault="008058F2" w:rsidP="008058F2">
      <w:pPr>
        <w:rPr>
          <w:sz w:val="20"/>
        </w:rPr>
      </w:pPr>
    </w:p>
    <w:p w14:paraId="6ACBAC37" w14:textId="57E02484" w:rsidR="008058F2" w:rsidRDefault="008058F2" w:rsidP="008058F2">
      <w:pPr>
        <w:rPr>
          <w:sz w:val="20"/>
        </w:rPr>
      </w:pPr>
      <w:r w:rsidRPr="008058F2">
        <w:rPr>
          <w:sz w:val="20"/>
        </w:rPr>
        <w:t xml:space="preserve">This fall, Pinder-Amaker and members of her team launched “The Anti-Racist, Justice, and Health Equity Listening Tour.” The primary goal of the tour is to create space for members of our community to share—with a designated and trained senior McLean leader—their lived and observed experiences with racism and/or marginalization related to race or ethnicity at McLean. </w:t>
      </w:r>
    </w:p>
    <w:p w14:paraId="4CE5C0A8" w14:textId="77777777" w:rsidR="008058F2" w:rsidRPr="008058F2" w:rsidRDefault="008058F2" w:rsidP="008058F2">
      <w:pPr>
        <w:rPr>
          <w:sz w:val="20"/>
        </w:rPr>
      </w:pPr>
    </w:p>
    <w:p w14:paraId="229AAC19" w14:textId="3086BD00" w:rsidR="008058F2" w:rsidRDefault="008058F2" w:rsidP="008058F2">
      <w:pPr>
        <w:rPr>
          <w:sz w:val="20"/>
        </w:rPr>
      </w:pPr>
      <w:r w:rsidRPr="008058F2">
        <w:rPr>
          <w:sz w:val="20"/>
        </w:rPr>
        <w:t>In addition, as part of our organization</w:t>
      </w:r>
      <w:r w:rsidR="001B406B">
        <w:rPr>
          <w:sz w:val="20"/>
        </w:rPr>
        <w:t>’</w:t>
      </w:r>
      <w:r w:rsidRPr="008058F2">
        <w:rPr>
          <w:sz w:val="20"/>
        </w:rPr>
        <w:t>s continued effort to educate and encourage open dialogue, the hospital assembled a library of Anti-Racist Education Resources. This curated list of educational resources is part of McLean Hospital’s Anti-Racist, Justice, and Health Equity Action Plan. Members of our community can use these resources for self-education and support and to begin conversations with peers and within teams throughout the hospital.</w:t>
      </w:r>
    </w:p>
    <w:p w14:paraId="5CBE2268" w14:textId="77777777" w:rsidR="008058F2" w:rsidRPr="008058F2" w:rsidRDefault="008058F2" w:rsidP="008058F2">
      <w:pPr>
        <w:rPr>
          <w:sz w:val="20"/>
        </w:rPr>
      </w:pPr>
    </w:p>
    <w:p w14:paraId="15238B35" w14:textId="0617C0BD" w:rsidR="008058F2" w:rsidRDefault="008058F2" w:rsidP="008058F2">
      <w:pPr>
        <w:rPr>
          <w:b/>
          <w:bCs/>
          <w:sz w:val="20"/>
        </w:rPr>
      </w:pPr>
      <w:r w:rsidRPr="008058F2">
        <w:rPr>
          <w:b/>
          <w:bCs/>
          <w:sz w:val="20"/>
        </w:rPr>
        <w:t>PROGRAM 2-PRIDE</w:t>
      </w:r>
    </w:p>
    <w:p w14:paraId="5849B5CD" w14:textId="77777777" w:rsidR="008058F2" w:rsidRPr="008058F2" w:rsidRDefault="008058F2" w:rsidP="008058F2">
      <w:pPr>
        <w:rPr>
          <w:b/>
          <w:bCs/>
          <w:sz w:val="20"/>
        </w:rPr>
      </w:pPr>
    </w:p>
    <w:p w14:paraId="0FA01A4B" w14:textId="1ED05A95" w:rsidR="008058F2" w:rsidRDefault="008058F2" w:rsidP="008058F2">
      <w:pPr>
        <w:rPr>
          <w:sz w:val="20"/>
        </w:rPr>
      </w:pPr>
      <w:r w:rsidRPr="008058F2">
        <w:rPr>
          <w:sz w:val="20"/>
        </w:rPr>
        <w:t>Building on McLean’s core values, which include embracing diversity and promoting teamwork, the newly created Pride at McLean LGBTQ &amp; Allies Employee Resource Group (ERG) provides McLean employees with forums for discussion, learning, mentoring, networking, and support. The Pride employee resource group is a vital partner with leadership to strengthen McLean as a welcoming and inclusive environment for employees who are LGBTQ and allies.</w:t>
      </w:r>
    </w:p>
    <w:p w14:paraId="3A2FC931" w14:textId="77777777" w:rsidR="008058F2" w:rsidRPr="008058F2" w:rsidRDefault="008058F2" w:rsidP="008058F2">
      <w:pPr>
        <w:rPr>
          <w:sz w:val="20"/>
        </w:rPr>
      </w:pPr>
    </w:p>
    <w:p w14:paraId="5CFE4287" w14:textId="77777777" w:rsidR="008C0757" w:rsidRDefault="008058F2" w:rsidP="008058F2">
      <w:pPr>
        <w:rPr>
          <w:sz w:val="20"/>
        </w:rPr>
      </w:pPr>
      <w:r w:rsidRPr="008058F2">
        <w:rPr>
          <w:sz w:val="20"/>
        </w:rPr>
        <w:t xml:space="preserve">The Pride at McLean ERG ensures that the hospital is a workplace that is respectful, safe, and supportive of LGBTQ employees and allies and collaborates </w:t>
      </w:r>
    </w:p>
    <w:p w14:paraId="5BC834C2" w14:textId="77777777" w:rsidR="008C0757" w:rsidRDefault="008C0757" w:rsidP="008058F2">
      <w:pPr>
        <w:rPr>
          <w:sz w:val="20"/>
        </w:rPr>
      </w:pPr>
    </w:p>
    <w:p w14:paraId="5E85D2DC" w14:textId="77777777" w:rsidR="008C0757" w:rsidRDefault="008C0757" w:rsidP="008058F2">
      <w:pPr>
        <w:rPr>
          <w:sz w:val="20"/>
        </w:rPr>
      </w:pPr>
    </w:p>
    <w:p w14:paraId="7DC7C1C5" w14:textId="77777777" w:rsidR="008C0757" w:rsidRDefault="008C0757" w:rsidP="008058F2">
      <w:pPr>
        <w:rPr>
          <w:sz w:val="20"/>
        </w:rPr>
      </w:pPr>
    </w:p>
    <w:p w14:paraId="01E525CE" w14:textId="77777777" w:rsidR="008C0757" w:rsidRDefault="008C0757" w:rsidP="008058F2">
      <w:pPr>
        <w:rPr>
          <w:sz w:val="20"/>
        </w:rPr>
      </w:pPr>
    </w:p>
    <w:p w14:paraId="7B7551F2" w14:textId="736196DA" w:rsidR="00C321EE" w:rsidRDefault="008058F2" w:rsidP="008058F2">
      <w:pPr>
        <w:rPr>
          <w:sz w:val="20"/>
        </w:rPr>
      </w:pPr>
      <w:r w:rsidRPr="008058F2">
        <w:rPr>
          <w:sz w:val="20"/>
        </w:rPr>
        <w:t xml:space="preserve">with McLean Human Resources and the Partners Employee Assistance Program to provide </w:t>
      </w:r>
    </w:p>
    <w:p w14:paraId="5C2FBFD4" w14:textId="2D3C4CCF" w:rsidR="008058F2" w:rsidRDefault="008058F2" w:rsidP="008058F2">
      <w:pPr>
        <w:rPr>
          <w:sz w:val="20"/>
        </w:rPr>
      </w:pPr>
      <w:r w:rsidRPr="008058F2">
        <w:rPr>
          <w:sz w:val="20"/>
        </w:rPr>
        <w:t xml:space="preserve">educational programming focused on LGBTQ-specific needs and concerns, such as guidance on </w:t>
      </w:r>
    </w:p>
    <w:p w14:paraId="0C1D5EE7" w14:textId="411F2052" w:rsidR="008058F2" w:rsidRPr="008058F2" w:rsidRDefault="008058F2" w:rsidP="008058F2">
      <w:pPr>
        <w:rPr>
          <w:sz w:val="20"/>
        </w:rPr>
      </w:pPr>
      <w:r w:rsidRPr="008058F2">
        <w:rPr>
          <w:sz w:val="20"/>
        </w:rPr>
        <w:t>personal legal documents, taxes, name changes, and adoptions.</w:t>
      </w:r>
    </w:p>
    <w:p w14:paraId="5DCE8B79" w14:textId="77777777" w:rsidR="008058F2" w:rsidRPr="008058F2" w:rsidRDefault="008058F2" w:rsidP="008058F2">
      <w:pPr>
        <w:rPr>
          <w:sz w:val="20"/>
        </w:rPr>
      </w:pPr>
    </w:p>
    <w:p w14:paraId="57C98CB4" w14:textId="10DC21A7" w:rsidR="008058F2" w:rsidRPr="008058F2" w:rsidRDefault="008058F2" w:rsidP="008058F2">
      <w:pPr>
        <w:rPr>
          <w:sz w:val="20"/>
        </w:rPr>
      </w:pPr>
      <w:r w:rsidRPr="008058F2">
        <w:rPr>
          <w:sz w:val="20"/>
        </w:rPr>
        <w:t>For the fourth consecutive year, McLean Hospital celebrated Pride Month. Throughout June, the McLean LGBTQ and Allies Employee Resource Group, also known as “Pride at McLean” or “Pride ERG,” hosted and sponsored a wide variety of cultural, social, and educational events designed to celebrate and support McLean’s LGBTQ staff, patients, and family members. McLean being involved in Pride month sends the message that employees are welcome to bring their whole selves to work. Diversity is one of McLean’s core values.</w:t>
      </w:r>
    </w:p>
    <w:p w14:paraId="6A27B6DF" w14:textId="77777777" w:rsidR="008058F2" w:rsidRPr="008058F2" w:rsidRDefault="008058F2" w:rsidP="008058F2">
      <w:pPr>
        <w:rPr>
          <w:sz w:val="20"/>
        </w:rPr>
      </w:pPr>
      <w:r w:rsidRPr="008058F2">
        <w:rPr>
          <w:sz w:val="20"/>
        </w:rPr>
        <w:t xml:space="preserve">McLean Hospital’s Grand Rounds have hosted lectures for the McLean community such as </w:t>
      </w:r>
    </w:p>
    <w:p w14:paraId="109F6EEB" w14:textId="6803C707" w:rsidR="008058F2" w:rsidRPr="008058F2" w:rsidRDefault="001B406B" w:rsidP="008058F2">
      <w:pPr>
        <w:rPr>
          <w:sz w:val="20"/>
        </w:rPr>
      </w:pPr>
      <w:r>
        <w:rPr>
          <w:sz w:val="20"/>
        </w:rPr>
        <w:t xml:space="preserve">a </w:t>
      </w:r>
      <w:r w:rsidR="008058F2" w:rsidRPr="008058F2">
        <w:rPr>
          <w:sz w:val="20"/>
        </w:rPr>
        <w:t>presentation entitled: “Best Practices in Mental Health for Transgender and Gender Non-Conforming Patients;” and a presentation for McLean’s Visiting Scholars Series entitled: “Transgender Youth and Families in Transition: Research Findings and Clinical Implications”,</w:t>
      </w:r>
    </w:p>
    <w:p w14:paraId="4F6EE20C" w14:textId="45942453" w:rsidR="008058F2" w:rsidRDefault="008058F2" w:rsidP="008058F2">
      <w:pPr>
        <w:rPr>
          <w:sz w:val="20"/>
        </w:rPr>
      </w:pPr>
      <w:r w:rsidRPr="008058F2">
        <w:rPr>
          <w:sz w:val="20"/>
        </w:rPr>
        <w:t xml:space="preserve">A McLean physician, (who was also the PI of the following initiative) along physicians from Boston Children’s Hospital, MGH, Fenway, and Harvard University, received an award from the Harvard Mind, Brain and Behavior Interfaculty Initiative, entitled: Transgender and Gender Diverse (TGD) Youth Faculty Interest Group. This award will fund an initiative to unite faculty across Harvard University and to foster cross-disciplinary perspectives for understanding, treating and preventing mental health disparities associated with gender minority stress, which is associated with greater risk for adverse mental health and higher prevalence of suicidality and substance misuse. </w:t>
      </w:r>
    </w:p>
    <w:p w14:paraId="5F42658F" w14:textId="77777777" w:rsidR="00C22E51" w:rsidRPr="008058F2" w:rsidRDefault="00C22E51" w:rsidP="008058F2">
      <w:pPr>
        <w:rPr>
          <w:sz w:val="20"/>
        </w:rPr>
      </w:pPr>
    </w:p>
    <w:p w14:paraId="6BE2B46F" w14:textId="77777777" w:rsidR="008058F2" w:rsidRPr="008058F2" w:rsidRDefault="008058F2" w:rsidP="008058F2">
      <w:pPr>
        <w:rPr>
          <w:sz w:val="20"/>
        </w:rPr>
      </w:pPr>
      <w:r w:rsidRPr="008058F2">
        <w:rPr>
          <w:sz w:val="20"/>
        </w:rPr>
        <w:t>In addition, a McLean researcher has analyzed data from McLean Hospital’s Child and Adolescent Psychiatry Program, to assess mental health in transgender and gender diverse (TGD) patients enrolled in short-term treatment. Findings confirm significant mental health disparities in TGD youth compared to cisgender peers, including higher rates of suicidality and self-injurious behavior, as well as more severe depressive and anxiety symptoms. Importantly, both groups showed significant improvements in mental health following acute residential treatment. These data are in preparation for submission to a peer-reviewed journal.</w:t>
      </w:r>
    </w:p>
    <w:p w14:paraId="7330EA80" w14:textId="77777777" w:rsidR="008058F2" w:rsidRPr="008058F2" w:rsidRDefault="008058F2" w:rsidP="008058F2">
      <w:pPr>
        <w:rPr>
          <w:sz w:val="20"/>
        </w:rPr>
      </w:pPr>
    </w:p>
    <w:p w14:paraId="27DEB4E7" w14:textId="77777777" w:rsidR="00C321EE" w:rsidRDefault="00C321EE" w:rsidP="008058F2">
      <w:pPr>
        <w:rPr>
          <w:sz w:val="20"/>
        </w:rPr>
      </w:pPr>
    </w:p>
    <w:p w14:paraId="0BC8D38A" w14:textId="77777777" w:rsidR="00C321EE" w:rsidRDefault="00C321EE" w:rsidP="008058F2">
      <w:pPr>
        <w:rPr>
          <w:sz w:val="20"/>
        </w:rPr>
      </w:pPr>
    </w:p>
    <w:p w14:paraId="5DE825C8" w14:textId="77777777" w:rsidR="00C321EE" w:rsidRDefault="00C321EE" w:rsidP="008058F2">
      <w:pPr>
        <w:rPr>
          <w:sz w:val="20"/>
        </w:rPr>
      </w:pPr>
    </w:p>
    <w:p w14:paraId="10577553" w14:textId="421FDDBA" w:rsidR="008058F2" w:rsidRDefault="008058F2" w:rsidP="008058F2">
      <w:pPr>
        <w:rPr>
          <w:sz w:val="20"/>
        </w:rPr>
      </w:pPr>
      <w:r w:rsidRPr="008058F2">
        <w:rPr>
          <w:sz w:val="20"/>
        </w:rPr>
        <w:t xml:space="preserve">To end, this is a quote from Maya Angelou: “We all should know that diversity makes for a rich tapestry, and we must understand that all the threads of the </w:t>
      </w:r>
    </w:p>
    <w:p w14:paraId="36A12B29" w14:textId="2D1F7667" w:rsidR="008058F2" w:rsidRPr="008058F2" w:rsidRDefault="008058F2" w:rsidP="008058F2">
      <w:pPr>
        <w:rPr>
          <w:sz w:val="20"/>
        </w:rPr>
      </w:pPr>
      <w:r w:rsidRPr="008058F2">
        <w:rPr>
          <w:sz w:val="20"/>
        </w:rPr>
        <w:t>tapestry are equal in value no matter what their color.”</w:t>
      </w:r>
    </w:p>
    <w:p w14:paraId="600184B5" w14:textId="4CECA7D1" w:rsidR="008058F2" w:rsidRDefault="008058F2" w:rsidP="008058F2">
      <w:pPr>
        <w:rPr>
          <w:sz w:val="20"/>
        </w:rPr>
      </w:pPr>
    </w:p>
    <w:p w14:paraId="2DEED6EB" w14:textId="7F10E231" w:rsidR="000B4586" w:rsidRDefault="000B4586" w:rsidP="008058F2">
      <w:pPr>
        <w:rPr>
          <w:rStyle w:val="rpc41"/>
          <w:rFonts w:ascii="Segoe UI" w:hAnsi="Segoe UI" w:cs="Segoe UI"/>
          <w:color w:val="0072C6"/>
          <w:sz w:val="18"/>
          <w:szCs w:val="18"/>
        </w:rPr>
      </w:pPr>
      <w:r>
        <w:rPr>
          <w:sz w:val="20"/>
        </w:rPr>
        <w:t xml:space="preserve">For additional information, please contact Gail Tsimprea, </w:t>
      </w:r>
      <w:r w:rsidR="00FA668E" w:rsidRPr="00FA668E">
        <w:rPr>
          <w:sz w:val="20"/>
        </w:rPr>
        <w:t xml:space="preserve">Ph.D., RNPC </w:t>
      </w:r>
      <w:r>
        <w:rPr>
          <w:sz w:val="20"/>
        </w:rPr>
        <w:t xml:space="preserve">at </w:t>
      </w:r>
      <w:hyperlink r:id="rId12" w:history="1">
        <w:r w:rsidRPr="00E00769">
          <w:rPr>
            <w:rStyle w:val="Hyperlink"/>
            <w:rFonts w:ascii="Segoe UI" w:hAnsi="Segoe UI" w:cs="Segoe UI"/>
            <w:sz w:val="18"/>
            <w:szCs w:val="18"/>
          </w:rPr>
          <w:t>GTSIMPREA@PARTNERS.ORG</w:t>
        </w:r>
      </w:hyperlink>
    </w:p>
    <w:p w14:paraId="6C3A9705" w14:textId="77777777" w:rsidR="000B4586" w:rsidRPr="008058F2" w:rsidRDefault="000B4586" w:rsidP="008058F2">
      <w:pPr>
        <w:rPr>
          <w:sz w:val="20"/>
        </w:rPr>
      </w:pPr>
    </w:p>
    <w:p w14:paraId="63F30A00" w14:textId="77777777" w:rsidR="008058F2" w:rsidRPr="008058F2" w:rsidRDefault="008058F2" w:rsidP="008058F2">
      <w:pPr>
        <w:rPr>
          <w:sz w:val="20"/>
        </w:rPr>
      </w:pPr>
      <w:bookmarkStart w:id="2" w:name="_GoBack"/>
      <w:bookmarkEnd w:id="2"/>
    </w:p>
    <w:p w14:paraId="7138D743" w14:textId="77777777" w:rsidR="00E854D4" w:rsidRPr="00E854D4" w:rsidRDefault="00E854D4" w:rsidP="00E854D4">
      <w:pPr>
        <w:rPr>
          <w:b/>
          <w:bCs/>
          <w:color w:val="2A424D" w:themeColor="accent5" w:themeShade="80"/>
          <w:szCs w:val="24"/>
        </w:rPr>
      </w:pPr>
      <w:r w:rsidRPr="00E854D4">
        <w:rPr>
          <w:b/>
          <w:bCs/>
          <w:color w:val="2A424D" w:themeColor="accent5" w:themeShade="80"/>
          <w:szCs w:val="24"/>
        </w:rPr>
        <w:t xml:space="preserve">Tufts Medical Center </w:t>
      </w:r>
    </w:p>
    <w:p w14:paraId="60393137" w14:textId="484DF18F" w:rsidR="00E854D4" w:rsidRPr="007A6644" w:rsidRDefault="00E854D4" w:rsidP="00E854D4">
      <w:pPr>
        <w:rPr>
          <w:b/>
          <w:bCs/>
          <w:sz w:val="22"/>
          <w:szCs w:val="22"/>
        </w:rPr>
      </w:pPr>
      <w:r w:rsidRPr="007A6644">
        <w:rPr>
          <w:b/>
          <w:bCs/>
          <w:sz w:val="22"/>
          <w:szCs w:val="22"/>
        </w:rPr>
        <w:t xml:space="preserve">Initiatives Aimed to Reduce Racial, Ethnic and LGBTQ Disparities </w:t>
      </w:r>
    </w:p>
    <w:p w14:paraId="0D21E6EC" w14:textId="64AEDDF8" w:rsidR="00E854D4" w:rsidRPr="0060391B" w:rsidRDefault="00E854D4" w:rsidP="00E854D4">
      <w:pPr>
        <w:rPr>
          <w:sz w:val="20"/>
        </w:rPr>
      </w:pPr>
      <w:r w:rsidRPr="0060391B">
        <w:rPr>
          <w:sz w:val="20"/>
        </w:rPr>
        <w:t xml:space="preserve">Beth Jackson, MS </w:t>
      </w:r>
    </w:p>
    <w:p w14:paraId="68A49A56" w14:textId="77777777" w:rsidR="00E854D4" w:rsidRPr="00E854D4" w:rsidRDefault="00E854D4" w:rsidP="00E854D4">
      <w:pPr>
        <w:rPr>
          <w:sz w:val="20"/>
        </w:rPr>
      </w:pPr>
      <w:r w:rsidRPr="00E854D4">
        <w:rPr>
          <w:sz w:val="20"/>
        </w:rPr>
        <w:t>Senior Risk Manager and PCA Coordinator</w:t>
      </w:r>
    </w:p>
    <w:p w14:paraId="0DC1D4B3" w14:textId="77777777" w:rsidR="00E854D4" w:rsidRPr="00E854D4" w:rsidRDefault="00E854D4" w:rsidP="00E854D4">
      <w:pPr>
        <w:rPr>
          <w:sz w:val="20"/>
        </w:rPr>
      </w:pPr>
    </w:p>
    <w:p w14:paraId="60098961" w14:textId="037BF3D4" w:rsidR="00E854D4" w:rsidRDefault="00E854D4" w:rsidP="00E854D4">
      <w:pPr>
        <w:rPr>
          <w:sz w:val="20"/>
        </w:rPr>
      </w:pPr>
      <w:r w:rsidRPr="00E854D4">
        <w:rPr>
          <w:sz w:val="20"/>
        </w:rPr>
        <w:t>According to Wellforce President and CEO, Michael Dandorph, “the Wellforce Health System is influencing the future of health care and finding solutions to some of the toughest challenges faced by consumers and care teams.  The goals we have for our system and our communities can only be achieved by creating a culture built on compassion, diversity, equity and inclusion”.  Over the past year, Tufts Medical Center, which is part of Wellforce, has made progress towards a culture that values diversity, equity and inclusion.  Some of the actions taken include:</w:t>
      </w:r>
    </w:p>
    <w:p w14:paraId="4545B6E0" w14:textId="77777777" w:rsidR="00E854D4" w:rsidRPr="00E854D4" w:rsidRDefault="00E854D4" w:rsidP="00E854D4">
      <w:pPr>
        <w:rPr>
          <w:sz w:val="20"/>
        </w:rPr>
      </w:pPr>
    </w:p>
    <w:p w14:paraId="68E82A79" w14:textId="1342C493" w:rsidR="00E854D4" w:rsidRPr="00E854D4" w:rsidRDefault="00E854D4" w:rsidP="00E854D4">
      <w:pPr>
        <w:rPr>
          <w:sz w:val="20"/>
        </w:rPr>
      </w:pPr>
      <w:r w:rsidRPr="00E854D4">
        <w:rPr>
          <w:sz w:val="20"/>
        </w:rPr>
        <w:t>•</w:t>
      </w:r>
      <w:r>
        <w:rPr>
          <w:sz w:val="20"/>
        </w:rPr>
        <w:t xml:space="preserve"> </w:t>
      </w:r>
      <w:r w:rsidRPr="00E854D4">
        <w:rPr>
          <w:sz w:val="20"/>
        </w:rPr>
        <w:t xml:space="preserve">The CEO of Tufts Medical Center signed the CEO Action for Diversity &amp; Inclusion pledge which placed Tufts as one of the 1,200 organizations that are committed to advancing diversity and inclusion in the workplace. </w:t>
      </w:r>
    </w:p>
    <w:p w14:paraId="2DB254CD" w14:textId="03585B62" w:rsidR="00E854D4" w:rsidRPr="00E854D4" w:rsidRDefault="00E854D4" w:rsidP="00E854D4">
      <w:pPr>
        <w:rPr>
          <w:sz w:val="20"/>
        </w:rPr>
      </w:pPr>
      <w:r w:rsidRPr="00E854D4">
        <w:rPr>
          <w:sz w:val="20"/>
        </w:rPr>
        <w:t>•</w:t>
      </w:r>
      <w:r>
        <w:rPr>
          <w:sz w:val="20"/>
        </w:rPr>
        <w:t xml:space="preserve"> </w:t>
      </w:r>
      <w:r w:rsidRPr="00E854D4">
        <w:rPr>
          <w:sz w:val="20"/>
        </w:rPr>
        <w:t xml:space="preserve">Participating in a system-wide Day of Understanding Learning Event with Dr. Camara Jones, a nationally recognized speaker on race, racism and healthcare disparities.  </w:t>
      </w:r>
    </w:p>
    <w:p w14:paraId="2D6C0514" w14:textId="42D09721" w:rsidR="00E854D4" w:rsidRPr="00E854D4" w:rsidRDefault="00E854D4" w:rsidP="00E854D4">
      <w:pPr>
        <w:rPr>
          <w:sz w:val="20"/>
        </w:rPr>
      </w:pPr>
      <w:r w:rsidRPr="00E854D4">
        <w:rPr>
          <w:sz w:val="20"/>
        </w:rPr>
        <w:t>•</w:t>
      </w:r>
      <w:r>
        <w:rPr>
          <w:sz w:val="20"/>
        </w:rPr>
        <w:t xml:space="preserve"> </w:t>
      </w:r>
      <w:r w:rsidRPr="00E854D4">
        <w:rPr>
          <w:sz w:val="20"/>
        </w:rPr>
        <w:t>Participating in town halls to support open dialogue for difficult conversations and allowing leaders to understand environmental issues we must address.</w:t>
      </w:r>
    </w:p>
    <w:p w14:paraId="240BAA7B" w14:textId="355CC9CA" w:rsidR="00E854D4" w:rsidRPr="00E854D4" w:rsidRDefault="00E854D4" w:rsidP="00E854D4">
      <w:pPr>
        <w:rPr>
          <w:sz w:val="20"/>
        </w:rPr>
      </w:pPr>
      <w:r w:rsidRPr="00E854D4">
        <w:rPr>
          <w:sz w:val="20"/>
        </w:rPr>
        <w:t>•</w:t>
      </w:r>
      <w:r>
        <w:rPr>
          <w:sz w:val="20"/>
        </w:rPr>
        <w:t xml:space="preserve"> </w:t>
      </w:r>
      <w:r w:rsidRPr="00E854D4">
        <w:rPr>
          <w:sz w:val="20"/>
        </w:rPr>
        <w:t xml:space="preserve">Participating in a presentation with Julia Kajen, PT, DPT focusing on what providers should know about transgender health and non-surgical gender-affirming care. </w:t>
      </w:r>
    </w:p>
    <w:p w14:paraId="6E97FED5" w14:textId="3B8D47EB" w:rsidR="00E854D4" w:rsidRPr="00E854D4" w:rsidRDefault="00E854D4" w:rsidP="00E854D4">
      <w:pPr>
        <w:rPr>
          <w:sz w:val="20"/>
        </w:rPr>
      </w:pPr>
      <w:r w:rsidRPr="00E854D4">
        <w:rPr>
          <w:sz w:val="20"/>
        </w:rPr>
        <w:t>•</w:t>
      </w:r>
      <w:r>
        <w:rPr>
          <w:sz w:val="20"/>
        </w:rPr>
        <w:t xml:space="preserve"> </w:t>
      </w:r>
      <w:r w:rsidRPr="00E854D4">
        <w:rPr>
          <w:sz w:val="20"/>
        </w:rPr>
        <w:t xml:space="preserve">After a national search, hiring our first VP and Chief Diversity, Equity and Inclusion Officer, Rosa Colon-Kolacko. </w:t>
      </w:r>
    </w:p>
    <w:p w14:paraId="4F90E2A0" w14:textId="73F753B2" w:rsidR="00FA668E" w:rsidRDefault="00E854D4" w:rsidP="00E854D4">
      <w:pPr>
        <w:rPr>
          <w:sz w:val="20"/>
        </w:rPr>
      </w:pPr>
      <w:r w:rsidRPr="00E854D4">
        <w:rPr>
          <w:sz w:val="20"/>
        </w:rPr>
        <w:t>•</w:t>
      </w:r>
      <w:r>
        <w:rPr>
          <w:sz w:val="20"/>
        </w:rPr>
        <w:t xml:space="preserve"> </w:t>
      </w:r>
      <w:r w:rsidRPr="00E854D4">
        <w:rPr>
          <w:sz w:val="20"/>
        </w:rPr>
        <w:t xml:space="preserve">Organizing education and training sessions held in the Fall of 2020 for board members, executives, leaders, employees and physicians as we partner with Cook Ross, a global, Certified-Black Women-Owned consulting and training firm with 30  </w:t>
      </w:r>
    </w:p>
    <w:p w14:paraId="7FF266B2" w14:textId="77777777" w:rsidR="00FA668E" w:rsidRDefault="00FA668E" w:rsidP="00E854D4">
      <w:pPr>
        <w:rPr>
          <w:sz w:val="20"/>
        </w:rPr>
      </w:pPr>
    </w:p>
    <w:p w14:paraId="60CE07AC" w14:textId="77777777" w:rsidR="00FA668E" w:rsidRDefault="00FA668E" w:rsidP="00E854D4">
      <w:pPr>
        <w:rPr>
          <w:sz w:val="20"/>
        </w:rPr>
      </w:pPr>
    </w:p>
    <w:p w14:paraId="0C67E2F4" w14:textId="77777777" w:rsidR="00FA668E" w:rsidRDefault="00FA668E" w:rsidP="00E854D4">
      <w:pPr>
        <w:rPr>
          <w:sz w:val="20"/>
        </w:rPr>
      </w:pPr>
    </w:p>
    <w:p w14:paraId="5A794B0F" w14:textId="77777777" w:rsidR="00FA668E" w:rsidRDefault="00FA668E" w:rsidP="00E854D4">
      <w:pPr>
        <w:rPr>
          <w:sz w:val="20"/>
        </w:rPr>
      </w:pPr>
    </w:p>
    <w:p w14:paraId="2C3362BD" w14:textId="7A4168B2" w:rsidR="00C321EE" w:rsidRDefault="00E854D4" w:rsidP="00E854D4">
      <w:pPr>
        <w:rPr>
          <w:sz w:val="20"/>
        </w:rPr>
      </w:pPr>
      <w:r w:rsidRPr="00E854D4">
        <w:rPr>
          <w:sz w:val="20"/>
        </w:rPr>
        <w:t xml:space="preserve">years of experience and a deep expertise in the role of unconscious bias and conscious inclusion in the workplace. </w:t>
      </w:r>
    </w:p>
    <w:p w14:paraId="4946F10B" w14:textId="32D839EF" w:rsidR="008058F2" w:rsidRDefault="00E854D4" w:rsidP="00E854D4">
      <w:pPr>
        <w:rPr>
          <w:sz w:val="20"/>
        </w:rPr>
      </w:pPr>
      <w:r w:rsidRPr="00E854D4">
        <w:rPr>
          <w:sz w:val="20"/>
        </w:rPr>
        <w:t>•</w:t>
      </w:r>
      <w:r>
        <w:rPr>
          <w:sz w:val="20"/>
        </w:rPr>
        <w:t xml:space="preserve"> </w:t>
      </w:r>
      <w:r w:rsidRPr="00E854D4">
        <w:rPr>
          <w:sz w:val="20"/>
        </w:rPr>
        <w:t xml:space="preserve">Formed a Diversity and Inclusion Council which focused on ways to strengthen our welcoming of </w:t>
      </w:r>
    </w:p>
    <w:p w14:paraId="0CFA6651" w14:textId="2930FF57" w:rsidR="00E854D4" w:rsidRDefault="00E854D4" w:rsidP="00E854D4">
      <w:pPr>
        <w:rPr>
          <w:sz w:val="20"/>
        </w:rPr>
      </w:pPr>
      <w:r w:rsidRPr="00E854D4">
        <w:rPr>
          <w:sz w:val="20"/>
        </w:rPr>
        <w:t>the LGBTQ patient, their families and colleagues.  Some examples include providing LGBTQ specific clinical services, offer</w:t>
      </w:r>
      <w:r w:rsidR="001B406B">
        <w:rPr>
          <w:sz w:val="20"/>
        </w:rPr>
        <w:t>ing</w:t>
      </w:r>
      <w:r w:rsidRPr="00E854D4">
        <w:rPr>
          <w:sz w:val="20"/>
        </w:rPr>
        <w:t xml:space="preserve"> gender neutral restrooms in public areas, offer</w:t>
      </w:r>
      <w:r w:rsidR="001B406B">
        <w:rPr>
          <w:sz w:val="20"/>
        </w:rPr>
        <w:t>ing</w:t>
      </w:r>
      <w:r w:rsidRPr="00E854D4">
        <w:rPr>
          <w:sz w:val="20"/>
        </w:rPr>
        <w:t xml:space="preserve"> inclusive bereavement leave in the event of the death of an </w:t>
      </w:r>
    </w:p>
    <w:p w14:paraId="300B374B" w14:textId="6E771EBE" w:rsidR="00E854D4" w:rsidRDefault="00E854D4" w:rsidP="00E854D4">
      <w:pPr>
        <w:rPr>
          <w:sz w:val="20"/>
        </w:rPr>
      </w:pPr>
      <w:r w:rsidRPr="00E854D4">
        <w:rPr>
          <w:sz w:val="20"/>
        </w:rPr>
        <w:t>employee’s partner or their immediate family, develop</w:t>
      </w:r>
      <w:r w:rsidR="001B406B">
        <w:rPr>
          <w:sz w:val="20"/>
        </w:rPr>
        <w:t>ing</w:t>
      </w:r>
      <w:r w:rsidRPr="00E854D4">
        <w:rPr>
          <w:sz w:val="20"/>
        </w:rPr>
        <w:t xml:space="preserve"> gender transition guidelines documenting supportive policies and practices on issues pertinent to a workplace gender transition and updat</w:t>
      </w:r>
      <w:r w:rsidR="001B406B">
        <w:rPr>
          <w:sz w:val="20"/>
        </w:rPr>
        <w:t>ing</w:t>
      </w:r>
      <w:r w:rsidRPr="00E854D4">
        <w:rPr>
          <w:sz w:val="20"/>
        </w:rPr>
        <w:t xml:space="preserve"> our Press Gainey employee engagement survey to allow employees to identify as LGBTQ and capture questions on LGBTQ concerns. </w:t>
      </w:r>
    </w:p>
    <w:p w14:paraId="6295C0FE" w14:textId="2619BEA5" w:rsidR="006767EA" w:rsidRDefault="006767EA" w:rsidP="00E854D4">
      <w:pPr>
        <w:rPr>
          <w:sz w:val="20"/>
        </w:rPr>
      </w:pPr>
    </w:p>
    <w:p w14:paraId="0204217C" w14:textId="04306BF0" w:rsidR="004A7C73" w:rsidRDefault="006767EA" w:rsidP="006767EA">
      <w:pPr>
        <w:rPr>
          <w:sz w:val="20"/>
        </w:rPr>
      </w:pPr>
      <w:r>
        <w:rPr>
          <w:sz w:val="20"/>
        </w:rPr>
        <w:t xml:space="preserve">Please contact </w:t>
      </w:r>
      <w:r w:rsidR="004A7C73" w:rsidRPr="004A7C73">
        <w:rPr>
          <w:sz w:val="20"/>
        </w:rPr>
        <w:t xml:space="preserve">Beth Jackson, MS </w:t>
      </w:r>
      <w:r w:rsidR="004A7C73">
        <w:rPr>
          <w:sz w:val="20"/>
        </w:rPr>
        <w:t xml:space="preserve">at </w:t>
      </w:r>
      <w:hyperlink r:id="rId13" w:history="1">
        <w:r w:rsidR="004A7C73" w:rsidRPr="00C63993">
          <w:rPr>
            <w:rStyle w:val="Hyperlink"/>
            <w:sz w:val="20"/>
          </w:rPr>
          <w:t>bjackson4@tuftsmedicalcenter.org</w:t>
        </w:r>
      </w:hyperlink>
    </w:p>
    <w:p w14:paraId="3692DCB0" w14:textId="0503E8BC" w:rsidR="006767EA" w:rsidRPr="00663D34" w:rsidRDefault="006767EA" w:rsidP="006767EA">
      <w:pPr>
        <w:rPr>
          <w:sz w:val="20"/>
        </w:rPr>
      </w:pPr>
      <w:r w:rsidRPr="00663D34">
        <w:rPr>
          <w:sz w:val="20"/>
        </w:rPr>
        <w:t>for additional information</w:t>
      </w:r>
      <w:r>
        <w:rPr>
          <w:sz w:val="20"/>
        </w:rPr>
        <w:t>.</w:t>
      </w:r>
    </w:p>
    <w:p w14:paraId="428AC2FD" w14:textId="60674C22" w:rsidR="00762BF2" w:rsidRDefault="00762BF2" w:rsidP="00DA1521"/>
    <w:p w14:paraId="75E0A797" w14:textId="468A33A2" w:rsidR="00762BF2" w:rsidRDefault="00762BF2" w:rsidP="00DA1521"/>
    <w:tbl>
      <w:tblPr>
        <w:tblStyle w:val="GridTable1Light-Accent5"/>
        <w:tblW w:w="5125" w:type="dxa"/>
        <w:tblLook w:val="04A0" w:firstRow="1" w:lastRow="0" w:firstColumn="1" w:lastColumn="0" w:noHBand="0" w:noVBand="1"/>
      </w:tblPr>
      <w:tblGrid>
        <w:gridCol w:w="1525"/>
        <w:gridCol w:w="1827"/>
        <w:gridCol w:w="1773"/>
      </w:tblGrid>
      <w:tr w:rsidR="001A03F7" w14:paraId="18E4D059" w14:textId="77777777" w:rsidTr="00754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B8CED8" w:themeFill="accent5" w:themeFillTint="66"/>
          </w:tcPr>
          <w:p w14:paraId="5B298532" w14:textId="3473B486" w:rsidR="001A03F7" w:rsidRDefault="001A03F7" w:rsidP="001A03F7">
            <w:pPr>
              <w:rPr>
                <w:sz w:val="20"/>
              </w:rPr>
            </w:pPr>
            <w:r w:rsidRPr="00F25C2A">
              <w:rPr>
                <w:rFonts w:ascii="Calibri" w:hAnsi="Calibri" w:cs="Calibri"/>
                <w:color w:val="212121"/>
              </w:rPr>
              <w:t>​</w:t>
            </w:r>
          </w:p>
        </w:tc>
        <w:tc>
          <w:tcPr>
            <w:tcW w:w="1827" w:type="dxa"/>
            <w:shd w:val="clear" w:color="auto" w:fill="auto"/>
          </w:tcPr>
          <w:p w14:paraId="42270B01" w14:textId="77777777" w:rsidR="00754B27" w:rsidRPr="00BF4CF3" w:rsidRDefault="001A03F7" w:rsidP="00754B2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2A424D" w:themeColor="accent5" w:themeShade="80"/>
                <w:sz w:val="18"/>
                <w:szCs w:val="18"/>
              </w:rPr>
            </w:pPr>
            <w:r w:rsidRPr="00BF4CF3">
              <w:rPr>
                <w:rFonts w:ascii="Calibri" w:hAnsi="Calibri" w:cs="Calibri"/>
                <w:color w:val="2A424D" w:themeColor="accent5" w:themeShade="80"/>
                <w:sz w:val="18"/>
                <w:szCs w:val="18"/>
              </w:rPr>
              <w:t xml:space="preserve">Ambulatory </w:t>
            </w:r>
          </w:p>
          <w:p w14:paraId="6F05899B" w14:textId="68E55CD3" w:rsidR="00754B27" w:rsidRPr="00BF4CF3" w:rsidRDefault="001A03F7" w:rsidP="00754B2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2A424D" w:themeColor="accent5" w:themeShade="80"/>
                <w:sz w:val="18"/>
                <w:szCs w:val="18"/>
              </w:rPr>
            </w:pPr>
            <w:r w:rsidRPr="00BF4CF3">
              <w:rPr>
                <w:rFonts w:ascii="Calibri" w:hAnsi="Calibri" w:cs="Calibri"/>
                <w:color w:val="2A424D" w:themeColor="accent5" w:themeShade="80"/>
                <w:sz w:val="18"/>
                <w:szCs w:val="18"/>
              </w:rPr>
              <w:t>Clinics</w:t>
            </w:r>
          </w:p>
          <w:p w14:paraId="6CA3AE79" w14:textId="25B6C08C" w:rsidR="001A03F7" w:rsidRPr="00BF4CF3" w:rsidRDefault="001A03F7" w:rsidP="00754B27">
            <w:pPr>
              <w:jc w:val="center"/>
              <w:cnfStyle w:val="100000000000" w:firstRow="1" w:lastRow="0" w:firstColumn="0" w:lastColumn="0" w:oddVBand="0" w:evenVBand="0" w:oddHBand="0" w:evenHBand="0" w:firstRowFirstColumn="0" w:firstRowLastColumn="0" w:lastRowFirstColumn="0" w:lastRowLastColumn="0"/>
              <w:rPr>
                <w:color w:val="2A424D" w:themeColor="accent5" w:themeShade="80"/>
                <w:sz w:val="18"/>
                <w:szCs w:val="18"/>
              </w:rPr>
            </w:pPr>
            <w:r w:rsidRPr="00BF4CF3">
              <w:rPr>
                <w:rFonts w:ascii="Calibri" w:hAnsi="Calibri" w:cs="Calibri"/>
                <w:color w:val="2A424D" w:themeColor="accent5" w:themeShade="80"/>
                <w:sz w:val="18"/>
                <w:szCs w:val="18"/>
              </w:rPr>
              <w:br/>
              <w:t>Acute Care Hospitals with Inpatient</w:t>
            </w:r>
            <w:r w:rsidRPr="00BF4CF3">
              <w:rPr>
                <w:rFonts w:ascii="Calibri" w:hAnsi="Calibri" w:cs="Calibri"/>
                <w:color w:val="2A424D" w:themeColor="accent5" w:themeShade="80"/>
                <w:sz w:val="18"/>
                <w:szCs w:val="18"/>
              </w:rPr>
              <w:br/>
              <w:t> Obstetrical Unit​​s</w:t>
            </w:r>
          </w:p>
        </w:tc>
        <w:tc>
          <w:tcPr>
            <w:tcW w:w="1773" w:type="dxa"/>
            <w:shd w:val="clear" w:color="auto" w:fill="B8CED8" w:themeFill="accent5" w:themeFillTint="66"/>
          </w:tcPr>
          <w:p w14:paraId="48E59F75" w14:textId="427CFBD7" w:rsidR="001A03F7" w:rsidRPr="00BF4CF3" w:rsidRDefault="001A03F7" w:rsidP="001A03F7">
            <w:pPr>
              <w:shd w:val="clear" w:color="auto" w:fill="FFFFFF"/>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2A424D" w:themeColor="accent5" w:themeShade="80"/>
                <w:sz w:val="18"/>
                <w:szCs w:val="18"/>
              </w:rPr>
            </w:pPr>
            <w:r w:rsidRPr="00BF4CF3">
              <w:rPr>
                <w:rFonts w:ascii="Calibri" w:hAnsi="Calibri" w:cs="Calibri"/>
                <w:color w:val="2A424D" w:themeColor="accent5" w:themeShade="80"/>
                <w:sz w:val="18"/>
                <w:szCs w:val="18"/>
              </w:rPr>
              <w:t>Non-Acute Care Hospitals</w:t>
            </w:r>
          </w:p>
          <w:p w14:paraId="4FD63CBF" w14:textId="77777777" w:rsidR="00754B27" w:rsidRPr="00BF4CF3" w:rsidRDefault="00754B27" w:rsidP="001A03F7">
            <w:pPr>
              <w:shd w:val="clear" w:color="auto" w:fill="FFFFFF"/>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2A424D" w:themeColor="accent5" w:themeShade="80"/>
                <w:sz w:val="18"/>
                <w:szCs w:val="18"/>
              </w:rPr>
            </w:pPr>
          </w:p>
          <w:p w14:paraId="2C2337DA" w14:textId="4D896172" w:rsidR="001A03F7" w:rsidRPr="00BF4CF3" w:rsidRDefault="001A03F7" w:rsidP="001A03F7">
            <w:pPr>
              <w:shd w:val="clear" w:color="auto" w:fill="FFFFFF"/>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2A424D" w:themeColor="accent5" w:themeShade="80"/>
                <w:sz w:val="18"/>
                <w:szCs w:val="18"/>
              </w:rPr>
            </w:pPr>
            <w:r w:rsidRPr="00BF4CF3">
              <w:rPr>
                <w:rFonts w:ascii="Calibri" w:hAnsi="Calibri" w:cs="Calibri"/>
                <w:color w:val="2A424D" w:themeColor="accent5" w:themeShade="80"/>
                <w:sz w:val="18"/>
                <w:szCs w:val="18"/>
              </w:rPr>
              <w:t xml:space="preserve">Acute Care Hospitals </w:t>
            </w:r>
            <w:r w:rsidR="00754B27" w:rsidRPr="00BF4CF3">
              <w:rPr>
                <w:rFonts w:ascii="Calibri" w:hAnsi="Calibri" w:cs="Calibri"/>
                <w:color w:val="2A424D" w:themeColor="accent5" w:themeShade="80"/>
                <w:sz w:val="18"/>
                <w:szCs w:val="18"/>
              </w:rPr>
              <w:t>without Inpatient</w:t>
            </w:r>
            <w:r w:rsidRPr="00BF4CF3">
              <w:rPr>
                <w:rFonts w:ascii="Calibri" w:hAnsi="Calibri" w:cs="Calibri"/>
                <w:color w:val="2A424D" w:themeColor="accent5" w:themeShade="80"/>
                <w:sz w:val="18"/>
                <w:szCs w:val="18"/>
              </w:rPr>
              <w:t xml:space="preserve"> Obstetrical Units</w:t>
            </w:r>
          </w:p>
          <w:p w14:paraId="48507A52" w14:textId="0276FA22" w:rsidR="001A03F7" w:rsidRPr="00BF4CF3" w:rsidRDefault="001A03F7" w:rsidP="001A03F7">
            <w:pPr>
              <w:shd w:val="clear" w:color="auto" w:fill="FFFFFF"/>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2A424D" w:themeColor="accent5" w:themeShade="80"/>
                <w:sz w:val="18"/>
                <w:szCs w:val="18"/>
              </w:rPr>
            </w:pPr>
          </w:p>
        </w:tc>
      </w:tr>
      <w:tr w:rsidR="001A03F7" w14:paraId="52D70B6D" w14:textId="77777777" w:rsidTr="00754B27">
        <w:trPr>
          <w:trHeight w:val="1025"/>
        </w:trPr>
        <w:tc>
          <w:tcPr>
            <w:cnfStyle w:val="001000000000" w:firstRow="0" w:lastRow="0" w:firstColumn="1" w:lastColumn="0" w:oddVBand="0" w:evenVBand="0" w:oddHBand="0" w:evenHBand="0" w:firstRowFirstColumn="0" w:firstRowLastColumn="0" w:lastRowFirstColumn="0" w:lastRowLastColumn="0"/>
            <w:tcW w:w="1525" w:type="dxa"/>
            <w:shd w:val="clear" w:color="auto" w:fill="B8CED8" w:themeFill="accent5" w:themeFillTint="66"/>
          </w:tcPr>
          <w:p w14:paraId="7CE138D4" w14:textId="77777777" w:rsidR="001A03F7" w:rsidRDefault="001A03F7" w:rsidP="001A03F7">
            <w:pPr>
              <w:rPr>
                <w:rFonts w:ascii="Calibri" w:hAnsi="Calibri" w:cs="Calibri"/>
                <w:b w:val="0"/>
                <w:bCs w:val="0"/>
                <w:color w:val="212121"/>
                <w:sz w:val="20"/>
              </w:rPr>
            </w:pPr>
            <w:r w:rsidRPr="001A03F7">
              <w:rPr>
                <w:rFonts w:ascii="Calibri" w:hAnsi="Calibri" w:cs="Calibri"/>
                <w:color w:val="212121"/>
                <w:sz w:val="20"/>
              </w:rPr>
              <w:t>​</w:t>
            </w:r>
          </w:p>
          <w:p w14:paraId="6E174857" w14:textId="01783DA3" w:rsidR="001A03F7" w:rsidRPr="001A03F7" w:rsidRDefault="001A03F7" w:rsidP="001A03F7">
            <w:pPr>
              <w:rPr>
                <w:sz w:val="20"/>
              </w:rPr>
            </w:pPr>
            <w:r w:rsidRPr="001A03F7">
              <w:rPr>
                <w:rFonts w:ascii="Calibri" w:hAnsi="Calibri" w:cs="Calibri"/>
                <w:sz w:val="20"/>
                <w:shd w:val="clear" w:color="auto" w:fill="B8CED8" w:themeFill="accent5" w:themeFillTint="66"/>
              </w:rPr>
              <w:t>Annual Report</w:t>
            </w:r>
          </w:p>
        </w:tc>
        <w:tc>
          <w:tcPr>
            <w:tcW w:w="1827" w:type="dxa"/>
          </w:tcPr>
          <w:p w14:paraId="425CFAAC"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color w:val="212121"/>
                <w:sz w:val="18"/>
                <w:szCs w:val="18"/>
              </w:rPr>
              <w:t>​</w:t>
            </w:r>
          </w:p>
          <w:p w14:paraId="04097B65" w14:textId="77777777" w:rsidR="001A03F7" w:rsidRPr="001A03F7" w:rsidRDefault="001A03F7" w:rsidP="001A03F7">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b/>
                <w:bCs/>
                <w:sz w:val="18"/>
                <w:szCs w:val="18"/>
              </w:rPr>
              <w:t>Du​e April 30, 2021</w:t>
            </w:r>
          </w:p>
          <w:p w14:paraId="7ACF7C2C" w14:textId="77777777" w:rsidR="001A03F7" w:rsidRPr="001A03F7" w:rsidRDefault="001A03F7" w:rsidP="001A03F7">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sz w:val="18"/>
                <w:szCs w:val="18"/>
              </w:rPr>
              <w:t> </w:t>
            </w:r>
          </w:p>
          <w:p w14:paraId="04DBA3D1" w14:textId="77777777" w:rsidR="001A03F7" w:rsidRPr="001A03F7" w:rsidRDefault="001A03F7" w:rsidP="001A03F7">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sz w:val="18"/>
                <w:szCs w:val="18"/>
              </w:rPr>
              <w:t>For the period of March 1, 2020 to </w:t>
            </w:r>
          </w:p>
          <w:p w14:paraId="08A782D2" w14:textId="792837E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sz w:val="18"/>
                <w:szCs w:val="18"/>
              </w:rPr>
            </w:pPr>
            <w:r w:rsidRPr="001A03F7">
              <w:rPr>
                <w:rFonts w:ascii="Calibri" w:hAnsi="Calibri" w:cs="Calibri"/>
                <w:sz w:val="18"/>
                <w:szCs w:val="18"/>
              </w:rPr>
              <w:t>February 28, 2021</w:t>
            </w:r>
          </w:p>
        </w:tc>
        <w:tc>
          <w:tcPr>
            <w:tcW w:w="1773" w:type="dxa"/>
          </w:tcPr>
          <w:p w14:paraId="4AD649C6"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color w:val="212121"/>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
              <w:gridCol w:w="1521"/>
            </w:tblGrid>
            <w:tr w:rsidR="001A03F7" w:rsidRPr="001A03F7" w14:paraId="7AC9018C" w14:textId="77777777" w:rsidTr="0012152D">
              <w:trPr>
                <w:tblCellSpacing w:w="0" w:type="dxa"/>
              </w:trPr>
              <w:tc>
                <w:tcPr>
                  <w:tcW w:w="0" w:type="auto"/>
                  <w:shd w:val="clear" w:color="auto" w:fill="FFFFFF"/>
                  <w:tcMar>
                    <w:top w:w="15" w:type="dxa"/>
                    <w:left w:w="15" w:type="dxa"/>
                    <w:bottom w:w="15" w:type="dxa"/>
                    <w:right w:w="15" w:type="dxa"/>
                  </w:tcMar>
                  <w:vAlign w:val="center"/>
                  <w:hideMark/>
                </w:tcPr>
                <w:p w14:paraId="19D91AA8" w14:textId="77777777" w:rsidR="001A03F7" w:rsidRPr="001A03F7" w:rsidRDefault="001A03F7" w:rsidP="001A03F7">
                  <w:pPr>
                    <w:rPr>
                      <w:rFonts w:ascii="Calibri" w:hAnsi="Calibri" w:cs="Calibri"/>
                      <w:color w:val="212121"/>
                      <w:sz w:val="18"/>
                      <w:szCs w:val="18"/>
                    </w:rPr>
                  </w:pPr>
                </w:p>
              </w:tc>
              <w:tc>
                <w:tcPr>
                  <w:tcW w:w="0" w:type="auto"/>
                  <w:shd w:val="clear" w:color="auto" w:fill="FFFFFF"/>
                  <w:tcMar>
                    <w:top w:w="15" w:type="dxa"/>
                    <w:left w:w="15" w:type="dxa"/>
                    <w:bottom w:w="15" w:type="dxa"/>
                    <w:right w:w="15" w:type="dxa"/>
                  </w:tcMar>
                  <w:vAlign w:val="center"/>
                  <w:hideMark/>
                </w:tcPr>
                <w:p w14:paraId="38E05DD2" w14:textId="77777777" w:rsidR="001A03F7" w:rsidRPr="001A03F7" w:rsidRDefault="001A03F7" w:rsidP="001A03F7">
                  <w:pPr>
                    <w:jc w:val="center"/>
                    <w:rPr>
                      <w:rFonts w:ascii="Times New Roman" w:hAnsi="Times New Roman"/>
                      <w:sz w:val="18"/>
                      <w:szCs w:val="18"/>
                    </w:rPr>
                  </w:pPr>
                  <w:r w:rsidRPr="001A03F7">
                    <w:rPr>
                      <w:rFonts w:ascii="Calibri" w:hAnsi="Calibri" w:cs="Calibri"/>
                      <w:b/>
                      <w:bCs/>
                      <w:sz w:val="18"/>
                      <w:szCs w:val="18"/>
                    </w:rPr>
                    <w:t>Due June 30, 2021</w:t>
                  </w:r>
                </w:p>
                <w:p w14:paraId="127C2360" w14:textId="77777777" w:rsidR="001A03F7" w:rsidRPr="001A03F7" w:rsidRDefault="001A03F7" w:rsidP="001A03F7">
                  <w:pPr>
                    <w:jc w:val="center"/>
                    <w:rPr>
                      <w:rFonts w:ascii="Times New Roman" w:hAnsi="Times New Roman"/>
                      <w:sz w:val="18"/>
                      <w:szCs w:val="18"/>
                    </w:rPr>
                  </w:pPr>
                  <w:r w:rsidRPr="001A03F7">
                    <w:rPr>
                      <w:rFonts w:ascii="Times New Roman" w:hAnsi="Times New Roman"/>
                      <w:sz w:val="18"/>
                      <w:szCs w:val="18"/>
                    </w:rPr>
                    <w:t> </w:t>
                  </w:r>
                </w:p>
                <w:p w14:paraId="3F65C46F" w14:textId="77777777" w:rsidR="001A03F7" w:rsidRPr="001A03F7" w:rsidRDefault="001A03F7" w:rsidP="001A03F7">
                  <w:pPr>
                    <w:shd w:val="clear" w:color="auto" w:fill="FFFFFF"/>
                    <w:jc w:val="center"/>
                    <w:rPr>
                      <w:rFonts w:ascii="Calibri" w:hAnsi="Calibri" w:cs="Calibri"/>
                      <w:sz w:val="18"/>
                      <w:szCs w:val="18"/>
                    </w:rPr>
                  </w:pPr>
                  <w:r w:rsidRPr="001A03F7">
                    <w:rPr>
                      <w:rFonts w:ascii="Calibri" w:hAnsi="Calibri" w:cs="Calibri"/>
                      <w:sz w:val="18"/>
                      <w:szCs w:val="18"/>
                    </w:rPr>
                    <w:t>For the period of May 1, 2020 to </w:t>
                  </w:r>
                </w:p>
                <w:p w14:paraId="3E2DB6C2" w14:textId="77777777" w:rsidR="001A03F7" w:rsidRPr="001A03F7" w:rsidRDefault="001A03F7" w:rsidP="001A03F7">
                  <w:pPr>
                    <w:shd w:val="clear" w:color="auto" w:fill="FFFFFF"/>
                    <w:jc w:val="center"/>
                    <w:rPr>
                      <w:rFonts w:ascii="Times New Roman" w:hAnsi="Times New Roman"/>
                      <w:sz w:val="18"/>
                      <w:szCs w:val="18"/>
                    </w:rPr>
                  </w:pPr>
                  <w:r w:rsidRPr="001A03F7">
                    <w:rPr>
                      <w:rFonts w:ascii="Calibri" w:hAnsi="Calibri" w:cs="Calibri"/>
                      <w:sz w:val="18"/>
                      <w:szCs w:val="18"/>
                    </w:rPr>
                    <w:t>April 30, 2021</w:t>
                  </w:r>
                </w:p>
              </w:tc>
            </w:tr>
          </w:tbl>
          <w:p w14:paraId="63DD48A0"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sz w:val="18"/>
                <w:szCs w:val="18"/>
              </w:rPr>
            </w:pPr>
          </w:p>
        </w:tc>
      </w:tr>
      <w:tr w:rsidR="001A03F7" w14:paraId="0F7D2B25" w14:textId="77777777" w:rsidTr="00754B27">
        <w:trPr>
          <w:trHeight w:val="1214"/>
        </w:trPr>
        <w:tc>
          <w:tcPr>
            <w:cnfStyle w:val="001000000000" w:firstRow="0" w:lastRow="0" w:firstColumn="1" w:lastColumn="0" w:oddVBand="0" w:evenVBand="0" w:oddHBand="0" w:evenHBand="0" w:firstRowFirstColumn="0" w:firstRowLastColumn="0" w:lastRowFirstColumn="0" w:lastRowLastColumn="0"/>
            <w:tcW w:w="1525" w:type="dxa"/>
            <w:shd w:val="clear" w:color="auto" w:fill="B8CED8" w:themeFill="accent5" w:themeFillTint="66"/>
          </w:tcPr>
          <w:p w14:paraId="515693FD" w14:textId="77777777" w:rsidR="001A03F7" w:rsidRDefault="001A03F7" w:rsidP="001A03F7">
            <w:pPr>
              <w:rPr>
                <w:rFonts w:ascii="Calibri" w:hAnsi="Calibri" w:cs="Calibri"/>
                <w:b w:val="0"/>
                <w:bCs w:val="0"/>
                <w:color w:val="212121"/>
                <w:sz w:val="20"/>
              </w:rPr>
            </w:pPr>
            <w:r w:rsidRPr="001A03F7">
              <w:rPr>
                <w:rFonts w:ascii="Calibri" w:hAnsi="Calibri" w:cs="Calibri"/>
                <w:color w:val="212121"/>
                <w:sz w:val="20"/>
              </w:rPr>
              <w:t>​</w:t>
            </w:r>
          </w:p>
          <w:p w14:paraId="28417124" w14:textId="1DCCB55E" w:rsidR="001A03F7" w:rsidRPr="001A03F7" w:rsidRDefault="001A03F7" w:rsidP="001A03F7">
            <w:pPr>
              <w:rPr>
                <w:sz w:val="20"/>
              </w:rPr>
            </w:pPr>
            <w:r w:rsidRPr="001A03F7">
              <w:rPr>
                <w:rFonts w:ascii="Calibri" w:hAnsi="Calibri" w:cs="Calibri"/>
                <w:sz w:val="20"/>
                <w:shd w:val="clear" w:color="auto" w:fill="B8CED8" w:themeFill="accent5" w:themeFillTint="66"/>
              </w:rPr>
              <w:t>Semi-Annual Report</w:t>
            </w:r>
          </w:p>
        </w:tc>
        <w:tc>
          <w:tcPr>
            <w:tcW w:w="1827" w:type="dxa"/>
          </w:tcPr>
          <w:p w14:paraId="16F594DA"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color w:val="212121"/>
                <w:sz w:val="18"/>
                <w:szCs w:val="18"/>
              </w:rPr>
              <w:t>​</w:t>
            </w:r>
          </w:p>
          <w:p w14:paraId="665C3374" w14:textId="77777777" w:rsidR="001A03F7" w:rsidRPr="001A03F7" w:rsidRDefault="001A03F7" w:rsidP="001A03F7">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b/>
                <w:bCs/>
                <w:sz w:val="18"/>
                <w:szCs w:val="18"/>
              </w:rPr>
              <w:t>Due April 30, 2021</w:t>
            </w:r>
          </w:p>
          <w:p w14:paraId="7A2ED52F" w14:textId="77777777" w:rsidR="001A03F7" w:rsidRPr="001A03F7" w:rsidRDefault="001A03F7" w:rsidP="001A03F7">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sz w:val="18"/>
                <w:szCs w:val="18"/>
              </w:rPr>
              <w:t> </w:t>
            </w:r>
          </w:p>
          <w:p w14:paraId="71B5696D" w14:textId="77777777" w:rsidR="001A03F7" w:rsidRPr="001A03F7" w:rsidRDefault="001A03F7" w:rsidP="001A03F7">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A03F7">
              <w:rPr>
                <w:rFonts w:ascii="Calibri" w:hAnsi="Calibri" w:cs="Calibri"/>
                <w:sz w:val="18"/>
                <w:szCs w:val="18"/>
              </w:rPr>
              <w:t>For the period of September 1, 2020 to </w:t>
            </w:r>
          </w:p>
          <w:p w14:paraId="7CAC86A8" w14:textId="579A7674"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sz w:val="18"/>
                <w:szCs w:val="18"/>
              </w:rPr>
            </w:pPr>
            <w:r w:rsidRPr="001A03F7">
              <w:rPr>
                <w:rFonts w:ascii="Calibri" w:hAnsi="Calibri" w:cs="Calibri"/>
                <w:sz w:val="18"/>
                <w:szCs w:val="18"/>
              </w:rPr>
              <w:t>February 28, 2021</w:t>
            </w:r>
          </w:p>
        </w:tc>
        <w:tc>
          <w:tcPr>
            <w:tcW w:w="1773" w:type="dxa"/>
          </w:tcPr>
          <w:p w14:paraId="0C4D463B"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color w:val="212121"/>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
              <w:gridCol w:w="1521"/>
            </w:tblGrid>
            <w:tr w:rsidR="001A03F7" w:rsidRPr="001A03F7" w14:paraId="12593FF5" w14:textId="77777777" w:rsidTr="0012152D">
              <w:trPr>
                <w:tblCellSpacing w:w="0" w:type="dxa"/>
              </w:trPr>
              <w:tc>
                <w:tcPr>
                  <w:tcW w:w="0" w:type="auto"/>
                  <w:shd w:val="clear" w:color="auto" w:fill="FFFFFF"/>
                  <w:tcMar>
                    <w:top w:w="15" w:type="dxa"/>
                    <w:left w:w="15" w:type="dxa"/>
                    <w:bottom w:w="15" w:type="dxa"/>
                    <w:right w:w="15" w:type="dxa"/>
                  </w:tcMar>
                  <w:vAlign w:val="center"/>
                  <w:hideMark/>
                </w:tcPr>
                <w:p w14:paraId="0B8C0E58" w14:textId="77777777" w:rsidR="001A03F7" w:rsidRPr="001A03F7" w:rsidRDefault="001A03F7" w:rsidP="001A03F7">
                  <w:pPr>
                    <w:rPr>
                      <w:rFonts w:ascii="Calibri" w:hAnsi="Calibri" w:cs="Calibri"/>
                      <w:color w:val="212121"/>
                      <w:sz w:val="18"/>
                      <w:szCs w:val="18"/>
                    </w:rPr>
                  </w:pPr>
                </w:p>
              </w:tc>
              <w:tc>
                <w:tcPr>
                  <w:tcW w:w="0" w:type="auto"/>
                  <w:shd w:val="clear" w:color="auto" w:fill="FFFFFF"/>
                  <w:tcMar>
                    <w:top w:w="15" w:type="dxa"/>
                    <w:left w:w="15" w:type="dxa"/>
                    <w:bottom w:w="15" w:type="dxa"/>
                    <w:right w:w="15" w:type="dxa"/>
                  </w:tcMar>
                  <w:vAlign w:val="center"/>
                  <w:hideMark/>
                </w:tcPr>
                <w:p w14:paraId="170EEF55" w14:textId="77777777" w:rsidR="001A03F7" w:rsidRPr="001A03F7" w:rsidRDefault="001A03F7" w:rsidP="001A03F7">
                  <w:pPr>
                    <w:jc w:val="center"/>
                    <w:rPr>
                      <w:rFonts w:ascii="Times New Roman" w:hAnsi="Times New Roman"/>
                      <w:sz w:val="18"/>
                      <w:szCs w:val="18"/>
                    </w:rPr>
                  </w:pPr>
                  <w:r w:rsidRPr="001A03F7">
                    <w:rPr>
                      <w:rFonts w:ascii="Calibri" w:hAnsi="Calibri" w:cs="Calibri"/>
                      <w:b/>
                      <w:bCs/>
                      <w:sz w:val="18"/>
                      <w:szCs w:val="18"/>
                    </w:rPr>
                    <w:t> Due June 30, 2021</w:t>
                  </w:r>
                </w:p>
                <w:p w14:paraId="33004D8C" w14:textId="77777777" w:rsidR="001A03F7" w:rsidRPr="001A03F7" w:rsidRDefault="001A03F7" w:rsidP="001A03F7">
                  <w:pPr>
                    <w:jc w:val="center"/>
                    <w:rPr>
                      <w:rFonts w:ascii="Times New Roman" w:hAnsi="Times New Roman"/>
                      <w:sz w:val="18"/>
                      <w:szCs w:val="18"/>
                    </w:rPr>
                  </w:pPr>
                  <w:r w:rsidRPr="001A03F7">
                    <w:rPr>
                      <w:rFonts w:ascii="Calibri" w:hAnsi="Calibri" w:cs="Calibri"/>
                      <w:b/>
                      <w:bCs/>
                      <w:sz w:val="18"/>
                      <w:szCs w:val="18"/>
                    </w:rPr>
                    <w:t> </w:t>
                  </w:r>
                </w:p>
                <w:p w14:paraId="2DABBA25" w14:textId="075D970C" w:rsidR="001A03F7" w:rsidRPr="001A03F7" w:rsidRDefault="001A03F7" w:rsidP="001A03F7">
                  <w:pPr>
                    <w:shd w:val="clear" w:color="auto" w:fill="FFFFFF"/>
                    <w:jc w:val="center"/>
                    <w:rPr>
                      <w:rFonts w:ascii="Calibri" w:hAnsi="Calibri" w:cs="Calibri"/>
                      <w:sz w:val="18"/>
                      <w:szCs w:val="18"/>
                    </w:rPr>
                  </w:pPr>
                  <w:r w:rsidRPr="001A03F7">
                    <w:rPr>
                      <w:rFonts w:ascii="Calibri" w:hAnsi="Calibri" w:cs="Calibri"/>
                      <w:sz w:val="18"/>
                      <w:szCs w:val="18"/>
                    </w:rPr>
                    <w:t>For the period of </w:t>
                  </w:r>
                  <w:r>
                    <w:rPr>
                      <w:rFonts w:ascii="Calibri" w:hAnsi="Calibri" w:cs="Calibri"/>
                      <w:sz w:val="18"/>
                      <w:szCs w:val="18"/>
                    </w:rPr>
                    <w:t xml:space="preserve">November </w:t>
                  </w:r>
                  <w:r w:rsidRPr="001A03F7">
                    <w:rPr>
                      <w:rFonts w:ascii="Calibri" w:hAnsi="Calibri" w:cs="Calibri"/>
                      <w:sz w:val="18"/>
                      <w:szCs w:val="18"/>
                    </w:rPr>
                    <w:t>1, 2020</w:t>
                  </w:r>
                </w:p>
                <w:p w14:paraId="3010DF74" w14:textId="77777777" w:rsidR="001A03F7" w:rsidRPr="001A03F7" w:rsidRDefault="001A03F7" w:rsidP="001A03F7">
                  <w:pPr>
                    <w:shd w:val="clear" w:color="auto" w:fill="FFFFFF"/>
                    <w:jc w:val="center"/>
                    <w:rPr>
                      <w:rFonts w:ascii="Times New Roman" w:hAnsi="Times New Roman"/>
                      <w:sz w:val="18"/>
                      <w:szCs w:val="18"/>
                    </w:rPr>
                  </w:pPr>
                  <w:r w:rsidRPr="001A03F7">
                    <w:rPr>
                      <w:rFonts w:ascii="Calibri" w:hAnsi="Calibri" w:cs="Calibri"/>
                      <w:sz w:val="18"/>
                      <w:szCs w:val="18"/>
                    </w:rPr>
                    <w:t> to April 30, 2021</w:t>
                  </w:r>
                </w:p>
              </w:tc>
            </w:tr>
          </w:tbl>
          <w:p w14:paraId="72814E15"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sz w:val="18"/>
                <w:szCs w:val="18"/>
              </w:rPr>
            </w:pPr>
          </w:p>
        </w:tc>
      </w:tr>
      <w:tr w:rsidR="001A03F7" w14:paraId="2635F49A" w14:textId="77777777" w:rsidTr="00754B27">
        <w:trPr>
          <w:trHeight w:val="1106"/>
        </w:trPr>
        <w:tc>
          <w:tcPr>
            <w:cnfStyle w:val="001000000000" w:firstRow="0" w:lastRow="0" w:firstColumn="1" w:lastColumn="0" w:oddVBand="0" w:evenVBand="0" w:oddHBand="0" w:evenHBand="0" w:firstRowFirstColumn="0" w:firstRowLastColumn="0" w:lastRowFirstColumn="0" w:lastRowLastColumn="0"/>
            <w:tcW w:w="1525" w:type="dxa"/>
            <w:shd w:val="clear" w:color="auto" w:fill="B8CED8" w:themeFill="accent5" w:themeFillTint="66"/>
          </w:tcPr>
          <w:p w14:paraId="493BFFAF" w14:textId="77777777" w:rsidR="001A03F7" w:rsidRDefault="001A03F7" w:rsidP="001A03F7">
            <w:pPr>
              <w:rPr>
                <w:rFonts w:ascii="Calibri" w:hAnsi="Calibri" w:cs="Calibri"/>
                <w:b w:val="0"/>
                <w:bCs w:val="0"/>
                <w:color w:val="212121"/>
                <w:sz w:val="20"/>
              </w:rPr>
            </w:pPr>
            <w:r w:rsidRPr="001A03F7">
              <w:rPr>
                <w:rFonts w:ascii="Calibri" w:hAnsi="Calibri" w:cs="Calibri"/>
                <w:color w:val="212121"/>
                <w:sz w:val="20"/>
              </w:rPr>
              <w:t>​</w:t>
            </w:r>
          </w:p>
          <w:p w14:paraId="5BCE61DA" w14:textId="3E331867" w:rsidR="001A03F7" w:rsidRPr="001A03F7" w:rsidRDefault="001A03F7" w:rsidP="001A03F7">
            <w:pPr>
              <w:rPr>
                <w:sz w:val="20"/>
              </w:rPr>
            </w:pPr>
            <w:r w:rsidRPr="001A03F7">
              <w:rPr>
                <w:rFonts w:ascii="Calibri" w:hAnsi="Calibri" w:cs="Calibri"/>
                <w:sz w:val="20"/>
                <w:shd w:val="clear" w:color="auto" w:fill="B8CED8" w:themeFill="accent5" w:themeFillTint="66"/>
              </w:rPr>
              <w:t>Q4 2020 Patient Fall and Pressure Injury Report</w:t>
            </w:r>
          </w:p>
        </w:tc>
        <w:tc>
          <w:tcPr>
            <w:tcW w:w="1827" w:type="dxa"/>
          </w:tcPr>
          <w:p w14:paraId="5BBF23B8"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color w:val="212121"/>
                <w:sz w:val="18"/>
                <w:szCs w:val="18"/>
              </w:rPr>
              <w:t>​</w:t>
            </w:r>
          </w:p>
          <w:p w14:paraId="5ECEC0ED" w14:textId="4ECA330B"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sz w:val="18"/>
                <w:szCs w:val="18"/>
              </w:rPr>
            </w:pPr>
            <w:r w:rsidRPr="001A03F7">
              <w:rPr>
                <w:rFonts w:ascii="Calibri" w:hAnsi="Calibri" w:cs="Calibri"/>
                <w:b/>
                <w:bCs/>
                <w:sz w:val="18"/>
                <w:szCs w:val="18"/>
              </w:rPr>
              <w:t> Due April 30, 2021</w:t>
            </w:r>
          </w:p>
        </w:tc>
        <w:tc>
          <w:tcPr>
            <w:tcW w:w="1773" w:type="dxa"/>
          </w:tcPr>
          <w:p w14:paraId="04F7532E"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color w:val="212121"/>
                <w:sz w:val="18"/>
                <w:szCs w:val="18"/>
              </w:rPr>
              <w:t>​</w:t>
            </w:r>
          </w:p>
          <w:p w14:paraId="64E6B4A9" w14:textId="1F3EAF8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sz w:val="18"/>
                <w:szCs w:val="18"/>
              </w:rPr>
            </w:pPr>
            <w:r w:rsidRPr="001A03F7">
              <w:rPr>
                <w:rFonts w:ascii="Calibri" w:hAnsi="Calibri" w:cs="Calibri"/>
                <w:b/>
                <w:bCs/>
                <w:sz w:val="18"/>
                <w:szCs w:val="18"/>
              </w:rPr>
              <w:t> Due April 30, 2021</w:t>
            </w:r>
          </w:p>
        </w:tc>
      </w:tr>
      <w:tr w:rsidR="001A03F7" w14:paraId="1BD6F16D" w14:textId="77777777" w:rsidTr="00754B27">
        <w:trPr>
          <w:trHeight w:val="1196"/>
        </w:trPr>
        <w:tc>
          <w:tcPr>
            <w:cnfStyle w:val="001000000000" w:firstRow="0" w:lastRow="0" w:firstColumn="1" w:lastColumn="0" w:oddVBand="0" w:evenVBand="0" w:oddHBand="0" w:evenHBand="0" w:firstRowFirstColumn="0" w:firstRowLastColumn="0" w:lastRowFirstColumn="0" w:lastRowLastColumn="0"/>
            <w:tcW w:w="1525" w:type="dxa"/>
            <w:shd w:val="clear" w:color="auto" w:fill="B8CED8" w:themeFill="accent5" w:themeFillTint="66"/>
          </w:tcPr>
          <w:p w14:paraId="6A9701F6" w14:textId="77777777" w:rsidR="001A03F7" w:rsidRDefault="001A03F7" w:rsidP="001A03F7">
            <w:pPr>
              <w:rPr>
                <w:rFonts w:ascii="Calibri" w:hAnsi="Calibri" w:cs="Calibri"/>
                <w:b w:val="0"/>
                <w:bCs w:val="0"/>
                <w:color w:val="212121"/>
                <w:sz w:val="20"/>
              </w:rPr>
            </w:pPr>
            <w:r w:rsidRPr="001A03F7">
              <w:rPr>
                <w:rFonts w:ascii="Calibri" w:hAnsi="Calibri" w:cs="Calibri"/>
                <w:color w:val="212121"/>
                <w:sz w:val="20"/>
              </w:rPr>
              <w:t>​</w:t>
            </w:r>
          </w:p>
          <w:p w14:paraId="19D9321D" w14:textId="77777777" w:rsidR="001A03F7" w:rsidRDefault="001A03F7" w:rsidP="001A03F7">
            <w:pPr>
              <w:rPr>
                <w:rFonts w:ascii="Calibri" w:hAnsi="Calibri" w:cs="Calibri"/>
                <w:b w:val="0"/>
                <w:bCs w:val="0"/>
                <w:sz w:val="20"/>
                <w:shd w:val="clear" w:color="auto" w:fill="B8CED8" w:themeFill="accent5" w:themeFillTint="66"/>
              </w:rPr>
            </w:pPr>
            <w:r w:rsidRPr="001A03F7">
              <w:rPr>
                <w:rFonts w:ascii="Calibri" w:hAnsi="Calibri" w:cs="Calibri"/>
                <w:sz w:val="20"/>
                <w:shd w:val="clear" w:color="auto" w:fill="B8CED8" w:themeFill="accent5" w:themeFillTint="66"/>
              </w:rPr>
              <w:t>Q1 2021 Patient Fall and Pressure Injury Report</w:t>
            </w:r>
          </w:p>
          <w:p w14:paraId="52F4842B" w14:textId="1E721696" w:rsidR="00BF4CF3" w:rsidRPr="001A03F7" w:rsidRDefault="00BF4CF3" w:rsidP="001A03F7">
            <w:pPr>
              <w:rPr>
                <w:rFonts w:ascii="Calibri" w:hAnsi="Calibri" w:cs="Calibri"/>
                <w:color w:val="212121"/>
                <w:sz w:val="20"/>
              </w:rPr>
            </w:pPr>
          </w:p>
        </w:tc>
        <w:tc>
          <w:tcPr>
            <w:tcW w:w="1827" w:type="dxa"/>
          </w:tcPr>
          <w:p w14:paraId="3E1507BC"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color w:val="212121"/>
                <w:sz w:val="18"/>
                <w:szCs w:val="18"/>
              </w:rPr>
              <w:t>​</w:t>
            </w:r>
          </w:p>
          <w:p w14:paraId="7DD086EB" w14:textId="47D68FDD"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sz w:val="18"/>
                <w:szCs w:val="18"/>
              </w:rPr>
            </w:pPr>
            <w:r w:rsidRPr="001A03F7">
              <w:rPr>
                <w:rFonts w:ascii="Calibri" w:hAnsi="Calibri" w:cs="Calibri"/>
                <w:b/>
                <w:bCs/>
                <w:sz w:val="18"/>
                <w:szCs w:val="18"/>
              </w:rPr>
              <w:t> Due April 30, 2021</w:t>
            </w:r>
          </w:p>
        </w:tc>
        <w:tc>
          <w:tcPr>
            <w:tcW w:w="1773" w:type="dxa"/>
          </w:tcPr>
          <w:p w14:paraId="42E0A123" w14:textId="77777777"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rFonts w:ascii="Calibri" w:hAnsi="Calibri" w:cs="Calibri"/>
                <w:color w:val="212121"/>
                <w:sz w:val="18"/>
                <w:szCs w:val="18"/>
              </w:rPr>
            </w:pPr>
            <w:r w:rsidRPr="001A03F7">
              <w:rPr>
                <w:rFonts w:ascii="Calibri" w:hAnsi="Calibri" w:cs="Calibri"/>
                <w:color w:val="212121"/>
                <w:sz w:val="18"/>
                <w:szCs w:val="18"/>
              </w:rPr>
              <w:t>​</w:t>
            </w:r>
          </w:p>
          <w:p w14:paraId="7C27CB44" w14:textId="3E92A66A" w:rsidR="001A03F7" w:rsidRPr="001A03F7" w:rsidRDefault="001A03F7" w:rsidP="001A03F7">
            <w:pPr>
              <w:cnfStyle w:val="000000000000" w:firstRow="0" w:lastRow="0" w:firstColumn="0" w:lastColumn="0" w:oddVBand="0" w:evenVBand="0" w:oddHBand="0" w:evenHBand="0" w:firstRowFirstColumn="0" w:firstRowLastColumn="0" w:lastRowFirstColumn="0" w:lastRowLastColumn="0"/>
              <w:rPr>
                <w:sz w:val="18"/>
                <w:szCs w:val="18"/>
              </w:rPr>
            </w:pPr>
            <w:r w:rsidRPr="001A03F7">
              <w:rPr>
                <w:rFonts w:ascii="Calibri" w:hAnsi="Calibri" w:cs="Calibri"/>
                <w:b/>
                <w:bCs/>
                <w:sz w:val="18"/>
                <w:szCs w:val="18"/>
              </w:rPr>
              <w:t> Due April 30, 2021</w:t>
            </w:r>
          </w:p>
        </w:tc>
      </w:tr>
    </w:tbl>
    <w:p w14:paraId="3EEB975B" w14:textId="77777777" w:rsidR="00762BF2" w:rsidRDefault="00762BF2" w:rsidP="00DA1521">
      <w:pPr>
        <w:rPr>
          <w:sz w:val="20"/>
        </w:rPr>
      </w:pPr>
    </w:p>
    <w:p w14:paraId="49C7E87E" w14:textId="24F69213" w:rsidR="00762BF2" w:rsidRDefault="00762BF2" w:rsidP="00DA1521">
      <w:pPr>
        <w:rPr>
          <w:sz w:val="20"/>
        </w:rPr>
      </w:pPr>
    </w:p>
    <w:p w14:paraId="45DE8466" w14:textId="711DBF31" w:rsidR="00762BF2" w:rsidRDefault="00762BF2" w:rsidP="00DA1521">
      <w:pPr>
        <w:rPr>
          <w:sz w:val="20"/>
        </w:rPr>
      </w:pPr>
    </w:p>
    <w:p w14:paraId="419FD539" w14:textId="7B53184F" w:rsidR="00762BF2" w:rsidRDefault="00762BF2" w:rsidP="00DA1521">
      <w:pPr>
        <w:rPr>
          <w:sz w:val="20"/>
        </w:rPr>
      </w:pPr>
    </w:p>
    <w:p w14:paraId="175369FB" w14:textId="6BBE291D" w:rsidR="00762BF2" w:rsidRPr="00762BF2" w:rsidRDefault="00762BF2" w:rsidP="00DA1521">
      <w:pPr>
        <w:rPr>
          <w:b/>
          <w:bCs/>
          <w:color w:val="2A424D" w:themeColor="accent5" w:themeShade="80"/>
          <w:szCs w:val="24"/>
        </w:rPr>
      </w:pPr>
      <w:r>
        <w:rPr>
          <w:b/>
          <w:bCs/>
          <w:color w:val="2A424D" w:themeColor="accent5" w:themeShade="80"/>
          <w:szCs w:val="24"/>
        </w:rPr>
        <w:t xml:space="preserve">Update: </w:t>
      </w:r>
      <w:r w:rsidRPr="00762BF2">
        <w:rPr>
          <w:b/>
          <w:bCs/>
          <w:color w:val="2A424D" w:themeColor="accent5" w:themeShade="80"/>
          <w:szCs w:val="24"/>
        </w:rPr>
        <w:t xml:space="preserve">Reporting </w:t>
      </w:r>
      <w:r>
        <w:rPr>
          <w:b/>
          <w:bCs/>
          <w:color w:val="2A424D" w:themeColor="accent5" w:themeShade="80"/>
          <w:szCs w:val="24"/>
        </w:rPr>
        <w:t>to the QPS Division</w:t>
      </w:r>
    </w:p>
    <w:p w14:paraId="47432622" w14:textId="761AB39A" w:rsidR="00762BF2" w:rsidRDefault="00762BF2" w:rsidP="00DA1521">
      <w:pPr>
        <w:rPr>
          <w:sz w:val="20"/>
        </w:rPr>
      </w:pPr>
    </w:p>
    <w:p w14:paraId="347D506D" w14:textId="77777777" w:rsidR="00762BF2" w:rsidRPr="00762BF2" w:rsidRDefault="00762BF2" w:rsidP="00762BF2">
      <w:pPr>
        <w:rPr>
          <w:sz w:val="20"/>
        </w:rPr>
      </w:pPr>
      <w:r w:rsidRPr="00762BF2">
        <w:rPr>
          <w:sz w:val="20"/>
        </w:rPr>
        <w:t>The Board of Registration in Medicine would like to provide additional information regarding reporting to the Quality and Patient Safety (QPS) Division.</w:t>
      </w:r>
    </w:p>
    <w:p w14:paraId="4683291C" w14:textId="77777777" w:rsidR="00762BF2" w:rsidRPr="00762BF2" w:rsidRDefault="00762BF2" w:rsidP="00762BF2">
      <w:pPr>
        <w:rPr>
          <w:sz w:val="20"/>
        </w:rPr>
      </w:pPr>
      <w:r w:rsidRPr="00762BF2">
        <w:rPr>
          <w:sz w:val="20"/>
        </w:rPr>
        <w:t xml:space="preserve"> </w:t>
      </w:r>
    </w:p>
    <w:p w14:paraId="30CCE3E6" w14:textId="1008DBA9" w:rsidR="00762BF2" w:rsidRPr="00762BF2" w:rsidRDefault="00762BF2" w:rsidP="00762BF2">
      <w:pPr>
        <w:pStyle w:val="ListParagraph"/>
        <w:numPr>
          <w:ilvl w:val="0"/>
          <w:numId w:val="29"/>
        </w:numPr>
        <w:rPr>
          <w:sz w:val="20"/>
        </w:rPr>
      </w:pPr>
      <w:r w:rsidRPr="00762BF2">
        <w:rPr>
          <w:sz w:val="20"/>
        </w:rPr>
        <w:t>The Annual and Semi-Annual Report submission due dates have been extended by one month.  Healthcare facilities may also request an additional extension for Annual and Semi-Annual Reports by emailing Mali Gunaratne, Administrative Assistant</w:t>
      </w:r>
      <w:r w:rsidR="00BF4CF3">
        <w:rPr>
          <w:sz w:val="20"/>
        </w:rPr>
        <w:t>,</w:t>
      </w:r>
      <w:r w:rsidRPr="00762BF2">
        <w:rPr>
          <w:sz w:val="20"/>
        </w:rPr>
        <w:t xml:space="preserve"> </w:t>
      </w:r>
      <w:r w:rsidR="0060391B">
        <w:rPr>
          <w:sz w:val="20"/>
        </w:rPr>
        <w:t xml:space="preserve">at </w:t>
      </w:r>
      <w:hyperlink r:id="rId14" w:history="1">
        <w:r w:rsidR="0060391B" w:rsidRPr="00E00769">
          <w:rPr>
            <w:rStyle w:val="Hyperlink"/>
            <w:sz w:val="20"/>
          </w:rPr>
          <w:t>mali.gunaratne@mass.gov</w:t>
        </w:r>
      </w:hyperlink>
      <w:r w:rsidR="0060391B">
        <w:rPr>
          <w:sz w:val="20"/>
        </w:rPr>
        <w:t xml:space="preserve"> </w:t>
      </w:r>
      <w:r w:rsidRPr="00762BF2">
        <w:rPr>
          <w:sz w:val="20"/>
        </w:rPr>
        <w:t xml:space="preserve">after March 1, 2021. </w:t>
      </w:r>
    </w:p>
    <w:p w14:paraId="3F4FC865" w14:textId="6BAD7E7E" w:rsidR="00762BF2" w:rsidRPr="00762BF2" w:rsidRDefault="00762BF2" w:rsidP="00762BF2">
      <w:pPr>
        <w:ind w:firstLine="60"/>
        <w:rPr>
          <w:sz w:val="20"/>
        </w:rPr>
      </w:pPr>
    </w:p>
    <w:p w14:paraId="72C79C5C" w14:textId="34A36542" w:rsidR="00762BF2" w:rsidRPr="00762BF2" w:rsidRDefault="00762BF2" w:rsidP="00762BF2">
      <w:pPr>
        <w:pStyle w:val="ListParagraph"/>
        <w:numPr>
          <w:ilvl w:val="0"/>
          <w:numId w:val="29"/>
        </w:numPr>
        <w:rPr>
          <w:sz w:val="20"/>
        </w:rPr>
      </w:pPr>
      <w:r w:rsidRPr="00762BF2">
        <w:rPr>
          <w:sz w:val="20"/>
        </w:rPr>
        <w:t xml:space="preserve">Healthcare facilities may also opt to submit modified semi-annual and annual reports if they are unable to submit the standard reports. Please </w:t>
      </w:r>
      <w:r>
        <w:rPr>
          <w:sz w:val="20"/>
        </w:rPr>
        <w:t xml:space="preserve">contact the QPSD </w:t>
      </w:r>
      <w:r w:rsidRPr="00762BF2">
        <w:rPr>
          <w:sz w:val="20"/>
        </w:rPr>
        <w:t>for further details.</w:t>
      </w:r>
    </w:p>
    <w:p w14:paraId="6EC6752C" w14:textId="7F52F7A9" w:rsidR="00762BF2" w:rsidRPr="00762BF2" w:rsidRDefault="00762BF2" w:rsidP="00762BF2">
      <w:pPr>
        <w:ind w:firstLine="60"/>
        <w:rPr>
          <w:sz w:val="20"/>
        </w:rPr>
      </w:pPr>
    </w:p>
    <w:p w14:paraId="4E8A0DA6" w14:textId="77777777" w:rsidR="00762BF2" w:rsidRPr="00762BF2" w:rsidRDefault="00762BF2" w:rsidP="00762BF2">
      <w:pPr>
        <w:pStyle w:val="ListParagraph"/>
        <w:numPr>
          <w:ilvl w:val="0"/>
          <w:numId w:val="29"/>
        </w:numPr>
        <w:rPr>
          <w:sz w:val="20"/>
        </w:rPr>
      </w:pPr>
      <w:r w:rsidRPr="00762BF2">
        <w:rPr>
          <w:sz w:val="20"/>
        </w:rPr>
        <w:t>There is no change to the submission of Safety and Quality Review (SQR)reports.  Please continue to submit SQR reports on a quarterly or rolling basis.</w:t>
      </w:r>
    </w:p>
    <w:p w14:paraId="213A6C1A" w14:textId="1C20866E" w:rsidR="00762BF2" w:rsidRPr="00762BF2" w:rsidRDefault="00762BF2" w:rsidP="00762BF2">
      <w:pPr>
        <w:ind w:firstLine="60"/>
        <w:rPr>
          <w:sz w:val="20"/>
        </w:rPr>
      </w:pPr>
    </w:p>
    <w:p w14:paraId="5951F045" w14:textId="77777777" w:rsidR="00762BF2" w:rsidRPr="00762BF2" w:rsidRDefault="00762BF2" w:rsidP="00762BF2">
      <w:pPr>
        <w:pStyle w:val="ListParagraph"/>
        <w:numPr>
          <w:ilvl w:val="0"/>
          <w:numId w:val="29"/>
        </w:numPr>
        <w:rPr>
          <w:sz w:val="20"/>
        </w:rPr>
      </w:pPr>
      <w:r w:rsidRPr="00762BF2">
        <w:rPr>
          <w:sz w:val="20"/>
        </w:rPr>
        <w:t>The Q4 2020 Patient Falls and Pressure Injury Report submission due date has been extended to April 30, 2021. Both this report and the Q1 2021 report may be submitted as one report at that time.</w:t>
      </w:r>
    </w:p>
    <w:p w14:paraId="377B6434" w14:textId="77777777" w:rsidR="00762BF2" w:rsidRPr="00762BF2" w:rsidRDefault="00762BF2" w:rsidP="00762BF2">
      <w:pPr>
        <w:rPr>
          <w:sz w:val="20"/>
        </w:rPr>
      </w:pPr>
      <w:r w:rsidRPr="00762BF2">
        <w:rPr>
          <w:sz w:val="20"/>
        </w:rPr>
        <w:t xml:space="preserve"> </w:t>
      </w:r>
    </w:p>
    <w:p w14:paraId="13BFF044" w14:textId="454D0500" w:rsidR="00762BF2" w:rsidRDefault="00762BF2" w:rsidP="00762BF2">
      <w:pPr>
        <w:rPr>
          <w:sz w:val="20"/>
        </w:rPr>
      </w:pPr>
      <w:r w:rsidRPr="00762BF2">
        <w:rPr>
          <w:sz w:val="20"/>
        </w:rPr>
        <w:t>Healthcare facilities who have questions or concerns regarding reporting requirements are urged to contact the QPS Division for additional support and guidance.</w:t>
      </w:r>
    </w:p>
    <w:p w14:paraId="36C5ABAA" w14:textId="58576A5B" w:rsidR="009E46A5" w:rsidRDefault="009E46A5" w:rsidP="00762BF2">
      <w:pPr>
        <w:rPr>
          <w:sz w:val="20"/>
        </w:rPr>
      </w:pPr>
    </w:p>
    <w:p w14:paraId="2C97F77B" w14:textId="5B15F007" w:rsidR="009E46A5" w:rsidRPr="00762BF2" w:rsidRDefault="009E46A5" w:rsidP="00762BF2">
      <w:pPr>
        <w:rPr>
          <w:sz w:val="20"/>
        </w:rPr>
      </w:pPr>
    </w:p>
    <w:p w14:paraId="7968FF32" w14:textId="73A61E19" w:rsidR="00762BF2" w:rsidRDefault="00BF4CF3" w:rsidP="00DA1521">
      <w:pPr>
        <w:rPr>
          <w:sz w:val="20"/>
        </w:rPr>
      </w:pPr>
      <w:r>
        <w:rPr>
          <w:i/>
          <w:iCs/>
          <w:noProof/>
        </w:rPr>
        <mc:AlternateContent>
          <mc:Choice Requires="wps">
            <w:drawing>
              <wp:anchor distT="0" distB="0" distL="114300" distR="114300" simplePos="0" relativeHeight="251718656" behindDoc="0" locked="0" layoutInCell="1" allowOverlap="1" wp14:anchorId="2C0410D5" wp14:editId="13E4BA6C">
                <wp:simplePos x="0" y="0"/>
                <wp:positionH relativeFrom="margin">
                  <wp:posOffset>3836670</wp:posOffset>
                </wp:positionH>
                <wp:positionV relativeFrom="paragraph">
                  <wp:posOffset>268605</wp:posOffset>
                </wp:positionV>
                <wp:extent cx="3105150" cy="1192530"/>
                <wp:effectExtent l="57150" t="57150" r="57150" b="45720"/>
                <wp:wrapNone/>
                <wp:docPr id="14" name="Text Box 14"/>
                <wp:cNvGraphicFramePr/>
                <a:graphic xmlns:a="http://schemas.openxmlformats.org/drawingml/2006/main">
                  <a:graphicData uri="http://schemas.microsoft.com/office/word/2010/wordprocessingShape">
                    <wps:wsp>
                      <wps:cNvSpPr txBox="1"/>
                      <wps:spPr>
                        <a:xfrm>
                          <a:off x="0" y="0"/>
                          <a:ext cx="3105150" cy="1192530"/>
                        </a:xfrm>
                        <a:prstGeom prst="rect">
                          <a:avLst/>
                        </a:prstGeom>
                        <a:solidFill>
                          <a:schemeClr val="accent5">
                            <a:lumMod val="60000"/>
                            <a:lumOff val="40000"/>
                          </a:schemeClr>
                        </a:solidFill>
                        <a:ln w="6350">
                          <a:solidFill>
                            <a:schemeClr val="accent1"/>
                          </a:solid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14:paraId="5CFDFC07" w14:textId="77777777" w:rsidR="009E46A5" w:rsidRDefault="009E46A5" w:rsidP="009E46A5">
                            <w:pPr>
                              <w:jc w:val="center"/>
                              <w:rPr>
                                <w:rFonts w:ascii="Calibri" w:hAnsi="Calibri" w:cs="Calibri"/>
                                <w:sz w:val="18"/>
                                <w:szCs w:val="18"/>
                              </w:rPr>
                            </w:pPr>
                          </w:p>
                          <w:p w14:paraId="16BA8A49" w14:textId="77777777" w:rsidR="009E46A5" w:rsidRPr="00C211BB" w:rsidRDefault="009E46A5" w:rsidP="009E46A5">
                            <w:pPr>
                              <w:jc w:val="center"/>
                              <w:rPr>
                                <w:rFonts w:ascii="Calibri" w:hAnsi="Calibri" w:cs="Calibri"/>
                                <w:color w:val="auto"/>
                                <w:sz w:val="20"/>
                              </w:rPr>
                            </w:pPr>
                            <w:r w:rsidRPr="00C211BB">
                              <w:rPr>
                                <w:rFonts w:ascii="Calibri" w:hAnsi="Calibri" w:cs="Calibri"/>
                                <w:color w:val="auto"/>
                                <w:sz w:val="20"/>
                              </w:rPr>
                              <w:t xml:space="preserve">Questions and comments may be directed to </w:t>
                            </w:r>
                          </w:p>
                          <w:p w14:paraId="0D57E206" w14:textId="77777777" w:rsidR="009E46A5" w:rsidRPr="00C211BB" w:rsidRDefault="009E46A5" w:rsidP="009E46A5">
                            <w:pPr>
                              <w:jc w:val="center"/>
                              <w:rPr>
                                <w:rFonts w:ascii="Calibri" w:hAnsi="Calibri" w:cs="Calibri"/>
                                <w:color w:val="auto"/>
                                <w:sz w:val="20"/>
                              </w:rPr>
                            </w:pPr>
                            <w:r w:rsidRPr="00C211BB">
                              <w:rPr>
                                <w:rFonts w:ascii="Calibri" w:hAnsi="Calibri" w:cs="Calibri"/>
                                <w:color w:val="auto"/>
                                <w:sz w:val="20"/>
                              </w:rPr>
                              <w:t xml:space="preserve">Mali Gunaratne, </w:t>
                            </w:r>
                          </w:p>
                          <w:p w14:paraId="29525575" w14:textId="77777777" w:rsidR="009E46A5" w:rsidRPr="00C211BB" w:rsidRDefault="009E46A5" w:rsidP="009E46A5">
                            <w:pPr>
                              <w:jc w:val="center"/>
                              <w:rPr>
                                <w:rFonts w:ascii="Calibri" w:hAnsi="Calibri" w:cs="Calibri"/>
                                <w:color w:val="auto"/>
                                <w:sz w:val="20"/>
                              </w:rPr>
                            </w:pPr>
                            <w:r w:rsidRPr="00C211BB">
                              <w:rPr>
                                <w:rFonts w:ascii="Calibri" w:hAnsi="Calibri" w:cs="Calibri"/>
                                <w:color w:val="auto"/>
                                <w:sz w:val="20"/>
                              </w:rPr>
                              <w:t xml:space="preserve">Administrative Assistant </w:t>
                            </w:r>
                          </w:p>
                          <w:p w14:paraId="1BC7E7A5" w14:textId="77777777" w:rsidR="009E46A5" w:rsidRPr="00BF4CF3" w:rsidRDefault="009E46A5" w:rsidP="009E46A5">
                            <w:pPr>
                              <w:jc w:val="center"/>
                              <w:rPr>
                                <w:rFonts w:ascii="Calibri" w:hAnsi="Calibri" w:cs="Calibri"/>
                                <w:color w:val="2A424D" w:themeColor="accent5" w:themeShade="80"/>
                                <w:sz w:val="20"/>
                              </w:rPr>
                            </w:pPr>
                          </w:p>
                          <w:p w14:paraId="7F86A8F0" w14:textId="41A613A6" w:rsidR="009E46A5" w:rsidRPr="00BF4CF3" w:rsidRDefault="008C0757" w:rsidP="009E46A5">
                            <w:pPr>
                              <w:jc w:val="center"/>
                              <w:rPr>
                                <w:rFonts w:ascii="Calibri" w:hAnsi="Calibri" w:cs="Calibri"/>
                                <w:color w:val="171717" w:themeColor="background2" w:themeShade="1A"/>
                                <w:sz w:val="20"/>
                              </w:rPr>
                            </w:pPr>
                            <w:hyperlink r:id="rId15" w:history="1">
                              <w:r w:rsidR="00BF4CF3" w:rsidRPr="00BF4CF3">
                                <w:rPr>
                                  <w:rStyle w:val="Hyperlink"/>
                                  <w:rFonts w:ascii="Calibri" w:hAnsi="Calibri" w:cs="Calibri"/>
                                  <w:color w:val="171717" w:themeColor="background2" w:themeShade="1A"/>
                                  <w:sz w:val="20"/>
                                </w:rPr>
                                <w:t>Mali.Gunaratne@Mass.gov</w:t>
                              </w:r>
                            </w:hyperlink>
                          </w:p>
                          <w:p w14:paraId="43E5A2BA" w14:textId="77777777" w:rsidR="009E46A5" w:rsidRPr="00BF4CF3" w:rsidRDefault="009E46A5" w:rsidP="009E46A5">
                            <w:pPr>
                              <w:jc w:val="center"/>
                              <w:rPr>
                                <w:color w:val="2A424D" w:themeColor="accent5"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410D5" id="_x0000_s1037" type="#_x0000_t202" style="position:absolute;margin-left:302.1pt;margin-top:21.15pt;width:244.5pt;height:93.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" fillcolor="#95b6c5 [1944]" strokecolor="#b01513 [3204]" strokeweight=".5pt">
                <v:textbox>
                  <w:txbxContent>
                    <w:p w14:paraId="5CFDFC07" w14:textId="77777777" w:rsidR="009E46A5" w:rsidRDefault="009E46A5" w:rsidP="009E46A5">
                      <w:pPr>
                        <w:jc w:val="center"/>
                        <w:rPr>
                          <w:rFonts w:ascii="Calibri" w:hAnsi="Calibri" w:cs="Calibri"/>
                          <w:sz w:val="18"/>
                          <w:szCs w:val="18"/>
                        </w:rPr>
                      </w:pPr>
                    </w:p>
                    <w:p w14:paraId="16BA8A49" w14:textId="77777777" w:rsidR="009E46A5" w:rsidRPr="00C211BB" w:rsidRDefault="009E46A5" w:rsidP="009E46A5">
                      <w:pPr>
                        <w:jc w:val="center"/>
                        <w:rPr>
                          <w:rFonts w:ascii="Calibri" w:hAnsi="Calibri" w:cs="Calibri"/>
                          <w:color w:val="auto"/>
                          <w:sz w:val="20"/>
                        </w:rPr>
                      </w:pPr>
                      <w:r w:rsidRPr="00C211BB">
                        <w:rPr>
                          <w:rFonts w:ascii="Calibri" w:hAnsi="Calibri" w:cs="Calibri"/>
                          <w:color w:val="auto"/>
                          <w:sz w:val="20"/>
                        </w:rPr>
                        <w:t xml:space="preserve">Questions and comments may be directed to </w:t>
                      </w:r>
                    </w:p>
                    <w:p w14:paraId="0D57E206" w14:textId="77777777" w:rsidR="009E46A5" w:rsidRPr="00C211BB" w:rsidRDefault="009E46A5" w:rsidP="009E46A5">
                      <w:pPr>
                        <w:jc w:val="center"/>
                        <w:rPr>
                          <w:rFonts w:ascii="Calibri" w:hAnsi="Calibri" w:cs="Calibri"/>
                          <w:color w:val="auto"/>
                          <w:sz w:val="20"/>
                        </w:rPr>
                      </w:pPr>
                      <w:r w:rsidRPr="00C211BB">
                        <w:rPr>
                          <w:rFonts w:ascii="Calibri" w:hAnsi="Calibri" w:cs="Calibri"/>
                          <w:color w:val="auto"/>
                          <w:sz w:val="20"/>
                        </w:rPr>
                        <w:t xml:space="preserve">Mali Gunaratne, </w:t>
                      </w:r>
                    </w:p>
                    <w:p w14:paraId="29525575" w14:textId="77777777" w:rsidR="009E46A5" w:rsidRPr="00C211BB" w:rsidRDefault="009E46A5" w:rsidP="009E46A5">
                      <w:pPr>
                        <w:jc w:val="center"/>
                        <w:rPr>
                          <w:rFonts w:ascii="Calibri" w:hAnsi="Calibri" w:cs="Calibri"/>
                          <w:color w:val="auto"/>
                          <w:sz w:val="20"/>
                        </w:rPr>
                      </w:pPr>
                      <w:r w:rsidRPr="00C211BB">
                        <w:rPr>
                          <w:rFonts w:ascii="Calibri" w:hAnsi="Calibri" w:cs="Calibri"/>
                          <w:color w:val="auto"/>
                          <w:sz w:val="20"/>
                        </w:rPr>
                        <w:t xml:space="preserve">Administrative Assistant </w:t>
                      </w:r>
                    </w:p>
                    <w:p w14:paraId="1BC7E7A5" w14:textId="77777777" w:rsidR="009E46A5" w:rsidRPr="00BF4CF3" w:rsidRDefault="009E46A5" w:rsidP="009E46A5">
                      <w:pPr>
                        <w:jc w:val="center"/>
                        <w:rPr>
                          <w:rFonts w:ascii="Calibri" w:hAnsi="Calibri" w:cs="Calibri"/>
                          <w:color w:val="2A424D" w:themeColor="accent5" w:themeShade="80"/>
                          <w:sz w:val="20"/>
                        </w:rPr>
                      </w:pPr>
                    </w:p>
                    <w:p w14:paraId="7F86A8F0" w14:textId="41A613A6" w:rsidR="009E46A5" w:rsidRPr="00BF4CF3" w:rsidRDefault="008C0757" w:rsidP="009E46A5">
                      <w:pPr>
                        <w:jc w:val="center"/>
                        <w:rPr>
                          <w:rFonts w:ascii="Calibri" w:hAnsi="Calibri" w:cs="Calibri"/>
                          <w:color w:val="171717" w:themeColor="background2" w:themeShade="1A"/>
                          <w:sz w:val="20"/>
                        </w:rPr>
                      </w:pPr>
                      <w:hyperlink r:id="rId16" w:history="1">
                        <w:r w:rsidR="00BF4CF3" w:rsidRPr="00BF4CF3">
                          <w:rPr>
                            <w:rStyle w:val="Hyperlink"/>
                            <w:rFonts w:ascii="Calibri" w:hAnsi="Calibri" w:cs="Calibri"/>
                            <w:color w:val="171717" w:themeColor="background2" w:themeShade="1A"/>
                            <w:sz w:val="20"/>
                          </w:rPr>
                          <w:t>Mali.Gunaratne@Mass.gov</w:t>
                        </w:r>
                      </w:hyperlink>
                    </w:p>
                    <w:p w14:paraId="43E5A2BA" w14:textId="77777777" w:rsidR="009E46A5" w:rsidRPr="00BF4CF3" w:rsidRDefault="009E46A5" w:rsidP="009E46A5">
                      <w:pPr>
                        <w:jc w:val="center"/>
                        <w:rPr>
                          <w:color w:val="2A424D" w:themeColor="accent5" w:themeShade="80"/>
                          <w:sz w:val="18"/>
                          <w:szCs w:val="18"/>
                        </w:rPr>
                      </w:pPr>
                    </w:p>
                  </w:txbxContent>
                </v:textbox>
                <w10:wrap anchorx="margin"/>
              </v:shape>
            </w:pict>
          </mc:Fallback>
        </mc:AlternateContent>
      </w:r>
    </w:p>
    <w:sectPr w:rsidR="00762BF2" w:rsidSect="00A40704">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720" w:right="720" w:bottom="720" w:left="720" w:header="0" w:footer="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87C42" w14:textId="77777777" w:rsidR="00133373" w:rsidRDefault="00133373">
      <w:r>
        <w:separator/>
      </w:r>
    </w:p>
  </w:endnote>
  <w:endnote w:type="continuationSeparator" w:id="0">
    <w:p w14:paraId="623C2CCA" w14:textId="77777777" w:rsidR="00133373" w:rsidRDefault="0013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3EDE" w14:textId="77777777" w:rsidR="0038163E" w:rsidRDefault="0038163E" w:rsidP="00DB7A30">
    <w:pPr>
      <w:pStyle w:val="Footer"/>
      <w:jc w:val="both"/>
      <w:rPr>
        <w:b/>
        <w:bCs/>
        <w:color w:val="0070C0"/>
        <w:sz w:val="16"/>
        <w:szCs w:val="16"/>
      </w:rPr>
    </w:pPr>
    <w:r>
      <w:rPr>
        <w:b/>
        <w:bCs/>
        <w:color w:val="0070C0"/>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14:paraId="337C9DE5" w14:textId="77777777" w:rsidR="0038163E" w:rsidRPr="00123A52" w:rsidRDefault="0038163E" w:rsidP="00DB7A30">
    <w:pPr>
      <w:pStyle w:val="Footer"/>
      <w:jc w:val="both"/>
      <w:rPr>
        <w:b/>
        <w:bCs/>
        <w:color w:val="0070C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95A5" w14:textId="77777777" w:rsidR="0038163E" w:rsidRPr="00AE6D5F" w:rsidRDefault="0038163E">
    <w:pPr>
      <w:pStyle w:val="Footer"/>
      <w:rPr>
        <w:b/>
        <w:bCs/>
        <w:color w:val="5B718F"/>
        <w:sz w:val="18"/>
        <w:szCs w:val="18"/>
      </w:rPr>
    </w:pPr>
    <w:r w:rsidRPr="00AE6D5F">
      <w:rPr>
        <w:b/>
        <w:bCs/>
        <w:color w:val="5B718F"/>
        <w:sz w:val="16"/>
        <w:szCs w:val="16"/>
      </w:rPr>
      <w:t>QPSD Vision is for Massachusetts to have the safest and highest quality</w:t>
    </w:r>
    <w:r w:rsidRPr="00AE6D5F">
      <w:rPr>
        <w:b/>
        <w:bCs/>
        <w:color w:val="5B718F"/>
        <w:sz w:val="18"/>
        <w:szCs w:val="18"/>
      </w:rPr>
      <w:t xml:space="preserve"> </w:t>
    </w:r>
    <w:r w:rsidRPr="00AE6D5F">
      <w:rPr>
        <w:b/>
        <w:bCs/>
        <w:color w:val="5B718F"/>
        <w:sz w:val="16"/>
        <w:szCs w:val="16"/>
      </w:rPr>
      <w:t>healthcare</w:t>
    </w:r>
  </w:p>
  <w:p w14:paraId="04E98834" w14:textId="77777777" w:rsidR="0038163E" w:rsidRPr="00133404" w:rsidRDefault="0038163E">
    <w:pPr>
      <w:pStyle w:val="Footer"/>
      <w:rPr>
        <w:b/>
        <w:bCs/>
        <w:color w:val="0070C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08F6" w14:textId="77777777" w:rsidR="0038163E" w:rsidRPr="00AE6D5F" w:rsidRDefault="0038163E" w:rsidP="00BC34F5">
    <w:pPr>
      <w:pStyle w:val="Footer"/>
      <w:jc w:val="both"/>
      <w:rPr>
        <w:b/>
        <w:bCs/>
        <w:color w:val="5B718F"/>
        <w:sz w:val="16"/>
        <w:szCs w:val="16"/>
      </w:rPr>
    </w:pPr>
    <w:r w:rsidRPr="00AE6D5F">
      <w:rPr>
        <w:b/>
        <w:bCs/>
        <w:color w:val="5B718F"/>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14:paraId="3A739ADC" w14:textId="77777777" w:rsidR="0038163E" w:rsidRDefault="00381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85C19" w14:textId="77777777" w:rsidR="00133373" w:rsidRDefault="00133373">
      <w:r>
        <w:separator/>
      </w:r>
    </w:p>
  </w:footnote>
  <w:footnote w:type="continuationSeparator" w:id="0">
    <w:p w14:paraId="7FDD1056" w14:textId="77777777" w:rsidR="00133373" w:rsidRDefault="00133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B41D" w14:textId="77777777" w:rsidR="0038163E" w:rsidRDefault="0038163E">
    <w:pPr>
      <w:pStyle w:val="Header"/>
    </w:pPr>
    <w:r>
      <w:rPr>
        <w:noProof/>
      </w:rPr>
      <mc:AlternateContent>
        <mc:Choice Requires="wps">
          <w:drawing>
            <wp:anchor distT="0" distB="0" distL="114300" distR="114300" simplePos="0" relativeHeight="251654656" behindDoc="0" locked="0" layoutInCell="1" allowOverlap="1" wp14:anchorId="443593E0" wp14:editId="5676DE5A">
              <wp:simplePos x="0" y="0"/>
              <wp:positionH relativeFrom="page">
                <wp:posOffset>6187440</wp:posOffset>
              </wp:positionH>
              <wp:positionV relativeFrom="page">
                <wp:posOffset>474980</wp:posOffset>
              </wp:positionV>
              <wp:extent cx="1384300" cy="323215"/>
              <wp:effectExtent l="3810" t="0" r="2540" b="6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F2E3" w14:textId="77777777" w:rsidR="0038163E" w:rsidRDefault="0038163E" w:rsidP="00DB7A30">
                          <w:pPr>
                            <w:rPr>
                              <w:rStyle w:val="PageNumber"/>
                            </w:rPr>
                          </w:pPr>
                          <w:r>
                            <w:rPr>
                              <w:rStyle w:val="PageNumber"/>
                            </w:rPr>
                            <w:t xml:space="preserve"> </w:t>
                          </w:r>
                        </w:p>
                        <w:p w14:paraId="7F9DA78F" w14:textId="77777777" w:rsidR="0038163E" w:rsidRPr="00FC2D17" w:rsidRDefault="0038163E" w:rsidP="00DB7A30">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593E0" id="_x0000_t202" coordsize="21600,21600" o:spt="202" path="m,l,21600r21600,l21600,xe">
              <v:stroke joinstyle="miter"/>
              <v:path gradientshapeok="t" o:connecttype="rect"/>
            </v:shapetype>
            <v:shape id="Text Box 3" o:spid="_x0000_s1038" type="#_x0000_t202" style="position:absolute;margin-left:487.2pt;margin-top:37.4pt;width:109pt;height:25.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" filled="f" stroked="f">
              <v:textbox style="mso-fit-shape-to-text:t" inset=",7.2pt,,7.2pt">
                <w:txbxContent>
                  <w:p w14:paraId="0827F2E3" w14:textId="77777777" w:rsidR="0038163E" w:rsidRDefault="0038163E" w:rsidP="00DB7A30">
                    <w:pPr>
                      <w:rPr>
                        <w:rStyle w:val="PageNumber"/>
                      </w:rPr>
                    </w:pPr>
                    <w:r>
                      <w:rPr>
                        <w:rStyle w:val="PageNumber"/>
                      </w:rPr>
                      <w:t xml:space="preserve"> </w:t>
                    </w:r>
                  </w:p>
                  <w:p w14:paraId="7F9DA78F" w14:textId="77777777" w:rsidR="0038163E" w:rsidRPr="00FC2D17" w:rsidRDefault="0038163E" w:rsidP="00DB7A30">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293D04B4" wp14:editId="24EA3759">
              <wp:simplePos x="0" y="0"/>
              <wp:positionH relativeFrom="page">
                <wp:posOffset>30480</wp:posOffset>
              </wp:positionH>
              <wp:positionV relativeFrom="page">
                <wp:posOffset>474980</wp:posOffset>
              </wp:positionV>
              <wp:extent cx="1943100" cy="323215"/>
              <wp:effectExtent l="0"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A5F9" w14:textId="77777777" w:rsidR="0038163E" w:rsidRDefault="0038163E" w:rsidP="00DB7A30">
                          <w:pPr>
                            <w:pStyle w:val="PageTitle"/>
                          </w:pPr>
                        </w:p>
                        <w:p w14:paraId="37C70C63" w14:textId="77777777" w:rsidR="0038163E" w:rsidRPr="0053301D" w:rsidRDefault="0038163E" w:rsidP="00DB7A30">
                          <w:pPr>
                            <w:pStyle w:val="PageTitle"/>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3D04B4" id="Text Box 4" o:spid="_x0000_s1039" type="#_x0000_t202" style="position:absolute;margin-left:2.4pt;margin-top:37.4pt;width:153pt;height:25.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" filled="f" stroked="f">
              <v:textbox style="mso-fit-shape-to-text:t" inset=",7.2pt,,7.2pt">
                <w:txbxContent>
                  <w:p w14:paraId="3F97A5F9" w14:textId="77777777" w:rsidR="0038163E" w:rsidRDefault="0038163E" w:rsidP="00DB7A30">
                    <w:pPr>
                      <w:pStyle w:val="PageTitle"/>
                    </w:pPr>
                  </w:p>
                  <w:p w14:paraId="37C70C63" w14:textId="77777777" w:rsidR="0038163E" w:rsidRPr="0053301D" w:rsidRDefault="0038163E" w:rsidP="00DB7A30">
                    <w:pPr>
                      <w:pStyle w:val="PageTitle"/>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85A0F86" wp14:editId="42125861">
              <wp:simplePos x="0" y="0"/>
              <wp:positionH relativeFrom="page">
                <wp:align>center</wp:align>
              </wp:positionH>
              <wp:positionV relativeFrom="page">
                <wp:posOffset>365760</wp:posOffset>
              </wp:positionV>
              <wp:extent cx="7086600" cy="525780"/>
              <wp:effectExtent l="0" t="3810" r="0" b="63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C74E" w14:textId="77777777" w:rsidR="0038163E" w:rsidRDefault="0038163E" w:rsidP="00DB7A30">
                          <w:r>
                            <w:rPr>
                              <w:noProof/>
                            </w:rPr>
                            <w:drawing>
                              <wp:inline distT="0" distB="0" distL="0" distR="0" wp14:anchorId="1C69E581" wp14:editId="259643E8">
                                <wp:extent cx="6858000" cy="279400"/>
                                <wp:effectExtent l="152400" t="152400" r="342900" b="368300"/>
                                <wp:docPr id="16" name="Picture 1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A0F86" id="Text Box 9" o:spid="_x0000_s1040" type="#_x0000_t202" style="position:absolute;margin-left:0;margin-top:28.8pt;width:558pt;height:41.4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" filled="f" stroked="f">
              <v:textbox style="mso-fit-shape-to-text:t" inset=",7.2pt,,7.2pt">
                <w:txbxContent>
                  <w:p w14:paraId="4147C74E" w14:textId="77777777" w:rsidR="0038163E" w:rsidRDefault="0038163E" w:rsidP="00DB7A30">
                    <w:r>
                      <w:rPr>
                        <w:noProof/>
                      </w:rPr>
                      <w:drawing>
                        <wp:inline distT="0" distB="0" distL="0" distR="0" wp14:anchorId="1C69E581" wp14:editId="259643E8">
                          <wp:extent cx="6858000" cy="279400"/>
                          <wp:effectExtent l="152400" t="152400" r="342900" b="368300"/>
                          <wp:docPr id="16" name="Picture 1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B4F00" w14:textId="2F5ECA4E" w:rsidR="0038163E" w:rsidRDefault="0038163E">
    <w:pPr>
      <w:pStyle w:val="Header"/>
    </w:pPr>
    <w:r>
      <w:rPr>
        <w:noProof/>
      </w:rPr>
      <mc:AlternateContent>
        <mc:Choice Requires="wps">
          <w:drawing>
            <wp:anchor distT="0" distB="0" distL="114300" distR="114300" simplePos="0" relativeHeight="251657728" behindDoc="0" locked="0" layoutInCell="1" allowOverlap="1" wp14:anchorId="54D54CC4" wp14:editId="15EED8A4">
              <wp:simplePos x="0" y="0"/>
              <wp:positionH relativeFrom="page">
                <wp:posOffset>5702300</wp:posOffset>
              </wp:positionH>
              <wp:positionV relativeFrom="page">
                <wp:posOffset>485775</wp:posOffset>
              </wp:positionV>
              <wp:extent cx="1384300" cy="323215"/>
              <wp:effectExtent l="0" t="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C150" w14:textId="77777777" w:rsidR="0038163E" w:rsidRDefault="0038163E" w:rsidP="00DB7A30">
                          <w:pPr>
                            <w:pStyle w:val="PageNumberRight"/>
                          </w:pPr>
                        </w:p>
                        <w:p w14:paraId="4AE607FB" w14:textId="77777777" w:rsidR="0038163E" w:rsidRPr="00FC2D17" w:rsidRDefault="0038163E" w:rsidP="00DB7A30">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54CC4" id="_x0000_t202" coordsize="21600,21600" o:spt="202" path="m,l,21600r21600,l21600,xe">
              <v:stroke joinstyle="miter"/>
              <v:path gradientshapeok="t" o:connecttype="rect"/>
            </v:shapetype>
            <v:shape id="Text Box 10" o:spid="_x0000_s1041" type="#_x0000_t202" style="position:absolute;margin-left:449pt;margin-top:38.25pt;width:109pt;height:2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" filled="f" stroked="f">
              <v:textbox style="mso-fit-shape-to-text:t" inset=",7.2pt,,7.2pt">
                <w:txbxContent>
                  <w:p w14:paraId="4E55C150" w14:textId="77777777" w:rsidR="0038163E" w:rsidRDefault="0038163E" w:rsidP="00DB7A30">
                    <w:pPr>
                      <w:pStyle w:val="PageNumberRight"/>
                    </w:pPr>
                  </w:p>
                  <w:p w14:paraId="4AE607FB" w14:textId="77777777" w:rsidR="0038163E" w:rsidRPr="00FC2D17" w:rsidRDefault="0038163E" w:rsidP="00DB7A30">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06F9D277" wp14:editId="390BCC43">
              <wp:simplePos x="0" y="0"/>
              <wp:positionH relativeFrom="page">
                <wp:posOffset>594360</wp:posOffset>
              </wp:positionH>
              <wp:positionV relativeFrom="page">
                <wp:posOffset>485775</wp:posOffset>
              </wp:positionV>
              <wp:extent cx="1943100" cy="323215"/>
              <wp:effectExtent l="3810" t="0" r="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272F1" w14:textId="77777777" w:rsidR="0038163E" w:rsidRDefault="0038163E" w:rsidP="00DB7A30">
                          <w:pPr>
                            <w:pStyle w:val="PageTitleLeft"/>
                          </w:pPr>
                        </w:p>
                        <w:p w14:paraId="42806D87" w14:textId="77777777" w:rsidR="0038163E" w:rsidRPr="0053301D" w:rsidRDefault="0038163E" w:rsidP="00DB7A30">
                          <w:pPr>
                            <w:pStyle w:val="PageTitleLeft"/>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9D277" id="Text Box 11" o:spid="_x0000_s1042" type="#_x0000_t202" style="position:absolute;margin-left:46.8pt;margin-top:38.25pt;width:153pt;height:2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" filled="f" stroked="f">
              <v:textbox style="mso-fit-shape-to-text:t" inset=",7.2pt,,7.2pt">
                <w:txbxContent>
                  <w:p w14:paraId="578272F1" w14:textId="77777777" w:rsidR="0038163E" w:rsidRDefault="0038163E" w:rsidP="00DB7A30">
                    <w:pPr>
                      <w:pStyle w:val="PageTitleLeft"/>
                    </w:pPr>
                  </w:p>
                  <w:p w14:paraId="42806D87" w14:textId="77777777" w:rsidR="0038163E" w:rsidRPr="0053301D" w:rsidRDefault="0038163E" w:rsidP="00DB7A30">
                    <w:pPr>
                      <w:pStyle w:val="PageTitleLeft"/>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14A8068D" wp14:editId="0D100B65">
              <wp:simplePos x="0" y="0"/>
              <wp:positionH relativeFrom="page">
                <wp:align>center</wp:align>
              </wp:positionH>
              <wp:positionV relativeFrom="page">
                <wp:posOffset>365760</wp:posOffset>
              </wp:positionV>
              <wp:extent cx="7086600" cy="525780"/>
              <wp:effectExtent l="0" t="3810"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DAAD" w14:textId="77777777" w:rsidR="0038163E" w:rsidRDefault="0038163E" w:rsidP="00DB7A30">
                          <w:r>
                            <w:rPr>
                              <w:noProof/>
                            </w:rPr>
                            <w:drawing>
                              <wp:inline distT="0" distB="0" distL="0" distR="0" wp14:anchorId="10B7F50C" wp14:editId="7C40980F">
                                <wp:extent cx="6858000" cy="342900"/>
                                <wp:effectExtent l="152400" t="152400" r="361950" b="361950"/>
                                <wp:docPr id="18" name="Picture 18"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A8068D" id="Text Box 12" o:spid="_x0000_s1043" type="#_x0000_t202" style="position:absolute;margin-left:0;margin-top:28.8pt;width:558pt;height:41.4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" filled="f" stroked="f">
              <v:textbox style="mso-fit-shape-to-text:t" inset=",7.2pt,,7.2pt">
                <w:txbxContent>
                  <w:p w14:paraId="3AB2DAAD" w14:textId="77777777" w:rsidR="0038163E" w:rsidRDefault="0038163E" w:rsidP="00DB7A30">
                    <w:r>
                      <w:rPr>
                        <w:noProof/>
                      </w:rPr>
                      <w:drawing>
                        <wp:inline distT="0" distB="0" distL="0" distR="0" wp14:anchorId="10B7F50C" wp14:editId="7C40980F">
                          <wp:extent cx="6858000" cy="342900"/>
                          <wp:effectExtent l="152400" t="152400" r="361950" b="361950"/>
                          <wp:docPr id="18" name="Picture 18"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38C7A" w14:textId="77777777" w:rsidR="0038163E" w:rsidRDefault="00381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05C"/>
    <w:multiLevelType w:val="hybridMultilevel"/>
    <w:tmpl w:val="AD68FCD2"/>
    <w:lvl w:ilvl="0" w:tplc="A992CD5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74C1"/>
    <w:multiLevelType w:val="hybridMultilevel"/>
    <w:tmpl w:val="DFA20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01C33"/>
    <w:multiLevelType w:val="hybridMultilevel"/>
    <w:tmpl w:val="328A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8143E"/>
    <w:multiLevelType w:val="hybridMultilevel"/>
    <w:tmpl w:val="EB9EB51A"/>
    <w:lvl w:ilvl="0" w:tplc="8552007C">
      <w:start w:val="1"/>
      <w:numFmt w:val="decimal"/>
      <w:lvlText w:val="%1"/>
      <w:lvlJc w:val="left"/>
      <w:pPr>
        <w:ind w:left="423" w:hanging="435"/>
      </w:pPr>
      <w:rPr>
        <w:rFonts w:hint="default"/>
        <w:b w:val="0"/>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4" w15:restartNumberingAfterBreak="0">
    <w:nsid w:val="0ADA7CCA"/>
    <w:multiLevelType w:val="hybridMultilevel"/>
    <w:tmpl w:val="6CC073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44C1A"/>
    <w:multiLevelType w:val="hybridMultilevel"/>
    <w:tmpl w:val="989870AA"/>
    <w:lvl w:ilvl="0" w:tplc="1E808152">
      <w:start w:val="2"/>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6" w15:restartNumberingAfterBreak="0">
    <w:nsid w:val="21AA3C9F"/>
    <w:multiLevelType w:val="hybridMultilevel"/>
    <w:tmpl w:val="E064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F7444"/>
    <w:multiLevelType w:val="hybridMultilevel"/>
    <w:tmpl w:val="06C64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F4F46"/>
    <w:multiLevelType w:val="hybridMultilevel"/>
    <w:tmpl w:val="E91EC63A"/>
    <w:lvl w:ilvl="0" w:tplc="2110B9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E47533"/>
    <w:multiLevelType w:val="hybridMultilevel"/>
    <w:tmpl w:val="DC7C111A"/>
    <w:lvl w:ilvl="0" w:tplc="77C07F0E">
      <w:start w:val="1"/>
      <w:numFmt w:val="decimal"/>
      <w:lvlText w:val="%1"/>
      <w:lvlJc w:val="left"/>
      <w:pPr>
        <w:ind w:left="588" w:hanging="600"/>
      </w:pPr>
      <w:rPr>
        <w:rFonts w:ascii="Century Gothic" w:eastAsia="Times New Roman" w:hAnsi="Century Gothic" w:cs="Times New Roman"/>
        <w:b w:val="0"/>
        <w:color w:val="000000"/>
        <w:sz w:val="14"/>
        <w:szCs w:val="14"/>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0" w15:restartNumberingAfterBreak="0">
    <w:nsid w:val="2A165B7C"/>
    <w:multiLevelType w:val="hybridMultilevel"/>
    <w:tmpl w:val="B76AF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6B1440"/>
    <w:multiLevelType w:val="hybridMultilevel"/>
    <w:tmpl w:val="1B527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135A1"/>
    <w:multiLevelType w:val="hybridMultilevel"/>
    <w:tmpl w:val="5450F228"/>
    <w:lvl w:ilvl="0" w:tplc="AE4E8C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0E194A"/>
    <w:multiLevelType w:val="hybridMultilevel"/>
    <w:tmpl w:val="AC70E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AB1489"/>
    <w:multiLevelType w:val="hybridMultilevel"/>
    <w:tmpl w:val="F984ED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1D4687"/>
    <w:multiLevelType w:val="hybridMultilevel"/>
    <w:tmpl w:val="8FB0C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11F0F"/>
    <w:multiLevelType w:val="hybridMultilevel"/>
    <w:tmpl w:val="BAD61B96"/>
    <w:lvl w:ilvl="0" w:tplc="04090001">
      <w:start w:val="1"/>
      <w:numFmt w:val="bullet"/>
      <w:lvlText w:val=""/>
      <w:lvlJc w:val="left"/>
      <w:pPr>
        <w:ind w:left="720" w:hanging="360"/>
      </w:pPr>
      <w:rPr>
        <w:rFonts w:ascii="Symbol" w:hAnsi="Symbol" w:hint="default"/>
      </w:rPr>
    </w:lvl>
    <w:lvl w:ilvl="1" w:tplc="A1B669F8">
      <w:numFmt w:val="bullet"/>
      <w:lvlText w:val="•"/>
      <w:lvlJc w:val="left"/>
      <w:pPr>
        <w:ind w:left="1440" w:hanging="360"/>
      </w:pPr>
      <w:rPr>
        <w:rFonts w:ascii="Century Gothic" w:eastAsia="Times New Roma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32ED0"/>
    <w:multiLevelType w:val="hybridMultilevel"/>
    <w:tmpl w:val="3C9A74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98139D"/>
    <w:multiLevelType w:val="hybridMultilevel"/>
    <w:tmpl w:val="61268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750A5"/>
    <w:multiLevelType w:val="hybridMultilevel"/>
    <w:tmpl w:val="3B70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8318A"/>
    <w:multiLevelType w:val="hybridMultilevel"/>
    <w:tmpl w:val="692A0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236CB5"/>
    <w:multiLevelType w:val="hybridMultilevel"/>
    <w:tmpl w:val="4AA62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4A6EC5"/>
    <w:multiLevelType w:val="hybridMultilevel"/>
    <w:tmpl w:val="F59E7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DB7BF7"/>
    <w:multiLevelType w:val="hybridMultilevel"/>
    <w:tmpl w:val="C282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11D53"/>
    <w:multiLevelType w:val="hybridMultilevel"/>
    <w:tmpl w:val="4BA8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C5C5E"/>
    <w:multiLevelType w:val="hybridMultilevel"/>
    <w:tmpl w:val="92E85494"/>
    <w:lvl w:ilvl="0" w:tplc="5094B33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1091B"/>
    <w:multiLevelType w:val="hybridMultilevel"/>
    <w:tmpl w:val="128CFBE2"/>
    <w:lvl w:ilvl="0" w:tplc="AB44D4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E34C3F"/>
    <w:multiLevelType w:val="hybridMultilevel"/>
    <w:tmpl w:val="3C04E6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58328A"/>
    <w:multiLevelType w:val="hybridMultilevel"/>
    <w:tmpl w:val="212A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32B9B"/>
    <w:multiLevelType w:val="hybridMultilevel"/>
    <w:tmpl w:val="3A727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23D57"/>
    <w:multiLevelType w:val="hybridMultilevel"/>
    <w:tmpl w:val="ED64AD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0"/>
  </w:num>
  <w:num w:numId="4">
    <w:abstractNumId w:val="24"/>
  </w:num>
  <w:num w:numId="5">
    <w:abstractNumId w:val="7"/>
  </w:num>
  <w:num w:numId="6">
    <w:abstractNumId w:val="28"/>
  </w:num>
  <w:num w:numId="7">
    <w:abstractNumId w:val="15"/>
  </w:num>
  <w:num w:numId="8">
    <w:abstractNumId w:val="29"/>
  </w:num>
  <w:num w:numId="9">
    <w:abstractNumId w:val="16"/>
  </w:num>
  <w:num w:numId="10">
    <w:abstractNumId w:val="6"/>
  </w:num>
  <w:num w:numId="11">
    <w:abstractNumId w:val="23"/>
  </w:num>
  <w:num w:numId="12">
    <w:abstractNumId w:val="19"/>
  </w:num>
  <w:num w:numId="13">
    <w:abstractNumId w:val="26"/>
  </w:num>
  <w:num w:numId="14">
    <w:abstractNumId w:val="30"/>
  </w:num>
  <w:num w:numId="15">
    <w:abstractNumId w:val="8"/>
  </w:num>
  <w:num w:numId="16">
    <w:abstractNumId w:val="4"/>
  </w:num>
  <w:num w:numId="17">
    <w:abstractNumId w:val="13"/>
  </w:num>
  <w:num w:numId="18">
    <w:abstractNumId w:val="3"/>
  </w:num>
  <w:num w:numId="19">
    <w:abstractNumId w:val="22"/>
  </w:num>
  <w:num w:numId="20">
    <w:abstractNumId w:val="27"/>
  </w:num>
  <w:num w:numId="21">
    <w:abstractNumId w:val="1"/>
  </w:num>
  <w:num w:numId="22">
    <w:abstractNumId w:val="12"/>
  </w:num>
  <w:num w:numId="23">
    <w:abstractNumId w:val="10"/>
  </w:num>
  <w:num w:numId="24">
    <w:abstractNumId w:val="20"/>
  </w:num>
  <w:num w:numId="25">
    <w:abstractNumId w:val="2"/>
  </w:num>
  <w:num w:numId="26">
    <w:abstractNumId w:val="21"/>
  </w:num>
  <w:num w:numId="27">
    <w:abstractNumId w:val="14"/>
  </w:num>
  <w:num w:numId="28">
    <w:abstractNumId w:val="5"/>
  </w:num>
  <w:num w:numId="29">
    <w:abstractNumId w:val="18"/>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69"/>
    <w:rsid w:val="00020448"/>
    <w:rsid w:val="0002743E"/>
    <w:rsid w:val="000324AC"/>
    <w:rsid w:val="00036804"/>
    <w:rsid w:val="00040DDD"/>
    <w:rsid w:val="0004149A"/>
    <w:rsid w:val="00042636"/>
    <w:rsid w:val="00052951"/>
    <w:rsid w:val="00053B9D"/>
    <w:rsid w:val="00054C62"/>
    <w:rsid w:val="00066072"/>
    <w:rsid w:val="00073EE7"/>
    <w:rsid w:val="00080EEE"/>
    <w:rsid w:val="000975A5"/>
    <w:rsid w:val="000A135E"/>
    <w:rsid w:val="000A29AF"/>
    <w:rsid w:val="000B4586"/>
    <w:rsid w:val="000C75D0"/>
    <w:rsid w:val="000E74FF"/>
    <w:rsid w:val="00100160"/>
    <w:rsid w:val="0010177B"/>
    <w:rsid w:val="00111D23"/>
    <w:rsid w:val="00117C9A"/>
    <w:rsid w:val="001321D9"/>
    <w:rsid w:val="00133373"/>
    <w:rsid w:val="00140BD1"/>
    <w:rsid w:val="001414E1"/>
    <w:rsid w:val="00156C6B"/>
    <w:rsid w:val="001647D7"/>
    <w:rsid w:val="001734B5"/>
    <w:rsid w:val="00190944"/>
    <w:rsid w:val="001A03F7"/>
    <w:rsid w:val="001A07C1"/>
    <w:rsid w:val="001A335E"/>
    <w:rsid w:val="001A7B71"/>
    <w:rsid w:val="001B170B"/>
    <w:rsid w:val="001B406B"/>
    <w:rsid w:val="001B7002"/>
    <w:rsid w:val="001C2508"/>
    <w:rsid w:val="001C2840"/>
    <w:rsid w:val="001C37A3"/>
    <w:rsid w:val="001D0E6E"/>
    <w:rsid w:val="001E048E"/>
    <w:rsid w:val="001E0C68"/>
    <w:rsid w:val="001E485B"/>
    <w:rsid w:val="001E5DA3"/>
    <w:rsid w:val="001E7007"/>
    <w:rsid w:val="00200264"/>
    <w:rsid w:val="00200B59"/>
    <w:rsid w:val="002010D6"/>
    <w:rsid w:val="00206195"/>
    <w:rsid w:val="00222B50"/>
    <w:rsid w:val="0022563B"/>
    <w:rsid w:val="00235454"/>
    <w:rsid w:val="00235FAA"/>
    <w:rsid w:val="0024290F"/>
    <w:rsid w:val="00256BC9"/>
    <w:rsid w:val="00274E2A"/>
    <w:rsid w:val="002752D3"/>
    <w:rsid w:val="00280D58"/>
    <w:rsid w:val="00281B52"/>
    <w:rsid w:val="00284786"/>
    <w:rsid w:val="002A3EF7"/>
    <w:rsid w:val="002B7D7B"/>
    <w:rsid w:val="002C4ECF"/>
    <w:rsid w:val="002C5763"/>
    <w:rsid w:val="002D21FA"/>
    <w:rsid w:val="002E14DA"/>
    <w:rsid w:val="002E3F0B"/>
    <w:rsid w:val="002E59BE"/>
    <w:rsid w:val="002F04C6"/>
    <w:rsid w:val="0030209C"/>
    <w:rsid w:val="00312D3B"/>
    <w:rsid w:val="00324B6D"/>
    <w:rsid w:val="003319FA"/>
    <w:rsid w:val="00332DA7"/>
    <w:rsid w:val="00337E17"/>
    <w:rsid w:val="0034246B"/>
    <w:rsid w:val="00367065"/>
    <w:rsid w:val="003766BE"/>
    <w:rsid w:val="0038163E"/>
    <w:rsid w:val="003856D1"/>
    <w:rsid w:val="00397327"/>
    <w:rsid w:val="00397496"/>
    <w:rsid w:val="003A193D"/>
    <w:rsid w:val="003A30CB"/>
    <w:rsid w:val="003C7156"/>
    <w:rsid w:val="003E07B5"/>
    <w:rsid w:val="003E1000"/>
    <w:rsid w:val="003E5FD1"/>
    <w:rsid w:val="003F397D"/>
    <w:rsid w:val="004141C3"/>
    <w:rsid w:val="00416A0F"/>
    <w:rsid w:val="0041737F"/>
    <w:rsid w:val="00421C3A"/>
    <w:rsid w:val="0042319F"/>
    <w:rsid w:val="0042390B"/>
    <w:rsid w:val="00431ED9"/>
    <w:rsid w:val="00442FE3"/>
    <w:rsid w:val="00444CC5"/>
    <w:rsid w:val="004664A0"/>
    <w:rsid w:val="00480839"/>
    <w:rsid w:val="00487464"/>
    <w:rsid w:val="004874FF"/>
    <w:rsid w:val="004A1393"/>
    <w:rsid w:val="004A15E7"/>
    <w:rsid w:val="004A3B9B"/>
    <w:rsid w:val="004A6CB8"/>
    <w:rsid w:val="004A7C73"/>
    <w:rsid w:val="004B078A"/>
    <w:rsid w:val="004B33C1"/>
    <w:rsid w:val="004D045A"/>
    <w:rsid w:val="004D2108"/>
    <w:rsid w:val="004D79E4"/>
    <w:rsid w:val="004F10D5"/>
    <w:rsid w:val="004F58E0"/>
    <w:rsid w:val="00503239"/>
    <w:rsid w:val="00517F30"/>
    <w:rsid w:val="0052698E"/>
    <w:rsid w:val="0052763B"/>
    <w:rsid w:val="00530442"/>
    <w:rsid w:val="00534AAB"/>
    <w:rsid w:val="00537956"/>
    <w:rsid w:val="00541BA4"/>
    <w:rsid w:val="00545439"/>
    <w:rsid w:val="0054706B"/>
    <w:rsid w:val="00547807"/>
    <w:rsid w:val="00563BAE"/>
    <w:rsid w:val="0056565A"/>
    <w:rsid w:val="00573F31"/>
    <w:rsid w:val="005808A8"/>
    <w:rsid w:val="00586C7A"/>
    <w:rsid w:val="005A2FBE"/>
    <w:rsid w:val="005C0EB4"/>
    <w:rsid w:val="005C4169"/>
    <w:rsid w:val="005C4181"/>
    <w:rsid w:val="005C76A3"/>
    <w:rsid w:val="005D0E51"/>
    <w:rsid w:val="00601A62"/>
    <w:rsid w:val="00602FC0"/>
    <w:rsid w:val="0060391B"/>
    <w:rsid w:val="00604529"/>
    <w:rsid w:val="006071DA"/>
    <w:rsid w:val="006075A7"/>
    <w:rsid w:val="00615503"/>
    <w:rsid w:val="00625108"/>
    <w:rsid w:val="00631612"/>
    <w:rsid w:val="006355EF"/>
    <w:rsid w:val="0063677C"/>
    <w:rsid w:val="0064156D"/>
    <w:rsid w:val="00647B59"/>
    <w:rsid w:val="00651FE1"/>
    <w:rsid w:val="00652C91"/>
    <w:rsid w:val="00657730"/>
    <w:rsid w:val="006612AF"/>
    <w:rsid w:val="00662D46"/>
    <w:rsid w:val="00663D34"/>
    <w:rsid w:val="0067054A"/>
    <w:rsid w:val="006767EA"/>
    <w:rsid w:val="00684B50"/>
    <w:rsid w:val="006859E0"/>
    <w:rsid w:val="00690580"/>
    <w:rsid w:val="006A0A6A"/>
    <w:rsid w:val="006A54B6"/>
    <w:rsid w:val="006B09FF"/>
    <w:rsid w:val="006B6F71"/>
    <w:rsid w:val="006B73E3"/>
    <w:rsid w:val="006B7A5D"/>
    <w:rsid w:val="006E669C"/>
    <w:rsid w:val="00707339"/>
    <w:rsid w:val="00715778"/>
    <w:rsid w:val="007174B8"/>
    <w:rsid w:val="00720100"/>
    <w:rsid w:val="007224A3"/>
    <w:rsid w:val="00723DE1"/>
    <w:rsid w:val="00734B8C"/>
    <w:rsid w:val="00734D95"/>
    <w:rsid w:val="007412B4"/>
    <w:rsid w:val="00742868"/>
    <w:rsid w:val="00754B27"/>
    <w:rsid w:val="007562B2"/>
    <w:rsid w:val="00757BA2"/>
    <w:rsid w:val="00762BF2"/>
    <w:rsid w:val="00767905"/>
    <w:rsid w:val="007724E4"/>
    <w:rsid w:val="007823B1"/>
    <w:rsid w:val="0078323B"/>
    <w:rsid w:val="0079693D"/>
    <w:rsid w:val="00796F0F"/>
    <w:rsid w:val="007A1E04"/>
    <w:rsid w:val="007A3DBD"/>
    <w:rsid w:val="007A6644"/>
    <w:rsid w:val="007B0CCD"/>
    <w:rsid w:val="007B1081"/>
    <w:rsid w:val="007B24AC"/>
    <w:rsid w:val="007B27F2"/>
    <w:rsid w:val="007B5057"/>
    <w:rsid w:val="007D7A49"/>
    <w:rsid w:val="007E003A"/>
    <w:rsid w:val="007E561B"/>
    <w:rsid w:val="007F69FD"/>
    <w:rsid w:val="007F6D04"/>
    <w:rsid w:val="00800199"/>
    <w:rsid w:val="008029E0"/>
    <w:rsid w:val="008058F2"/>
    <w:rsid w:val="00827DD8"/>
    <w:rsid w:val="00834007"/>
    <w:rsid w:val="008426F2"/>
    <w:rsid w:val="008466C6"/>
    <w:rsid w:val="008613A1"/>
    <w:rsid w:val="00863024"/>
    <w:rsid w:val="00871420"/>
    <w:rsid w:val="00880040"/>
    <w:rsid w:val="00886BE1"/>
    <w:rsid w:val="00886E7E"/>
    <w:rsid w:val="00893B85"/>
    <w:rsid w:val="00895E7D"/>
    <w:rsid w:val="008969A5"/>
    <w:rsid w:val="008C0757"/>
    <w:rsid w:val="008C52B8"/>
    <w:rsid w:val="008E2C29"/>
    <w:rsid w:val="008E6D88"/>
    <w:rsid w:val="008F1FA2"/>
    <w:rsid w:val="008F43D1"/>
    <w:rsid w:val="008F77E6"/>
    <w:rsid w:val="008F7EF2"/>
    <w:rsid w:val="0091502F"/>
    <w:rsid w:val="00921B2E"/>
    <w:rsid w:val="00927A2C"/>
    <w:rsid w:val="00943139"/>
    <w:rsid w:val="00951927"/>
    <w:rsid w:val="00954034"/>
    <w:rsid w:val="00961EBB"/>
    <w:rsid w:val="00970E85"/>
    <w:rsid w:val="00982719"/>
    <w:rsid w:val="00987B2A"/>
    <w:rsid w:val="009923FC"/>
    <w:rsid w:val="00996498"/>
    <w:rsid w:val="00997C53"/>
    <w:rsid w:val="009A0EC0"/>
    <w:rsid w:val="009C0CEB"/>
    <w:rsid w:val="009C1CF4"/>
    <w:rsid w:val="009D3E6E"/>
    <w:rsid w:val="009D48AF"/>
    <w:rsid w:val="009E3297"/>
    <w:rsid w:val="009E412C"/>
    <w:rsid w:val="009E46A5"/>
    <w:rsid w:val="009F61A6"/>
    <w:rsid w:val="00A03DF4"/>
    <w:rsid w:val="00A054CF"/>
    <w:rsid w:val="00A1297A"/>
    <w:rsid w:val="00A14256"/>
    <w:rsid w:val="00A27D68"/>
    <w:rsid w:val="00A40704"/>
    <w:rsid w:val="00A413DF"/>
    <w:rsid w:val="00A62C63"/>
    <w:rsid w:val="00A66CA9"/>
    <w:rsid w:val="00A81488"/>
    <w:rsid w:val="00A85FBC"/>
    <w:rsid w:val="00A915A2"/>
    <w:rsid w:val="00A962BF"/>
    <w:rsid w:val="00A968A4"/>
    <w:rsid w:val="00AA1544"/>
    <w:rsid w:val="00AB0043"/>
    <w:rsid w:val="00AC5B8B"/>
    <w:rsid w:val="00AD232E"/>
    <w:rsid w:val="00AD73F0"/>
    <w:rsid w:val="00AD7BBF"/>
    <w:rsid w:val="00AE1ECE"/>
    <w:rsid w:val="00AE1FB9"/>
    <w:rsid w:val="00AE6D5F"/>
    <w:rsid w:val="00B1410A"/>
    <w:rsid w:val="00B14E3B"/>
    <w:rsid w:val="00B20366"/>
    <w:rsid w:val="00B2416F"/>
    <w:rsid w:val="00B37C0A"/>
    <w:rsid w:val="00B46ADE"/>
    <w:rsid w:val="00B476D7"/>
    <w:rsid w:val="00B47C10"/>
    <w:rsid w:val="00B65B27"/>
    <w:rsid w:val="00B74530"/>
    <w:rsid w:val="00B755C8"/>
    <w:rsid w:val="00B831B4"/>
    <w:rsid w:val="00B853ED"/>
    <w:rsid w:val="00B915D0"/>
    <w:rsid w:val="00BA1D71"/>
    <w:rsid w:val="00BA3510"/>
    <w:rsid w:val="00BC0FEE"/>
    <w:rsid w:val="00BC34F5"/>
    <w:rsid w:val="00BC5B7D"/>
    <w:rsid w:val="00BD12A4"/>
    <w:rsid w:val="00BE1828"/>
    <w:rsid w:val="00BF4CF3"/>
    <w:rsid w:val="00C07650"/>
    <w:rsid w:val="00C10527"/>
    <w:rsid w:val="00C211BB"/>
    <w:rsid w:val="00C22E51"/>
    <w:rsid w:val="00C25350"/>
    <w:rsid w:val="00C321EE"/>
    <w:rsid w:val="00C33D82"/>
    <w:rsid w:val="00C34370"/>
    <w:rsid w:val="00C351DF"/>
    <w:rsid w:val="00C45BC3"/>
    <w:rsid w:val="00C527AD"/>
    <w:rsid w:val="00C74957"/>
    <w:rsid w:val="00C84CAA"/>
    <w:rsid w:val="00C926E3"/>
    <w:rsid w:val="00C967E1"/>
    <w:rsid w:val="00CA1DB8"/>
    <w:rsid w:val="00CA70BD"/>
    <w:rsid w:val="00CC1B6B"/>
    <w:rsid w:val="00CC50EF"/>
    <w:rsid w:val="00CD2953"/>
    <w:rsid w:val="00CD6F67"/>
    <w:rsid w:val="00CE04D7"/>
    <w:rsid w:val="00CE28BE"/>
    <w:rsid w:val="00CE534A"/>
    <w:rsid w:val="00D016C4"/>
    <w:rsid w:val="00D05366"/>
    <w:rsid w:val="00D21521"/>
    <w:rsid w:val="00D31EB8"/>
    <w:rsid w:val="00D36F4A"/>
    <w:rsid w:val="00D4655C"/>
    <w:rsid w:val="00D50F6B"/>
    <w:rsid w:val="00D53F3F"/>
    <w:rsid w:val="00D5574D"/>
    <w:rsid w:val="00D6006C"/>
    <w:rsid w:val="00D65E20"/>
    <w:rsid w:val="00D758E9"/>
    <w:rsid w:val="00D81381"/>
    <w:rsid w:val="00D94481"/>
    <w:rsid w:val="00DA1521"/>
    <w:rsid w:val="00DA43B0"/>
    <w:rsid w:val="00DA56FE"/>
    <w:rsid w:val="00DB785A"/>
    <w:rsid w:val="00DB7A30"/>
    <w:rsid w:val="00DD112B"/>
    <w:rsid w:val="00DE41A3"/>
    <w:rsid w:val="00DE5294"/>
    <w:rsid w:val="00DF7CBE"/>
    <w:rsid w:val="00E06969"/>
    <w:rsid w:val="00E10708"/>
    <w:rsid w:val="00E1764D"/>
    <w:rsid w:val="00E24C14"/>
    <w:rsid w:val="00E26A42"/>
    <w:rsid w:val="00E3722B"/>
    <w:rsid w:val="00E43090"/>
    <w:rsid w:val="00E44F13"/>
    <w:rsid w:val="00E55225"/>
    <w:rsid w:val="00E5660A"/>
    <w:rsid w:val="00E7439A"/>
    <w:rsid w:val="00E7518C"/>
    <w:rsid w:val="00E76EA8"/>
    <w:rsid w:val="00E83DDA"/>
    <w:rsid w:val="00E854D4"/>
    <w:rsid w:val="00E94201"/>
    <w:rsid w:val="00E95850"/>
    <w:rsid w:val="00EA4399"/>
    <w:rsid w:val="00EA6DAE"/>
    <w:rsid w:val="00ED2712"/>
    <w:rsid w:val="00F04146"/>
    <w:rsid w:val="00F24A57"/>
    <w:rsid w:val="00F27778"/>
    <w:rsid w:val="00F310FC"/>
    <w:rsid w:val="00F31352"/>
    <w:rsid w:val="00F37474"/>
    <w:rsid w:val="00F6477D"/>
    <w:rsid w:val="00F666A3"/>
    <w:rsid w:val="00F728CD"/>
    <w:rsid w:val="00F838EF"/>
    <w:rsid w:val="00F86EFF"/>
    <w:rsid w:val="00F925ED"/>
    <w:rsid w:val="00FA668E"/>
    <w:rsid w:val="00FB0190"/>
    <w:rsid w:val="00FB65A7"/>
    <w:rsid w:val="00FB792F"/>
    <w:rsid w:val="00FC7E78"/>
    <w:rsid w:val="00FD64D2"/>
    <w:rsid w:val="00FE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85ED00"/>
  <w15:chartTrackingRefBased/>
  <w15:docId w15:val="{2103235A-3585-4C53-99FB-68881571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69"/>
    <w:pPr>
      <w:spacing w:after="0" w:line="240" w:lineRule="auto"/>
    </w:pPr>
    <w:rPr>
      <w:rFonts w:ascii="Century Gothic" w:eastAsia="Times New Roman" w:hAnsi="Century Gothic" w:cs="Times New Roman"/>
      <w:color w:val="000000"/>
      <w:sz w:val="24"/>
      <w:szCs w:val="20"/>
    </w:rPr>
  </w:style>
  <w:style w:type="paragraph" w:styleId="Heading1">
    <w:name w:val="heading 1"/>
    <w:basedOn w:val="Normal"/>
    <w:next w:val="Normal"/>
    <w:link w:val="Heading1Char"/>
    <w:qFormat/>
    <w:rsid w:val="00E06969"/>
    <w:pPr>
      <w:keepNext/>
      <w:outlineLvl w:val="0"/>
    </w:pPr>
    <w:rPr>
      <w:rFonts w:cs="Arial"/>
      <w:b/>
      <w:color w:val="3682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969"/>
    <w:rPr>
      <w:rFonts w:ascii="Century Gothic" w:eastAsia="Times New Roman" w:hAnsi="Century Gothic" w:cs="Arial"/>
      <w:b/>
      <w:color w:val="3682A2"/>
      <w:sz w:val="32"/>
      <w:szCs w:val="32"/>
    </w:rPr>
  </w:style>
  <w:style w:type="paragraph" w:styleId="TOCHeading">
    <w:name w:val="TOC Heading"/>
    <w:basedOn w:val="Normal"/>
    <w:qFormat/>
    <w:rsid w:val="00E06969"/>
    <w:pPr>
      <w:spacing w:before="60" w:after="120"/>
    </w:pPr>
    <w:rPr>
      <w:rFonts w:cs="Arial"/>
      <w:color w:val="3682A2"/>
      <w:sz w:val="22"/>
      <w:szCs w:val="22"/>
    </w:rPr>
  </w:style>
  <w:style w:type="paragraph" w:styleId="BodyText">
    <w:name w:val="Body Text"/>
    <w:basedOn w:val="Normal"/>
    <w:link w:val="BodyTextChar"/>
    <w:rsid w:val="00E06969"/>
    <w:pPr>
      <w:tabs>
        <w:tab w:val="left" w:pos="3326"/>
      </w:tabs>
      <w:spacing w:after="120" w:line="260" w:lineRule="atLeast"/>
      <w:jc w:val="both"/>
    </w:pPr>
    <w:rPr>
      <w:rFonts w:cs="Arial"/>
      <w:color w:val="auto"/>
      <w:sz w:val="17"/>
    </w:rPr>
  </w:style>
  <w:style w:type="character" w:customStyle="1" w:styleId="BodyTextChar">
    <w:name w:val="Body Text Char"/>
    <w:basedOn w:val="DefaultParagraphFont"/>
    <w:link w:val="BodyText"/>
    <w:rsid w:val="00E06969"/>
    <w:rPr>
      <w:rFonts w:ascii="Century Gothic" w:eastAsia="Times New Roman" w:hAnsi="Century Gothic" w:cs="Arial"/>
      <w:sz w:val="17"/>
      <w:szCs w:val="20"/>
    </w:rPr>
  </w:style>
  <w:style w:type="paragraph" w:customStyle="1" w:styleId="PageTitle">
    <w:name w:val="Page Title"/>
    <w:basedOn w:val="Normal"/>
    <w:rsid w:val="00E06969"/>
    <w:pPr>
      <w:jc w:val="right"/>
    </w:pPr>
    <w:rPr>
      <w:rFonts w:cs="Lucida Sans Unicode"/>
      <w:b/>
      <w:caps/>
      <w:color w:val="FFFFFF"/>
      <w:sz w:val="18"/>
      <w:szCs w:val="18"/>
    </w:rPr>
  </w:style>
  <w:style w:type="paragraph" w:styleId="Header">
    <w:name w:val="header"/>
    <w:basedOn w:val="Normal"/>
    <w:link w:val="HeaderChar"/>
    <w:rsid w:val="00E06969"/>
    <w:pPr>
      <w:tabs>
        <w:tab w:val="center" w:pos="4320"/>
        <w:tab w:val="right" w:pos="8640"/>
      </w:tabs>
    </w:pPr>
  </w:style>
  <w:style w:type="character" w:customStyle="1" w:styleId="HeaderChar">
    <w:name w:val="Header Char"/>
    <w:basedOn w:val="DefaultParagraphFont"/>
    <w:link w:val="Header"/>
    <w:rsid w:val="00E06969"/>
    <w:rPr>
      <w:rFonts w:ascii="Century Gothic" w:eastAsia="Times New Roman" w:hAnsi="Century Gothic" w:cs="Times New Roman"/>
      <w:color w:val="000000"/>
      <w:sz w:val="24"/>
      <w:szCs w:val="20"/>
    </w:rPr>
  </w:style>
  <w:style w:type="paragraph" w:customStyle="1" w:styleId="TOCNumber">
    <w:name w:val="TOC Number"/>
    <w:basedOn w:val="Normal"/>
    <w:link w:val="TOCNumberChar"/>
    <w:rsid w:val="00E06969"/>
    <w:pPr>
      <w:spacing w:before="60"/>
    </w:pPr>
    <w:rPr>
      <w:b/>
      <w:sz w:val="18"/>
      <w:szCs w:val="24"/>
    </w:rPr>
  </w:style>
  <w:style w:type="paragraph" w:customStyle="1" w:styleId="Masthead">
    <w:name w:val="Masthead"/>
    <w:basedOn w:val="Normal"/>
    <w:rsid w:val="00E06969"/>
    <w:pPr>
      <w:ind w:left="144"/>
    </w:pPr>
    <w:rPr>
      <w:color w:val="FFFFFF"/>
      <w:sz w:val="96"/>
      <w:szCs w:val="96"/>
    </w:rPr>
  </w:style>
  <w:style w:type="paragraph" w:customStyle="1" w:styleId="VolumeandIssue">
    <w:name w:val="Volume and Issue"/>
    <w:basedOn w:val="Normal"/>
    <w:rsid w:val="00E06969"/>
    <w:rPr>
      <w:rFonts w:cs="Arial"/>
      <w:b/>
      <w:caps/>
      <w:color w:val="FFFFFF"/>
      <w:spacing w:val="20"/>
      <w:sz w:val="18"/>
      <w:szCs w:val="18"/>
    </w:rPr>
  </w:style>
  <w:style w:type="paragraph" w:customStyle="1" w:styleId="TOCText">
    <w:name w:val="TOC Text"/>
    <w:basedOn w:val="Normal"/>
    <w:rsid w:val="00E06969"/>
    <w:pPr>
      <w:spacing w:before="60" w:after="60" w:line="320" w:lineRule="exact"/>
    </w:pPr>
    <w:rPr>
      <w:color w:val="auto"/>
      <w:sz w:val="16"/>
    </w:rPr>
  </w:style>
  <w:style w:type="character" w:customStyle="1" w:styleId="TOCNumberChar">
    <w:name w:val="TOC Number Char"/>
    <w:basedOn w:val="DefaultParagraphFont"/>
    <w:link w:val="TOCNumber"/>
    <w:rsid w:val="00E06969"/>
    <w:rPr>
      <w:rFonts w:ascii="Century Gothic" w:eastAsia="Times New Roman" w:hAnsi="Century Gothic" w:cs="Times New Roman"/>
      <w:b/>
      <w:color w:val="000000"/>
      <w:sz w:val="18"/>
      <w:szCs w:val="24"/>
    </w:rPr>
  </w:style>
  <w:style w:type="paragraph" w:customStyle="1" w:styleId="Pullquote">
    <w:name w:val="Pullquote"/>
    <w:basedOn w:val="Normal"/>
    <w:rsid w:val="00E06969"/>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E06969"/>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link w:val="FooterChar"/>
    <w:rsid w:val="00E06969"/>
    <w:pPr>
      <w:tabs>
        <w:tab w:val="center" w:pos="4320"/>
        <w:tab w:val="right" w:pos="8640"/>
      </w:tabs>
    </w:pPr>
  </w:style>
  <w:style w:type="character" w:customStyle="1" w:styleId="FooterChar">
    <w:name w:val="Footer Char"/>
    <w:basedOn w:val="DefaultParagraphFont"/>
    <w:link w:val="Footer"/>
    <w:rsid w:val="00E06969"/>
    <w:rPr>
      <w:rFonts w:ascii="Century Gothic" w:eastAsia="Times New Roman" w:hAnsi="Century Gothic" w:cs="Times New Roman"/>
      <w:color w:val="000000"/>
      <w:sz w:val="24"/>
      <w:szCs w:val="20"/>
    </w:rPr>
  </w:style>
  <w:style w:type="paragraph" w:customStyle="1" w:styleId="Dates">
    <w:name w:val="Dates"/>
    <w:rsid w:val="00E06969"/>
    <w:pPr>
      <w:spacing w:after="0" w:line="240" w:lineRule="auto"/>
      <w:jc w:val="center"/>
    </w:pPr>
    <w:rPr>
      <w:rFonts w:ascii="Trebuchet MS" w:eastAsia="Times New Roman" w:hAnsi="Trebuchet MS" w:cs="Arial"/>
      <w:sz w:val="18"/>
      <w:szCs w:val="24"/>
    </w:rPr>
  </w:style>
  <w:style w:type="paragraph" w:customStyle="1" w:styleId="Weekdays">
    <w:name w:val="Weekdays"/>
    <w:rsid w:val="00E06969"/>
    <w:pPr>
      <w:spacing w:after="0" w:line="240" w:lineRule="auto"/>
      <w:jc w:val="center"/>
    </w:pPr>
    <w:rPr>
      <w:rFonts w:ascii="Trebuchet MS" w:eastAsia="Times New Roman" w:hAnsi="Trebuchet MS" w:cs="Arial"/>
      <w:b/>
      <w:color w:val="3682A2"/>
      <w:sz w:val="18"/>
      <w:szCs w:val="24"/>
    </w:rPr>
  </w:style>
  <w:style w:type="paragraph" w:customStyle="1" w:styleId="PageTitleLeft">
    <w:name w:val="Page Title Left"/>
    <w:basedOn w:val="PageTitle"/>
    <w:rsid w:val="00E06969"/>
    <w:pPr>
      <w:jc w:val="left"/>
    </w:pPr>
  </w:style>
  <w:style w:type="paragraph" w:customStyle="1" w:styleId="PageNumberRight">
    <w:name w:val="Page Number Right"/>
    <w:basedOn w:val="Normal"/>
    <w:rsid w:val="00E06969"/>
    <w:pPr>
      <w:jc w:val="right"/>
    </w:pPr>
    <w:rPr>
      <w:b/>
      <w:caps/>
      <w:color w:val="FFFFFF"/>
      <w:sz w:val="18"/>
      <w:szCs w:val="18"/>
    </w:rPr>
  </w:style>
  <w:style w:type="paragraph" w:customStyle="1" w:styleId="NewsletterDate">
    <w:name w:val="Newsletter Date"/>
    <w:basedOn w:val="Normal"/>
    <w:rsid w:val="00E06969"/>
    <w:rPr>
      <w:rFonts w:cs="Arial"/>
      <w:color w:val="3682A2"/>
      <w:sz w:val="22"/>
      <w:szCs w:val="18"/>
    </w:rPr>
  </w:style>
  <w:style w:type="paragraph" w:styleId="ListParagraph">
    <w:name w:val="List Paragraph"/>
    <w:basedOn w:val="Normal"/>
    <w:uiPriority w:val="34"/>
    <w:qFormat/>
    <w:rsid w:val="00E06969"/>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06969"/>
    <w:rPr>
      <w:color w:val="58C1BA" w:themeColor="hyperlink"/>
      <w:u w:val="single"/>
    </w:rPr>
  </w:style>
  <w:style w:type="paragraph" w:styleId="NoSpacing">
    <w:name w:val="No Spacing"/>
    <w:link w:val="NoSpacingChar"/>
    <w:uiPriority w:val="1"/>
    <w:qFormat/>
    <w:rsid w:val="00E06969"/>
    <w:pPr>
      <w:spacing w:after="0" w:line="240" w:lineRule="auto"/>
    </w:pPr>
    <w:rPr>
      <w:rFonts w:eastAsiaTheme="minorEastAsia"/>
    </w:rPr>
  </w:style>
  <w:style w:type="character" w:customStyle="1" w:styleId="NoSpacingChar">
    <w:name w:val="No Spacing Char"/>
    <w:basedOn w:val="DefaultParagraphFont"/>
    <w:link w:val="NoSpacing"/>
    <w:uiPriority w:val="1"/>
    <w:rsid w:val="00E06969"/>
    <w:rPr>
      <w:rFonts w:eastAsiaTheme="minorEastAsia"/>
    </w:rPr>
  </w:style>
  <w:style w:type="paragraph" w:styleId="NormalWeb">
    <w:name w:val="Normal (Web)"/>
    <w:basedOn w:val="Normal"/>
    <w:uiPriority w:val="99"/>
    <w:semiHidden/>
    <w:unhideWhenUsed/>
    <w:rsid w:val="00E06969"/>
    <w:rPr>
      <w:rFonts w:ascii="Times New Roman" w:hAnsi="Times New Roman"/>
      <w:szCs w:val="24"/>
    </w:rPr>
  </w:style>
  <w:style w:type="character" w:styleId="Strong">
    <w:name w:val="Strong"/>
    <w:basedOn w:val="DefaultParagraphFont"/>
    <w:uiPriority w:val="22"/>
    <w:qFormat/>
    <w:rsid w:val="00E06969"/>
    <w:rPr>
      <w:b/>
      <w:bCs/>
    </w:rPr>
  </w:style>
  <w:style w:type="character" w:customStyle="1" w:styleId="rpc41">
    <w:name w:val="_rpc_41"/>
    <w:basedOn w:val="DefaultParagraphFont"/>
    <w:rsid w:val="00E06969"/>
  </w:style>
  <w:style w:type="character" w:styleId="FollowedHyperlink">
    <w:name w:val="FollowedHyperlink"/>
    <w:basedOn w:val="DefaultParagraphFont"/>
    <w:uiPriority w:val="99"/>
    <w:semiHidden/>
    <w:unhideWhenUsed/>
    <w:rsid w:val="009D3E6E"/>
    <w:rPr>
      <w:color w:val="9DFFCB" w:themeColor="followedHyperlink"/>
      <w:u w:val="single"/>
    </w:rPr>
  </w:style>
  <w:style w:type="paragraph" w:styleId="BalloonText">
    <w:name w:val="Balloon Text"/>
    <w:basedOn w:val="Normal"/>
    <w:link w:val="BalloonTextChar"/>
    <w:uiPriority w:val="99"/>
    <w:semiHidden/>
    <w:unhideWhenUsed/>
    <w:rsid w:val="00915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2F"/>
    <w:rPr>
      <w:rFonts w:ascii="Segoe UI" w:eastAsia="Times New Roman" w:hAnsi="Segoe UI" w:cs="Segoe UI"/>
      <w:color w:val="000000"/>
      <w:sz w:val="18"/>
      <w:szCs w:val="18"/>
    </w:rPr>
  </w:style>
  <w:style w:type="character" w:styleId="PlaceholderText">
    <w:name w:val="Placeholder Text"/>
    <w:basedOn w:val="DefaultParagraphFont"/>
    <w:uiPriority w:val="99"/>
    <w:semiHidden/>
    <w:rsid w:val="008969A5"/>
    <w:rPr>
      <w:color w:val="808080"/>
    </w:rPr>
  </w:style>
  <w:style w:type="character" w:styleId="UnresolvedMention">
    <w:name w:val="Unresolved Mention"/>
    <w:basedOn w:val="DefaultParagraphFont"/>
    <w:uiPriority w:val="99"/>
    <w:semiHidden/>
    <w:unhideWhenUsed/>
    <w:rsid w:val="00281B52"/>
    <w:rPr>
      <w:color w:val="605E5C"/>
      <w:shd w:val="clear" w:color="auto" w:fill="E1DFDD"/>
    </w:rPr>
  </w:style>
  <w:style w:type="character" w:styleId="FootnoteReference">
    <w:name w:val="footnote reference"/>
    <w:basedOn w:val="DefaultParagraphFont"/>
    <w:uiPriority w:val="99"/>
    <w:semiHidden/>
    <w:unhideWhenUsed/>
    <w:rsid w:val="00DA1521"/>
    <w:rPr>
      <w:vertAlign w:val="superscript"/>
    </w:rPr>
  </w:style>
  <w:style w:type="table" w:styleId="TableGrid">
    <w:name w:val="Table Grid"/>
    <w:basedOn w:val="TableNormal"/>
    <w:uiPriority w:val="39"/>
    <w:rsid w:val="0076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A03F7"/>
    <w:pPr>
      <w:spacing w:after="0" w:line="240" w:lineRule="auto"/>
    </w:pPr>
    <w:tblPr>
      <w:tblStyleRowBandSize w:val="1"/>
      <w:tblStyleColBandSize w:val="1"/>
      <w:tblBorders>
        <w:top w:val="single" w:sz="4" w:space="0" w:color="B8CED8" w:themeColor="accent5" w:themeTint="66"/>
        <w:left w:val="single" w:sz="4" w:space="0" w:color="B8CED8" w:themeColor="accent5" w:themeTint="66"/>
        <w:bottom w:val="single" w:sz="4" w:space="0" w:color="B8CED8" w:themeColor="accent5" w:themeTint="66"/>
        <w:right w:val="single" w:sz="4" w:space="0" w:color="B8CED8" w:themeColor="accent5" w:themeTint="66"/>
        <w:insideH w:val="single" w:sz="4" w:space="0" w:color="B8CED8" w:themeColor="accent5" w:themeTint="66"/>
        <w:insideV w:val="single" w:sz="4" w:space="0" w:color="B8CED8" w:themeColor="accent5" w:themeTint="66"/>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2" w:space="0" w:color="95B6C5"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B078A"/>
    <w:rPr>
      <w:sz w:val="16"/>
      <w:szCs w:val="16"/>
    </w:rPr>
  </w:style>
  <w:style w:type="paragraph" w:styleId="CommentText">
    <w:name w:val="annotation text"/>
    <w:basedOn w:val="Normal"/>
    <w:link w:val="CommentTextChar"/>
    <w:uiPriority w:val="99"/>
    <w:semiHidden/>
    <w:unhideWhenUsed/>
    <w:rsid w:val="004B078A"/>
    <w:rPr>
      <w:sz w:val="20"/>
    </w:rPr>
  </w:style>
  <w:style w:type="character" w:customStyle="1" w:styleId="CommentTextChar">
    <w:name w:val="Comment Text Char"/>
    <w:basedOn w:val="DefaultParagraphFont"/>
    <w:link w:val="CommentText"/>
    <w:uiPriority w:val="99"/>
    <w:semiHidden/>
    <w:rsid w:val="004B078A"/>
    <w:rPr>
      <w:rFonts w:ascii="Century Gothic" w:eastAsia="Times New Roman" w:hAnsi="Century Gothic"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B078A"/>
    <w:rPr>
      <w:b/>
      <w:bCs/>
    </w:rPr>
  </w:style>
  <w:style w:type="character" w:customStyle="1" w:styleId="CommentSubjectChar">
    <w:name w:val="Comment Subject Char"/>
    <w:basedOn w:val="CommentTextChar"/>
    <w:link w:val="CommentSubject"/>
    <w:uiPriority w:val="99"/>
    <w:semiHidden/>
    <w:rsid w:val="004B078A"/>
    <w:rPr>
      <w:rFonts w:ascii="Century Gothic" w:eastAsia="Times New Roman" w:hAnsi="Century Gothic"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58551">
      <w:bodyDiv w:val="1"/>
      <w:marLeft w:val="0"/>
      <w:marRight w:val="0"/>
      <w:marTop w:val="0"/>
      <w:marBottom w:val="0"/>
      <w:divBdr>
        <w:top w:val="none" w:sz="0" w:space="0" w:color="auto"/>
        <w:left w:val="none" w:sz="0" w:space="0" w:color="auto"/>
        <w:bottom w:val="none" w:sz="0" w:space="0" w:color="auto"/>
        <w:right w:val="none" w:sz="0" w:space="0" w:color="auto"/>
      </w:divBdr>
    </w:div>
    <w:div w:id="913202845">
      <w:bodyDiv w:val="1"/>
      <w:marLeft w:val="0"/>
      <w:marRight w:val="0"/>
      <w:marTop w:val="0"/>
      <w:marBottom w:val="0"/>
      <w:divBdr>
        <w:top w:val="none" w:sz="0" w:space="0" w:color="auto"/>
        <w:left w:val="none" w:sz="0" w:space="0" w:color="auto"/>
        <w:bottom w:val="none" w:sz="0" w:space="0" w:color="auto"/>
        <w:right w:val="none" w:sz="0" w:space="0" w:color="auto"/>
      </w:divBdr>
      <w:divsChild>
        <w:div w:id="553390613">
          <w:marLeft w:val="0"/>
          <w:marRight w:val="0"/>
          <w:marTop w:val="280"/>
          <w:marBottom w:val="280"/>
          <w:divBdr>
            <w:top w:val="none" w:sz="0" w:space="0" w:color="auto"/>
            <w:left w:val="none" w:sz="0" w:space="0" w:color="auto"/>
            <w:bottom w:val="none" w:sz="0" w:space="0" w:color="auto"/>
            <w:right w:val="none" w:sz="0" w:space="0" w:color="auto"/>
          </w:divBdr>
        </w:div>
        <w:div w:id="1218974749">
          <w:marLeft w:val="0"/>
          <w:marRight w:val="0"/>
          <w:marTop w:val="280"/>
          <w:marBottom w:val="280"/>
          <w:divBdr>
            <w:top w:val="none" w:sz="0" w:space="0" w:color="auto"/>
            <w:left w:val="none" w:sz="0" w:space="0" w:color="auto"/>
            <w:bottom w:val="none" w:sz="0" w:space="0" w:color="auto"/>
            <w:right w:val="none" w:sz="0" w:space="0" w:color="auto"/>
          </w:divBdr>
        </w:div>
        <w:div w:id="1278566195">
          <w:marLeft w:val="0"/>
          <w:marRight w:val="0"/>
          <w:marTop w:val="280"/>
          <w:marBottom w:val="280"/>
          <w:divBdr>
            <w:top w:val="none" w:sz="0" w:space="0" w:color="auto"/>
            <w:left w:val="none" w:sz="0" w:space="0" w:color="auto"/>
            <w:bottom w:val="none" w:sz="0" w:space="0" w:color="auto"/>
            <w:right w:val="none" w:sz="0" w:space="0" w:color="auto"/>
          </w:divBdr>
        </w:div>
        <w:div w:id="2134210985">
          <w:marLeft w:val="0"/>
          <w:marRight w:val="0"/>
          <w:marTop w:val="280"/>
          <w:marBottom w:val="280"/>
          <w:divBdr>
            <w:top w:val="none" w:sz="0" w:space="0" w:color="auto"/>
            <w:left w:val="none" w:sz="0" w:space="0" w:color="auto"/>
            <w:bottom w:val="none" w:sz="0" w:space="0" w:color="auto"/>
            <w:right w:val="none" w:sz="0" w:space="0" w:color="auto"/>
          </w:divBdr>
        </w:div>
        <w:div w:id="1007055082">
          <w:marLeft w:val="0"/>
          <w:marRight w:val="0"/>
          <w:marTop w:val="280"/>
          <w:marBottom w:val="280"/>
          <w:divBdr>
            <w:top w:val="none" w:sz="0" w:space="0" w:color="auto"/>
            <w:left w:val="none" w:sz="0" w:space="0" w:color="auto"/>
            <w:bottom w:val="none" w:sz="0" w:space="0" w:color="auto"/>
            <w:right w:val="none" w:sz="0" w:space="0" w:color="auto"/>
          </w:divBdr>
        </w:div>
        <w:div w:id="302780135">
          <w:marLeft w:val="0"/>
          <w:marRight w:val="0"/>
          <w:marTop w:val="280"/>
          <w:marBottom w:val="280"/>
          <w:divBdr>
            <w:top w:val="none" w:sz="0" w:space="0" w:color="auto"/>
            <w:left w:val="none" w:sz="0" w:space="0" w:color="auto"/>
            <w:bottom w:val="none" w:sz="0" w:space="0" w:color="auto"/>
            <w:right w:val="none" w:sz="0" w:space="0" w:color="auto"/>
          </w:divBdr>
        </w:div>
        <w:div w:id="972977437">
          <w:marLeft w:val="0"/>
          <w:marRight w:val="0"/>
          <w:marTop w:val="280"/>
          <w:marBottom w:val="280"/>
          <w:divBdr>
            <w:top w:val="none" w:sz="0" w:space="0" w:color="auto"/>
            <w:left w:val="none" w:sz="0" w:space="0" w:color="auto"/>
            <w:bottom w:val="none" w:sz="0" w:space="0" w:color="auto"/>
            <w:right w:val="none" w:sz="0" w:space="0" w:color="auto"/>
          </w:divBdr>
        </w:div>
        <w:div w:id="2050762923">
          <w:marLeft w:val="0"/>
          <w:marRight w:val="0"/>
          <w:marTop w:val="280"/>
          <w:marBottom w:val="280"/>
          <w:divBdr>
            <w:top w:val="none" w:sz="0" w:space="0" w:color="auto"/>
            <w:left w:val="none" w:sz="0" w:space="0" w:color="auto"/>
            <w:bottom w:val="none" w:sz="0" w:space="0" w:color="auto"/>
            <w:right w:val="none" w:sz="0" w:space="0" w:color="auto"/>
          </w:divBdr>
        </w:div>
      </w:divsChild>
    </w:div>
    <w:div w:id="1580090984">
      <w:bodyDiv w:val="1"/>
      <w:marLeft w:val="0"/>
      <w:marRight w:val="0"/>
      <w:marTop w:val="0"/>
      <w:marBottom w:val="0"/>
      <w:divBdr>
        <w:top w:val="none" w:sz="0" w:space="0" w:color="auto"/>
        <w:left w:val="none" w:sz="0" w:space="0" w:color="auto"/>
        <w:bottom w:val="none" w:sz="0" w:space="0" w:color="auto"/>
        <w:right w:val="none" w:sz="0" w:space="0" w:color="auto"/>
      </w:divBdr>
    </w:div>
    <w:div w:id="1813523832">
      <w:bodyDiv w:val="1"/>
      <w:marLeft w:val="0"/>
      <w:marRight w:val="0"/>
      <w:marTop w:val="0"/>
      <w:marBottom w:val="0"/>
      <w:divBdr>
        <w:top w:val="none" w:sz="0" w:space="0" w:color="auto"/>
        <w:left w:val="none" w:sz="0" w:space="0" w:color="auto"/>
        <w:bottom w:val="none" w:sz="0" w:space="0" w:color="auto"/>
        <w:right w:val="none" w:sz="0" w:space="0" w:color="auto"/>
      </w:divBdr>
    </w:div>
    <w:div w:id="1977181380">
      <w:bodyDiv w:val="1"/>
      <w:marLeft w:val="0"/>
      <w:marRight w:val="0"/>
      <w:marTop w:val="0"/>
      <w:marBottom w:val="0"/>
      <w:divBdr>
        <w:top w:val="none" w:sz="0" w:space="0" w:color="auto"/>
        <w:left w:val="none" w:sz="0" w:space="0" w:color="auto"/>
        <w:bottom w:val="none" w:sz="0" w:space="0" w:color="auto"/>
        <w:right w:val="none" w:sz="0" w:space="0" w:color="auto"/>
      </w:divBdr>
      <w:divsChild>
        <w:div w:id="718044239">
          <w:marLeft w:val="0"/>
          <w:marRight w:val="0"/>
          <w:marTop w:val="0"/>
          <w:marBottom w:val="0"/>
          <w:divBdr>
            <w:top w:val="none" w:sz="0" w:space="0" w:color="auto"/>
            <w:left w:val="none" w:sz="0" w:space="0" w:color="auto"/>
            <w:bottom w:val="none" w:sz="0" w:space="0" w:color="auto"/>
            <w:right w:val="none" w:sz="0" w:space="0" w:color="auto"/>
          </w:divBdr>
        </w:div>
        <w:div w:id="252512952">
          <w:marLeft w:val="0"/>
          <w:marRight w:val="0"/>
          <w:marTop w:val="0"/>
          <w:marBottom w:val="0"/>
          <w:divBdr>
            <w:top w:val="none" w:sz="0" w:space="0" w:color="auto"/>
            <w:left w:val="none" w:sz="0" w:space="0" w:color="auto"/>
            <w:bottom w:val="none" w:sz="0" w:space="0" w:color="auto"/>
            <w:right w:val="none" w:sz="0" w:space="0" w:color="auto"/>
          </w:divBdr>
        </w:div>
        <w:div w:id="1329092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talden@challiance.org" TargetMode="External"/><Relationship Id="rId13" Type="http://schemas.openxmlformats.org/officeDocument/2006/relationships/hyperlink" Target="mailto:bjackson4@tuftsmedicalcenter.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mailto:GTSIMPREA@PARTNERS.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ali.Gunaratne@Mass.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li.Gunaratne@Mass.gov" TargetMode="External"/><Relationship Id="rId23" Type="http://schemas.openxmlformats.org/officeDocument/2006/relationships/fontTable" Target="fontTable.xml"/><Relationship Id="rId10" Type="http://schemas.openxmlformats.org/officeDocument/2006/relationships/hyperlink" Target="mailto:avital.desharone@mgh.harvard.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blau@challiance.org" TargetMode="External"/><Relationship Id="rId14" Type="http://schemas.openxmlformats.org/officeDocument/2006/relationships/hyperlink" Target="mailto:mali.gunaratne@mass.gov"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Brown, Daniela (MED)</cp:lastModifiedBy>
  <cp:revision>3</cp:revision>
  <cp:lastPrinted>2021-01-03T21:36:00Z</cp:lastPrinted>
  <dcterms:created xsi:type="dcterms:W3CDTF">2021-01-05T19:15:00Z</dcterms:created>
  <dcterms:modified xsi:type="dcterms:W3CDTF">2021-01-05T21:37:00Z</dcterms:modified>
</cp:coreProperties>
</file>