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D4" w:rsidRDefault="008C0BD4" w:rsidP="008C0BD4">
      <w:pPr>
        <w:pStyle w:val="Title"/>
      </w:pPr>
      <w:bookmarkStart w:id="0" w:name="_GoBack"/>
      <w:bookmarkEnd w:id="0"/>
      <w:r>
        <w:t>COMMONWEALTH OF MASSACHUSETTS</w:t>
      </w:r>
    </w:p>
    <w:p w:rsidR="008C0BD4" w:rsidRDefault="008C0BD4" w:rsidP="008C0BD4">
      <w:pPr>
        <w:jc w:val="center"/>
        <w:rPr>
          <w:rFonts w:ascii="Courier New" w:hAnsi="Courier New" w:cs="Courier New"/>
          <w:b/>
          <w:bCs/>
        </w:rPr>
      </w:pPr>
    </w:p>
    <w:p w:rsidR="008C0BD4" w:rsidRDefault="008C0BD4" w:rsidP="008C0BD4">
      <w:pPr>
        <w:jc w:val="center"/>
        <w:rPr>
          <w:rFonts w:ascii="Courier New" w:hAnsi="Courier New" w:cs="Courier New"/>
          <w:b/>
          <w:bCs/>
        </w:rPr>
      </w:pPr>
      <w:r>
        <w:rPr>
          <w:rFonts w:ascii="Courier New" w:hAnsi="Courier New" w:cs="Courier New"/>
          <w:b/>
          <w:bCs/>
        </w:rPr>
        <w:t>APPELLATE TAX BOARD</w:t>
      </w:r>
    </w:p>
    <w:p w:rsidR="008C0BD4" w:rsidRDefault="008C0BD4" w:rsidP="008C0BD4">
      <w:pPr>
        <w:jc w:val="center"/>
      </w:pPr>
    </w:p>
    <w:p w:rsidR="008C0BD4" w:rsidRDefault="008C0BD4" w:rsidP="008C0BD4"/>
    <w:p w:rsidR="008C0BD4" w:rsidRDefault="008C0BD4" w:rsidP="008C0BD4">
      <w:pPr>
        <w:pStyle w:val="Heading1"/>
        <w:rPr>
          <w:rFonts w:eastAsia="Times New Roman"/>
          <w:b w:val="0"/>
          <w:bCs w:val="0"/>
        </w:rPr>
      </w:pPr>
    </w:p>
    <w:p w:rsidR="008C0BD4" w:rsidRDefault="008C0BD4" w:rsidP="008C0BD4">
      <w:pPr>
        <w:pStyle w:val="Heading1"/>
      </w:pPr>
      <w:r>
        <w:rPr>
          <w:rFonts w:eastAsia="Times New Roman"/>
          <w:bCs w:val="0"/>
        </w:rPr>
        <w:t>MAT</w:t>
      </w:r>
      <w:r w:rsidR="00CF2CA1">
        <w:rPr>
          <w:rFonts w:eastAsia="Times New Roman"/>
          <w:bCs w:val="0"/>
        </w:rPr>
        <w:t>T</w:t>
      </w:r>
      <w:r>
        <w:rPr>
          <w:rFonts w:eastAsia="Times New Roman"/>
          <w:bCs w:val="0"/>
        </w:rPr>
        <w:t>HEW WOOD</w:t>
      </w:r>
      <w:r>
        <w:t xml:space="preserve"> </w:t>
      </w:r>
      <w:r>
        <w:tab/>
        <w:t xml:space="preserve">      </w:t>
      </w:r>
      <w:r>
        <w:tab/>
      </w:r>
      <w:r w:rsidR="00897985">
        <w:t>  </w:t>
      </w:r>
      <w:r>
        <w:t xml:space="preserve"> </w:t>
      </w:r>
      <w:r w:rsidR="00897985">
        <w:t>  </w:t>
      </w:r>
      <w:r>
        <w:t xml:space="preserve"> v.</w:t>
      </w:r>
      <w:r>
        <w:tab/>
      </w:r>
      <w:r>
        <w:tab/>
      </w:r>
      <w:r w:rsidR="00897985">
        <w:t>   </w:t>
      </w:r>
      <w:r>
        <w:t>BOARD OF ASSESSORS OF</w:t>
      </w:r>
    </w:p>
    <w:p w:rsidR="008C0BD4" w:rsidRDefault="008C0BD4" w:rsidP="008C0BD4">
      <w:pPr>
        <w:pStyle w:val="Heading1"/>
        <w:rPr>
          <w:bCs w:val="0"/>
        </w:rPr>
      </w:pPr>
      <w:r>
        <w:tab/>
      </w:r>
      <w:r>
        <w:tab/>
      </w:r>
      <w:r>
        <w:tab/>
      </w:r>
      <w:r>
        <w:tab/>
      </w:r>
      <w:r>
        <w:tab/>
      </w:r>
      <w:r>
        <w:tab/>
        <w:t xml:space="preserve">  </w:t>
      </w:r>
      <w:r>
        <w:tab/>
      </w:r>
      <w:r>
        <w:tab/>
      </w:r>
      <w:r w:rsidR="00897985">
        <w:t>   </w:t>
      </w:r>
      <w:r>
        <w:rPr>
          <w:bCs w:val="0"/>
        </w:rPr>
        <w:t>THE CITY OF BOSTON</w:t>
      </w:r>
    </w:p>
    <w:p w:rsidR="008C0BD4" w:rsidRDefault="008C0BD4" w:rsidP="008C0BD4">
      <w:pPr>
        <w:jc w:val="both"/>
        <w:rPr>
          <w:rFonts w:ascii="Courier New" w:hAnsi="Courier New" w:cs="Courier New"/>
          <w:b/>
        </w:rPr>
      </w:pPr>
      <w:r>
        <w:tab/>
      </w:r>
      <w:r>
        <w:tab/>
        <w:t xml:space="preserve">     </w:t>
      </w:r>
      <w:r>
        <w:tab/>
      </w:r>
      <w:r>
        <w:tab/>
      </w:r>
    </w:p>
    <w:p w:rsidR="008C0BD4" w:rsidRDefault="008C0BD4" w:rsidP="008C0BD4">
      <w:pPr>
        <w:jc w:val="both"/>
        <w:rPr>
          <w:rFonts w:ascii="Courier New" w:hAnsi="Courier New" w:cs="Courier New"/>
        </w:rPr>
      </w:pPr>
    </w:p>
    <w:p w:rsidR="008C0BD4" w:rsidRDefault="008C0BD4" w:rsidP="008C0BD4">
      <w:pPr>
        <w:jc w:val="both"/>
        <w:rPr>
          <w:rFonts w:ascii="Courier New" w:hAnsi="Courier New" w:cs="Courier New"/>
        </w:rPr>
      </w:pPr>
      <w:r>
        <w:rPr>
          <w:rFonts w:ascii="Courier New" w:hAnsi="Courier New" w:cs="Courier New"/>
        </w:rPr>
        <w:t>Docket No. F332305</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897985">
        <w:rPr>
          <w:rFonts w:ascii="Courier New" w:hAnsi="Courier New" w:cs="Courier New"/>
        </w:rPr>
        <w:t> </w:t>
      </w:r>
      <w:r>
        <w:rPr>
          <w:rFonts w:ascii="Courier New" w:hAnsi="Courier New" w:cs="Courier New"/>
        </w:rPr>
        <w:t xml:space="preserve">  Promulgated:</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897985">
        <w:rPr>
          <w:rFonts w:ascii="Courier New" w:hAnsi="Courier New" w:cs="Courier New"/>
        </w:rPr>
        <w:tab/>
      </w:r>
      <w:r w:rsidR="00897985">
        <w:rPr>
          <w:rFonts w:ascii="Courier New" w:hAnsi="Courier New" w:cs="Courier New"/>
        </w:rPr>
        <w:tab/>
      </w:r>
      <w:r w:rsidR="00897985">
        <w:rPr>
          <w:rFonts w:ascii="Courier New" w:hAnsi="Courier New" w:cs="Courier New"/>
        </w:rPr>
        <w:tab/>
      </w:r>
      <w:r w:rsidR="00897985">
        <w:rPr>
          <w:rFonts w:ascii="Courier New" w:hAnsi="Courier New" w:cs="Courier New"/>
        </w:rPr>
        <w:tab/>
      </w:r>
      <w:r w:rsidR="00D65555">
        <w:rPr>
          <w:rFonts w:ascii="Courier New" w:hAnsi="Courier New" w:cs="Courier New"/>
        </w:rPr>
        <w:t>   December 20, 2018</w:t>
      </w:r>
    </w:p>
    <w:p w:rsidR="008C0BD4" w:rsidRDefault="008C0BD4" w:rsidP="008C0BD4">
      <w:pPr>
        <w:jc w:val="both"/>
        <w:rPr>
          <w:rFonts w:ascii="Courier New" w:hAnsi="Courier New" w:cs="Courier New"/>
        </w:rPr>
      </w:pPr>
    </w:p>
    <w:p w:rsidR="008C0BD4" w:rsidRDefault="008C0BD4" w:rsidP="008C0BD4">
      <w:pPr>
        <w:jc w:val="both"/>
        <w:rPr>
          <w:rFonts w:ascii="Courier New" w:hAnsi="Courier New" w:cs="Courier New"/>
        </w:rPr>
      </w:pPr>
    </w:p>
    <w:p w:rsidR="008C0BD4" w:rsidRDefault="008C0BD4" w:rsidP="008C0BD4">
      <w:pPr>
        <w:pStyle w:val="BodyTextIndent"/>
        <w:jc w:val="both"/>
      </w:pPr>
      <w:r>
        <w:t>This is an appeal under the formal procedure pursuant to G.L. c. 58A, § 7 and G.L. c. 59, §§ 64 and 65, from the refusal of the Board of Assessors of the City of Boston (“assessors” or “appellee”) to abate a tax on real estate located in the City of Boston, owned by Mat</w:t>
      </w:r>
      <w:r w:rsidR="000275C1">
        <w:t>t</w:t>
      </w:r>
      <w:r>
        <w:t>hew Wood (“appellant”</w:t>
      </w:r>
      <w:r w:rsidR="00BF6A46">
        <w:t xml:space="preserve"> or “Mr. Wood”</w:t>
      </w:r>
      <w:r>
        <w:t>) under G.L. c. 59</w:t>
      </w:r>
      <w:r w:rsidR="0034418E">
        <w:t>,</w:t>
      </w:r>
      <w:r>
        <w:t xml:space="preserve"> §§ 11 and 38, for fiscal year 2017</w:t>
      </w:r>
      <w:r w:rsidR="00422112">
        <w:t xml:space="preserve"> (“fiscal year at issue”)</w:t>
      </w:r>
      <w:r>
        <w:t>.</w:t>
      </w:r>
    </w:p>
    <w:p w:rsidR="008C0BD4" w:rsidRDefault="008C0BD4" w:rsidP="008C0BD4">
      <w:pPr>
        <w:pStyle w:val="BodyTextIndent"/>
        <w:jc w:val="both"/>
      </w:pPr>
      <w:r>
        <w:t>Commissioner Rose heard this appeal. Chairman Hammond and Commissioners Scharaffa, Good</w:t>
      </w:r>
      <w:r w:rsidR="000275C1">
        <w:t>, and Elliott</w:t>
      </w:r>
      <w:r>
        <w:t xml:space="preserve"> joined him in the decision for the appellee, which is promulgated herewith.</w:t>
      </w:r>
    </w:p>
    <w:p w:rsidR="008C0BD4" w:rsidRDefault="008C0BD4" w:rsidP="008C0BD4">
      <w:pPr>
        <w:pStyle w:val="BodyTextIndent"/>
        <w:jc w:val="both"/>
      </w:pPr>
      <w:r>
        <w:t>These findings of fact and report are made pursuant to a request by the appellant under G.L. c. 58A, § 13 and 831 CMR 1.32.</w:t>
      </w:r>
    </w:p>
    <w:p w:rsidR="008C0BD4" w:rsidRDefault="008C0BD4" w:rsidP="008C0BD4">
      <w:pPr>
        <w:pStyle w:val="BodyTextIndent"/>
        <w:jc w:val="both"/>
      </w:pPr>
    </w:p>
    <w:p w:rsidR="008C0BD4" w:rsidRDefault="008C0BD4" w:rsidP="008C0BD4">
      <w:pPr>
        <w:pStyle w:val="BodyTextIndent"/>
        <w:spacing w:line="240" w:lineRule="auto"/>
        <w:jc w:val="both"/>
        <w:rPr>
          <w:i/>
        </w:rPr>
      </w:pPr>
    </w:p>
    <w:p w:rsidR="008C0BD4" w:rsidRDefault="00BF6A46" w:rsidP="008C0BD4">
      <w:pPr>
        <w:pStyle w:val="BodyTextIndent"/>
        <w:spacing w:line="240" w:lineRule="auto"/>
        <w:jc w:val="both"/>
      </w:pPr>
      <w:r>
        <w:rPr>
          <w:i/>
        </w:rPr>
        <w:t>Matthew</w:t>
      </w:r>
      <w:r w:rsidR="008C0BD4">
        <w:rPr>
          <w:i/>
        </w:rPr>
        <w:t xml:space="preserve"> Wood, pro se, </w:t>
      </w:r>
      <w:r w:rsidR="008C0BD4">
        <w:t>for the appellant.</w:t>
      </w:r>
    </w:p>
    <w:p w:rsidR="008C0BD4" w:rsidRDefault="008C0BD4" w:rsidP="008C0BD4">
      <w:pPr>
        <w:pStyle w:val="BodyTextIndent"/>
        <w:spacing w:line="240" w:lineRule="auto"/>
        <w:jc w:val="both"/>
      </w:pPr>
    </w:p>
    <w:p w:rsidR="008C0BD4" w:rsidRDefault="008C0BD4" w:rsidP="008C0BD4">
      <w:pPr>
        <w:pStyle w:val="BodyTextIndent"/>
        <w:spacing w:line="240" w:lineRule="auto"/>
        <w:jc w:val="both"/>
      </w:pPr>
      <w:r>
        <w:rPr>
          <w:i/>
        </w:rPr>
        <w:t xml:space="preserve">Laura Caltanco, Esq. </w:t>
      </w:r>
      <w:r>
        <w:t>for the appellee.</w:t>
      </w:r>
    </w:p>
    <w:p w:rsidR="008C0BD4" w:rsidRDefault="008C0BD4" w:rsidP="008C0BD4">
      <w:pPr>
        <w:pStyle w:val="BodyTextIndent"/>
        <w:spacing w:line="240" w:lineRule="auto"/>
        <w:jc w:val="both"/>
      </w:pPr>
    </w:p>
    <w:p w:rsidR="008C0BD4" w:rsidRDefault="008C0BD4" w:rsidP="00897985">
      <w:pPr>
        <w:pStyle w:val="BodyTextIndent"/>
        <w:spacing w:line="240" w:lineRule="auto"/>
        <w:jc w:val="center"/>
      </w:pPr>
      <w:r>
        <w:rPr>
          <w:b/>
        </w:rPr>
        <w:lastRenderedPageBreak/>
        <w:t>FINDINGS OF FACT AND REPORT</w:t>
      </w:r>
    </w:p>
    <w:p w:rsidR="008C0BD4" w:rsidRDefault="008C0BD4" w:rsidP="008C0BD4"/>
    <w:p w:rsidR="008C0BD4" w:rsidRDefault="008C0BD4" w:rsidP="008C0BD4">
      <w:pPr>
        <w:spacing w:line="480" w:lineRule="auto"/>
        <w:jc w:val="both"/>
        <w:rPr>
          <w:rFonts w:ascii="Courier New" w:hAnsi="Courier New" w:cs="Courier New"/>
        </w:rPr>
      </w:pPr>
      <w:r>
        <w:rPr>
          <w:rFonts w:ascii="Courier New" w:hAnsi="Courier New" w:cs="Courier New"/>
        </w:rPr>
        <w:tab/>
        <w:t>On the basis of the testimony and exhibits offered into evidence at the hearing of this appeal, the Appellate Tax Board (“Board”) made the following findings of fact.</w:t>
      </w:r>
    </w:p>
    <w:p w:rsidR="00BF6A46" w:rsidRDefault="00422112"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The property at issue in this appeal is comprised of </w:t>
      </w:r>
      <w:r w:rsidR="008C0BD4">
        <w:rPr>
          <w:rFonts w:ascii="Courier New" w:eastAsiaTheme="minorHAnsi" w:hAnsi="Courier New" w:cs="Courier New"/>
        </w:rPr>
        <w:t xml:space="preserve">two parcels of abutting land </w:t>
      </w:r>
      <w:r>
        <w:rPr>
          <w:rFonts w:ascii="Courier New" w:eastAsiaTheme="minorHAnsi" w:hAnsi="Courier New" w:cs="Courier New"/>
        </w:rPr>
        <w:t xml:space="preserve">improved by a single-family residence </w:t>
      </w:r>
      <w:r w:rsidR="008C0BD4">
        <w:rPr>
          <w:rFonts w:ascii="Courier New" w:eastAsiaTheme="minorHAnsi" w:hAnsi="Courier New" w:cs="Courier New"/>
        </w:rPr>
        <w:t>located at 58-60 Russell Street, in the Charlestown section of Boston</w:t>
      </w:r>
      <w:r w:rsidR="008D6849">
        <w:rPr>
          <w:rFonts w:ascii="Courier New" w:eastAsiaTheme="minorHAnsi" w:hAnsi="Courier New" w:cs="Courier New"/>
        </w:rPr>
        <w:t xml:space="preserve"> (“subject property”)</w:t>
      </w:r>
      <w:r w:rsidR="008C0BD4">
        <w:rPr>
          <w:rFonts w:ascii="Courier New" w:eastAsiaTheme="minorHAnsi" w:hAnsi="Courier New" w:cs="Courier New"/>
        </w:rPr>
        <w:t xml:space="preserve">. </w:t>
      </w:r>
      <w:r>
        <w:rPr>
          <w:rFonts w:ascii="Courier New" w:eastAsiaTheme="minorHAnsi" w:hAnsi="Courier New" w:cs="Courier New"/>
        </w:rPr>
        <w:t>T</w:t>
      </w:r>
      <w:r w:rsidR="008C0BD4">
        <w:rPr>
          <w:rFonts w:ascii="Courier New" w:eastAsiaTheme="minorHAnsi" w:hAnsi="Courier New" w:cs="Courier New"/>
        </w:rPr>
        <w:t xml:space="preserve">he assessors originally valued </w:t>
      </w:r>
      <w:r w:rsidR="00BF6A46">
        <w:rPr>
          <w:rFonts w:ascii="Courier New" w:eastAsiaTheme="minorHAnsi" w:hAnsi="Courier New" w:cs="Courier New"/>
        </w:rPr>
        <w:t xml:space="preserve">each parcel and assessed taxes </w:t>
      </w:r>
      <w:r>
        <w:rPr>
          <w:rFonts w:ascii="Courier New" w:eastAsiaTheme="minorHAnsi" w:hAnsi="Courier New" w:cs="Courier New"/>
        </w:rPr>
        <w:t xml:space="preserve">for the fiscal year at issue </w:t>
      </w:r>
      <w:r w:rsidR="00BF6A46">
        <w:rPr>
          <w:rFonts w:ascii="Courier New" w:eastAsiaTheme="minorHAnsi" w:hAnsi="Courier New" w:cs="Courier New"/>
        </w:rPr>
        <w:t xml:space="preserve">as follows: </w:t>
      </w:r>
      <w:r w:rsidR="008C0BD4">
        <w:rPr>
          <w:rFonts w:ascii="Courier New" w:eastAsiaTheme="minorHAnsi" w:hAnsi="Courier New" w:cs="Courier New"/>
        </w:rPr>
        <w:t xml:space="preserve">58 Russell Street </w:t>
      </w:r>
      <w:r w:rsidR="00BF6A46">
        <w:rPr>
          <w:rFonts w:ascii="Courier New" w:eastAsiaTheme="minorHAnsi" w:hAnsi="Courier New" w:cs="Courier New"/>
        </w:rPr>
        <w:t xml:space="preserve">was valued </w:t>
      </w:r>
      <w:r w:rsidR="008C0BD4">
        <w:rPr>
          <w:rFonts w:ascii="Courier New" w:eastAsiaTheme="minorHAnsi" w:hAnsi="Courier New" w:cs="Courier New"/>
        </w:rPr>
        <w:t>at $780,900 and assessed a tax, at a rate of $10.59 per thousand</w:t>
      </w:r>
      <w:r>
        <w:rPr>
          <w:rFonts w:ascii="Courier New" w:eastAsiaTheme="minorHAnsi" w:hAnsi="Courier New" w:cs="Courier New"/>
        </w:rPr>
        <w:t>,</w:t>
      </w:r>
      <w:r w:rsidR="008C0BD4">
        <w:rPr>
          <w:rFonts w:ascii="Courier New" w:eastAsiaTheme="minorHAnsi" w:hAnsi="Courier New" w:cs="Courier New"/>
        </w:rPr>
        <w:t xml:space="preserve"> in the total amount of $8,269.73; 60 Russell Street </w:t>
      </w:r>
      <w:r w:rsidR="00BF6A46">
        <w:rPr>
          <w:rFonts w:ascii="Courier New" w:eastAsiaTheme="minorHAnsi" w:hAnsi="Courier New" w:cs="Courier New"/>
        </w:rPr>
        <w:t xml:space="preserve">was valued </w:t>
      </w:r>
      <w:r w:rsidR="00D13E5D">
        <w:rPr>
          <w:rFonts w:ascii="Courier New" w:eastAsiaTheme="minorHAnsi" w:hAnsi="Courier New" w:cs="Courier New"/>
        </w:rPr>
        <w:t>at $789,300 and assessed a</w:t>
      </w:r>
      <w:r w:rsidR="008C0BD4">
        <w:rPr>
          <w:rFonts w:ascii="Courier New" w:eastAsiaTheme="minorHAnsi" w:hAnsi="Courier New" w:cs="Courier New"/>
        </w:rPr>
        <w:t xml:space="preserve"> tax, at a rate of $10.59 per thousand</w:t>
      </w:r>
      <w:r>
        <w:rPr>
          <w:rFonts w:ascii="Courier New" w:eastAsiaTheme="minorHAnsi" w:hAnsi="Courier New" w:cs="Courier New"/>
        </w:rPr>
        <w:t>,</w:t>
      </w:r>
      <w:r w:rsidR="008C0BD4">
        <w:rPr>
          <w:rFonts w:ascii="Courier New" w:eastAsiaTheme="minorHAnsi" w:hAnsi="Courier New" w:cs="Courier New"/>
        </w:rPr>
        <w:t xml:space="preserve"> in the total amount of $8,358.69. </w:t>
      </w:r>
    </w:p>
    <w:p w:rsidR="00BF6A46" w:rsidRDefault="008C0BD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On December 30, 2016, Boston’s Collector of Taxes mailed the actual tax bills. </w:t>
      </w:r>
      <w:r w:rsidR="00422112">
        <w:rPr>
          <w:rFonts w:ascii="Courier New" w:eastAsiaTheme="minorHAnsi" w:hAnsi="Courier New" w:cs="Courier New"/>
        </w:rPr>
        <w:t xml:space="preserve"> </w:t>
      </w:r>
      <w:r>
        <w:rPr>
          <w:rFonts w:ascii="Courier New" w:eastAsiaTheme="minorHAnsi" w:hAnsi="Courier New" w:cs="Courier New"/>
        </w:rPr>
        <w:t>In accordance with G.L. c. 59</w:t>
      </w:r>
      <w:r w:rsidR="0034418E">
        <w:rPr>
          <w:rFonts w:ascii="Courier New" w:eastAsiaTheme="minorHAnsi" w:hAnsi="Courier New" w:cs="Courier New"/>
        </w:rPr>
        <w:t>,</w:t>
      </w:r>
      <w:r>
        <w:rPr>
          <w:rFonts w:ascii="Courier New" w:eastAsiaTheme="minorHAnsi" w:hAnsi="Courier New" w:cs="Courier New"/>
        </w:rPr>
        <w:t xml:space="preserve"> § 57C, the appellant timely paid the tax</w:t>
      </w:r>
      <w:r w:rsidR="00BF6A46">
        <w:rPr>
          <w:rFonts w:ascii="Courier New" w:eastAsiaTheme="minorHAnsi" w:hAnsi="Courier New" w:cs="Courier New"/>
        </w:rPr>
        <w:t>es</w:t>
      </w:r>
      <w:r>
        <w:rPr>
          <w:rFonts w:ascii="Courier New" w:eastAsiaTheme="minorHAnsi" w:hAnsi="Courier New" w:cs="Courier New"/>
        </w:rPr>
        <w:t xml:space="preserve"> due without </w:t>
      </w:r>
      <w:r w:rsidR="00C06AC5">
        <w:rPr>
          <w:rFonts w:ascii="Courier New" w:eastAsiaTheme="minorHAnsi" w:hAnsi="Courier New" w:cs="Courier New"/>
        </w:rPr>
        <w:t>in</w:t>
      </w:r>
      <w:r>
        <w:rPr>
          <w:rFonts w:ascii="Courier New" w:eastAsiaTheme="minorHAnsi" w:hAnsi="Courier New" w:cs="Courier New"/>
        </w:rPr>
        <w:t>curring interest. On January 5, 2017, in accordance with G.L. c. 59, § 59, the appellant timely filed an application for abatement with the assessors</w:t>
      </w:r>
      <w:r w:rsidR="00BF6A46">
        <w:rPr>
          <w:rFonts w:ascii="Courier New" w:eastAsiaTheme="minorHAnsi" w:hAnsi="Courier New" w:cs="Courier New"/>
        </w:rPr>
        <w:t>,</w:t>
      </w:r>
      <w:r>
        <w:rPr>
          <w:rFonts w:ascii="Courier New" w:eastAsiaTheme="minorHAnsi" w:hAnsi="Courier New" w:cs="Courier New"/>
        </w:rPr>
        <w:t xml:space="preserve"> which </w:t>
      </w:r>
      <w:r w:rsidR="00BF6A46">
        <w:rPr>
          <w:rFonts w:ascii="Courier New" w:eastAsiaTheme="minorHAnsi" w:hAnsi="Courier New" w:cs="Courier New"/>
        </w:rPr>
        <w:t xml:space="preserve">they </w:t>
      </w:r>
      <w:r>
        <w:rPr>
          <w:rFonts w:ascii="Courier New" w:eastAsiaTheme="minorHAnsi" w:hAnsi="Courier New" w:cs="Courier New"/>
        </w:rPr>
        <w:t xml:space="preserve">partially granted on January 30, 2017, reducing the assessed value </w:t>
      </w:r>
      <w:r w:rsidR="00BF6A46">
        <w:rPr>
          <w:rFonts w:ascii="Courier New" w:eastAsiaTheme="minorHAnsi" w:hAnsi="Courier New" w:cs="Courier New"/>
        </w:rPr>
        <w:t xml:space="preserve">of 58 Russell Street </w:t>
      </w:r>
      <w:r>
        <w:rPr>
          <w:rFonts w:ascii="Courier New" w:eastAsiaTheme="minorHAnsi" w:hAnsi="Courier New" w:cs="Courier New"/>
        </w:rPr>
        <w:t>to $683,400</w:t>
      </w:r>
      <w:r w:rsidR="00BF6A46">
        <w:rPr>
          <w:rFonts w:ascii="Courier New" w:eastAsiaTheme="minorHAnsi" w:hAnsi="Courier New" w:cs="Courier New"/>
        </w:rPr>
        <w:t xml:space="preserve"> and 60 Russell Street </w:t>
      </w:r>
      <w:r>
        <w:rPr>
          <w:rFonts w:ascii="Courier New" w:eastAsiaTheme="minorHAnsi" w:hAnsi="Courier New" w:cs="Courier New"/>
        </w:rPr>
        <w:t>to $632,000</w:t>
      </w:r>
      <w:r w:rsidR="00BF6A46">
        <w:rPr>
          <w:rFonts w:ascii="Courier New" w:eastAsiaTheme="minorHAnsi" w:hAnsi="Courier New" w:cs="Courier New"/>
        </w:rPr>
        <w:t>, for a combined assessment, as abated, of $1,315,400</w:t>
      </w:r>
      <w:r>
        <w:rPr>
          <w:rFonts w:ascii="Courier New" w:eastAsiaTheme="minorHAnsi" w:hAnsi="Courier New" w:cs="Courier New"/>
        </w:rPr>
        <w:t xml:space="preserve">. </w:t>
      </w:r>
      <w:r w:rsidRPr="0055715D">
        <w:rPr>
          <w:rFonts w:ascii="Courier New" w:eastAsiaTheme="minorHAnsi" w:hAnsi="Courier New" w:cs="Courier New"/>
        </w:rPr>
        <w:t xml:space="preserve"> </w:t>
      </w:r>
    </w:p>
    <w:p w:rsidR="008C0BD4" w:rsidRDefault="008C0BD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lastRenderedPageBreak/>
        <w:t>On April 18, 2017, in accordance with G.L. c. 59, §</w:t>
      </w:r>
      <w:r w:rsidR="00BF6A46">
        <w:rPr>
          <w:rFonts w:ascii="Courier New" w:eastAsiaTheme="minorHAnsi" w:hAnsi="Courier New" w:cs="Courier New"/>
        </w:rPr>
        <w:t>§</w:t>
      </w:r>
      <w:r>
        <w:rPr>
          <w:rFonts w:ascii="Courier New" w:eastAsiaTheme="minorHAnsi" w:hAnsi="Courier New" w:cs="Courier New"/>
        </w:rPr>
        <w:t xml:space="preserve"> </w:t>
      </w:r>
      <w:r w:rsidR="00BF6A46">
        <w:rPr>
          <w:rFonts w:ascii="Courier New" w:eastAsiaTheme="minorHAnsi" w:hAnsi="Courier New" w:cs="Courier New"/>
        </w:rPr>
        <w:t>64 and 65</w:t>
      </w:r>
      <w:r>
        <w:rPr>
          <w:rFonts w:ascii="Courier New" w:eastAsiaTheme="minorHAnsi" w:hAnsi="Courier New" w:cs="Courier New"/>
        </w:rPr>
        <w:t>, the appellant seasonably filed an appeal under the formal procedure with the Board for both parcels. On the basis of these facts, the Board found and ruled that it had jurisdiction to hear and decide this appeal.</w:t>
      </w:r>
    </w:p>
    <w:p w:rsidR="008C0BD4" w:rsidRDefault="00BF6A46"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Mr. Wood </w:t>
      </w:r>
      <w:r w:rsidR="008C0BD4">
        <w:rPr>
          <w:rFonts w:ascii="Courier New" w:eastAsiaTheme="minorHAnsi" w:hAnsi="Courier New" w:cs="Courier New"/>
        </w:rPr>
        <w:t xml:space="preserve">appeared and testified on his own behalf. </w:t>
      </w:r>
      <w:r>
        <w:rPr>
          <w:rFonts w:ascii="Courier New" w:eastAsiaTheme="minorHAnsi" w:hAnsi="Courier New" w:cs="Courier New"/>
        </w:rPr>
        <w:t>He</w:t>
      </w:r>
      <w:r w:rsidR="008C0BD4">
        <w:rPr>
          <w:rFonts w:ascii="Courier New" w:eastAsiaTheme="minorHAnsi" w:hAnsi="Courier New" w:cs="Courier New"/>
        </w:rPr>
        <w:t xml:space="preserve"> is a certified </w:t>
      </w:r>
      <w:r>
        <w:rPr>
          <w:rFonts w:ascii="Courier New" w:eastAsiaTheme="minorHAnsi" w:hAnsi="Courier New" w:cs="Courier New"/>
        </w:rPr>
        <w:t>g</w:t>
      </w:r>
      <w:r w:rsidR="008C0BD4">
        <w:rPr>
          <w:rFonts w:ascii="Courier New" w:eastAsiaTheme="minorHAnsi" w:hAnsi="Courier New" w:cs="Courier New"/>
        </w:rPr>
        <w:t xml:space="preserve">eneral </w:t>
      </w:r>
      <w:r>
        <w:rPr>
          <w:rFonts w:ascii="Courier New" w:eastAsiaTheme="minorHAnsi" w:hAnsi="Courier New" w:cs="Courier New"/>
        </w:rPr>
        <w:t>a</w:t>
      </w:r>
      <w:r w:rsidR="008C0BD4">
        <w:rPr>
          <w:rFonts w:ascii="Courier New" w:eastAsiaTheme="minorHAnsi" w:hAnsi="Courier New" w:cs="Courier New"/>
        </w:rPr>
        <w:t>ppraiser licensed in Massachusetts, New Hampshire, Rhode Island, Maine</w:t>
      </w:r>
      <w:r w:rsidR="00422112">
        <w:rPr>
          <w:rFonts w:ascii="Courier New" w:eastAsiaTheme="minorHAnsi" w:hAnsi="Courier New" w:cs="Courier New"/>
        </w:rPr>
        <w:t>,</w:t>
      </w:r>
      <w:r w:rsidR="008C0BD4">
        <w:rPr>
          <w:rFonts w:ascii="Courier New" w:eastAsiaTheme="minorHAnsi" w:hAnsi="Courier New" w:cs="Courier New"/>
        </w:rPr>
        <w:t xml:space="preserve"> and Vermont</w:t>
      </w:r>
      <w:r w:rsidR="0034418E">
        <w:rPr>
          <w:rFonts w:ascii="Courier New" w:eastAsiaTheme="minorHAnsi" w:hAnsi="Courier New" w:cs="Courier New"/>
        </w:rPr>
        <w:t>,</w:t>
      </w:r>
      <w:r w:rsidR="008C0BD4">
        <w:rPr>
          <w:rFonts w:ascii="Courier New" w:eastAsiaTheme="minorHAnsi" w:hAnsi="Courier New" w:cs="Courier New"/>
        </w:rPr>
        <w:t xml:space="preserve"> and </w:t>
      </w:r>
      <w:r>
        <w:rPr>
          <w:rFonts w:ascii="Courier New" w:eastAsiaTheme="minorHAnsi" w:hAnsi="Courier New" w:cs="Courier New"/>
        </w:rPr>
        <w:t>holds the position of vice p</w:t>
      </w:r>
      <w:r w:rsidR="008C0BD4">
        <w:rPr>
          <w:rFonts w:ascii="Courier New" w:eastAsiaTheme="minorHAnsi" w:hAnsi="Courier New" w:cs="Courier New"/>
        </w:rPr>
        <w:t xml:space="preserve">resident of CB Richard Ellis New England. </w:t>
      </w:r>
    </w:p>
    <w:p w:rsidR="00A93ABF" w:rsidRDefault="008C0BD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According to the property record cards submitted into evidence, </w:t>
      </w:r>
      <w:r w:rsidR="00A4017C">
        <w:rPr>
          <w:rFonts w:ascii="Courier New" w:eastAsiaTheme="minorHAnsi" w:hAnsi="Courier New" w:cs="Courier New"/>
        </w:rPr>
        <w:t xml:space="preserve">the 58 Russell Street parcel has an area of </w:t>
      </w:r>
      <w:r>
        <w:rPr>
          <w:rFonts w:ascii="Courier New" w:eastAsiaTheme="minorHAnsi" w:hAnsi="Courier New" w:cs="Courier New"/>
        </w:rPr>
        <w:t xml:space="preserve">858 square feet and </w:t>
      </w:r>
      <w:r w:rsidR="00A4017C">
        <w:rPr>
          <w:rFonts w:ascii="Courier New" w:eastAsiaTheme="minorHAnsi" w:hAnsi="Courier New" w:cs="Courier New"/>
        </w:rPr>
        <w:t xml:space="preserve">the </w:t>
      </w:r>
      <w:r>
        <w:rPr>
          <w:rFonts w:ascii="Courier New" w:eastAsiaTheme="minorHAnsi" w:hAnsi="Courier New" w:cs="Courier New"/>
        </w:rPr>
        <w:t xml:space="preserve">60 Russell Street </w:t>
      </w:r>
      <w:r w:rsidR="00A4017C">
        <w:rPr>
          <w:rFonts w:ascii="Courier New" w:eastAsiaTheme="minorHAnsi" w:hAnsi="Courier New" w:cs="Courier New"/>
        </w:rPr>
        <w:t>parcel has an area of 1,306 square feet</w:t>
      </w:r>
      <w:r>
        <w:rPr>
          <w:rFonts w:ascii="Courier New" w:eastAsiaTheme="minorHAnsi" w:hAnsi="Courier New" w:cs="Courier New"/>
        </w:rPr>
        <w:t xml:space="preserve">. </w:t>
      </w:r>
      <w:r w:rsidR="00422112">
        <w:rPr>
          <w:rFonts w:ascii="Courier New" w:eastAsiaTheme="minorHAnsi" w:hAnsi="Courier New" w:cs="Courier New"/>
        </w:rPr>
        <w:t xml:space="preserve"> </w:t>
      </w:r>
      <w:r>
        <w:rPr>
          <w:rFonts w:ascii="Courier New" w:eastAsiaTheme="minorHAnsi" w:hAnsi="Courier New" w:cs="Courier New"/>
        </w:rPr>
        <w:t xml:space="preserve">The two parcels are improved with two Greek Revival homes </w:t>
      </w:r>
      <w:r w:rsidR="007A7AF1">
        <w:rPr>
          <w:rFonts w:ascii="Courier New" w:eastAsiaTheme="minorHAnsi" w:hAnsi="Courier New" w:cs="Courier New"/>
        </w:rPr>
        <w:t xml:space="preserve">constructed nearly 200 years ago that </w:t>
      </w:r>
      <w:r>
        <w:rPr>
          <w:rFonts w:ascii="Courier New" w:eastAsiaTheme="minorHAnsi" w:hAnsi="Courier New" w:cs="Courier New"/>
        </w:rPr>
        <w:t xml:space="preserve">have been </w:t>
      </w:r>
      <w:r w:rsidR="007A7AF1">
        <w:rPr>
          <w:rFonts w:ascii="Courier New" w:eastAsiaTheme="minorHAnsi" w:hAnsi="Courier New" w:cs="Courier New"/>
        </w:rPr>
        <w:t xml:space="preserve">updated and </w:t>
      </w:r>
      <w:r>
        <w:rPr>
          <w:rFonts w:ascii="Courier New" w:eastAsiaTheme="minorHAnsi" w:hAnsi="Courier New" w:cs="Courier New"/>
        </w:rPr>
        <w:t xml:space="preserve">combined </w:t>
      </w:r>
      <w:r w:rsidR="00A4017C">
        <w:rPr>
          <w:rFonts w:ascii="Courier New" w:eastAsiaTheme="minorHAnsi" w:hAnsi="Courier New" w:cs="Courier New"/>
        </w:rPr>
        <w:t xml:space="preserve">into one single-family </w:t>
      </w:r>
      <w:r>
        <w:rPr>
          <w:rFonts w:ascii="Courier New" w:eastAsiaTheme="minorHAnsi" w:hAnsi="Courier New" w:cs="Courier New"/>
        </w:rPr>
        <w:t>residence</w:t>
      </w:r>
      <w:r w:rsidR="00724AD9">
        <w:rPr>
          <w:rFonts w:ascii="Courier New" w:eastAsiaTheme="minorHAnsi" w:hAnsi="Courier New" w:cs="Courier New"/>
        </w:rPr>
        <w:t xml:space="preserve"> (“subject residence”)</w:t>
      </w:r>
      <w:r>
        <w:rPr>
          <w:rFonts w:ascii="Courier New" w:eastAsiaTheme="minorHAnsi" w:hAnsi="Courier New" w:cs="Courier New"/>
        </w:rPr>
        <w:t xml:space="preserve">. </w:t>
      </w:r>
      <w:r w:rsidR="00724AD9">
        <w:rPr>
          <w:rFonts w:ascii="Courier New" w:eastAsiaTheme="minorHAnsi" w:hAnsi="Courier New" w:cs="Courier New"/>
        </w:rPr>
        <w:t xml:space="preserve"> </w:t>
      </w:r>
      <w:r>
        <w:rPr>
          <w:rFonts w:ascii="Courier New" w:eastAsiaTheme="minorHAnsi" w:hAnsi="Courier New" w:cs="Courier New"/>
        </w:rPr>
        <w:t xml:space="preserve">The </w:t>
      </w:r>
      <w:r w:rsidR="00724AD9">
        <w:rPr>
          <w:rFonts w:ascii="Courier New" w:eastAsiaTheme="minorHAnsi" w:hAnsi="Courier New" w:cs="Courier New"/>
        </w:rPr>
        <w:t xml:space="preserve">combined living area of the subject residence is approximately 3,268 square feet and contains </w:t>
      </w:r>
      <w:r w:rsidR="00422112">
        <w:rPr>
          <w:rFonts w:ascii="Courier New" w:eastAsiaTheme="minorHAnsi" w:hAnsi="Courier New" w:cs="Courier New"/>
        </w:rPr>
        <w:t>five</w:t>
      </w:r>
      <w:r w:rsidR="00724AD9">
        <w:rPr>
          <w:rFonts w:ascii="Courier New" w:eastAsiaTheme="minorHAnsi" w:hAnsi="Courier New" w:cs="Courier New"/>
        </w:rPr>
        <w:t xml:space="preserve"> bedrooms</w:t>
      </w:r>
      <w:r w:rsidR="00A93ABF">
        <w:rPr>
          <w:rFonts w:ascii="Courier New" w:eastAsiaTheme="minorHAnsi" w:hAnsi="Courier New" w:cs="Courier New"/>
        </w:rPr>
        <w:t xml:space="preserve"> and </w:t>
      </w:r>
      <w:r w:rsidR="00422112">
        <w:rPr>
          <w:rFonts w:ascii="Courier New" w:eastAsiaTheme="minorHAnsi" w:hAnsi="Courier New" w:cs="Courier New"/>
        </w:rPr>
        <w:t>two and a half</w:t>
      </w:r>
      <w:r w:rsidR="00724AD9">
        <w:rPr>
          <w:rFonts w:ascii="Courier New" w:eastAsiaTheme="minorHAnsi" w:hAnsi="Courier New" w:cs="Courier New"/>
        </w:rPr>
        <w:t xml:space="preserve"> bathrooms</w:t>
      </w:r>
      <w:r w:rsidR="00A93ABF">
        <w:rPr>
          <w:rFonts w:ascii="Courier New" w:eastAsiaTheme="minorHAnsi" w:hAnsi="Courier New" w:cs="Courier New"/>
        </w:rPr>
        <w:t xml:space="preserve">.  </w:t>
      </w:r>
      <w:r w:rsidR="00B21977">
        <w:rPr>
          <w:rFonts w:ascii="Courier New" w:eastAsiaTheme="minorHAnsi" w:hAnsi="Courier New" w:cs="Courier New"/>
        </w:rPr>
        <w:t>The assessors’ records indicate that 58 Russell Street has 1</w:t>
      </w:r>
      <w:r w:rsidR="000521F2">
        <w:rPr>
          <w:rFonts w:ascii="Courier New" w:eastAsiaTheme="minorHAnsi" w:hAnsi="Courier New" w:cs="Courier New"/>
        </w:rPr>
        <w:t>,</w:t>
      </w:r>
      <w:r w:rsidR="00B21977">
        <w:rPr>
          <w:rFonts w:ascii="Courier New" w:eastAsiaTheme="minorHAnsi" w:hAnsi="Courier New" w:cs="Courier New"/>
        </w:rPr>
        <w:t>799 square feet of living area and 60 Russell Street has 1,469 square feet of living area.</w:t>
      </w:r>
    </w:p>
    <w:p w:rsidR="0083166D" w:rsidRPr="0083166D" w:rsidRDefault="008C0BD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On June 28, 2016, the appellant purchased the subject </w:t>
      </w:r>
      <w:r w:rsidR="0034418E">
        <w:rPr>
          <w:rFonts w:ascii="Courier New" w:eastAsiaTheme="minorHAnsi" w:hAnsi="Courier New" w:cs="Courier New"/>
        </w:rPr>
        <w:t>property</w:t>
      </w:r>
      <w:r>
        <w:rPr>
          <w:rFonts w:ascii="Courier New" w:eastAsiaTheme="minorHAnsi" w:hAnsi="Courier New" w:cs="Courier New"/>
        </w:rPr>
        <w:t xml:space="preserve"> </w:t>
      </w:r>
      <w:r w:rsidR="0083166D">
        <w:rPr>
          <w:rFonts w:ascii="Courier New" w:eastAsiaTheme="minorHAnsi" w:hAnsi="Courier New" w:cs="Courier New"/>
        </w:rPr>
        <w:t xml:space="preserve">and </w:t>
      </w:r>
      <w:r>
        <w:rPr>
          <w:rFonts w:ascii="Courier New" w:eastAsiaTheme="minorHAnsi" w:hAnsi="Courier New" w:cs="Courier New"/>
        </w:rPr>
        <w:t xml:space="preserve">two adjacent parcels located at Bisco Place for $1,415,000. </w:t>
      </w:r>
      <w:r w:rsidR="0083166D">
        <w:rPr>
          <w:rFonts w:ascii="Courier New" w:eastAsiaTheme="minorHAnsi" w:hAnsi="Courier New" w:cs="Courier New"/>
        </w:rPr>
        <w:t xml:space="preserve"> </w:t>
      </w:r>
      <w:r w:rsidR="0083166D" w:rsidRPr="0083166D">
        <w:rPr>
          <w:rFonts w:ascii="Courier New" w:hAnsi="Courier New" w:cs="Courier New"/>
        </w:rPr>
        <w:t xml:space="preserve">Bisco Place is </w:t>
      </w:r>
      <w:r w:rsidR="0083166D">
        <w:rPr>
          <w:rFonts w:ascii="Courier New" w:hAnsi="Courier New" w:cs="Courier New"/>
        </w:rPr>
        <w:t xml:space="preserve">a private way </w:t>
      </w:r>
      <w:r w:rsidR="0083166D" w:rsidRPr="0083166D">
        <w:rPr>
          <w:rFonts w:ascii="Courier New" w:hAnsi="Courier New" w:cs="Courier New"/>
        </w:rPr>
        <w:t>situated behind 58-60</w:t>
      </w:r>
      <w:r w:rsidR="0083166D">
        <w:rPr>
          <w:rFonts w:ascii="Courier New" w:hAnsi="Courier New" w:cs="Courier New"/>
        </w:rPr>
        <w:t xml:space="preserve"> Russell Street</w:t>
      </w:r>
      <w:r w:rsidR="0083166D" w:rsidRPr="0083166D">
        <w:rPr>
          <w:rFonts w:ascii="Courier New" w:hAnsi="Courier New" w:cs="Courier New"/>
        </w:rPr>
        <w:t xml:space="preserve">. The two </w:t>
      </w:r>
      <w:r w:rsidR="0083166D">
        <w:rPr>
          <w:rFonts w:ascii="Courier New" w:hAnsi="Courier New" w:cs="Courier New"/>
        </w:rPr>
        <w:t xml:space="preserve">Bisco Place </w:t>
      </w:r>
      <w:r w:rsidR="0083166D" w:rsidRPr="0083166D">
        <w:rPr>
          <w:rFonts w:ascii="Courier New" w:hAnsi="Courier New" w:cs="Courier New"/>
        </w:rPr>
        <w:t xml:space="preserve">parcels are not the subject </w:t>
      </w:r>
      <w:r w:rsidR="0083166D" w:rsidRPr="0083166D">
        <w:rPr>
          <w:rFonts w:ascii="Courier New" w:hAnsi="Courier New" w:cs="Courier New"/>
        </w:rPr>
        <w:lastRenderedPageBreak/>
        <w:t>of this appeal</w:t>
      </w:r>
      <w:r w:rsidR="00A93ABF">
        <w:rPr>
          <w:rFonts w:ascii="Courier New" w:hAnsi="Courier New" w:cs="Courier New"/>
        </w:rPr>
        <w:t xml:space="preserve"> and no evidence as to their </w:t>
      </w:r>
      <w:r w:rsidR="00BF5181">
        <w:rPr>
          <w:rFonts w:ascii="Courier New" w:hAnsi="Courier New" w:cs="Courier New"/>
        </w:rPr>
        <w:t xml:space="preserve">zoning, </w:t>
      </w:r>
      <w:r w:rsidR="00A93ABF">
        <w:rPr>
          <w:rFonts w:ascii="Courier New" w:hAnsi="Courier New" w:cs="Courier New"/>
        </w:rPr>
        <w:t>development potential</w:t>
      </w:r>
      <w:r w:rsidR="00BF5181">
        <w:rPr>
          <w:rFonts w:ascii="Courier New" w:hAnsi="Courier New" w:cs="Courier New"/>
        </w:rPr>
        <w:t>,</w:t>
      </w:r>
      <w:r w:rsidR="00A93ABF">
        <w:rPr>
          <w:rFonts w:ascii="Courier New" w:hAnsi="Courier New" w:cs="Courier New"/>
        </w:rPr>
        <w:t xml:space="preserve"> or </w:t>
      </w:r>
      <w:r w:rsidR="00BF5181">
        <w:rPr>
          <w:rFonts w:ascii="Courier New" w:hAnsi="Courier New" w:cs="Courier New"/>
        </w:rPr>
        <w:t xml:space="preserve">potential </w:t>
      </w:r>
      <w:r w:rsidR="00A93ABF">
        <w:rPr>
          <w:rFonts w:ascii="Courier New" w:hAnsi="Courier New" w:cs="Courier New"/>
        </w:rPr>
        <w:t xml:space="preserve">use was introduced at the hearing.  </w:t>
      </w:r>
    </w:p>
    <w:p w:rsidR="007A7AF1" w:rsidRDefault="008C0BD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I</w:t>
      </w:r>
      <w:r w:rsidR="00422112">
        <w:rPr>
          <w:rFonts w:ascii="Courier New" w:eastAsiaTheme="minorHAnsi" w:hAnsi="Courier New" w:cs="Courier New"/>
        </w:rPr>
        <w:t>n support of his claim for over</w:t>
      </w:r>
      <w:r>
        <w:rPr>
          <w:rFonts w:ascii="Courier New" w:eastAsiaTheme="minorHAnsi" w:hAnsi="Courier New" w:cs="Courier New"/>
        </w:rPr>
        <w:t>valuation</w:t>
      </w:r>
      <w:r w:rsidR="0083166D">
        <w:rPr>
          <w:rFonts w:ascii="Courier New" w:eastAsiaTheme="minorHAnsi" w:hAnsi="Courier New" w:cs="Courier New"/>
        </w:rPr>
        <w:t>,</w:t>
      </w:r>
      <w:r>
        <w:rPr>
          <w:rFonts w:ascii="Courier New" w:eastAsiaTheme="minorHAnsi" w:hAnsi="Courier New" w:cs="Courier New"/>
        </w:rPr>
        <w:t xml:space="preserve"> the appellant provided a report </w:t>
      </w:r>
      <w:r w:rsidR="0083166D">
        <w:rPr>
          <w:rFonts w:ascii="Courier New" w:eastAsiaTheme="minorHAnsi" w:hAnsi="Courier New" w:cs="Courier New"/>
        </w:rPr>
        <w:t>that</w:t>
      </w:r>
      <w:r>
        <w:rPr>
          <w:rFonts w:ascii="Courier New" w:eastAsiaTheme="minorHAnsi" w:hAnsi="Courier New" w:cs="Courier New"/>
        </w:rPr>
        <w:t xml:space="preserve"> included the </w:t>
      </w:r>
      <w:r w:rsidR="00B21977">
        <w:rPr>
          <w:rFonts w:ascii="Courier New" w:eastAsiaTheme="minorHAnsi" w:hAnsi="Courier New" w:cs="Courier New"/>
        </w:rPr>
        <w:t xml:space="preserve">three </w:t>
      </w:r>
      <w:r>
        <w:rPr>
          <w:rFonts w:ascii="Courier New" w:eastAsiaTheme="minorHAnsi" w:hAnsi="Courier New" w:cs="Courier New"/>
        </w:rPr>
        <w:t>traditional approaches to value, plus a land value analysis and a</w:t>
      </w:r>
      <w:r w:rsidR="0083166D">
        <w:rPr>
          <w:rFonts w:ascii="Courier New" w:eastAsiaTheme="minorHAnsi" w:hAnsi="Courier New" w:cs="Courier New"/>
        </w:rPr>
        <w:t xml:space="preserve"> rental analysis. Because the subject property was a single-</w:t>
      </w:r>
      <w:r>
        <w:rPr>
          <w:rFonts w:ascii="Courier New" w:eastAsiaTheme="minorHAnsi" w:hAnsi="Courier New" w:cs="Courier New"/>
        </w:rPr>
        <w:t>family residence</w:t>
      </w:r>
      <w:r w:rsidR="0083166D">
        <w:rPr>
          <w:rFonts w:ascii="Courier New" w:eastAsiaTheme="minorHAnsi" w:hAnsi="Courier New" w:cs="Courier New"/>
        </w:rPr>
        <w:t>, the Board found that</w:t>
      </w:r>
      <w:r>
        <w:rPr>
          <w:rFonts w:ascii="Courier New" w:eastAsiaTheme="minorHAnsi" w:hAnsi="Courier New" w:cs="Courier New"/>
        </w:rPr>
        <w:t xml:space="preserve"> the most a</w:t>
      </w:r>
      <w:r w:rsidR="0083166D">
        <w:rPr>
          <w:rFonts w:ascii="Courier New" w:eastAsiaTheme="minorHAnsi" w:hAnsi="Courier New" w:cs="Courier New"/>
        </w:rPr>
        <w:t>ppropriate method of valuation wa</w:t>
      </w:r>
      <w:r>
        <w:rPr>
          <w:rFonts w:ascii="Courier New" w:eastAsiaTheme="minorHAnsi" w:hAnsi="Courier New" w:cs="Courier New"/>
        </w:rPr>
        <w:t xml:space="preserve">s the sales comparison approach. </w:t>
      </w:r>
      <w:r w:rsidR="0083166D">
        <w:rPr>
          <w:rFonts w:ascii="Courier New" w:eastAsiaTheme="minorHAnsi" w:hAnsi="Courier New" w:cs="Courier New"/>
        </w:rPr>
        <w:t xml:space="preserve"> </w:t>
      </w:r>
      <w:r w:rsidR="00A93ABF">
        <w:rPr>
          <w:rFonts w:ascii="Courier New" w:eastAsiaTheme="minorHAnsi" w:hAnsi="Courier New" w:cs="Courier New"/>
        </w:rPr>
        <w:t xml:space="preserve">The Board did not consider the income approach or rental analysis because no evidence was presented that the highest and best use of the subject property was as a rental property.  The Board also rejected the cost approach given the </w:t>
      </w:r>
      <w:r w:rsidR="00DC4650">
        <w:rPr>
          <w:rFonts w:ascii="Courier New" w:eastAsiaTheme="minorHAnsi" w:hAnsi="Courier New" w:cs="Courier New"/>
        </w:rPr>
        <w:t xml:space="preserve">age of the </w:t>
      </w:r>
      <w:r w:rsidR="00A93ABF">
        <w:rPr>
          <w:rFonts w:ascii="Courier New" w:eastAsiaTheme="minorHAnsi" w:hAnsi="Courier New" w:cs="Courier New"/>
        </w:rPr>
        <w:t xml:space="preserve">subject </w:t>
      </w:r>
      <w:r w:rsidR="00DC4650">
        <w:rPr>
          <w:rFonts w:ascii="Courier New" w:eastAsiaTheme="minorHAnsi" w:hAnsi="Courier New" w:cs="Courier New"/>
        </w:rPr>
        <w:t>residence</w:t>
      </w:r>
      <w:r w:rsidR="000521F2">
        <w:rPr>
          <w:rFonts w:ascii="Courier New" w:eastAsiaTheme="minorHAnsi" w:hAnsi="Courier New" w:cs="Courier New"/>
        </w:rPr>
        <w:t xml:space="preserve"> and the inherent difficulty in accurately quantifying depreciation</w:t>
      </w:r>
      <w:r w:rsidR="007A7AF1">
        <w:rPr>
          <w:rFonts w:ascii="Courier New" w:eastAsiaTheme="minorHAnsi" w:hAnsi="Courier New" w:cs="Courier New"/>
        </w:rPr>
        <w:t>. The appellant’s land value analysis was also unreliable because the appellant arrived at an apportioned value for the subject property by reducing his purchase price by a figure that he attributed to the Bisco Place parcels; however, since no evidence was offered regarding the zoning</w:t>
      </w:r>
      <w:r w:rsidR="00BF5181">
        <w:rPr>
          <w:rFonts w:ascii="Courier New" w:eastAsiaTheme="minorHAnsi" w:hAnsi="Courier New" w:cs="Courier New"/>
        </w:rPr>
        <w:t>, development potential,</w:t>
      </w:r>
      <w:r w:rsidR="007A7AF1">
        <w:rPr>
          <w:rFonts w:ascii="Courier New" w:eastAsiaTheme="minorHAnsi" w:hAnsi="Courier New" w:cs="Courier New"/>
        </w:rPr>
        <w:t xml:space="preserve"> or potential use of the Bisco Place parcels, this approach was neither substantiated nor reliable.</w:t>
      </w:r>
    </w:p>
    <w:p w:rsidR="0045538C" w:rsidRDefault="008C0BD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As to his sales approach, Mr. Wood submitted </w:t>
      </w:r>
      <w:r w:rsidR="00BF5181">
        <w:rPr>
          <w:rFonts w:ascii="Courier New" w:eastAsiaTheme="minorHAnsi" w:hAnsi="Courier New" w:cs="Courier New"/>
        </w:rPr>
        <w:t>six</w:t>
      </w:r>
      <w:r>
        <w:rPr>
          <w:rFonts w:ascii="Courier New" w:eastAsiaTheme="minorHAnsi" w:hAnsi="Courier New" w:cs="Courier New"/>
        </w:rPr>
        <w:t xml:space="preserve"> </w:t>
      </w:r>
      <w:r w:rsidR="00BF5181">
        <w:rPr>
          <w:rFonts w:ascii="Courier New" w:eastAsiaTheme="minorHAnsi" w:hAnsi="Courier New" w:cs="Courier New"/>
        </w:rPr>
        <w:t>sales he found on the Multiple Listing Service (“</w:t>
      </w:r>
      <w:r>
        <w:rPr>
          <w:rFonts w:ascii="Courier New" w:eastAsiaTheme="minorHAnsi" w:hAnsi="Courier New" w:cs="Courier New"/>
        </w:rPr>
        <w:t>MLS</w:t>
      </w:r>
      <w:r w:rsidR="00BF5181">
        <w:rPr>
          <w:rFonts w:ascii="Courier New" w:eastAsiaTheme="minorHAnsi" w:hAnsi="Courier New" w:cs="Courier New"/>
        </w:rPr>
        <w:t>”)</w:t>
      </w:r>
      <w:r w:rsidR="0034418E">
        <w:rPr>
          <w:rFonts w:ascii="Courier New" w:eastAsiaTheme="minorHAnsi" w:hAnsi="Courier New" w:cs="Courier New"/>
        </w:rPr>
        <w:t xml:space="preserve"> to support his claim</w:t>
      </w:r>
      <w:r>
        <w:rPr>
          <w:rFonts w:ascii="Courier New" w:eastAsiaTheme="minorHAnsi" w:hAnsi="Courier New" w:cs="Courier New"/>
        </w:rPr>
        <w:t xml:space="preserve"> of overvaluation. Only one sale, 18 Ferrin Street</w:t>
      </w:r>
      <w:r w:rsidR="002963BC">
        <w:rPr>
          <w:rFonts w:ascii="Courier New" w:eastAsiaTheme="minorHAnsi" w:hAnsi="Courier New" w:cs="Courier New"/>
        </w:rPr>
        <w:t xml:space="preserve"> </w:t>
      </w:r>
      <w:r w:rsidR="00DC4650">
        <w:rPr>
          <w:rFonts w:ascii="Courier New" w:eastAsiaTheme="minorHAnsi" w:hAnsi="Courier New" w:cs="Courier New"/>
        </w:rPr>
        <w:t>containing 3,079 square feet and identified as</w:t>
      </w:r>
      <w:r w:rsidR="002963BC">
        <w:rPr>
          <w:rFonts w:ascii="Courier New" w:eastAsiaTheme="minorHAnsi" w:hAnsi="Courier New" w:cs="Courier New"/>
        </w:rPr>
        <w:t xml:space="preserve"> Mr. Wood’s </w:t>
      </w:r>
      <w:r w:rsidR="002963BC">
        <w:rPr>
          <w:rFonts w:ascii="Courier New" w:eastAsiaTheme="minorHAnsi" w:hAnsi="Courier New" w:cs="Courier New"/>
        </w:rPr>
        <w:lastRenderedPageBreak/>
        <w:t>comparable sale number 3</w:t>
      </w:r>
      <w:r>
        <w:rPr>
          <w:rFonts w:ascii="Courier New" w:eastAsiaTheme="minorHAnsi" w:hAnsi="Courier New" w:cs="Courier New"/>
        </w:rPr>
        <w:t xml:space="preserve">, was reasonably close to </w:t>
      </w:r>
      <w:r w:rsidR="00DC4650">
        <w:rPr>
          <w:rFonts w:ascii="Courier New" w:eastAsiaTheme="minorHAnsi" w:hAnsi="Courier New" w:cs="Courier New"/>
        </w:rPr>
        <w:t xml:space="preserve">the </w:t>
      </w:r>
      <w:r w:rsidR="0045538C">
        <w:rPr>
          <w:rFonts w:ascii="Courier New" w:eastAsiaTheme="minorHAnsi" w:hAnsi="Courier New" w:cs="Courier New"/>
        </w:rPr>
        <w:t xml:space="preserve">3,268 </w:t>
      </w:r>
      <w:r w:rsidR="00DF16FB">
        <w:rPr>
          <w:rFonts w:ascii="Courier New" w:eastAsiaTheme="minorHAnsi" w:hAnsi="Courier New" w:cs="Courier New"/>
        </w:rPr>
        <w:t xml:space="preserve">combined </w:t>
      </w:r>
      <w:r w:rsidR="0045538C">
        <w:rPr>
          <w:rFonts w:ascii="Courier New" w:eastAsiaTheme="minorHAnsi" w:hAnsi="Courier New" w:cs="Courier New"/>
        </w:rPr>
        <w:t xml:space="preserve">square </w:t>
      </w:r>
      <w:r w:rsidR="0034418E">
        <w:rPr>
          <w:rFonts w:ascii="Courier New" w:eastAsiaTheme="minorHAnsi" w:hAnsi="Courier New" w:cs="Courier New"/>
        </w:rPr>
        <w:t>feet</w:t>
      </w:r>
      <w:r w:rsidR="0045538C">
        <w:rPr>
          <w:rFonts w:ascii="Courier New" w:eastAsiaTheme="minorHAnsi" w:hAnsi="Courier New" w:cs="Courier New"/>
        </w:rPr>
        <w:t xml:space="preserve"> of the </w:t>
      </w:r>
      <w:r w:rsidR="00BF5181">
        <w:rPr>
          <w:rFonts w:ascii="Courier New" w:eastAsiaTheme="minorHAnsi" w:hAnsi="Courier New" w:cs="Courier New"/>
        </w:rPr>
        <w:t>subject residence</w:t>
      </w:r>
      <w:r w:rsidR="0045538C">
        <w:rPr>
          <w:rFonts w:ascii="Courier New" w:eastAsiaTheme="minorHAnsi" w:hAnsi="Courier New" w:cs="Courier New"/>
        </w:rPr>
        <w:t>.</w:t>
      </w:r>
      <w:r>
        <w:rPr>
          <w:rFonts w:ascii="Courier New" w:eastAsiaTheme="minorHAnsi" w:hAnsi="Courier New" w:cs="Courier New"/>
        </w:rPr>
        <w:t xml:space="preserve"> </w:t>
      </w:r>
      <w:r w:rsidR="002963BC">
        <w:rPr>
          <w:rFonts w:ascii="Courier New" w:eastAsiaTheme="minorHAnsi" w:hAnsi="Courier New" w:cs="Courier New"/>
        </w:rPr>
        <w:t xml:space="preserve"> </w:t>
      </w:r>
      <w:r>
        <w:rPr>
          <w:rFonts w:ascii="Courier New" w:eastAsiaTheme="minorHAnsi" w:hAnsi="Courier New" w:cs="Courier New"/>
        </w:rPr>
        <w:t xml:space="preserve">This comparable sold on November 11, 2015 for $878,000. </w:t>
      </w:r>
      <w:r w:rsidR="002963BC">
        <w:rPr>
          <w:rFonts w:ascii="Courier New" w:eastAsiaTheme="minorHAnsi" w:hAnsi="Courier New" w:cs="Courier New"/>
        </w:rPr>
        <w:t xml:space="preserve"> </w:t>
      </w:r>
      <w:r>
        <w:rPr>
          <w:rFonts w:ascii="Courier New" w:eastAsiaTheme="minorHAnsi" w:hAnsi="Courier New" w:cs="Courier New"/>
        </w:rPr>
        <w:t xml:space="preserve">However, </w:t>
      </w:r>
      <w:r w:rsidR="0045538C">
        <w:rPr>
          <w:rFonts w:ascii="Courier New" w:eastAsiaTheme="minorHAnsi" w:hAnsi="Courier New" w:cs="Courier New"/>
        </w:rPr>
        <w:t>based on the site map provided by the appellant, 18 Ferrin Street is immediately adjacent to Rout</w:t>
      </w:r>
      <w:r w:rsidR="00E01190">
        <w:rPr>
          <w:rFonts w:ascii="Courier New" w:eastAsiaTheme="minorHAnsi" w:hAnsi="Courier New" w:cs="Courier New"/>
        </w:rPr>
        <w:t>e</w:t>
      </w:r>
      <w:r w:rsidR="0045538C">
        <w:rPr>
          <w:rFonts w:ascii="Courier New" w:eastAsiaTheme="minorHAnsi" w:hAnsi="Courier New" w:cs="Courier New"/>
        </w:rPr>
        <w:t xml:space="preserve"> 1; in fact, photograph</w:t>
      </w:r>
      <w:r w:rsidR="000521F2">
        <w:rPr>
          <w:rFonts w:ascii="Courier New" w:eastAsiaTheme="minorHAnsi" w:hAnsi="Courier New" w:cs="Courier New"/>
        </w:rPr>
        <w:t>s</w:t>
      </w:r>
      <w:r w:rsidR="0045538C">
        <w:rPr>
          <w:rFonts w:ascii="Courier New" w:eastAsiaTheme="minorHAnsi" w:hAnsi="Courier New" w:cs="Courier New"/>
        </w:rPr>
        <w:t xml:space="preserve"> </w:t>
      </w:r>
      <w:r w:rsidR="000521F2">
        <w:rPr>
          <w:rFonts w:ascii="Courier New" w:eastAsiaTheme="minorHAnsi" w:hAnsi="Courier New" w:cs="Courier New"/>
        </w:rPr>
        <w:t>offered</w:t>
      </w:r>
      <w:r w:rsidR="0045538C">
        <w:rPr>
          <w:rFonts w:ascii="Courier New" w:eastAsiaTheme="minorHAnsi" w:hAnsi="Courier New" w:cs="Courier New"/>
        </w:rPr>
        <w:t xml:space="preserve"> </w:t>
      </w:r>
      <w:r w:rsidR="000521F2">
        <w:rPr>
          <w:rFonts w:ascii="Courier New" w:eastAsiaTheme="minorHAnsi" w:hAnsi="Courier New" w:cs="Courier New"/>
        </w:rPr>
        <w:t>into evidence by both parties clearly show</w:t>
      </w:r>
      <w:r w:rsidR="0045538C">
        <w:rPr>
          <w:rFonts w:ascii="Courier New" w:eastAsiaTheme="minorHAnsi" w:hAnsi="Courier New" w:cs="Courier New"/>
        </w:rPr>
        <w:t xml:space="preserve"> an elevated portion of Route 1 within a few feet of this comparable property.</w:t>
      </w:r>
    </w:p>
    <w:p w:rsidR="002963BC" w:rsidRDefault="00A00E5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Several of Mr. Wood’s remaining </w:t>
      </w:r>
      <w:r w:rsidR="001B5C6B">
        <w:rPr>
          <w:rFonts w:ascii="Courier New" w:eastAsiaTheme="minorHAnsi" w:hAnsi="Courier New" w:cs="Courier New"/>
        </w:rPr>
        <w:t>sales</w:t>
      </w:r>
      <w:r>
        <w:rPr>
          <w:rFonts w:ascii="Courier New" w:eastAsiaTheme="minorHAnsi" w:hAnsi="Courier New" w:cs="Courier New"/>
        </w:rPr>
        <w:t xml:space="preserve"> were inferior </w:t>
      </w:r>
      <w:r w:rsidR="001B5C6B">
        <w:rPr>
          <w:rFonts w:ascii="Courier New" w:eastAsiaTheme="minorHAnsi" w:hAnsi="Courier New" w:cs="Courier New"/>
        </w:rPr>
        <w:t xml:space="preserve">to the subject residence </w:t>
      </w:r>
      <w:r>
        <w:rPr>
          <w:rFonts w:ascii="Courier New" w:eastAsiaTheme="minorHAnsi" w:hAnsi="Courier New" w:cs="Courier New"/>
        </w:rPr>
        <w:t xml:space="preserve">in quality and condition.  His comparable sale number 1 at 148 Bunker Hill Street, which contained a living area of approximately one-third the combined area of the subject residence and was similar in size to one of the combined units, is listed as “rehab only” and sold “as is.”  </w:t>
      </w:r>
    </w:p>
    <w:p w:rsidR="002963BC" w:rsidRDefault="002963BC"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The listing for h</w:t>
      </w:r>
      <w:r w:rsidR="00A00E54">
        <w:rPr>
          <w:rFonts w:ascii="Courier New" w:eastAsiaTheme="minorHAnsi" w:hAnsi="Courier New" w:cs="Courier New"/>
        </w:rPr>
        <w:t xml:space="preserve">is comparable sale number 2 at 25 Brighton Street, </w:t>
      </w:r>
      <w:r>
        <w:rPr>
          <w:rFonts w:ascii="Courier New" w:eastAsiaTheme="minorHAnsi" w:hAnsi="Courier New" w:cs="Courier New"/>
        </w:rPr>
        <w:t xml:space="preserve">with less than two-thirds the </w:t>
      </w:r>
      <w:r w:rsidR="0034418E">
        <w:rPr>
          <w:rFonts w:ascii="Courier New" w:eastAsiaTheme="minorHAnsi" w:hAnsi="Courier New" w:cs="Courier New"/>
        </w:rPr>
        <w:t xml:space="preserve">combined </w:t>
      </w:r>
      <w:r>
        <w:rPr>
          <w:rFonts w:ascii="Courier New" w:eastAsiaTheme="minorHAnsi" w:hAnsi="Courier New" w:cs="Courier New"/>
        </w:rPr>
        <w:t xml:space="preserve">living area of the subject residence, </w:t>
      </w:r>
      <w:r w:rsidR="008D6849">
        <w:rPr>
          <w:rFonts w:ascii="Courier New" w:eastAsiaTheme="minorHAnsi" w:hAnsi="Courier New" w:cs="Courier New"/>
        </w:rPr>
        <w:t>also revealed that the property was in need of work; it</w:t>
      </w:r>
      <w:r w:rsidR="00DC4650">
        <w:rPr>
          <w:rFonts w:ascii="Courier New" w:eastAsiaTheme="minorHAnsi" w:hAnsi="Courier New" w:cs="Courier New"/>
        </w:rPr>
        <w:t xml:space="preserve"> </w:t>
      </w:r>
      <w:r>
        <w:rPr>
          <w:rFonts w:ascii="Courier New" w:eastAsiaTheme="minorHAnsi" w:hAnsi="Courier New" w:cs="Courier New"/>
        </w:rPr>
        <w:t>“has much to offer the creative homeowner or seasoned developer” and offers prospective purchasers the opportunity to “redevelop this majestic property.”  This property also appears to be in close proximity to Route 93.</w:t>
      </w:r>
    </w:p>
    <w:p w:rsidR="00E01190" w:rsidRDefault="002963BC"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Mr. Wood’s comparable sale number 4, the 2,600 square foot property located at 9 Lawnwood Pl</w:t>
      </w:r>
      <w:r w:rsidR="00C06AC5">
        <w:rPr>
          <w:rFonts w:ascii="Courier New" w:eastAsiaTheme="minorHAnsi" w:hAnsi="Courier New" w:cs="Courier New"/>
        </w:rPr>
        <w:t>ace, also required substantial</w:t>
      </w:r>
      <w:r>
        <w:rPr>
          <w:rFonts w:ascii="Courier New" w:eastAsiaTheme="minorHAnsi" w:hAnsi="Courier New" w:cs="Courier New"/>
        </w:rPr>
        <w:t xml:space="preserve"> updating</w:t>
      </w:r>
      <w:r w:rsidR="008D6849">
        <w:rPr>
          <w:rFonts w:ascii="Courier New" w:eastAsiaTheme="minorHAnsi" w:hAnsi="Courier New" w:cs="Courier New"/>
        </w:rPr>
        <w:t>;</w:t>
      </w:r>
      <w:r>
        <w:rPr>
          <w:rFonts w:ascii="Courier New" w:eastAsiaTheme="minorHAnsi" w:hAnsi="Courier New" w:cs="Courier New"/>
        </w:rPr>
        <w:t xml:space="preserve"> the listing indicates that it has “exceptional bones” </w:t>
      </w:r>
      <w:r>
        <w:rPr>
          <w:rFonts w:ascii="Courier New" w:eastAsiaTheme="minorHAnsi" w:hAnsi="Courier New" w:cs="Courier New"/>
        </w:rPr>
        <w:lastRenderedPageBreak/>
        <w:t>offering the “opportunity</w:t>
      </w:r>
      <w:r w:rsidR="00E01190">
        <w:rPr>
          <w:rFonts w:ascii="Courier New" w:eastAsiaTheme="minorHAnsi" w:hAnsi="Courier New" w:cs="Courier New"/>
        </w:rPr>
        <w:t>,</w:t>
      </w:r>
      <w:r>
        <w:rPr>
          <w:rFonts w:ascii="Courier New" w:eastAsiaTheme="minorHAnsi" w:hAnsi="Courier New" w:cs="Courier New"/>
        </w:rPr>
        <w:t xml:space="preserve">” </w:t>
      </w:r>
      <w:r w:rsidR="00E01190">
        <w:rPr>
          <w:rFonts w:ascii="Courier New" w:eastAsiaTheme="minorHAnsi" w:hAnsi="Courier New" w:cs="Courier New"/>
        </w:rPr>
        <w:t xml:space="preserve">“options,” </w:t>
      </w:r>
      <w:r>
        <w:rPr>
          <w:rFonts w:ascii="Courier New" w:eastAsiaTheme="minorHAnsi" w:hAnsi="Courier New" w:cs="Courier New"/>
        </w:rPr>
        <w:t xml:space="preserve">and the “potential” to create a </w:t>
      </w:r>
      <w:r w:rsidR="00E01190">
        <w:rPr>
          <w:rFonts w:ascii="Courier New" w:eastAsiaTheme="minorHAnsi" w:hAnsi="Courier New" w:cs="Courier New"/>
        </w:rPr>
        <w:t>custom home.</w:t>
      </w:r>
    </w:p>
    <w:p w:rsidR="00E01190" w:rsidRDefault="00E01190"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Similarly, his comparable sale number 5, the 2,610 square foot property at 6 Cross Street, was “in need of updating” but has “great bones</w:t>
      </w:r>
      <w:r w:rsidR="000521F2">
        <w:rPr>
          <w:rFonts w:ascii="Courier New" w:eastAsiaTheme="minorHAnsi" w:hAnsi="Courier New" w:cs="Courier New"/>
        </w:rPr>
        <w:t>” and</w:t>
      </w:r>
      <w:r>
        <w:rPr>
          <w:rFonts w:ascii="Courier New" w:eastAsiaTheme="minorHAnsi" w:hAnsi="Courier New" w:cs="Courier New"/>
        </w:rPr>
        <w:t xml:space="preserve"> </w:t>
      </w:r>
      <w:r w:rsidR="000521F2">
        <w:rPr>
          <w:rFonts w:ascii="Courier New" w:eastAsiaTheme="minorHAnsi" w:hAnsi="Courier New" w:cs="Courier New"/>
        </w:rPr>
        <w:t>“</w:t>
      </w:r>
      <w:r>
        <w:rPr>
          <w:rFonts w:ascii="Courier New" w:eastAsiaTheme="minorHAnsi" w:hAnsi="Courier New" w:cs="Courier New"/>
        </w:rPr>
        <w:t xml:space="preserve">endless possibilities.”  </w:t>
      </w:r>
    </w:p>
    <w:p w:rsidR="00D32F73" w:rsidRDefault="00E01190"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Despite these deficiencies, Mr. Wood made no adjustments for condition, other than adjusting -10% for comparable sale number</w:t>
      </w:r>
      <w:r w:rsidR="00A00E54">
        <w:rPr>
          <w:rFonts w:ascii="Courier New" w:eastAsiaTheme="minorHAnsi" w:hAnsi="Courier New" w:cs="Courier New"/>
        </w:rPr>
        <w:t>s</w:t>
      </w:r>
      <w:r>
        <w:rPr>
          <w:rFonts w:ascii="Courier New" w:eastAsiaTheme="minorHAnsi" w:hAnsi="Courier New" w:cs="Courier New"/>
        </w:rPr>
        <w:t xml:space="preserve"> 3 and 5, which he found to be in superior condition to the subject residence.  Only comparable sale number 2, located next to Route 93, was adjusted for location; no adjustment was made for comparable sale number 3, located immediately adjacent to Route 1.</w:t>
      </w:r>
      <w:r w:rsidR="00D32F73">
        <w:rPr>
          <w:rFonts w:ascii="Courier New" w:eastAsiaTheme="minorHAnsi" w:hAnsi="Courier New" w:cs="Courier New"/>
        </w:rPr>
        <w:t xml:space="preserve"> </w:t>
      </w:r>
    </w:p>
    <w:p w:rsidR="000521F2" w:rsidRDefault="000521F2"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In contrast to the deficiencies noted in Mr. Wood’s comparable sale properties, the subject residence is described in its MLS listing as “spectacular,” with “lush, custom designed and landscaped terrace gardens,” a “completely renovated kitchen,” a “climate controlled wine cellar,” and a “brand new laundry room.”</w:t>
      </w:r>
    </w:p>
    <w:p w:rsidR="00D32F73" w:rsidRDefault="008C0BD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After considering all of the evidence, the Board ultimately found that the appellant did not meet </w:t>
      </w:r>
      <w:r w:rsidR="001B5C6B">
        <w:rPr>
          <w:rFonts w:ascii="Courier New" w:eastAsiaTheme="minorHAnsi" w:hAnsi="Courier New" w:cs="Courier New"/>
        </w:rPr>
        <w:t>his</w:t>
      </w:r>
      <w:r>
        <w:rPr>
          <w:rFonts w:ascii="Courier New" w:eastAsiaTheme="minorHAnsi" w:hAnsi="Courier New" w:cs="Courier New"/>
        </w:rPr>
        <w:t xml:space="preserve"> burden of </w:t>
      </w:r>
      <w:r w:rsidR="002D4428">
        <w:rPr>
          <w:rFonts w:ascii="Courier New" w:eastAsiaTheme="minorHAnsi" w:hAnsi="Courier New" w:cs="Courier New"/>
        </w:rPr>
        <w:t>proving</w:t>
      </w:r>
      <w:r>
        <w:rPr>
          <w:rFonts w:ascii="Courier New" w:eastAsiaTheme="minorHAnsi" w:hAnsi="Courier New" w:cs="Courier New"/>
        </w:rPr>
        <w:t xml:space="preserve"> that the subject property’s assessment exceeded its fair cash value for the fiscal year at issue. As detailed above, none of Mr.</w:t>
      </w:r>
      <w:r w:rsidR="00897985">
        <w:rPr>
          <w:rFonts w:ascii="Courier New" w:eastAsiaTheme="minorHAnsi" w:hAnsi="Courier New" w:cs="Courier New"/>
        </w:rPr>
        <w:t> </w:t>
      </w:r>
      <w:r>
        <w:rPr>
          <w:rFonts w:ascii="Courier New" w:eastAsiaTheme="minorHAnsi" w:hAnsi="Courier New" w:cs="Courier New"/>
        </w:rPr>
        <w:t xml:space="preserve">Wood’s valuation methodologies constituted credible evidence of overvaluation. The most appropriate method to value the </w:t>
      </w:r>
      <w:r>
        <w:rPr>
          <w:rFonts w:ascii="Courier New" w:eastAsiaTheme="minorHAnsi" w:hAnsi="Courier New" w:cs="Courier New"/>
        </w:rPr>
        <w:lastRenderedPageBreak/>
        <w:t xml:space="preserve">subject property was the sales </w:t>
      </w:r>
      <w:r w:rsidR="00D32F73">
        <w:rPr>
          <w:rFonts w:ascii="Courier New" w:eastAsiaTheme="minorHAnsi" w:hAnsi="Courier New" w:cs="Courier New"/>
        </w:rPr>
        <w:t xml:space="preserve">comparison </w:t>
      </w:r>
      <w:r>
        <w:rPr>
          <w:rFonts w:ascii="Courier New" w:eastAsiaTheme="minorHAnsi" w:hAnsi="Courier New" w:cs="Courier New"/>
        </w:rPr>
        <w:t>approach. However, Mr.</w:t>
      </w:r>
      <w:r w:rsidR="00897985">
        <w:rPr>
          <w:rFonts w:ascii="Courier New" w:eastAsiaTheme="minorHAnsi" w:hAnsi="Courier New" w:cs="Courier New"/>
        </w:rPr>
        <w:t> </w:t>
      </w:r>
      <w:r>
        <w:rPr>
          <w:rFonts w:ascii="Courier New" w:eastAsiaTheme="minorHAnsi" w:hAnsi="Courier New" w:cs="Courier New"/>
        </w:rPr>
        <w:t>Wood’s approach was</w:t>
      </w:r>
      <w:r w:rsidR="0083166D">
        <w:rPr>
          <w:rFonts w:ascii="Courier New" w:eastAsiaTheme="minorHAnsi" w:hAnsi="Courier New" w:cs="Courier New"/>
        </w:rPr>
        <w:t xml:space="preserve"> not credible because </w:t>
      </w:r>
      <w:r w:rsidR="00D32F73">
        <w:rPr>
          <w:rFonts w:ascii="Courier New" w:eastAsiaTheme="minorHAnsi" w:hAnsi="Courier New" w:cs="Courier New"/>
        </w:rPr>
        <w:t xml:space="preserve">the sales he selected were generally not comparable in size and he failed to make adequate adjustments, particularly for condition and location.  </w:t>
      </w:r>
    </w:p>
    <w:p w:rsidR="00787B54" w:rsidRDefault="00787B5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In addition, </w:t>
      </w:r>
      <w:r w:rsidR="008C0BD4">
        <w:rPr>
          <w:rFonts w:ascii="Courier New" w:eastAsiaTheme="minorHAnsi" w:hAnsi="Courier New" w:cs="Courier New"/>
        </w:rPr>
        <w:t xml:space="preserve">the </w:t>
      </w:r>
      <w:r w:rsidR="008D6849">
        <w:rPr>
          <w:rFonts w:ascii="Courier New" w:eastAsiaTheme="minorHAnsi" w:hAnsi="Courier New" w:cs="Courier New"/>
        </w:rPr>
        <w:t>appellant’s purchase</w:t>
      </w:r>
      <w:r w:rsidR="008C0BD4">
        <w:rPr>
          <w:rFonts w:ascii="Courier New" w:eastAsiaTheme="minorHAnsi" w:hAnsi="Courier New" w:cs="Courier New"/>
        </w:rPr>
        <w:t xml:space="preserve"> of the subject property </w:t>
      </w:r>
      <w:r w:rsidR="0034418E">
        <w:rPr>
          <w:rFonts w:ascii="Courier New" w:eastAsiaTheme="minorHAnsi" w:hAnsi="Courier New" w:cs="Courier New"/>
        </w:rPr>
        <w:t xml:space="preserve">for $1,415,000 </w:t>
      </w:r>
      <w:r w:rsidR="008C0BD4">
        <w:rPr>
          <w:rFonts w:ascii="Courier New" w:eastAsiaTheme="minorHAnsi" w:hAnsi="Courier New" w:cs="Courier New"/>
        </w:rPr>
        <w:t xml:space="preserve">on June 28, 2016, which occurred </w:t>
      </w:r>
      <w:r>
        <w:rPr>
          <w:rFonts w:ascii="Courier New" w:eastAsiaTheme="minorHAnsi" w:hAnsi="Courier New" w:cs="Courier New"/>
        </w:rPr>
        <w:t xml:space="preserve">just six </w:t>
      </w:r>
      <w:r w:rsidR="008C0BD4">
        <w:rPr>
          <w:rFonts w:ascii="Courier New" w:eastAsiaTheme="minorHAnsi" w:hAnsi="Courier New" w:cs="Courier New"/>
        </w:rPr>
        <w:t>months after the assessment date</w:t>
      </w:r>
      <w:r>
        <w:rPr>
          <w:rFonts w:ascii="Courier New" w:eastAsiaTheme="minorHAnsi" w:hAnsi="Courier New" w:cs="Courier New"/>
        </w:rPr>
        <w:t>,</w:t>
      </w:r>
      <w:r w:rsidR="008C0BD4">
        <w:rPr>
          <w:rFonts w:ascii="Courier New" w:eastAsiaTheme="minorHAnsi" w:hAnsi="Courier New" w:cs="Courier New"/>
        </w:rPr>
        <w:t xml:space="preserve"> </w:t>
      </w:r>
      <w:r w:rsidR="008D6849">
        <w:rPr>
          <w:rFonts w:ascii="Courier New" w:eastAsiaTheme="minorHAnsi" w:hAnsi="Courier New" w:cs="Courier New"/>
        </w:rPr>
        <w:t>included two adjacent parcels on Bisco Place</w:t>
      </w:r>
      <w:r w:rsidR="008C0BD4">
        <w:rPr>
          <w:rFonts w:ascii="Courier New" w:eastAsiaTheme="minorHAnsi" w:hAnsi="Courier New" w:cs="Courier New"/>
        </w:rPr>
        <w:t xml:space="preserve">. </w:t>
      </w:r>
      <w:r w:rsidR="00D32F73">
        <w:rPr>
          <w:rFonts w:ascii="Courier New" w:eastAsiaTheme="minorHAnsi" w:hAnsi="Courier New" w:cs="Courier New"/>
        </w:rPr>
        <w:t xml:space="preserve"> Because the appellant chose not to challenge the assessed values of the two </w:t>
      </w:r>
      <w:r w:rsidR="008D6849">
        <w:rPr>
          <w:rFonts w:ascii="Courier New" w:eastAsiaTheme="minorHAnsi" w:hAnsi="Courier New" w:cs="Courier New"/>
        </w:rPr>
        <w:t xml:space="preserve">Bisco Place </w:t>
      </w:r>
      <w:r w:rsidR="00D32F73">
        <w:rPr>
          <w:rFonts w:ascii="Courier New" w:eastAsiaTheme="minorHAnsi" w:hAnsi="Courier New" w:cs="Courier New"/>
        </w:rPr>
        <w:t>parcels, and no e</w:t>
      </w:r>
      <w:r w:rsidR="0034418E">
        <w:rPr>
          <w:rFonts w:ascii="Courier New" w:eastAsiaTheme="minorHAnsi" w:hAnsi="Courier New" w:cs="Courier New"/>
        </w:rPr>
        <w:t xml:space="preserve">vidence was offered as to their zoning, </w:t>
      </w:r>
      <w:r w:rsidR="00D32F73">
        <w:rPr>
          <w:rFonts w:ascii="Courier New" w:eastAsiaTheme="minorHAnsi" w:hAnsi="Courier New" w:cs="Courier New"/>
        </w:rPr>
        <w:t xml:space="preserve">development potential, </w:t>
      </w:r>
      <w:r w:rsidR="0034418E">
        <w:rPr>
          <w:rFonts w:ascii="Courier New" w:eastAsiaTheme="minorHAnsi" w:hAnsi="Courier New" w:cs="Courier New"/>
        </w:rPr>
        <w:t xml:space="preserve">or potential use, </w:t>
      </w:r>
      <w:r>
        <w:rPr>
          <w:rFonts w:ascii="Courier New" w:eastAsiaTheme="minorHAnsi" w:hAnsi="Courier New" w:cs="Courier New"/>
        </w:rPr>
        <w:t xml:space="preserve">no </w:t>
      </w:r>
      <w:r w:rsidR="008C0BD4">
        <w:rPr>
          <w:rFonts w:ascii="Courier New" w:eastAsiaTheme="minorHAnsi" w:hAnsi="Courier New" w:cs="Courier New"/>
        </w:rPr>
        <w:t xml:space="preserve">credible </w:t>
      </w:r>
      <w:r>
        <w:rPr>
          <w:rFonts w:ascii="Courier New" w:eastAsiaTheme="minorHAnsi" w:hAnsi="Courier New" w:cs="Courier New"/>
        </w:rPr>
        <w:t xml:space="preserve">evidence </w:t>
      </w:r>
      <w:r w:rsidR="00D32F73">
        <w:rPr>
          <w:rFonts w:ascii="Courier New" w:eastAsiaTheme="minorHAnsi" w:hAnsi="Courier New" w:cs="Courier New"/>
        </w:rPr>
        <w:t xml:space="preserve">was offered </w:t>
      </w:r>
      <w:r w:rsidR="008C0BD4">
        <w:rPr>
          <w:rFonts w:ascii="Courier New" w:eastAsiaTheme="minorHAnsi" w:hAnsi="Courier New" w:cs="Courier New"/>
        </w:rPr>
        <w:t xml:space="preserve">as to the value of </w:t>
      </w:r>
      <w:r w:rsidR="00D32F73">
        <w:rPr>
          <w:rFonts w:ascii="Courier New" w:eastAsiaTheme="minorHAnsi" w:hAnsi="Courier New" w:cs="Courier New"/>
        </w:rPr>
        <w:t>these two parcels.</w:t>
      </w:r>
      <w:r w:rsidR="008C0BD4">
        <w:rPr>
          <w:rFonts w:ascii="Courier New" w:eastAsiaTheme="minorHAnsi" w:hAnsi="Courier New" w:cs="Courier New"/>
        </w:rPr>
        <w:t xml:space="preserve"> </w:t>
      </w:r>
      <w:r w:rsidR="00D32F73">
        <w:rPr>
          <w:rFonts w:ascii="Courier New" w:eastAsiaTheme="minorHAnsi" w:hAnsi="Courier New" w:cs="Courier New"/>
        </w:rPr>
        <w:t xml:space="preserve"> Therefore</w:t>
      </w:r>
      <w:r>
        <w:rPr>
          <w:rFonts w:ascii="Courier New" w:eastAsiaTheme="minorHAnsi" w:hAnsi="Courier New" w:cs="Courier New"/>
        </w:rPr>
        <w:t xml:space="preserve">, </w:t>
      </w:r>
      <w:r w:rsidR="00D32F73">
        <w:rPr>
          <w:rFonts w:ascii="Courier New" w:eastAsiaTheme="minorHAnsi" w:hAnsi="Courier New" w:cs="Courier New"/>
        </w:rPr>
        <w:t xml:space="preserve">the Board had </w:t>
      </w:r>
      <w:r>
        <w:rPr>
          <w:rFonts w:ascii="Courier New" w:eastAsiaTheme="minorHAnsi" w:hAnsi="Courier New" w:cs="Courier New"/>
        </w:rPr>
        <w:t>no basis on which to determine the portion of the purchase price properly allocable to the subject property</w:t>
      </w:r>
      <w:r w:rsidR="008C0BD4">
        <w:rPr>
          <w:rFonts w:ascii="Courier New" w:eastAsiaTheme="minorHAnsi" w:hAnsi="Courier New" w:cs="Courier New"/>
        </w:rPr>
        <w:t xml:space="preserve">. </w:t>
      </w:r>
    </w:p>
    <w:p w:rsidR="008C0BD4" w:rsidRDefault="008C0BD4" w:rsidP="008C0BD4">
      <w:pPr>
        <w:spacing w:line="480" w:lineRule="auto"/>
        <w:ind w:firstLine="720"/>
        <w:jc w:val="both"/>
        <w:rPr>
          <w:rFonts w:ascii="Courier New" w:eastAsiaTheme="minorHAnsi" w:hAnsi="Courier New" w:cs="Courier New"/>
        </w:rPr>
      </w:pPr>
      <w:r>
        <w:rPr>
          <w:rFonts w:ascii="Courier New" w:eastAsiaTheme="minorHAnsi" w:hAnsi="Courier New" w:cs="Courier New"/>
        </w:rPr>
        <w:t xml:space="preserve">Accordingly, on the basis of the foregoing findings of fact, the Board </w:t>
      </w:r>
      <w:r w:rsidR="00787B54">
        <w:rPr>
          <w:rFonts w:ascii="Courier New" w:eastAsiaTheme="minorHAnsi" w:hAnsi="Courier New" w:cs="Courier New"/>
        </w:rPr>
        <w:t xml:space="preserve">found that the appellant failed to meet his burden of proving overvaluation and </w:t>
      </w:r>
      <w:r>
        <w:rPr>
          <w:rFonts w:ascii="Courier New" w:eastAsiaTheme="minorHAnsi" w:hAnsi="Courier New" w:cs="Courier New"/>
        </w:rPr>
        <w:t xml:space="preserve">issued a decision for the appellee </w:t>
      </w:r>
      <w:r w:rsidR="00D13E5D">
        <w:rPr>
          <w:rFonts w:ascii="Courier New" w:eastAsiaTheme="minorHAnsi" w:hAnsi="Courier New" w:cs="Courier New"/>
        </w:rPr>
        <w:t>i</w:t>
      </w:r>
      <w:r>
        <w:rPr>
          <w:rFonts w:ascii="Courier New" w:eastAsiaTheme="minorHAnsi" w:hAnsi="Courier New" w:cs="Courier New"/>
        </w:rPr>
        <w:t>n th</w:t>
      </w:r>
      <w:r w:rsidR="00D13E5D">
        <w:rPr>
          <w:rFonts w:ascii="Courier New" w:eastAsiaTheme="minorHAnsi" w:hAnsi="Courier New" w:cs="Courier New"/>
        </w:rPr>
        <w:t>is</w:t>
      </w:r>
      <w:r>
        <w:rPr>
          <w:rFonts w:ascii="Courier New" w:eastAsiaTheme="minorHAnsi" w:hAnsi="Courier New" w:cs="Courier New"/>
        </w:rPr>
        <w:t xml:space="preserve"> appeal.</w:t>
      </w:r>
    </w:p>
    <w:p w:rsidR="00897985" w:rsidRDefault="00897985" w:rsidP="008C0BD4">
      <w:pPr>
        <w:spacing w:line="480" w:lineRule="auto"/>
        <w:ind w:firstLine="720"/>
        <w:jc w:val="both"/>
        <w:rPr>
          <w:rFonts w:ascii="Courier New" w:eastAsiaTheme="minorHAnsi" w:hAnsi="Courier New" w:cs="Courier New"/>
        </w:rPr>
      </w:pPr>
    </w:p>
    <w:p w:rsidR="0034418E" w:rsidRDefault="0034418E" w:rsidP="008C0BD4">
      <w:pPr>
        <w:spacing w:line="480" w:lineRule="auto"/>
        <w:ind w:firstLine="720"/>
        <w:jc w:val="both"/>
        <w:rPr>
          <w:rFonts w:ascii="Courier New" w:eastAsiaTheme="minorHAnsi" w:hAnsi="Courier New" w:cs="Courier New"/>
        </w:rPr>
      </w:pPr>
    </w:p>
    <w:p w:rsidR="0034418E" w:rsidRDefault="0034418E" w:rsidP="008C0BD4">
      <w:pPr>
        <w:spacing w:line="480" w:lineRule="auto"/>
        <w:ind w:firstLine="720"/>
        <w:jc w:val="both"/>
        <w:rPr>
          <w:rFonts w:ascii="Courier New" w:eastAsiaTheme="minorHAnsi" w:hAnsi="Courier New" w:cs="Courier New"/>
        </w:rPr>
      </w:pPr>
    </w:p>
    <w:p w:rsidR="0034418E" w:rsidRDefault="0034418E" w:rsidP="008C0BD4">
      <w:pPr>
        <w:spacing w:line="480" w:lineRule="auto"/>
        <w:ind w:firstLine="720"/>
        <w:jc w:val="both"/>
        <w:rPr>
          <w:rFonts w:ascii="Courier New" w:eastAsiaTheme="minorHAnsi" w:hAnsi="Courier New" w:cs="Courier New"/>
        </w:rPr>
      </w:pPr>
    </w:p>
    <w:p w:rsidR="0034418E" w:rsidRDefault="0034418E" w:rsidP="008C0BD4">
      <w:pPr>
        <w:spacing w:line="480" w:lineRule="auto"/>
        <w:ind w:firstLine="720"/>
        <w:jc w:val="both"/>
        <w:rPr>
          <w:rFonts w:ascii="Courier New" w:eastAsiaTheme="minorHAnsi" w:hAnsi="Courier New" w:cs="Courier New"/>
        </w:rPr>
      </w:pPr>
    </w:p>
    <w:p w:rsidR="008C0BD4" w:rsidRPr="0055715D" w:rsidRDefault="008C0BD4" w:rsidP="0034418E">
      <w:pPr>
        <w:spacing w:line="480" w:lineRule="auto"/>
        <w:jc w:val="center"/>
        <w:rPr>
          <w:rFonts w:ascii="Courier New" w:eastAsiaTheme="minorHAnsi" w:hAnsi="Courier New" w:cs="Courier New"/>
          <w:b/>
        </w:rPr>
      </w:pPr>
      <w:r w:rsidRPr="0055715D">
        <w:rPr>
          <w:rFonts w:ascii="Courier New" w:eastAsiaTheme="minorHAnsi" w:hAnsi="Courier New" w:cs="Courier New"/>
          <w:b/>
        </w:rPr>
        <w:lastRenderedPageBreak/>
        <w:t>OPINION</w:t>
      </w:r>
    </w:p>
    <w:p w:rsidR="008C0BD4" w:rsidRPr="0055715D" w:rsidRDefault="008C0BD4" w:rsidP="008C0BD4">
      <w:pPr>
        <w:spacing w:line="480" w:lineRule="auto"/>
        <w:ind w:firstLine="720"/>
        <w:jc w:val="both"/>
        <w:rPr>
          <w:rFonts w:ascii="Courier New" w:hAnsi="Courier New" w:cs="Courier New"/>
        </w:rPr>
      </w:pPr>
      <w:r w:rsidRPr="0055715D">
        <w:rPr>
          <w:rFonts w:ascii="Courier New" w:hAnsi="Courier New" w:cs="Courier New"/>
        </w:rPr>
        <w:t xml:space="preserve">Assessors are required to assess real estate at its “fair cash value.”  G.L. c. 59, § 38.  Fair cash value is defined as the price on which a willing seller and a willing buyer will agree if both of them are fully informed and under no compulsion.  </w:t>
      </w:r>
      <w:r w:rsidRPr="0055715D">
        <w:rPr>
          <w:rFonts w:ascii="Courier New" w:hAnsi="Courier New" w:cs="Courier New"/>
          <w:b/>
          <w:bCs/>
          <w:i/>
          <w:iCs/>
        </w:rPr>
        <w:t xml:space="preserve">Boston Gas Co. v. Assessors of Boston, </w:t>
      </w:r>
      <w:r w:rsidRPr="0055715D">
        <w:rPr>
          <w:rFonts w:ascii="Courier New" w:hAnsi="Courier New" w:cs="Courier New"/>
        </w:rPr>
        <w:t xml:space="preserve">334 Mass. 549, 566 (1956).  </w:t>
      </w:r>
    </w:p>
    <w:p w:rsidR="008C0BD4" w:rsidRPr="0055715D" w:rsidRDefault="008C0BD4" w:rsidP="008C0BD4">
      <w:pPr>
        <w:spacing w:line="480" w:lineRule="auto"/>
        <w:ind w:firstLine="720"/>
        <w:jc w:val="both"/>
        <w:rPr>
          <w:rFonts w:ascii="Courier New" w:hAnsi="Courier New" w:cs="Courier New"/>
        </w:rPr>
      </w:pPr>
      <w:r w:rsidRPr="0055715D">
        <w:rPr>
          <w:rFonts w:ascii="Courier New" w:hAnsi="Courier New" w:cs="Courier New"/>
        </w:rPr>
        <w:t xml:space="preserve">Generally, the burden of proof is upon the taxpayer to prove that the subject property has a lower value than that assessed.  </w:t>
      </w:r>
      <w:r w:rsidRPr="0055715D">
        <w:rPr>
          <w:rFonts w:ascii="Courier New" w:hAnsi="Courier New" w:cs="Courier New"/>
          <w:b/>
          <w:i/>
        </w:rPr>
        <w:t>Schlaiker v. Assessors of Great Barrington,</w:t>
      </w:r>
      <w:r w:rsidRPr="0055715D">
        <w:rPr>
          <w:rFonts w:ascii="Courier New" w:hAnsi="Courier New" w:cs="Courier New"/>
          <w:b/>
        </w:rPr>
        <w:t xml:space="preserve"> </w:t>
      </w:r>
      <w:r w:rsidRPr="0055715D">
        <w:rPr>
          <w:rFonts w:ascii="Courier New" w:hAnsi="Courier New" w:cs="Courier New"/>
        </w:rPr>
        <w:t xml:space="preserve">365 Mass. 243, 245 (1974) (citing </w:t>
      </w:r>
      <w:r w:rsidRPr="0055715D">
        <w:rPr>
          <w:rFonts w:ascii="Courier New" w:hAnsi="Courier New" w:cs="Courier New"/>
          <w:b/>
          <w:i/>
        </w:rPr>
        <w:t>Judson Freight Forwarding Co. v. Commonwealth</w:t>
      </w:r>
      <w:r w:rsidRPr="0055715D">
        <w:rPr>
          <w:rFonts w:ascii="Courier New" w:hAnsi="Courier New" w:cs="Courier New"/>
        </w:rPr>
        <w:t xml:space="preserve">, 242 Mass. 47, 55 (1922)).  The assessment is presumed valid until the taxpayer sustains its burden of proving otherwise.  </w:t>
      </w:r>
      <w:r w:rsidRPr="0055715D">
        <w:rPr>
          <w:rFonts w:ascii="Courier New" w:hAnsi="Courier New" w:cs="Courier New"/>
          <w:b/>
          <w:i/>
        </w:rPr>
        <w:t>General Electric Co. v. Assessors of Lynn</w:t>
      </w:r>
      <w:r w:rsidRPr="0055715D">
        <w:rPr>
          <w:rFonts w:ascii="Courier New" w:hAnsi="Courier New" w:cs="Courier New"/>
        </w:rPr>
        <w:t>, 393 Mass. 591, 598 (1984) (quoting</w:t>
      </w:r>
      <w:r w:rsidRPr="0055715D">
        <w:rPr>
          <w:rFonts w:ascii="Courier New" w:hAnsi="Courier New" w:cs="Courier New"/>
          <w:i/>
        </w:rPr>
        <w:t xml:space="preserve"> </w:t>
      </w:r>
      <w:r w:rsidRPr="0055715D">
        <w:rPr>
          <w:rFonts w:ascii="Courier New" w:hAnsi="Courier New" w:cs="Courier New"/>
          <w:b/>
          <w:i/>
        </w:rPr>
        <w:t>Schlaiker</w:t>
      </w:r>
      <w:r w:rsidRPr="0055715D">
        <w:rPr>
          <w:rFonts w:ascii="Courier New" w:hAnsi="Courier New" w:cs="Courier New"/>
        </w:rPr>
        <w:t xml:space="preserve">, 365 Mass. at 245).  </w:t>
      </w:r>
    </w:p>
    <w:p w:rsidR="008C0BD4" w:rsidRPr="0055715D" w:rsidRDefault="008C0BD4" w:rsidP="008C0BD4">
      <w:pPr>
        <w:spacing w:line="480" w:lineRule="auto"/>
        <w:ind w:firstLine="720"/>
        <w:jc w:val="both"/>
        <w:rPr>
          <w:rFonts w:ascii="Courier New" w:hAnsi="Courier New" w:cs="Courier New"/>
        </w:rPr>
      </w:pPr>
      <w:r w:rsidRPr="0055715D">
        <w:rPr>
          <w:rFonts w:ascii="Courier New" w:hAnsi="Courier New" w:cs="Courier New"/>
        </w:rPr>
        <w:t xml:space="preserve">In order to determine a property’s fair cash value, its highest and best use must first be ascertained. </w:t>
      </w:r>
      <w:r w:rsidRPr="0055715D">
        <w:rPr>
          <w:rFonts w:ascii="Courier New" w:eastAsiaTheme="minorHAnsi" w:hAnsi="Courier New" w:cs="Courier New"/>
          <w:i/>
        </w:rPr>
        <w:t xml:space="preserve">See </w:t>
      </w:r>
      <w:r w:rsidRPr="0055715D">
        <w:rPr>
          <w:rFonts w:ascii="Courier New" w:eastAsiaTheme="minorHAnsi" w:hAnsi="Courier New" w:cs="Courier New"/>
          <w:b/>
          <w:i/>
        </w:rPr>
        <w:t>Peterson v. Assessors of Boston</w:t>
      </w:r>
      <w:r w:rsidRPr="0055715D">
        <w:rPr>
          <w:rFonts w:ascii="Courier New" w:eastAsiaTheme="minorHAnsi" w:hAnsi="Courier New" w:cs="Courier New"/>
        </w:rPr>
        <w:t>, 62 Mass. App. Ct. 428, 429 (2004).</w:t>
      </w:r>
      <w:r w:rsidR="00D13E5D">
        <w:rPr>
          <w:rFonts w:ascii="Courier New" w:hAnsi="Courier New" w:cs="Courier New"/>
        </w:rPr>
        <w:t xml:space="preserve"> In the present appeal</w:t>
      </w:r>
      <w:r w:rsidRPr="0055715D">
        <w:rPr>
          <w:rFonts w:ascii="Courier New" w:hAnsi="Courier New" w:cs="Courier New"/>
        </w:rPr>
        <w:t>, the subject property’s actual use was as a</w:t>
      </w:r>
      <w:r w:rsidR="008D6849">
        <w:rPr>
          <w:rFonts w:ascii="Courier New" w:hAnsi="Courier New" w:cs="Courier New"/>
        </w:rPr>
        <w:t xml:space="preserve"> single-</w:t>
      </w:r>
      <w:r>
        <w:rPr>
          <w:rFonts w:ascii="Courier New" w:hAnsi="Courier New" w:cs="Courier New"/>
        </w:rPr>
        <w:t>family residence</w:t>
      </w:r>
      <w:r w:rsidRPr="0055715D">
        <w:rPr>
          <w:rFonts w:ascii="Courier New" w:hAnsi="Courier New" w:cs="Courier New"/>
        </w:rPr>
        <w:t xml:space="preserve">.  The parties did not dispute that the subject property’s current use was its highest and best use, nor was there any evidence to the contrary in the record.  Accordingly, the Board concluded that the subject property’s </w:t>
      </w:r>
      <w:r w:rsidRPr="0055715D">
        <w:rPr>
          <w:rFonts w:ascii="Courier New" w:hAnsi="Courier New" w:cs="Courier New"/>
        </w:rPr>
        <w:lastRenderedPageBreak/>
        <w:t xml:space="preserve">continued use as </w:t>
      </w:r>
      <w:r w:rsidR="00787B54">
        <w:rPr>
          <w:rFonts w:ascii="Courier New" w:hAnsi="Courier New" w:cs="Courier New"/>
        </w:rPr>
        <w:t>a single-</w:t>
      </w:r>
      <w:r>
        <w:rPr>
          <w:rFonts w:ascii="Courier New" w:hAnsi="Courier New" w:cs="Courier New"/>
        </w:rPr>
        <w:t>family residence w</w:t>
      </w:r>
      <w:r w:rsidRPr="0055715D">
        <w:rPr>
          <w:rFonts w:ascii="Courier New" w:hAnsi="Courier New" w:cs="Courier New"/>
        </w:rPr>
        <w:t xml:space="preserve">as its highest and best use.  </w:t>
      </w:r>
    </w:p>
    <w:p w:rsidR="008C0BD4" w:rsidRPr="00D13E5D" w:rsidRDefault="008C0BD4" w:rsidP="008C0BD4">
      <w:pPr>
        <w:spacing w:line="480" w:lineRule="auto"/>
        <w:ind w:firstLine="720"/>
        <w:jc w:val="both"/>
        <w:rPr>
          <w:rFonts w:ascii="Courier New" w:eastAsiaTheme="minorHAnsi" w:hAnsi="Courier New"/>
        </w:rPr>
      </w:pPr>
      <w:r w:rsidRPr="0055715D">
        <w:rPr>
          <w:rFonts w:ascii="Courier New" w:eastAsiaTheme="minorHAnsi" w:hAnsi="Courier New" w:cs="Courier New"/>
        </w:rPr>
        <w:t xml:space="preserve">Real estate valuation experts, the Massachusetts courts, and this Board generally rely upon three approaches to determine the fair cash value of property: income capitalization, sales comparison, and cost reproduction.  </w:t>
      </w:r>
      <w:r w:rsidRPr="0055715D">
        <w:rPr>
          <w:rFonts w:ascii="Courier New" w:eastAsiaTheme="minorHAnsi" w:hAnsi="Courier New" w:cs="Courier New"/>
          <w:b/>
          <w:bCs/>
          <w:i/>
          <w:iCs/>
        </w:rPr>
        <w:t>Correia v. New Bedford Redevelopment Authority,</w:t>
      </w:r>
      <w:r w:rsidRPr="0055715D">
        <w:rPr>
          <w:rFonts w:ascii="Courier New" w:eastAsiaTheme="minorHAnsi" w:hAnsi="Courier New" w:cs="Courier New"/>
        </w:rPr>
        <w:t xml:space="preserve"> 375 Mass. 360, 362 (1978).  However,</w:t>
      </w:r>
      <w:r w:rsidRPr="0055715D">
        <w:rPr>
          <w:rFonts w:ascii="Courier New" w:eastAsiaTheme="minorHAnsi" w:hAnsi="Courier New"/>
        </w:rPr>
        <w:t xml:space="preserve"> “[t]he introduction of evidence concerning value based on [cost] computations has been limited to special situations in which data cannot be reliably computed under the other two methods,</w:t>
      </w:r>
      <w:r w:rsidR="00D13E5D">
        <w:rPr>
          <w:rFonts w:ascii="Courier New" w:eastAsiaTheme="minorHAnsi" w:hAnsi="Courier New"/>
        </w:rPr>
        <w:t>”</w:t>
      </w:r>
      <w:r w:rsidRPr="0055715D">
        <w:rPr>
          <w:rFonts w:ascii="Courier New" w:eastAsiaTheme="minorHAnsi" w:hAnsi="Courier New"/>
        </w:rPr>
        <w:t xml:space="preserve"> </w:t>
      </w:r>
      <w:r w:rsidR="00D13E5D">
        <w:rPr>
          <w:rFonts w:ascii="Courier New" w:eastAsiaTheme="minorHAnsi" w:hAnsi="Courier New"/>
        </w:rPr>
        <w:t>including where</w:t>
      </w:r>
      <w:r w:rsidRPr="0055715D">
        <w:rPr>
          <w:rFonts w:ascii="Courier New" w:eastAsiaTheme="minorHAnsi" w:hAnsi="Courier New"/>
        </w:rPr>
        <w:t xml:space="preserve"> the property in question is a newer building or a special-purpose property.  </w:t>
      </w:r>
      <w:r w:rsidR="00D13E5D">
        <w:rPr>
          <w:rFonts w:ascii="Courier New" w:eastAsiaTheme="minorHAnsi" w:hAnsi="Courier New"/>
          <w:b/>
          <w:i/>
        </w:rPr>
        <w:t xml:space="preserve">Correia, </w:t>
      </w:r>
      <w:r w:rsidR="00D13E5D">
        <w:rPr>
          <w:rFonts w:ascii="Courier New" w:eastAsiaTheme="minorHAnsi" w:hAnsi="Courier New"/>
        </w:rPr>
        <w:t>375 Mass. at 362-63.</w:t>
      </w:r>
    </w:p>
    <w:p w:rsidR="00E55094" w:rsidRDefault="0034418E" w:rsidP="008C0BD4">
      <w:pPr>
        <w:spacing w:line="480" w:lineRule="auto"/>
        <w:ind w:firstLine="720"/>
        <w:jc w:val="both"/>
        <w:rPr>
          <w:rFonts w:ascii="Courier New" w:hAnsi="Courier New"/>
        </w:rPr>
      </w:pPr>
      <w:r>
        <w:rPr>
          <w:rFonts w:ascii="Courier New" w:hAnsi="Courier New"/>
        </w:rPr>
        <w:t>“</w:t>
      </w:r>
      <w:r w:rsidR="008C0BD4" w:rsidRPr="00FE1C83">
        <w:rPr>
          <w:rFonts w:ascii="Courier New" w:hAnsi="Courier New"/>
        </w:rPr>
        <w:t>[S]ales of property usually furnish strong evidence of market value, provided they are arm's-length transactions and thus fairly represent what a buyer has been willing to pay for the property to a willing seller.</w:t>
      </w:r>
      <w:r>
        <w:rPr>
          <w:rFonts w:ascii="Courier New" w:hAnsi="Courier New"/>
        </w:rPr>
        <w:t>”</w:t>
      </w:r>
      <w:r w:rsidR="008C0BD4" w:rsidRPr="00FE1C83">
        <w:rPr>
          <w:rFonts w:ascii="Courier New" w:hAnsi="Courier New"/>
        </w:rPr>
        <w:t xml:space="preserve">  </w:t>
      </w:r>
      <w:r w:rsidR="008C0BD4" w:rsidRPr="00FE1C83">
        <w:rPr>
          <w:rFonts w:ascii="Courier New" w:hAnsi="Courier New"/>
          <w:b/>
          <w:i/>
        </w:rPr>
        <w:t>Foxboro Associates v. Assessors of Foxborough</w:t>
      </w:r>
      <w:r w:rsidR="008C0BD4" w:rsidRPr="00FE1C83">
        <w:rPr>
          <w:rFonts w:ascii="Courier New" w:hAnsi="Courier New"/>
        </w:rPr>
        <w:t xml:space="preserve">, 385 Mass. 679, 682 (1982).  Sales of comparable realty in the same geographic area and within a reasonable time of the assessment date generally contain probative evidence for determining the value of the property at issue.  </w:t>
      </w:r>
      <w:r w:rsidR="008C0BD4" w:rsidRPr="00FE1C83">
        <w:rPr>
          <w:rFonts w:ascii="Courier New" w:hAnsi="Courier New"/>
          <w:b/>
          <w:i/>
        </w:rPr>
        <w:t>Graham v. Assessors of West Tisbury</w:t>
      </w:r>
      <w:r w:rsidR="008C0BD4" w:rsidRPr="00FE1C83">
        <w:rPr>
          <w:rFonts w:ascii="Courier New" w:hAnsi="Courier New"/>
        </w:rPr>
        <w:t xml:space="preserve">, Mass. ATB Findings of </w:t>
      </w:r>
      <w:r w:rsidR="00D13E5D">
        <w:rPr>
          <w:rFonts w:ascii="Courier New" w:hAnsi="Courier New"/>
        </w:rPr>
        <w:t xml:space="preserve">Fact and Reports 2007-321, 400, </w:t>
      </w:r>
      <w:r w:rsidR="008C0BD4" w:rsidRPr="00FE1C83">
        <w:rPr>
          <w:rFonts w:ascii="Courier New" w:hAnsi="Courier New"/>
          <w:i/>
        </w:rPr>
        <w:t>aff’d,</w:t>
      </w:r>
      <w:r w:rsidR="00D13E5D">
        <w:rPr>
          <w:rFonts w:ascii="Courier New" w:hAnsi="Courier New"/>
        </w:rPr>
        <w:t xml:space="preserve"> 73 Mass. App. Ct. 1107 (2008)</w:t>
      </w:r>
      <w:r w:rsidR="008C0BD4" w:rsidRPr="00FE1C83">
        <w:rPr>
          <w:rFonts w:ascii="Courier New" w:hAnsi="Courier New"/>
        </w:rPr>
        <w:t xml:space="preserve">.  When comparable sales are used, however, allowances must be made for various factors </w:t>
      </w:r>
      <w:r w:rsidR="000413E8">
        <w:rPr>
          <w:rFonts w:ascii="Courier New" w:hAnsi="Courier New"/>
        </w:rPr>
        <w:t>that</w:t>
      </w:r>
      <w:r w:rsidR="008C0BD4" w:rsidRPr="00FE1C83">
        <w:rPr>
          <w:rFonts w:ascii="Courier New" w:hAnsi="Courier New"/>
        </w:rPr>
        <w:t xml:space="preserve"> would otherwise cause </w:t>
      </w:r>
      <w:r w:rsidR="008C0BD4" w:rsidRPr="00FE1C83">
        <w:rPr>
          <w:rFonts w:ascii="Courier New" w:hAnsi="Courier New"/>
        </w:rPr>
        <w:lastRenderedPageBreak/>
        <w:t xml:space="preserve">disparities in the comparable properties’ sale prices.  </w:t>
      </w:r>
      <w:r w:rsidR="008C0BD4" w:rsidRPr="00FE1C83">
        <w:rPr>
          <w:rFonts w:ascii="Courier New" w:hAnsi="Courier New"/>
          <w:i/>
        </w:rPr>
        <w:t>See</w:t>
      </w:r>
      <w:r w:rsidR="008C0BD4" w:rsidRPr="00FE1C83">
        <w:rPr>
          <w:rFonts w:ascii="Courier New" w:hAnsi="Courier New"/>
        </w:rPr>
        <w:t xml:space="preserve"> </w:t>
      </w:r>
      <w:r w:rsidR="008C0BD4" w:rsidRPr="00FE1C83">
        <w:rPr>
          <w:rFonts w:ascii="Courier New" w:hAnsi="Courier New"/>
          <w:b/>
          <w:i/>
        </w:rPr>
        <w:t>Pembroke Industrial Park Co., Inc. v. Assessors of Pembroke</w:t>
      </w:r>
      <w:r w:rsidR="008C0BD4" w:rsidRPr="00FE1C83">
        <w:rPr>
          <w:rFonts w:ascii="Courier New" w:hAnsi="Courier New"/>
        </w:rPr>
        <w:t xml:space="preserve">, Mass. ATB Findings of Fact and Reports 1998-1072, 1082.  </w:t>
      </w:r>
    </w:p>
    <w:p w:rsidR="008C0BD4" w:rsidRPr="00E55094" w:rsidRDefault="00E55094" w:rsidP="008C0BD4">
      <w:pPr>
        <w:spacing w:line="480" w:lineRule="auto"/>
        <w:ind w:firstLine="720"/>
        <w:jc w:val="both"/>
        <w:rPr>
          <w:rFonts w:ascii="Courier New" w:hAnsi="Courier New"/>
        </w:rPr>
      </w:pPr>
      <w:r>
        <w:rPr>
          <w:rFonts w:ascii="Courier New" w:hAnsi="Courier New"/>
        </w:rPr>
        <w:t xml:space="preserve">In the present appeal, the Board found the appellant’s sales analysis to be unpersuasive because </w:t>
      </w:r>
      <w:r w:rsidR="005417A2">
        <w:rPr>
          <w:rFonts w:ascii="Courier New" w:hAnsi="Courier New"/>
        </w:rPr>
        <w:t xml:space="preserve">he failed to adequately adjust </w:t>
      </w:r>
      <w:r w:rsidR="001B5C6B">
        <w:rPr>
          <w:rFonts w:ascii="Courier New" w:hAnsi="Courier New"/>
        </w:rPr>
        <w:t>the sales he used</w:t>
      </w:r>
      <w:r w:rsidR="005417A2">
        <w:rPr>
          <w:rFonts w:ascii="Courier New" w:hAnsi="Courier New"/>
        </w:rPr>
        <w:t>, which</w:t>
      </w:r>
      <w:r w:rsidR="001B5C6B">
        <w:rPr>
          <w:rFonts w:ascii="Courier New" w:hAnsi="Courier New"/>
        </w:rPr>
        <w:t xml:space="preserve"> were for </w:t>
      </w:r>
      <w:r>
        <w:rPr>
          <w:rFonts w:ascii="Courier New" w:hAnsi="Courier New"/>
        </w:rPr>
        <w:t xml:space="preserve">properties </w:t>
      </w:r>
      <w:r w:rsidR="001B5C6B">
        <w:rPr>
          <w:rFonts w:ascii="Courier New" w:hAnsi="Courier New"/>
        </w:rPr>
        <w:t xml:space="preserve">that </w:t>
      </w:r>
      <w:r>
        <w:rPr>
          <w:rFonts w:ascii="Courier New" w:hAnsi="Courier New"/>
        </w:rPr>
        <w:t>were generally much smaller than the subject</w:t>
      </w:r>
      <w:r w:rsidR="001B5C6B">
        <w:rPr>
          <w:rFonts w:ascii="Courier New" w:hAnsi="Courier New"/>
        </w:rPr>
        <w:t xml:space="preserve"> </w:t>
      </w:r>
      <w:r w:rsidR="00D13E5D">
        <w:rPr>
          <w:rFonts w:ascii="Courier New" w:hAnsi="Courier New"/>
        </w:rPr>
        <w:t xml:space="preserve">property </w:t>
      </w:r>
      <w:r w:rsidR="001B5C6B">
        <w:rPr>
          <w:rFonts w:ascii="Courier New" w:hAnsi="Courier New"/>
        </w:rPr>
        <w:t xml:space="preserve">and inferior </w:t>
      </w:r>
      <w:r w:rsidR="00D13E5D">
        <w:rPr>
          <w:rFonts w:ascii="Courier New" w:hAnsi="Courier New"/>
        </w:rPr>
        <w:t xml:space="preserve">to it </w:t>
      </w:r>
      <w:r w:rsidR="001B5C6B">
        <w:rPr>
          <w:rFonts w:ascii="Courier New" w:hAnsi="Courier New"/>
        </w:rPr>
        <w:t xml:space="preserve">in condition and location. </w:t>
      </w:r>
      <w:r w:rsidR="0034418E">
        <w:rPr>
          <w:rFonts w:ascii="Courier New" w:hAnsi="Courier New"/>
        </w:rPr>
        <w:t xml:space="preserve"> </w:t>
      </w:r>
      <w:r>
        <w:rPr>
          <w:rFonts w:ascii="Courier New" w:hAnsi="Courier New"/>
          <w:i/>
        </w:rPr>
        <w:t xml:space="preserve">See, e.g., </w:t>
      </w:r>
      <w:r w:rsidR="005417A2">
        <w:rPr>
          <w:rFonts w:ascii="Courier New" w:hAnsi="Courier New" w:cs="Courier New"/>
          <w:b/>
          <w:i/>
        </w:rPr>
        <w:t>Lattuca v. Robsham</w:t>
      </w:r>
      <w:r w:rsidR="005417A2">
        <w:rPr>
          <w:rFonts w:ascii="Courier New" w:hAnsi="Courier New" w:cs="Courier New"/>
        </w:rPr>
        <w:t xml:space="preserve">, 442 </w:t>
      </w:r>
      <w:smartTag w:uri="urn:schemas-microsoft-com:office:smarttags" w:element="place">
        <w:smartTag w:uri="urn:schemas-microsoft-com:office:smarttags" w:element="State">
          <w:r w:rsidR="005417A2">
            <w:rPr>
              <w:rFonts w:ascii="Courier New" w:hAnsi="Courier New" w:cs="Courier New"/>
            </w:rPr>
            <w:t>Mass.</w:t>
          </w:r>
        </w:smartTag>
      </w:smartTag>
      <w:r w:rsidR="005417A2">
        <w:rPr>
          <w:rFonts w:ascii="Courier New" w:hAnsi="Courier New" w:cs="Courier New"/>
        </w:rPr>
        <w:t xml:space="preserve"> 205, 216 (2004); </w:t>
      </w:r>
      <w:r w:rsidR="005417A2" w:rsidRPr="005417A2">
        <w:rPr>
          <w:rFonts w:ascii="Courier New" w:hAnsi="Courier New"/>
          <w:b/>
          <w:i/>
        </w:rPr>
        <w:t>5’s Enuf</w:t>
      </w:r>
      <w:r w:rsidR="005417A2">
        <w:rPr>
          <w:rFonts w:ascii="Courier New" w:hAnsi="Courier New"/>
          <w:b/>
        </w:rPr>
        <w:t xml:space="preserve"> </w:t>
      </w:r>
      <w:r w:rsidR="005417A2">
        <w:rPr>
          <w:rFonts w:ascii="Courier New" w:hAnsi="Courier New"/>
          <w:b/>
          <w:i/>
        </w:rPr>
        <w:t xml:space="preserve">v. Assessors of Monterey, </w:t>
      </w:r>
      <w:r w:rsidR="005417A2">
        <w:rPr>
          <w:rFonts w:ascii="Courier New" w:hAnsi="Courier New"/>
        </w:rPr>
        <w:t>Mass</w:t>
      </w:r>
      <w:r w:rsidR="00C06AC5">
        <w:rPr>
          <w:rFonts w:ascii="Courier New" w:hAnsi="Courier New"/>
        </w:rPr>
        <w:t>.</w:t>
      </w:r>
      <w:r w:rsidR="005417A2">
        <w:rPr>
          <w:rFonts w:ascii="Courier New" w:hAnsi="Courier New"/>
        </w:rPr>
        <w:t xml:space="preserve"> ATB Findings of Fact and Reports 2018-49, 56 (</w:t>
      </w:r>
      <w:r w:rsidR="005417A2">
        <w:rPr>
          <w:rFonts w:ascii="Courier New" w:hAnsi="Courier New" w:cs="Courier New"/>
        </w:rPr>
        <w:t>“without appropriate adjustments . . . the assessed values of [comparable] properties [do] not provide reliable indicator[s] of the subject’s fair cash value”</w:t>
      </w:r>
      <w:r w:rsidR="00D13E5D">
        <w:rPr>
          <w:rFonts w:ascii="Courier New" w:hAnsi="Courier New" w:cs="Courier New"/>
        </w:rPr>
        <w:t>).</w:t>
      </w:r>
      <w:r w:rsidR="005417A2">
        <w:rPr>
          <w:rFonts w:ascii="Courier New" w:hAnsi="Courier New" w:cs="Courier New"/>
        </w:rPr>
        <w:t xml:space="preserve"> </w:t>
      </w:r>
    </w:p>
    <w:p w:rsidR="008C0BD4" w:rsidRPr="00FE1C83" w:rsidRDefault="008C0BD4" w:rsidP="008C0BD4">
      <w:pPr>
        <w:spacing w:line="480" w:lineRule="auto"/>
        <w:ind w:firstLine="720"/>
        <w:jc w:val="both"/>
        <w:rPr>
          <w:rFonts w:ascii="Courier New" w:hAnsi="Courier New"/>
        </w:rPr>
      </w:pPr>
      <w:r w:rsidRPr="00FE1C83">
        <w:rPr>
          <w:rFonts w:ascii="Courier New" w:hAnsi="Courier New"/>
          <w:szCs w:val="20"/>
        </w:rPr>
        <w:t xml:space="preserve">Further, actual sales of </w:t>
      </w:r>
      <w:r w:rsidRPr="00FE1C83">
        <w:rPr>
          <w:rFonts w:ascii="Courier New" w:hAnsi="Courier New"/>
          <w:bCs/>
          <w:iCs/>
          <w:szCs w:val="20"/>
        </w:rPr>
        <w:t>the subject</w:t>
      </w:r>
      <w:r w:rsidRPr="00FE1C83">
        <w:rPr>
          <w:rFonts w:ascii="Courier New" w:hAnsi="Courier New"/>
          <w:szCs w:val="20"/>
        </w:rPr>
        <w:t xml:space="preserve"> property generally provide “very strong evidence of fair market value, for they represent what a buyer has been willing to pay to a seller for [the] particular property [under appeal].”  </w:t>
      </w:r>
      <w:r w:rsidRPr="00FE1C83">
        <w:rPr>
          <w:rFonts w:ascii="Courier New" w:hAnsi="Courier New"/>
          <w:b/>
          <w:bCs/>
          <w:i/>
          <w:iCs/>
          <w:szCs w:val="20"/>
        </w:rPr>
        <w:t>New Boston Garden Corporation v. Assessors of Boston,</w:t>
      </w:r>
      <w:r w:rsidRPr="00FE1C83">
        <w:rPr>
          <w:rFonts w:ascii="Courier New" w:hAnsi="Courier New"/>
          <w:szCs w:val="20"/>
        </w:rPr>
        <w:t xml:space="preserve"> 383 Mass. 456, 469 (1981) (</w:t>
      </w:r>
      <w:r w:rsidRPr="00FE1C83">
        <w:rPr>
          <w:rFonts w:ascii="Courier New" w:hAnsi="Courier New"/>
          <w:iCs/>
          <w:szCs w:val="20"/>
        </w:rPr>
        <w:t>quoting</w:t>
      </w:r>
      <w:r w:rsidRPr="00FE1C83">
        <w:rPr>
          <w:rFonts w:ascii="Courier New" w:hAnsi="Courier New"/>
          <w:szCs w:val="20"/>
        </w:rPr>
        <w:t xml:space="preserve"> </w:t>
      </w:r>
      <w:r w:rsidRPr="00FE1C83">
        <w:rPr>
          <w:rFonts w:ascii="Courier New" w:hAnsi="Courier New"/>
          <w:b/>
          <w:bCs/>
          <w:i/>
          <w:iCs/>
          <w:szCs w:val="20"/>
        </w:rPr>
        <w:t xml:space="preserve">First National Stores, Inc. v. Assessors of Somerville, </w:t>
      </w:r>
      <w:r w:rsidRPr="00FE1C83">
        <w:rPr>
          <w:rFonts w:ascii="Courier New" w:hAnsi="Courier New"/>
          <w:szCs w:val="20"/>
        </w:rPr>
        <w:t xml:space="preserve">358 Mass. 554, 560 (1971)). </w:t>
      </w:r>
      <w:r w:rsidRPr="00FE1C83">
        <w:rPr>
          <w:rFonts w:ascii="Courier New" w:hAnsi="Courier New" w:cs="Courier New"/>
          <w:szCs w:val="20"/>
        </w:rPr>
        <w:t xml:space="preserve"> </w:t>
      </w:r>
      <w:r w:rsidR="00787B54">
        <w:rPr>
          <w:rFonts w:ascii="Courier New" w:hAnsi="Courier New" w:cs="Courier New"/>
        </w:rPr>
        <w:t>The</w:t>
      </w:r>
      <w:r w:rsidRPr="00FE1C83">
        <w:rPr>
          <w:rFonts w:ascii="Courier New" w:hAnsi="Courier New" w:cs="Courier New"/>
        </w:rPr>
        <w:t xml:space="preserve"> circumstances surrounding actual sales of the subject property must be scrutinized.  </w:t>
      </w:r>
      <w:r w:rsidRPr="00FE1C83">
        <w:rPr>
          <w:rFonts w:ascii="Courier New" w:hAnsi="Courier New" w:cs="Courier New"/>
          <w:i/>
        </w:rPr>
        <w:t xml:space="preserve">See </w:t>
      </w:r>
      <w:r w:rsidRPr="00FE1C83">
        <w:rPr>
          <w:rFonts w:ascii="Courier New" w:hAnsi="Courier New" w:cs="Courier New"/>
          <w:b/>
          <w:i/>
        </w:rPr>
        <w:t>Pepsi-Cola Bottling Co.</w:t>
      </w:r>
      <w:r w:rsidR="0034418E">
        <w:rPr>
          <w:rFonts w:ascii="Courier New" w:hAnsi="Courier New" w:cs="Courier New"/>
          <w:b/>
          <w:i/>
        </w:rPr>
        <w:t xml:space="preserve"> v. Assessors of Boston</w:t>
      </w:r>
      <w:r w:rsidRPr="00FE1C83">
        <w:rPr>
          <w:rFonts w:ascii="Courier New" w:hAnsi="Courier New" w:cs="Courier New"/>
          <w:b/>
          <w:i/>
        </w:rPr>
        <w:t xml:space="preserve">, </w:t>
      </w:r>
      <w:r w:rsidRPr="00FE1C83">
        <w:rPr>
          <w:rFonts w:ascii="Courier New" w:hAnsi="Courier New" w:cs="Courier New"/>
        </w:rPr>
        <w:t xml:space="preserve">397 Mass. </w:t>
      </w:r>
      <w:r w:rsidR="00D07728">
        <w:rPr>
          <w:rFonts w:ascii="Courier New" w:hAnsi="Courier New" w:cs="Courier New"/>
        </w:rPr>
        <w:t>447, 450 (1986)</w:t>
      </w:r>
      <w:r w:rsidRPr="00FE1C83">
        <w:rPr>
          <w:rFonts w:ascii="Courier New" w:hAnsi="Courier New" w:cs="Courier New"/>
        </w:rPr>
        <w:t xml:space="preserve">.  </w:t>
      </w:r>
    </w:p>
    <w:p w:rsidR="008C0BD4" w:rsidRDefault="008C0BD4" w:rsidP="008C0BD4">
      <w:pPr>
        <w:spacing w:line="480" w:lineRule="auto"/>
        <w:ind w:firstLine="720"/>
        <w:jc w:val="both"/>
        <w:rPr>
          <w:rFonts w:ascii="Courier New" w:hAnsi="Courier New"/>
          <w:szCs w:val="20"/>
        </w:rPr>
      </w:pPr>
      <w:r w:rsidRPr="00FE1C83">
        <w:rPr>
          <w:rFonts w:ascii="Courier New" w:hAnsi="Courier New"/>
        </w:rPr>
        <w:lastRenderedPageBreak/>
        <w:t xml:space="preserve">In the present appeal, </w:t>
      </w:r>
      <w:r w:rsidR="00E55094">
        <w:rPr>
          <w:rFonts w:ascii="Courier New" w:hAnsi="Courier New"/>
        </w:rPr>
        <w:t>the appellant failed to offer reliable credible evidence concerning the value of either the subject property or the other parcels that he purchased in conjunction with the subject property.  Accordingly, in the absence of such evidence</w:t>
      </w:r>
      <w:r w:rsidR="00F247B9">
        <w:rPr>
          <w:rFonts w:ascii="Courier New" w:hAnsi="Courier New"/>
        </w:rPr>
        <w:t>,</w:t>
      </w:r>
      <w:r w:rsidR="00E55094">
        <w:rPr>
          <w:rFonts w:ascii="Courier New" w:hAnsi="Courier New"/>
        </w:rPr>
        <w:t xml:space="preserve"> </w:t>
      </w:r>
      <w:r w:rsidR="00F247B9">
        <w:rPr>
          <w:rFonts w:ascii="Courier New" w:hAnsi="Courier New"/>
        </w:rPr>
        <w:t xml:space="preserve">the Board found that </w:t>
      </w:r>
      <w:r w:rsidR="00E55094">
        <w:rPr>
          <w:rFonts w:ascii="Courier New" w:hAnsi="Courier New"/>
        </w:rPr>
        <w:t xml:space="preserve">the sale price of the subject property and </w:t>
      </w:r>
      <w:r w:rsidR="00F247B9">
        <w:rPr>
          <w:rFonts w:ascii="Courier New" w:hAnsi="Courier New"/>
        </w:rPr>
        <w:t xml:space="preserve">the two adjacent lots on Bisco Place for approximately $100,000 more than the assessed value of the subject property supported the assessed value.  </w:t>
      </w:r>
    </w:p>
    <w:p w:rsidR="00897985" w:rsidRDefault="008C0BD4" w:rsidP="008C0BD4">
      <w:pPr>
        <w:spacing w:after="120" w:line="480" w:lineRule="auto"/>
        <w:ind w:firstLine="720"/>
        <w:jc w:val="both"/>
        <w:rPr>
          <w:rFonts w:ascii="Courier New" w:hAnsi="Courier New"/>
          <w:szCs w:val="20"/>
        </w:rPr>
      </w:pPr>
      <w:r w:rsidRPr="00A75742">
        <w:rPr>
          <w:rFonts w:ascii="Courier New" w:hAnsi="Courier New"/>
          <w:szCs w:val="20"/>
        </w:rPr>
        <w:t xml:space="preserve">In reaching its decision in this appeal, the Board was not required to believe the testimony of any particular witness or adopt any particular method of valuation that a witness suggested.  Rather, the Board could accept those portions of the evidence that the Board determined had more convincing weight.  </w:t>
      </w:r>
      <w:r w:rsidR="00F247B9" w:rsidRPr="00A75742">
        <w:rPr>
          <w:rFonts w:ascii="Courier New" w:hAnsi="Courier New"/>
          <w:i/>
          <w:iCs/>
          <w:szCs w:val="20"/>
        </w:rPr>
        <w:t xml:space="preserve">See </w:t>
      </w:r>
      <w:r w:rsidR="00F247B9">
        <w:rPr>
          <w:rFonts w:ascii="Courier New" w:hAnsi="Courier New"/>
          <w:b/>
          <w:bCs/>
          <w:i/>
          <w:iCs/>
          <w:szCs w:val="20"/>
        </w:rPr>
        <w:t>Foxboro Associates,</w:t>
      </w:r>
      <w:r w:rsidR="00F247B9" w:rsidRPr="00A75742">
        <w:rPr>
          <w:rFonts w:ascii="Courier New" w:hAnsi="Courier New"/>
          <w:szCs w:val="20"/>
        </w:rPr>
        <w:t xml:space="preserve"> 385 Mass. </w:t>
      </w:r>
      <w:r w:rsidR="00F247B9">
        <w:rPr>
          <w:rFonts w:ascii="Courier New" w:hAnsi="Courier New"/>
          <w:szCs w:val="20"/>
        </w:rPr>
        <w:t>at</w:t>
      </w:r>
      <w:r w:rsidR="00F247B9" w:rsidRPr="00A75742">
        <w:rPr>
          <w:rFonts w:ascii="Courier New" w:hAnsi="Courier New"/>
          <w:szCs w:val="20"/>
        </w:rPr>
        <w:t xml:space="preserve"> </w:t>
      </w:r>
      <w:r w:rsidR="00F247B9">
        <w:rPr>
          <w:rFonts w:ascii="Courier New" w:hAnsi="Courier New"/>
          <w:szCs w:val="20"/>
        </w:rPr>
        <w:t>683;</w:t>
      </w:r>
      <w:r w:rsidRPr="00A75742">
        <w:rPr>
          <w:rFonts w:ascii="Courier New" w:hAnsi="Courier New"/>
          <w:szCs w:val="20"/>
        </w:rPr>
        <w:t xml:space="preserve"> </w:t>
      </w:r>
      <w:r w:rsidR="00F247B9" w:rsidRPr="00A75742">
        <w:rPr>
          <w:rFonts w:ascii="Courier New" w:hAnsi="Courier New"/>
          <w:b/>
          <w:bCs/>
          <w:i/>
          <w:iCs/>
          <w:szCs w:val="20"/>
        </w:rPr>
        <w:t>New Boston Garden</w:t>
      </w:r>
      <w:r w:rsidR="00D07728">
        <w:rPr>
          <w:rFonts w:ascii="Courier New" w:hAnsi="Courier New"/>
          <w:b/>
          <w:bCs/>
          <w:i/>
          <w:iCs/>
          <w:szCs w:val="20"/>
        </w:rPr>
        <w:t>,</w:t>
      </w:r>
      <w:r w:rsidR="00F247B9" w:rsidRPr="00A75742">
        <w:rPr>
          <w:rFonts w:ascii="Courier New" w:hAnsi="Courier New"/>
          <w:b/>
          <w:bCs/>
          <w:i/>
          <w:iCs/>
          <w:szCs w:val="20"/>
        </w:rPr>
        <w:t xml:space="preserve"> </w:t>
      </w:r>
      <w:r w:rsidR="00F247B9" w:rsidRPr="00A75742">
        <w:rPr>
          <w:rFonts w:ascii="Courier New" w:hAnsi="Courier New"/>
          <w:szCs w:val="20"/>
        </w:rPr>
        <w:t>383</w:t>
      </w:r>
      <w:r w:rsidR="00897985">
        <w:rPr>
          <w:rFonts w:ascii="Courier New" w:hAnsi="Courier New"/>
          <w:szCs w:val="20"/>
        </w:rPr>
        <w:t> </w:t>
      </w:r>
      <w:r w:rsidR="00F247B9" w:rsidRPr="00A75742">
        <w:rPr>
          <w:rFonts w:ascii="Courier New" w:hAnsi="Courier New"/>
          <w:szCs w:val="20"/>
        </w:rPr>
        <w:t xml:space="preserve">Mass. </w:t>
      </w:r>
      <w:r w:rsidR="00D07728">
        <w:rPr>
          <w:rFonts w:ascii="Courier New" w:hAnsi="Courier New"/>
          <w:szCs w:val="20"/>
        </w:rPr>
        <w:t>at</w:t>
      </w:r>
      <w:r w:rsidR="00F247B9" w:rsidRPr="00A75742">
        <w:rPr>
          <w:rFonts w:ascii="Courier New" w:hAnsi="Courier New"/>
          <w:szCs w:val="20"/>
        </w:rPr>
        <w:t xml:space="preserve"> 47</w:t>
      </w:r>
      <w:r w:rsidR="00F247B9">
        <w:rPr>
          <w:rFonts w:ascii="Courier New" w:hAnsi="Courier New"/>
          <w:szCs w:val="20"/>
        </w:rPr>
        <w:t>3</w:t>
      </w:r>
      <w:r w:rsidRPr="00A75742">
        <w:rPr>
          <w:rFonts w:ascii="Courier New" w:hAnsi="Courier New"/>
          <w:szCs w:val="20"/>
        </w:rPr>
        <w:t xml:space="preserve">; </w:t>
      </w:r>
      <w:r w:rsidR="00D07728">
        <w:rPr>
          <w:rFonts w:ascii="Courier New" w:hAnsi="Courier New"/>
          <w:b/>
          <w:i/>
          <w:szCs w:val="20"/>
        </w:rPr>
        <w:t xml:space="preserve">Assessors of Lynnfield v. </w:t>
      </w:r>
      <w:r w:rsidRPr="00A75742">
        <w:rPr>
          <w:rFonts w:ascii="Courier New" w:hAnsi="Courier New"/>
          <w:b/>
          <w:bCs/>
          <w:i/>
          <w:iCs/>
          <w:szCs w:val="20"/>
        </w:rPr>
        <w:t xml:space="preserve">New England Oyster House, Inc., </w:t>
      </w:r>
      <w:r w:rsidRPr="00A75742">
        <w:rPr>
          <w:rFonts w:ascii="Courier New" w:hAnsi="Courier New"/>
          <w:szCs w:val="20"/>
        </w:rPr>
        <w:t xml:space="preserve">362 Mass. </w:t>
      </w:r>
      <w:r w:rsidR="00D07728">
        <w:rPr>
          <w:rFonts w:ascii="Courier New" w:hAnsi="Courier New"/>
          <w:szCs w:val="20"/>
        </w:rPr>
        <w:t xml:space="preserve">696, </w:t>
      </w:r>
      <w:r w:rsidRPr="00A75742">
        <w:rPr>
          <w:rFonts w:ascii="Courier New" w:hAnsi="Courier New"/>
          <w:szCs w:val="20"/>
        </w:rPr>
        <w:t>701-02</w:t>
      </w:r>
      <w:r w:rsidR="00D07728">
        <w:rPr>
          <w:rFonts w:ascii="Courier New" w:hAnsi="Courier New"/>
          <w:szCs w:val="20"/>
        </w:rPr>
        <w:t xml:space="preserve"> (1972)</w:t>
      </w:r>
      <w:r w:rsidRPr="00A75742">
        <w:rPr>
          <w:rFonts w:ascii="Courier New" w:hAnsi="Courier New"/>
          <w:szCs w:val="20"/>
        </w:rPr>
        <w:t xml:space="preserve">.  “The credibility of witnesses, the weight of evidence, the inferences to be drawn from the evidence are matters for the board.”  </w:t>
      </w:r>
      <w:r w:rsidRPr="00A75742">
        <w:rPr>
          <w:rFonts w:ascii="Courier New" w:hAnsi="Courier New"/>
          <w:b/>
          <w:bCs/>
          <w:i/>
          <w:iCs/>
          <w:szCs w:val="20"/>
        </w:rPr>
        <w:t>Cummington School of the Arts, Inc. v. Assessors of Cummington,</w:t>
      </w:r>
      <w:r w:rsidRPr="00A75742">
        <w:rPr>
          <w:rFonts w:ascii="Courier New" w:hAnsi="Courier New"/>
          <w:szCs w:val="20"/>
        </w:rPr>
        <w:t xml:space="preserve"> 373 Mass. 597, 605 (1977).  </w:t>
      </w:r>
    </w:p>
    <w:p w:rsidR="00897985" w:rsidRDefault="00897985">
      <w:pPr>
        <w:spacing w:after="200" w:line="276" w:lineRule="auto"/>
        <w:rPr>
          <w:rFonts w:ascii="Courier New" w:hAnsi="Courier New"/>
          <w:szCs w:val="20"/>
        </w:rPr>
      </w:pPr>
      <w:r>
        <w:rPr>
          <w:rFonts w:ascii="Courier New" w:hAnsi="Courier New"/>
          <w:szCs w:val="20"/>
        </w:rPr>
        <w:br w:type="page"/>
      </w:r>
    </w:p>
    <w:p w:rsidR="008C0BD4" w:rsidRPr="00A75742" w:rsidRDefault="008C0BD4" w:rsidP="008C0BD4">
      <w:pPr>
        <w:spacing w:after="120" w:line="480" w:lineRule="auto"/>
        <w:ind w:firstLine="720"/>
        <w:jc w:val="both"/>
      </w:pPr>
      <w:r w:rsidRPr="00A75742">
        <w:rPr>
          <w:rFonts w:ascii="Courier New" w:hAnsi="Courier New"/>
          <w:szCs w:val="20"/>
        </w:rPr>
        <w:lastRenderedPageBreak/>
        <w:t xml:space="preserve">On this basis, the Board </w:t>
      </w:r>
      <w:r w:rsidRPr="00A75742">
        <w:rPr>
          <w:rFonts w:ascii="Courier New" w:hAnsi="Courier New" w:cs="Courier New"/>
          <w:szCs w:val="20"/>
        </w:rPr>
        <w:t>fou</w:t>
      </w:r>
      <w:r w:rsidR="00D13E5D">
        <w:rPr>
          <w:rFonts w:ascii="Courier New" w:hAnsi="Courier New" w:cs="Courier New"/>
          <w:szCs w:val="20"/>
        </w:rPr>
        <w:t>nd and ruled that the appellant</w:t>
      </w:r>
      <w:r w:rsidRPr="00A75742">
        <w:rPr>
          <w:rFonts w:ascii="Courier New" w:hAnsi="Courier New" w:cs="Courier New"/>
          <w:szCs w:val="20"/>
        </w:rPr>
        <w:t xml:space="preserve"> failed to demonstrate that the subject property’s assessment, as abated, exceeded its fair cash value for the fiscal year at issue.  The Board, therefore, decided this appeal </w:t>
      </w:r>
      <w:r w:rsidRPr="00A75742">
        <w:rPr>
          <w:rFonts w:ascii="Courier New" w:hAnsi="Courier New"/>
          <w:szCs w:val="20"/>
        </w:rPr>
        <w:t>for the appellee.</w:t>
      </w:r>
    </w:p>
    <w:p w:rsidR="008C0BD4" w:rsidRPr="00A75742" w:rsidRDefault="008C0BD4" w:rsidP="008C0BD4">
      <w:pPr>
        <w:spacing w:line="480" w:lineRule="auto"/>
        <w:jc w:val="both"/>
        <w:rPr>
          <w:rFonts w:ascii="Courier New" w:hAnsi="Courier New" w:cs="Courier New"/>
          <w:b/>
        </w:rPr>
      </w:pPr>
      <w:r w:rsidRPr="00A75742">
        <w:tab/>
      </w:r>
      <w:r w:rsidRPr="00A75742">
        <w:tab/>
      </w:r>
      <w:r w:rsidRPr="00A75742">
        <w:tab/>
        <w:t xml:space="preserve">                           </w:t>
      </w:r>
      <w:r w:rsidRPr="00A75742">
        <w:rPr>
          <w:rFonts w:ascii="Courier New" w:hAnsi="Courier New" w:cs="Courier New"/>
          <w:b/>
        </w:rPr>
        <w:t>THE</w:t>
      </w:r>
      <w:r w:rsidRPr="00A75742">
        <w:rPr>
          <w:b/>
        </w:rPr>
        <w:t xml:space="preserve"> </w:t>
      </w:r>
      <w:r w:rsidRPr="00A75742">
        <w:rPr>
          <w:rFonts w:ascii="Courier New" w:hAnsi="Courier New" w:cs="Courier New"/>
          <w:b/>
        </w:rPr>
        <w:t>APPELLATE TAX BOARD</w:t>
      </w:r>
    </w:p>
    <w:p w:rsidR="008C0BD4" w:rsidRDefault="008C0BD4" w:rsidP="008C0BD4">
      <w:pPr>
        <w:jc w:val="both"/>
        <w:rPr>
          <w:rFonts w:ascii="Courier New" w:hAnsi="Courier New" w:cs="Courier New"/>
          <w:b/>
        </w:rPr>
      </w:pPr>
    </w:p>
    <w:p w:rsidR="00E55094" w:rsidRDefault="00E55094" w:rsidP="008C0BD4">
      <w:pPr>
        <w:jc w:val="both"/>
        <w:rPr>
          <w:rFonts w:ascii="Courier New" w:hAnsi="Courier New" w:cs="Courier New"/>
          <w:b/>
        </w:rPr>
      </w:pPr>
    </w:p>
    <w:p w:rsidR="00E55094" w:rsidRPr="00A75742" w:rsidRDefault="00E55094" w:rsidP="008C0BD4">
      <w:pPr>
        <w:jc w:val="both"/>
        <w:rPr>
          <w:rFonts w:ascii="Courier New" w:hAnsi="Courier New" w:cs="Courier New"/>
          <w:b/>
        </w:rPr>
      </w:pPr>
    </w:p>
    <w:p w:rsidR="008C0BD4" w:rsidRPr="00A75742" w:rsidRDefault="008C0BD4" w:rsidP="008C0BD4">
      <w:pPr>
        <w:jc w:val="both"/>
        <w:rPr>
          <w:rFonts w:ascii="Courier New" w:hAnsi="Courier New" w:cs="Courier New"/>
          <w:b/>
        </w:rPr>
      </w:pPr>
      <w:r w:rsidRPr="00A75742">
        <w:rPr>
          <w:rFonts w:ascii="Courier New" w:hAnsi="Courier New" w:cs="Courier New"/>
          <w:b/>
        </w:rPr>
        <w:tab/>
      </w:r>
      <w:r w:rsidRPr="00A75742">
        <w:rPr>
          <w:rFonts w:ascii="Courier New" w:hAnsi="Courier New" w:cs="Courier New"/>
          <w:b/>
        </w:rPr>
        <w:tab/>
      </w:r>
      <w:r w:rsidRPr="00A75742">
        <w:rPr>
          <w:rFonts w:ascii="Courier New" w:hAnsi="Courier New" w:cs="Courier New"/>
          <w:b/>
        </w:rPr>
        <w:tab/>
      </w:r>
      <w:r w:rsidRPr="00A75742">
        <w:rPr>
          <w:rFonts w:ascii="Courier New" w:hAnsi="Courier New" w:cs="Courier New"/>
          <w:b/>
        </w:rPr>
        <w:tab/>
        <w:t xml:space="preserve">  By:</w:t>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t>________________</w:t>
      </w:r>
      <w:r w:rsidRPr="00A75742">
        <w:rPr>
          <w:rFonts w:ascii="Courier New" w:hAnsi="Courier New" w:cs="Courier New"/>
          <w:b/>
        </w:rPr>
        <w:t xml:space="preserve">   </w:t>
      </w:r>
      <w:r w:rsidRPr="00A75742">
        <w:rPr>
          <w:rFonts w:ascii="Courier New" w:hAnsi="Courier New" w:cs="Courier New"/>
          <w:b/>
        </w:rPr>
        <w:tab/>
      </w:r>
      <w:r w:rsidRPr="00A75742">
        <w:rPr>
          <w:rFonts w:ascii="Courier New" w:hAnsi="Courier New" w:cs="Courier New"/>
          <w:b/>
        </w:rPr>
        <w:tab/>
      </w:r>
      <w:r w:rsidRPr="00A75742">
        <w:rPr>
          <w:rFonts w:ascii="Courier New" w:hAnsi="Courier New" w:cs="Courier New"/>
          <w:b/>
        </w:rPr>
        <w:tab/>
      </w:r>
      <w:r w:rsidRPr="00A75742">
        <w:rPr>
          <w:rFonts w:ascii="Courier New" w:hAnsi="Courier New" w:cs="Courier New"/>
          <w:b/>
        </w:rPr>
        <w:tab/>
        <w:t xml:space="preserve">    </w:t>
      </w:r>
      <w:r w:rsidRPr="00A75742">
        <w:rPr>
          <w:rFonts w:ascii="Courier New" w:hAnsi="Courier New" w:cs="Courier New"/>
          <w:b/>
        </w:rPr>
        <w:tab/>
        <w:t xml:space="preserve">     Thomas W. Hammond, Jr., Chairman</w:t>
      </w:r>
    </w:p>
    <w:p w:rsidR="00897985" w:rsidRDefault="00897985" w:rsidP="008C0BD4">
      <w:pPr>
        <w:jc w:val="both"/>
        <w:rPr>
          <w:rFonts w:ascii="Courier New" w:hAnsi="Courier New" w:cs="Courier New"/>
          <w:b/>
        </w:rPr>
      </w:pPr>
    </w:p>
    <w:p w:rsidR="00897985" w:rsidRDefault="00897985" w:rsidP="008C0BD4">
      <w:pPr>
        <w:jc w:val="both"/>
        <w:rPr>
          <w:rFonts w:ascii="Courier New" w:hAnsi="Courier New" w:cs="Courier New"/>
          <w:b/>
        </w:rPr>
      </w:pPr>
    </w:p>
    <w:p w:rsidR="00897985" w:rsidRDefault="00897985" w:rsidP="008C0BD4">
      <w:pPr>
        <w:jc w:val="both"/>
        <w:rPr>
          <w:rFonts w:ascii="Courier New" w:hAnsi="Courier New" w:cs="Courier New"/>
          <w:b/>
        </w:rPr>
      </w:pPr>
    </w:p>
    <w:p w:rsidR="00897985" w:rsidRDefault="00897985" w:rsidP="008C0BD4">
      <w:pPr>
        <w:jc w:val="both"/>
        <w:rPr>
          <w:rFonts w:ascii="Courier New" w:hAnsi="Courier New" w:cs="Courier New"/>
          <w:b/>
        </w:rPr>
      </w:pPr>
    </w:p>
    <w:p w:rsidR="00897985" w:rsidRDefault="00897985" w:rsidP="008C0BD4">
      <w:pPr>
        <w:jc w:val="both"/>
        <w:rPr>
          <w:rFonts w:ascii="Courier New" w:hAnsi="Courier New" w:cs="Courier New"/>
          <w:b/>
        </w:rPr>
      </w:pPr>
    </w:p>
    <w:p w:rsidR="006652C4" w:rsidRDefault="006652C4" w:rsidP="006652C4">
      <w:pPr>
        <w:jc w:val="both"/>
        <w:rPr>
          <w:rFonts w:ascii="Courier New" w:hAnsi="Courier New" w:cs="Courier New"/>
          <w:b/>
        </w:rPr>
      </w:pPr>
      <w:r w:rsidRPr="00A75742">
        <w:rPr>
          <w:rFonts w:ascii="Courier New" w:hAnsi="Courier New" w:cs="Courier New"/>
          <w:b/>
        </w:rPr>
        <w:t>A true copy,</w:t>
      </w:r>
    </w:p>
    <w:p w:rsidR="006652C4" w:rsidRPr="00A75742" w:rsidRDefault="006652C4" w:rsidP="006652C4">
      <w:pPr>
        <w:jc w:val="both"/>
        <w:rPr>
          <w:rFonts w:ascii="Courier New" w:hAnsi="Courier New" w:cs="Courier New"/>
          <w:b/>
        </w:rPr>
      </w:pPr>
    </w:p>
    <w:p w:rsidR="006652C4" w:rsidRPr="00A75742" w:rsidRDefault="006652C4" w:rsidP="006652C4">
      <w:pPr>
        <w:jc w:val="both"/>
        <w:rPr>
          <w:rFonts w:ascii="Courier New" w:hAnsi="Courier New" w:cs="Courier New"/>
          <w:b/>
        </w:rPr>
      </w:pPr>
    </w:p>
    <w:p w:rsidR="006652C4" w:rsidRPr="00A75742" w:rsidRDefault="006652C4" w:rsidP="006652C4">
      <w:pPr>
        <w:jc w:val="both"/>
        <w:rPr>
          <w:rFonts w:ascii="Courier New" w:hAnsi="Courier New" w:cs="Courier New"/>
          <w:b/>
          <w:u w:val="single"/>
        </w:rPr>
      </w:pPr>
      <w:r w:rsidRPr="00A75742">
        <w:rPr>
          <w:rFonts w:ascii="Courier New" w:hAnsi="Courier New" w:cs="Courier New"/>
          <w:b/>
        </w:rPr>
        <w:t>Attest:</w:t>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r>
      <w:r w:rsidRPr="00A75742">
        <w:rPr>
          <w:rFonts w:ascii="Courier New" w:hAnsi="Courier New" w:cs="Courier New"/>
          <w:b/>
          <w:u w:val="single"/>
        </w:rPr>
        <w:tab/>
        <w:t>_</w:t>
      </w:r>
    </w:p>
    <w:p w:rsidR="006652C4" w:rsidRPr="00A75742" w:rsidRDefault="006652C4" w:rsidP="006652C4">
      <w:pPr>
        <w:jc w:val="both"/>
        <w:rPr>
          <w:rFonts w:ascii="Courier New" w:hAnsi="Courier New" w:cs="Courier New"/>
          <w:b/>
        </w:rPr>
      </w:pPr>
      <w:r w:rsidRPr="00A75742">
        <w:rPr>
          <w:rFonts w:ascii="Courier New" w:hAnsi="Courier New" w:cs="Courier New"/>
          <w:b/>
        </w:rPr>
        <w:t xml:space="preserve">       Clerk of the Board</w:t>
      </w:r>
    </w:p>
    <w:p w:rsidR="006652C4" w:rsidRDefault="006652C4" w:rsidP="006652C4"/>
    <w:p w:rsidR="00897985" w:rsidRDefault="00897985" w:rsidP="008C0BD4">
      <w:pPr>
        <w:jc w:val="both"/>
        <w:rPr>
          <w:rFonts w:ascii="Courier New" w:hAnsi="Courier New" w:cs="Courier New"/>
          <w:b/>
        </w:rPr>
      </w:pPr>
    </w:p>
    <w:sectPr w:rsidR="00897985" w:rsidSect="00562467">
      <w:footerReference w:type="default" r:id="rId8"/>
      <w:pgSz w:w="12240" w:h="15840"/>
      <w:pgMar w:top="1440" w:right="1440" w:bottom="1440" w:left="1440" w:header="720" w:footer="720" w:gutter="0"/>
      <w:pgNumType w:start="70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BD4" w:rsidRDefault="008C0BD4" w:rsidP="008C0BD4">
      <w:r>
        <w:separator/>
      </w:r>
    </w:p>
  </w:endnote>
  <w:endnote w:type="continuationSeparator" w:id="0">
    <w:p w:rsidR="008C0BD4" w:rsidRDefault="008C0BD4" w:rsidP="008C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394238890"/>
      <w:docPartObj>
        <w:docPartGallery w:val="Page Numbers (Bottom of Page)"/>
        <w:docPartUnique/>
      </w:docPartObj>
    </w:sdtPr>
    <w:sdtEndPr>
      <w:rPr>
        <w:rFonts w:ascii="Times New Roman" w:hAnsi="Times New Roman" w:cs="Times New Roman"/>
        <w:b w:val="0"/>
        <w:noProof/>
      </w:rPr>
    </w:sdtEndPr>
    <w:sdtContent>
      <w:p w:rsidR="00B705FD" w:rsidRDefault="00562467" w:rsidP="00562467">
        <w:pPr>
          <w:pStyle w:val="Footer"/>
          <w:jc w:val="center"/>
        </w:pPr>
        <w:r w:rsidRPr="00562467">
          <w:rPr>
            <w:rFonts w:ascii="Courier New" w:hAnsi="Courier New" w:cs="Courier New"/>
            <w:b/>
          </w:rPr>
          <w:t>ATB 2018-</w:t>
        </w:r>
        <w:r w:rsidR="00B705FD" w:rsidRPr="00562467">
          <w:rPr>
            <w:rFonts w:ascii="Courier New" w:hAnsi="Courier New" w:cs="Courier New"/>
            <w:b/>
          </w:rPr>
          <w:fldChar w:fldCharType="begin"/>
        </w:r>
        <w:r w:rsidR="00B705FD" w:rsidRPr="00562467">
          <w:rPr>
            <w:rFonts w:ascii="Courier New" w:hAnsi="Courier New" w:cs="Courier New"/>
            <w:b/>
          </w:rPr>
          <w:instrText xml:space="preserve"> PAGE   \* MERGEFORMAT </w:instrText>
        </w:r>
        <w:r w:rsidR="00B705FD" w:rsidRPr="00562467">
          <w:rPr>
            <w:rFonts w:ascii="Courier New" w:hAnsi="Courier New" w:cs="Courier New"/>
            <w:b/>
          </w:rPr>
          <w:fldChar w:fldCharType="separate"/>
        </w:r>
        <w:r w:rsidR="00EA1F17">
          <w:rPr>
            <w:rFonts w:ascii="Courier New" w:hAnsi="Courier New" w:cs="Courier New"/>
            <w:b/>
            <w:noProof/>
          </w:rPr>
          <w:t>710</w:t>
        </w:r>
        <w:r w:rsidR="00B705FD" w:rsidRPr="00562467">
          <w:rPr>
            <w:rFonts w:ascii="Courier New" w:hAnsi="Courier New" w:cs="Courier New"/>
            <w:b/>
            <w:noProof/>
          </w:rPr>
          <w:fldChar w:fldCharType="end"/>
        </w:r>
      </w:p>
    </w:sdtContent>
  </w:sdt>
  <w:p w:rsidR="00B705FD" w:rsidRDefault="00B70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BD4" w:rsidRDefault="008C0BD4" w:rsidP="008C0BD4">
      <w:r>
        <w:separator/>
      </w:r>
    </w:p>
  </w:footnote>
  <w:footnote w:type="continuationSeparator" w:id="0">
    <w:p w:rsidR="008C0BD4" w:rsidRDefault="008C0BD4" w:rsidP="008C0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D4"/>
    <w:rsid w:val="000275C1"/>
    <w:rsid w:val="000413E8"/>
    <w:rsid w:val="000521F2"/>
    <w:rsid w:val="001B5C6B"/>
    <w:rsid w:val="002963BC"/>
    <w:rsid w:val="002D4428"/>
    <w:rsid w:val="0034418E"/>
    <w:rsid w:val="00422112"/>
    <w:rsid w:val="0045538C"/>
    <w:rsid w:val="0046555F"/>
    <w:rsid w:val="005417A2"/>
    <w:rsid w:val="00562467"/>
    <w:rsid w:val="006652C4"/>
    <w:rsid w:val="00724AD9"/>
    <w:rsid w:val="00787B54"/>
    <w:rsid w:val="007A7AF1"/>
    <w:rsid w:val="0083166D"/>
    <w:rsid w:val="00897985"/>
    <w:rsid w:val="008C0BD4"/>
    <w:rsid w:val="008D6849"/>
    <w:rsid w:val="009319E0"/>
    <w:rsid w:val="00A00E54"/>
    <w:rsid w:val="00A4017C"/>
    <w:rsid w:val="00A93ABF"/>
    <w:rsid w:val="00B21977"/>
    <w:rsid w:val="00B539B4"/>
    <w:rsid w:val="00B705FD"/>
    <w:rsid w:val="00BF5181"/>
    <w:rsid w:val="00BF6A46"/>
    <w:rsid w:val="00C06AC5"/>
    <w:rsid w:val="00CF2CA1"/>
    <w:rsid w:val="00D07728"/>
    <w:rsid w:val="00D13E5D"/>
    <w:rsid w:val="00D32F73"/>
    <w:rsid w:val="00D65555"/>
    <w:rsid w:val="00DC4650"/>
    <w:rsid w:val="00DF16FB"/>
    <w:rsid w:val="00E01190"/>
    <w:rsid w:val="00E55094"/>
    <w:rsid w:val="00EA1F17"/>
    <w:rsid w:val="00F2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BD4"/>
    <w:pPr>
      <w:keepNext/>
      <w:outlineLvl w:val="0"/>
    </w:pPr>
    <w:rPr>
      <w:rFonts w:ascii="Courier New" w:eastAsia="Arial Unicode MS"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BD4"/>
    <w:rPr>
      <w:rFonts w:ascii="Courier New" w:eastAsia="Arial Unicode MS" w:hAnsi="Courier New" w:cs="Courier New"/>
      <w:b/>
      <w:bCs/>
      <w:sz w:val="24"/>
      <w:szCs w:val="24"/>
    </w:rPr>
  </w:style>
  <w:style w:type="paragraph" w:styleId="Title">
    <w:name w:val="Title"/>
    <w:basedOn w:val="Normal"/>
    <w:link w:val="TitleChar"/>
    <w:qFormat/>
    <w:rsid w:val="008C0BD4"/>
    <w:pPr>
      <w:jc w:val="center"/>
    </w:pPr>
    <w:rPr>
      <w:rFonts w:ascii="Courier New" w:hAnsi="Courier New" w:cs="Courier New"/>
      <w:b/>
      <w:bCs/>
    </w:rPr>
  </w:style>
  <w:style w:type="character" w:customStyle="1" w:styleId="TitleChar">
    <w:name w:val="Title Char"/>
    <w:basedOn w:val="DefaultParagraphFont"/>
    <w:link w:val="Title"/>
    <w:rsid w:val="008C0BD4"/>
    <w:rPr>
      <w:rFonts w:ascii="Courier New" w:eastAsia="Times New Roman" w:hAnsi="Courier New" w:cs="Courier New"/>
      <w:b/>
      <w:bCs/>
      <w:sz w:val="24"/>
      <w:szCs w:val="24"/>
    </w:rPr>
  </w:style>
  <w:style w:type="paragraph" w:styleId="BodyTextIndent">
    <w:name w:val="Body Text Indent"/>
    <w:basedOn w:val="Normal"/>
    <w:link w:val="BodyTextIndentChar"/>
    <w:semiHidden/>
    <w:unhideWhenUsed/>
    <w:rsid w:val="008C0BD4"/>
    <w:pPr>
      <w:spacing w:line="480" w:lineRule="auto"/>
      <w:ind w:firstLine="720"/>
    </w:pPr>
    <w:rPr>
      <w:rFonts w:ascii="Courier New" w:hAnsi="Courier New" w:cs="Courier New"/>
    </w:rPr>
  </w:style>
  <w:style w:type="character" w:customStyle="1" w:styleId="BodyTextIndentChar">
    <w:name w:val="Body Text Indent Char"/>
    <w:basedOn w:val="DefaultParagraphFont"/>
    <w:link w:val="BodyTextIndent"/>
    <w:semiHidden/>
    <w:rsid w:val="008C0BD4"/>
    <w:rPr>
      <w:rFonts w:ascii="Courier New" w:eastAsia="Times New Roman" w:hAnsi="Courier New" w:cs="Courier New"/>
      <w:sz w:val="24"/>
      <w:szCs w:val="24"/>
    </w:rPr>
  </w:style>
  <w:style w:type="character" w:styleId="FootnoteReference">
    <w:name w:val="footnote reference"/>
    <w:semiHidden/>
    <w:rsid w:val="008C0BD4"/>
    <w:rPr>
      <w:rFonts w:cs="Times New Roman"/>
      <w:vertAlign w:val="superscript"/>
    </w:rPr>
  </w:style>
  <w:style w:type="paragraph" w:styleId="FootnoteText">
    <w:name w:val="footnote text"/>
    <w:basedOn w:val="Normal"/>
    <w:link w:val="FootnoteTextChar"/>
    <w:uiPriority w:val="99"/>
    <w:semiHidden/>
    <w:unhideWhenUsed/>
    <w:rsid w:val="008C0BD4"/>
    <w:rPr>
      <w:sz w:val="20"/>
      <w:szCs w:val="20"/>
    </w:rPr>
  </w:style>
  <w:style w:type="character" w:customStyle="1" w:styleId="FootnoteTextChar">
    <w:name w:val="Footnote Text Char"/>
    <w:basedOn w:val="DefaultParagraphFont"/>
    <w:link w:val="FootnoteText"/>
    <w:uiPriority w:val="99"/>
    <w:semiHidden/>
    <w:rsid w:val="008C0BD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705FD"/>
    <w:pPr>
      <w:tabs>
        <w:tab w:val="center" w:pos="4680"/>
        <w:tab w:val="right" w:pos="9360"/>
      </w:tabs>
    </w:pPr>
  </w:style>
  <w:style w:type="character" w:customStyle="1" w:styleId="HeaderChar">
    <w:name w:val="Header Char"/>
    <w:basedOn w:val="DefaultParagraphFont"/>
    <w:link w:val="Header"/>
    <w:uiPriority w:val="99"/>
    <w:rsid w:val="00B705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05FD"/>
    <w:pPr>
      <w:tabs>
        <w:tab w:val="center" w:pos="4680"/>
        <w:tab w:val="right" w:pos="9360"/>
      </w:tabs>
    </w:pPr>
  </w:style>
  <w:style w:type="character" w:customStyle="1" w:styleId="FooterChar">
    <w:name w:val="Footer Char"/>
    <w:basedOn w:val="DefaultParagraphFont"/>
    <w:link w:val="Footer"/>
    <w:uiPriority w:val="99"/>
    <w:rsid w:val="00B705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4428"/>
    <w:rPr>
      <w:rFonts w:ascii="Tahoma" w:hAnsi="Tahoma" w:cs="Tahoma"/>
      <w:sz w:val="16"/>
      <w:szCs w:val="16"/>
    </w:rPr>
  </w:style>
  <w:style w:type="character" w:customStyle="1" w:styleId="BalloonTextChar">
    <w:name w:val="Balloon Text Char"/>
    <w:basedOn w:val="DefaultParagraphFont"/>
    <w:link w:val="BalloonText"/>
    <w:uiPriority w:val="99"/>
    <w:semiHidden/>
    <w:rsid w:val="002D44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BD4"/>
    <w:pPr>
      <w:keepNext/>
      <w:outlineLvl w:val="0"/>
    </w:pPr>
    <w:rPr>
      <w:rFonts w:ascii="Courier New" w:eastAsia="Arial Unicode MS"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BD4"/>
    <w:rPr>
      <w:rFonts w:ascii="Courier New" w:eastAsia="Arial Unicode MS" w:hAnsi="Courier New" w:cs="Courier New"/>
      <w:b/>
      <w:bCs/>
      <w:sz w:val="24"/>
      <w:szCs w:val="24"/>
    </w:rPr>
  </w:style>
  <w:style w:type="paragraph" w:styleId="Title">
    <w:name w:val="Title"/>
    <w:basedOn w:val="Normal"/>
    <w:link w:val="TitleChar"/>
    <w:qFormat/>
    <w:rsid w:val="008C0BD4"/>
    <w:pPr>
      <w:jc w:val="center"/>
    </w:pPr>
    <w:rPr>
      <w:rFonts w:ascii="Courier New" w:hAnsi="Courier New" w:cs="Courier New"/>
      <w:b/>
      <w:bCs/>
    </w:rPr>
  </w:style>
  <w:style w:type="character" w:customStyle="1" w:styleId="TitleChar">
    <w:name w:val="Title Char"/>
    <w:basedOn w:val="DefaultParagraphFont"/>
    <w:link w:val="Title"/>
    <w:rsid w:val="008C0BD4"/>
    <w:rPr>
      <w:rFonts w:ascii="Courier New" w:eastAsia="Times New Roman" w:hAnsi="Courier New" w:cs="Courier New"/>
      <w:b/>
      <w:bCs/>
      <w:sz w:val="24"/>
      <w:szCs w:val="24"/>
    </w:rPr>
  </w:style>
  <w:style w:type="paragraph" w:styleId="BodyTextIndent">
    <w:name w:val="Body Text Indent"/>
    <w:basedOn w:val="Normal"/>
    <w:link w:val="BodyTextIndentChar"/>
    <w:semiHidden/>
    <w:unhideWhenUsed/>
    <w:rsid w:val="008C0BD4"/>
    <w:pPr>
      <w:spacing w:line="480" w:lineRule="auto"/>
      <w:ind w:firstLine="720"/>
    </w:pPr>
    <w:rPr>
      <w:rFonts w:ascii="Courier New" w:hAnsi="Courier New" w:cs="Courier New"/>
    </w:rPr>
  </w:style>
  <w:style w:type="character" w:customStyle="1" w:styleId="BodyTextIndentChar">
    <w:name w:val="Body Text Indent Char"/>
    <w:basedOn w:val="DefaultParagraphFont"/>
    <w:link w:val="BodyTextIndent"/>
    <w:semiHidden/>
    <w:rsid w:val="008C0BD4"/>
    <w:rPr>
      <w:rFonts w:ascii="Courier New" w:eastAsia="Times New Roman" w:hAnsi="Courier New" w:cs="Courier New"/>
      <w:sz w:val="24"/>
      <w:szCs w:val="24"/>
    </w:rPr>
  </w:style>
  <w:style w:type="character" w:styleId="FootnoteReference">
    <w:name w:val="footnote reference"/>
    <w:semiHidden/>
    <w:rsid w:val="008C0BD4"/>
    <w:rPr>
      <w:rFonts w:cs="Times New Roman"/>
      <w:vertAlign w:val="superscript"/>
    </w:rPr>
  </w:style>
  <w:style w:type="paragraph" w:styleId="FootnoteText">
    <w:name w:val="footnote text"/>
    <w:basedOn w:val="Normal"/>
    <w:link w:val="FootnoteTextChar"/>
    <w:uiPriority w:val="99"/>
    <w:semiHidden/>
    <w:unhideWhenUsed/>
    <w:rsid w:val="008C0BD4"/>
    <w:rPr>
      <w:sz w:val="20"/>
      <w:szCs w:val="20"/>
    </w:rPr>
  </w:style>
  <w:style w:type="character" w:customStyle="1" w:styleId="FootnoteTextChar">
    <w:name w:val="Footnote Text Char"/>
    <w:basedOn w:val="DefaultParagraphFont"/>
    <w:link w:val="FootnoteText"/>
    <w:uiPriority w:val="99"/>
    <w:semiHidden/>
    <w:rsid w:val="008C0BD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705FD"/>
    <w:pPr>
      <w:tabs>
        <w:tab w:val="center" w:pos="4680"/>
        <w:tab w:val="right" w:pos="9360"/>
      </w:tabs>
    </w:pPr>
  </w:style>
  <w:style w:type="character" w:customStyle="1" w:styleId="HeaderChar">
    <w:name w:val="Header Char"/>
    <w:basedOn w:val="DefaultParagraphFont"/>
    <w:link w:val="Header"/>
    <w:uiPriority w:val="99"/>
    <w:rsid w:val="00B705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05FD"/>
    <w:pPr>
      <w:tabs>
        <w:tab w:val="center" w:pos="4680"/>
        <w:tab w:val="right" w:pos="9360"/>
      </w:tabs>
    </w:pPr>
  </w:style>
  <w:style w:type="character" w:customStyle="1" w:styleId="FooterChar">
    <w:name w:val="Footer Char"/>
    <w:basedOn w:val="DefaultParagraphFont"/>
    <w:link w:val="Footer"/>
    <w:uiPriority w:val="99"/>
    <w:rsid w:val="00B705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4428"/>
    <w:rPr>
      <w:rFonts w:ascii="Tahoma" w:hAnsi="Tahoma" w:cs="Tahoma"/>
      <w:sz w:val="16"/>
      <w:szCs w:val="16"/>
    </w:rPr>
  </w:style>
  <w:style w:type="character" w:customStyle="1" w:styleId="BalloonTextChar">
    <w:name w:val="Balloon Text Char"/>
    <w:basedOn w:val="DefaultParagraphFont"/>
    <w:link w:val="BalloonText"/>
    <w:uiPriority w:val="99"/>
    <w:semiHidden/>
    <w:rsid w:val="002D44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7EFF-0737-4CC0-A3C4-C672D781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2018-12-20T15:16:00Z</cp:lastPrinted>
  <dcterms:created xsi:type="dcterms:W3CDTF">2018-12-20T16:00:00Z</dcterms:created>
  <dcterms:modified xsi:type="dcterms:W3CDTF">2018-12-20T16:00:00Z</dcterms:modified>
</cp:coreProperties>
</file>