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2CC" w:rsidRDefault="003912CC" w:rsidP="003912CC">
      <w:pPr>
        <w:rPr>
          <w:color w:val="000000"/>
        </w:rPr>
      </w:pPr>
    </w:p>
    <w:p w:rsidR="003912CC" w:rsidRDefault="003912CC" w:rsidP="003912CC">
      <w:pPr>
        <w:jc w:val="both"/>
        <w:rPr>
          <w:color w:val="000000"/>
        </w:rPr>
      </w:pPr>
    </w:p>
    <w:p w:rsidR="003912CC" w:rsidRDefault="003912CC" w:rsidP="003912CC">
      <w:pPr>
        <w:jc w:val="both"/>
        <w:rPr>
          <w:color w:val="000000"/>
        </w:rPr>
      </w:pPr>
    </w:p>
    <w:p w:rsidR="003912CC" w:rsidRDefault="003912CC" w:rsidP="003912CC">
      <w:pPr>
        <w:jc w:val="both"/>
        <w:rPr>
          <w:color w:val="000000"/>
        </w:rPr>
      </w:pPr>
    </w:p>
    <w:p w:rsidR="003912CC" w:rsidRPr="00575420" w:rsidRDefault="003912CC" w:rsidP="003912CC">
      <w:pPr>
        <w:tabs>
          <w:tab w:val="center" w:pos="4680"/>
        </w:tabs>
        <w:jc w:val="both"/>
        <w:rPr>
          <w:b/>
          <w:bCs/>
          <w:color w:val="000000"/>
          <w:sz w:val="36"/>
          <w:szCs w:val="36"/>
        </w:rPr>
      </w:pPr>
      <w:r>
        <w:rPr>
          <w:color w:val="000000"/>
          <w:sz w:val="36"/>
          <w:szCs w:val="36"/>
        </w:rPr>
        <w:tab/>
      </w:r>
      <w:r w:rsidRPr="00575420">
        <w:rPr>
          <w:b/>
          <w:bCs/>
          <w:color w:val="000000"/>
          <w:sz w:val="36"/>
          <w:szCs w:val="36"/>
        </w:rPr>
        <w:t>PUBLIC DISCLOSURE</w:t>
      </w:r>
    </w:p>
    <w:p w:rsidR="003912CC" w:rsidRPr="00575420" w:rsidRDefault="003912CC" w:rsidP="003912CC">
      <w:pPr>
        <w:jc w:val="both"/>
        <w:rPr>
          <w:color w:val="000000"/>
        </w:rPr>
      </w:pPr>
    </w:p>
    <w:p w:rsidR="003912CC" w:rsidRPr="00575420" w:rsidRDefault="003912CC" w:rsidP="003912CC">
      <w:pPr>
        <w:jc w:val="both"/>
        <w:rPr>
          <w:color w:val="000000"/>
        </w:rPr>
      </w:pPr>
    </w:p>
    <w:p w:rsidR="003912CC" w:rsidRPr="00575420" w:rsidRDefault="003912CC" w:rsidP="003912CC">
      <w:pPr>
        <w:jc w:val="both"/>
        <w:rPr>
          <w:color w:val="000000"/>
        </w:rPr>
      </w:pPr>
    </w:p>
    <w:p w:rsidR="003912CC" w:rsidRPr="00575420" w:rsidRDefault="003912CC" w:rsidP="003912CC">
      <w:pPr>
        <w:jc w:val="both"/>
        <w:rPr>
          <w:color w:val="000000"/>
        </w:rPr>
      </w:pPr>
    </w:p>
    <w:p w:rsidR="003912CC" w:rsidRPr="00575420" w:rsidRDefault="003912CC" w:rsidP="003912CC">
      <w:pPr>
        <w:tabs>
          <w:tab w:val="center" w:pos="4680"/>
        </w:tabs>
        <w:jc w:val="both"/>
        <w:rPr>
          <w:color w:val="000000"/>
        </w:rPr>
      </w:pPr>
      <w:r w:rsidRPr="00575420">
        <w:rPr>
          <w:color w:val="000000"/>
          <w:sz w:val="36"/>
          <w:szCs w:val="36"/>
        </w:rPr>
        <w:tab/>
      </w:r>
      <w:r w:rsidR="005231DE" w:rsidRPr="00575420">
        <w:rPr>
          <w:color w:val="000000"/>
        </w:rPr>
        <w:t>June 1</w:t>
      </w:r>
      <w:r w:rsidR="00E63269" w:rsidRPr="00575420">
        <w:rPr>
          <w:color w:val="000000"/>
        </w:rPr>
        <w:t>, 202</w:t>
      </w:r>
      <w:r w:rsidR="00575420" w:rsidRPr="00575420">
        <w:rPr>
          <w:color w:val="000000"/>
        </w:rPr>
        <w:t>1</w:t>
      </w:r>
    </w:p>
    <w:p w:rsidR="003912CC" w:rsidRPr="00575420" w:rsidRDefault="003912CC" w:rsidP="003912CC">
      <w:pPr>
        <w:jc w:val="both"/>
        <w:rPr>
          <w:color w:val="000000"/>
        </w:rPr>
      </w:pPr>
    </w:p>
    <w:p w:rsidR="003912CC" w:rsidRPr="00575420" w:rsidRDefault="003912CC" w:rsidP="003912CC">
      <w:pPr>
        <w:jc w:val="both"/>
        <w:rPr>
          <w:color w:val="000000"/>
        </w:rPr>
      </w:pPr>
    </w:p>
    <w:p w:rsidR="003912CC" w:rsidRPr="00575420" w:rsidRDefault="003912CC" w:rsidP="003912CC">
      <w:pPr>
        <w:jc w:val="both"/>
        <w:rPr>
          <w:color w:val="000000"/>
        </w:rPr>
      </w:pPr>
    </w:p>
    <w:p w:rsidR="003912CC" w:rsidRPr="00575420" w:rsidRDefault="003912CC" w:rsidP="003912CC">
      <w:pPr>
        <w:jc w:val="both"/>
        <w:rPr>
          <w:color w:val="000000"/>
        </w:rPr>
      </w:pPr>
    </w:p>
    <w:p w:rsidR="003912CC" w:rsidRPr="00575420" w:rsidRDefault="003912CC" w:rsidP="003912CC">
      <w:pPr>
        <w:tabs>
          <w:tab w:val="center" w:pos="4680"/>
        </w:tabs>
        <w:jc w:val="both"/>
        <w:rPr>
          <w:b/>
          <w:bCs/>
          <w:color w:val="000000"/>
          <w:sz w:val="36"/>
          <w:szCs w:val="36"/>
        </w:rPr>
      </w:pPr>
      <w:r w:rsidRPr="00575420">
        <w:rPr>
          <w:color w:val="000000"/>
        </w:rPr>
        <w:tab/>
      </w:r>
      <w:r w:rsidRPr="00575420">
        <w:rPr>
          <w:b/>
          <w:bCs/>
          <w:color w:val="000000"/>
          <w:sz w:val="36"/>
          <w:szCs w:val="36"/>
        </w:rPr>
        <w:t>COMMUNITY REINVESTMENT ACT</w:t>
      </w:r>
    </w:p>
    <w:p w:rsidR="003912CC" w:rsidRPr="00575420" w:rsidRDefault="003912CC" w:rsidP="003912CC">
      <w:pPr>
        <w:tabs>
          <w:tab w:val="center" w:pos="4680"/>
        </w:tabs>
        <w:jc w:val="both"/>
        <w:rPr>
          <w:color w:val="000000"/>
          <w:sz w:val="36"/>
          <w:szCs w:val="36"/>
        </w:rPr>
      </w:pPr>
      <w:r w:rsidRPr="00575420">
        <w:rPr>
          <w:b/>
          <w:bCs/>
          <w:color w:val="000000"/>
          <w:sz w:val="36"/>
          <w:szCs w:val="36"/>
        </w:rPr>
        <w:tab/>
        <w:t>PERFORMANCE EVALUATION</w:t>
      </w:r>
    </w:p>
    <w:p w:rsidR="003912CC" w:rsidRPr="00575420" w:rsidRDefault="003912CC" w:rsidP="003912CC">
      <w:pPr>
        <w:rPr>
          <w:color w:val="000000"/>
        </w:rPr>
      </w:pPr>
    </w:p>
    <w:p w:rsidR="003912CC" w:rsidRPr="00575420" w:rsidRDefault="003912CC" w:rsidP="003912CC">
      <w:pPr>
        <w:tabs>
          <w:tab w:val="center" w:pos="4680"/>
        </w:tabs>
        <w:rPr>
          <w:color w:val="000000"/>
        </w:rPr>
      </w:pPr>
    </w:p>
    <w:p w:rsidR="003912CC" w:rsidRPr="00575420" w:rsidRDefault="003912CC" w:rsidP="003912CC">
      <w:pPr>
        <w:rPr>
          <w:color w:val="000000"/>
        </w:rPr>
      </w:pPr>
    </w:p>
    <w:p w:rsidR="003912CC" w:rsidRPr="00575420" w:rsidRDefault="003912CC" w:rsidP="003912CC">
      <w:pPr>
        <w:tabs>
          <w:tab w:val="center" w:pos="4680"/>
        </w:tabs>
        <w:jc w:val="both"/>
        <w:rPr>
          <w:color w:val="000000"/>
        </w:rPr>
      </w:pPr>
      <w:r w:rsidRPr="00575420">
        <w:rPr>
          <w:b/>
          <w:bCs/>
          <w:color w:val="000000"/>
        </w:rPr>
        <w:tab/>
      </w:r>
      <w:r w:rsidR="00575420" w:rsidRPr="00575420">
        <w:rPr>
          <w:color w:val="000000"/>
        </w:rPr>
        <w:t>Worcester</w:t>
      </w:r>
      <w:r w:rsidR="005231DE" w:rsidRPr="00575420">
        <w:rPr>
          <w:color w:val="000000"/>
        </w:rPr>
        <w:t xml:space="preserve"> Credit Union</w:t>
      </w:r>
    </w:p>
    <w:p w:rsidR="003912CC" w:rsidRPr="00575420" w:rsidRDefault="0017641A" w:rsidP="003912CC">
      <w:pPr>
        <w:tabs>
          <w:tab w:val="center" w:pos="4680"/>
        </w:tabs>
        <w:jc w:val="both"/>
        <w:rPr>
          <w:color w:val="000000"/>
        </w:rPr>
      </w:pPr>
      <w:r w:rsidRPr="00575420">
        <w:rPr>
          <w:color w:val="000000"/>
        </w:rPr>
        <w:tab/>
        <w:t xml:space="preserve">Certificate Number: </w:t>
      </w:r>
      <w:r w:rsidR="00575420" w:rsidRPr="00575420">
        <w:rPr>
          <w:color w:val="000000"/>
        </w:rPr>
        <w:t>64144</w:t>
      </w:r>
    </w:p>
    <w:p w:rsidR="003912CC" w:rsidRPr="00575420" w:rsidRDefault="0017641A" w:rsidP="003912CC">
      <w:pPr>
        <w:tabs>
          <w:tab w:val="center" w:pos="4680"/>
        </w:tabs>
        <w:jc w:val="both"/>
        <w:rPr>
          <w:color w:val="000000"/>
        </w:rPr>
      </w:pPr>
      <w:r w:rsidRPr="00575420">
        <w:rPr>
          <w:color w:val="000000"/>
        </w:rPr>
        <w:tab/>
      </w:r>
      <w:r w:rsidR="00575420" w:rsidRPr="00575420">
        <w:rPr>
          <w:color w:val="000000"/>
        </w:rPr>
        <w:t>520 West Boylston Street</w:t>
      </w:r>
    </w:p>
    <w:p w:rsidR="003912CC" w:rsidRPr="00575420" w:rsidRDefault="00E63269" w:rsidP="003912CC">
      <w:pPr>
        <w:tabs>
          <w:tab w:val="center" w:pos="4680"/>
        </w:tabs>
        <w:jc w:val="both"/>
      </w:pPr>
      <w:r w:rsidRPr="00575420">
        <w:rPr>
          <w:color w:val="000000"/>
        </w:rPr>
        <w:tab/>
      </w:r>
      <w:r w:rsidR="00575420" w:rsidRPr="00575420">
        <w:rPr>
          <w:color w:val="000000"/>
        </w:rPr>
        <w:t>Worcester</w:t>
      </w:r>
      <w:r w:rsidR="003912CC" w:rsidRPr="00575420">
        <w:rPr>
          <w:color w:val="000000"/>
        </w:rPr>
        <w:t xml:space="preserve">, </w:t>
      </w:r>
      <w:r w:rsidR="00575420" w:rsidRPr="00575420">
        <w:rPr>
          <w:color w:val="000000"/>
        </w:rPr>
        <w:t>Massachusetts 01606</w:t>
      </w:r>
    </w:p>
    <w:p w:rsidR="003912CC" w:rsidRPr="00575420" w:rsidRDefault="003912CC" w:rsidP="003912CC">
      <w:pPr>
        <w:tabs>
          <w:tab w:val="center" w:pos="4680"/>
        </w:tabs>
        <w:rPr>
          <w:color w:val="000000"/>
        </w:rPr>
      </w:pPr>
    </w:p>
    <w:p w:rsidR="003912CC" w:rsidRPr="00575420" w:rsidRDefault="003912CC" w:rsidP="003912CC">
      <w:pPr>
        <w:tabs>
          <w:tab w:val="center" w:pos="4680"/>
        </w:tabs>
        <w:rPr>
          <w:color w:val="000000"/>
        </w:rPr>
      </w:pPr>
    </w:p>
    <w:p w:rsidR="003912CC" w:rsidRPr="00575420" w:rsidRDefault="003912CC" w:rsidP="003912CC">
      <w:pPr>
        <w:tabs>
          <w:tab w:val="center" w:pos="4680"/>
        </w:tabs>
        <w:rPr>
          <w:color w:val="000000"/>
        </w:rPr>
      </w:pPr>
    </w:p>
    <w:tbl>
      <w:tblPr>
        <w:tblpPr w:leftFromText="180" w:rightFromText="180" w:vertAnchor="text" w:horzAnchor="page" w:tblpX="4333" w:tblpY="116"/>
        <w:tblW w:w="0" w:type="dxa"/>
        <w:tblLayout w:type="fixed"/>
        <w:tblLook w:val="01E0" w:firstRow="1" w:lastRow="1" w:firstColumn="1" w:lastColumn="1" w:noHBand="0" w:noVBand="0"/>
      </w:tblPr>
      <w:tblGrid>
        <w:gridCol w:w="3733"/>
        <w:gridCol w:w="3734"/>
      </w:tblGrid>
      <w:tr w:rsidR="003912CC" w:rsidRPr="00575420" w:rsidTr="003912CC">
        <w:trPr>
          <w:cantSplit/>
          <w:trHeight w:val="269"/>
        </w:trPr>
        <w:tc>
          <w:tcPr>
            <w:tcW w:w="3733" w:type="dxa"/>
            <w:hideMark/>
          </w:tcPr>
          <w:p w:rsidR="003912CC" w:rsidRPr="00575420" w:rsidRDefault="003912CC">
            <w:pPr>
              <w:tabs>
                <w:tab w:val="left" w:pos="360"/>
                <w:tab w:val="left" w:pos="840"/>
                <w:tab w:val="left" w:pos="6720"/>
              </w:tabs>
              <w:suppressAutoHyphens/>
              <w:jc w:val="center"/>
              <w:rPr>
                <w:spacing w:val="-3"/>
              </w:rPr>
            </w:pPr>
            <w:r w:rsidRPr="00575420">
              <w:rPr>
                <w:spacing w:val="-3"/>
              </w:rPr>
              <w:t>Division of Banks</w:t>
            </w:r>
          </w:p>
        </w:tc>
        <w:tc>
          <w:tcPr>
            <w:tcW w:w="3734" w:type="dxa"/>
          </w:tcPr>
          <w:p w:rsidR="003912CC" w:rsidRPr="00575420" w:rsidRDefault="003912CC">
            <w:pPr>
              <w:tabs>
                <w:tab w:val="left" w:pos="360"/>
                <w:tab w:val="left" w:pos="840"/>
                <w:tab w:val="left" w:pos="6720"/>
              </w:tabs>
              <w:suppressAutoHyphens/>
              <w:jc w:val="center"/>
              <w:rPr>
                <w:spacing w:val="-3"/>
              </w:rPr>
            </w:pPr>
          </w:p>
        </w:tc>
      </w:tr>
      <w:tr w:rsidR="003912CC" w:rsidRPr="00575420" w:rsidTr="003912CC">
        <w:trPr>
          <w:cantSplit/>
          <w:trHeight w:val="284"/>
        </w:trPr>
        <w:tc>
          <w:tcPr>
            <w:tcW w:w="3733" w:type="dxa"/>
            <w:hideMark/>
          </w:tcPr>
          <w:p w:rsidR="003912CC" w:rsidRPr="00575420" w:rsidRDefault="003912CC">
            <w:pPr>
              <w:tabs>
                <w:tab w:val="left" w:pos="360"/>
                <w:tab w:val="left" w:pos="840"/>
                <w:tab w:val="left" w:pos="6720"/>
              </w:tabs>
              <w:suppressAutoHyphens/>
              <w:jc w:val="center"/>
              <w:rPr>
                <w:spacing w:val="-3"/>
              </w:rPr>
            </w:pPr>
            <w:r w:rsidRPr="00575420">
              <w:rPr>
                <w:spacing w:val="-3"/>
              </w:rPr>
              <w:t>1000 Washington Street, 10</w:t>
            </w:r>
            <w:r w:rsidRPr="00575420">
              <w:rPr>
                <w:spacing w:val="-3"/>
                <w:vertAlign w:val="superscript"/>
              </w:rPr>
              <w:t>th</w:t>
            </w:r>
            <w:r w:rsidRPr="00575420">
              <w:rPr>
                <w:spacing w:val="-3"/>
              </w:rPr>
              <w:t xml:space="preserve"> Floor</w:t>
            </w:r>
          </w:p>
        </w:tc>
        <w:tc>
          <w:tcPr>
            <w:tcW w:w="3734" w:type="dxa"/>
          </w:tcPr>
          <w:p w:rsidR="003912CC" w:rsidRPr="00575420" w:rsidRDefault="003912CC">
            <w:pPr>
              <w:tabs>
                <w:tab w:val="left" w:pos="360"/>
                <w:tab w:val="left" w:pos="840"/>
                <w:tab w:val="left" w:pos="6720"/>
              </w:tabs>
              <w:suppressAutoHyphens/>
              <w:jc w:val="center"/>
              <w:rPr>
                <w:spacing w:val="-3"/>
              </w:rPr>
            </w:pPr>
          </w:p>
        </w:tc>
      </w:tr>
      <w:tr w:rsidR="003912CC" w:rsidRPr="00575420" w:rsidTr="003912CC">
        <w:trPr>
          <w:cantSplit/>
          <w:trHeight w:val="269"/>
        </w:trPr>
        <w:tc>
          <w:tcPr>
            <w:tcW w:w="3733" w:type="dxa"/>
            <w:hideMark/>
          </w:tcPr>
          <w:p w:rsidR="003912CC" w:rsidRPr="00575420" w:rsidRDefault="003912CC">
            <w:pPr>
              <w:tabs>
                <w:tab w:val="left" w:pos="360"/>
                <w:tab w:val="left" w:pos="840"/>
                <w:tab w:val="left" w:pos="6720"/>
              </w:tabs>
              <w:suppressAutoHyphens/>
              <w:jc w:val="center"/>
              <w:rPr>
                <w:spacing w:val="-3"/>
              </w:rPr>
            </w:pPr>
            <w:r w:rsidRPr="00575420">
              <w:rPr>
                <w:spacing w:val="-3"/>
              </w:rPr>
              <w:t>Boston, Massachusetts 02118</w:t>
            </w:r>
          </w:p>
        </w:tc>
        <w:tc>
          <w:tcPr>
            <w:tcW w:w="3734" w:type="dxa"/>
          </w:tcPr>
          <w:p w:rsidR="003912CC" w:rsidRPr="00575420" w:rsidRDefault="003912CC">
            <w:pPr>
              <w:tabs>
                <w:tab w:val="left" w:pos="360"/>
                <w:tab w:val="left" w:pos="840"/>
                <w:tab w:val="left" w:pos="6720"/>
              </w:tabs>
              <w:suppressAutoHyphens/>
              <w:jc w:val="center"/>
              <w:rPr>
                <w:spacing w:val="-3"/>
              </w:rPr>
            </w:pPr>
          </w:p>
        </w:tc>
      </w:tr>
    </w:tbl>
    <w:p w:rsidR="003912CC" w:rsidRPr="00575420" w:rsidRDefault="003912CC" w:rsidP="003912CC">
      <w:pPr>
        <w:rPr>
          <w:color w:val="000000"/>
        </w:rPr>
      </w:pPr>
    </w:p>
    <w:p w:rsidR="003912CC" w:rsidRPr="00575420" w:rsidRDefault="003912CC" w:rsidP="003912CC">
      <w:pPr>
        <w:tabs>
          <w:tab w:val="left" w:pos="-1440"/>
        </w:tabs>
        <w:ind w:left="1440" w:hanging="1440"/>
        <w:jc w:val="center"/>
        <w:rPr>
          <w:color w:val="000000"/>
        </w:rPr>
      </w:pPr>
    </w:p>
    <w:p w:rsidR="003912CC" w:rsidRPr="00575420" w:rsidRDefault="003912CC" w:rsidP="003912CC">
      <w:pPr>
        <w:tabs>
          <w:tab w:val="left" w:pos="-1440"/>
        </w:tabs>
        <w:ind w:left="1440" w:hanging="1440"/>
        <w:rPr>
          <w:color w:val="000000"/>
        </w:rPr>
      </w:pPr>
    </w:p>
    <w:p w:rsidR="003912CC" w:rsidRPr="00575420" w:rsidRDefault="003912CC" w:rsidP="003912CC">
      <w:pPr>
        <w:tabs>
          <w:tab w:val="left" w:pos="-1440"/>
        </w:tabs>
        <w:ind w:left="1440" w:hanging="1440"/>
        <w:rPr>
          <w:color w:val="000000"/>
        </w:rPr>
      </w:pPr>
    </w:p>
    <w:p w:rsidR="003912CC" w:rsidRPr="00575420" w:rsidRDefault="003912CC" w:rsidP="003912CC">
      <w:pPr>
        <w:tabs>
          <w:tab w:val="left" w:pos="-1440"/>
        </w:tabs>
        <w:ind w:left="1440" w:hanging="1440"/>
        <w:rPr>
          <w:color w:val="000000"/>
        </w:rPr>
      </w:pPr>
    </w:p>
    <w:p w:rsidR="003912CC" w:rsidRDefault="003912CC" w:rsidP="003912CC">
      <w:pPr>
        <w:tabs>
          <w:tab w:val="left" w:pos="-1440"/>
        </w:tabs>
        <w:ind w:left="1440" w:hanging="1440"/>
        <w:rPr>
          <w:color w:val="000000"/>
        </w:rPr>
      </w:pPr>
    </w:p>
    <w:p w:rsidR="00DB3558" w:rsidRDefault="00DB3558" w:rsidP="003912CC">
      <w:pPr>
        <w:tabs>
          <w:tab w:val="left" w:pos="-1440"/>
        </w:tabs>
        <w:ind w:left="1440" w:hanging="1440"/>
        <w:rPr>
          <w:color w:val="000000"/>
        </w:rPr>
      </w:pPr>
    </w:p>
    <w:p w:rsidR="00DB3558" w:rsidRDefault="00DB3558" w:rsidP="003912CC">
      <w:pPr>
        <w:tabs>
          <w:tab w:val="left" w:pos="-1440"/>
        </w:tabs>
        <w:ind w:left="1440" w:hanging="1440"/>
        <w:rPr>
          <w:color w:val="000000"/>
        </w:rPr>
      </w:pPr>
    </w:p>
    <w:p w:rsidR="00DB3558" w:rsidRDefault="00DB3558" w:rsidP="003912CC">
      <w:pPr>
        <w:tabs>
          <w:tab w:val="left" w:pos="-1440"/>
        </w:tabs>
        <w:ind w:left="1440" w:hanging="1440"/>
        <w:rPr>
          <w:color w:val="000000"/>
        </w:rPr>
      </w:pPr>
    </w:p>
    <w:p w:rsidR="00DB3558" w:rsidRDefault="00DB3558" w:rsidP="003912CC">
      <w:pPr>
        <w:tabs>
          <w:tab w:val="left" w:pos="-1440"/>
        </w:tabs>
        <w:ind w:left="1440" w:hanging="1440"/>
        <w:rPr>
          <w:color w:val="000000"/>
        </w:rPr>
      </w:pPr>
    </w:p>
    <w:p w:rsidR="00DB3558" w:rsidRPr="00575420" w:rsidRDefault="00DB3558" w:rsidP="003912CC">
      <w:pPr>
        <w:tabs>
          <w:tab w:val="left" w:pos="-1440"/>
        </w:tabs>
        <w:ind w:left="1440" w:hanging="1440"/>
        <w:rPr>
          <w:color w:val="000000"/>
        </w:rPr>
      </w:pPr>
    </w:p>
    <w:p w:rsidR="003912CC" w:rsidRPr="00575420" w:rsidRDefault="003912CC" w:rsidP="003912CC">
      <w:pPr>
        <w:jc w:val="both"/>
        <w:rPr>
          <w:color w:val="000000"/>
        </w:rPr>
      </w:pPr>
      <w:r w:rsidRPr="00575420">
        <w:rPr>
          <w:color w:val="000000"/>
        </w:rPr>
        <w:t>This document is an evaluation of this institution’s record of meeting the credit needs of its entire community, including low- and moderate-income neighborhoods, consistent with safe and sound operation of the institution.</w:t>
      </w:r>
      <w:r w:rsidRPr="00575420">
        <w:rPr>
          <w:i/>
          <w:iCs/>
          <w:color w:val="000000"/>
        </w:rPr>
        <w:t xml:space="preserve">  </w:t>
      </w:r>
      <w:r w:rsidRPr="00575420">
        <w:rPr>
          <w:color w:val="000000"/>
        </w:rPr>
        <w:t>This evaluation is not, nor should it be construed as, an assessment of the financial condition of this institution.  The rating assigned to this institution does not represent an analysis, conclusion, or opinion of the Division of Banks concerning the safety and soundness of this financial institution.</w:t>
      </w:r>
    </w:p>
    <w:p w:rsidR="003912CC" w:rsidRPr="00575420" w:rsidRDefault="003912CC" w:rsidP="003912CC">
      <w:pPr>
        <w:jc w:val="both"/>
        <w:rPr>
          <w:color w:val="000000"/>
          <w:highlight w:val="yellow"/>
        </w:rPr>
      </w:pPr>
    </w:p>
    <w:p w:rsidR="003912CC" w:rsidRPr="00575420" w:rsidRDefault="003912CC" w:rsidP="003912CC">
      <w:pPr>
        <w:jc w:val="both"/>
        <w:rPr>
          <w:color w:val="000000"/>
          <w:highlight w:val="yellow"/>
        </w:rPr>
      </w:pPr>
    </w:p>
    <w:p w:rsidR="001D6063" w:rsidRPr="00575420" w:rsidRDefault="001D6063" w:rsidP="003912CC">
      <w:pPr>
        <w:tabs>
          <w:tab w:val="left" w:pos="1260"/>
        </w:tabs>
        <w:jc w:val="center"/>
        <w:rPr>
          <w:b/>
          <w:bCs/>
          <w:iCs/>
          <w:sz w:val="28"/>
          <w:szCs w:val="28"/>
          <w:highlight w:val="yellow"/>
        </w:rPr>
        <w:sectPr w:rsidR="001D6063" w:rsidRPr="00575420" w:rsidSect="0089709B">
          <w:footerReference w:type="default" r:id="rId11"/>
          <w:footerReference w:type="first" r:id="rId12"/>
          <w:pgSz w:w="12240" w:h="15840"/>
          <w:pgMar w:top="1440" w:right="1440" w:bottom="1440" w:left="1440" w:header="720" w:footer="720" w:gutter="0"/>
          <w:pgNumType w:start="0"/>
          <w:cols w:space="720"/>
          <w:titlePg/>
          <w:docGrid w:linePitch="326"/>
        </w:sectPr>
      </w:pPr>
    </w:p>
    <w:p w:rsidR="003912CC" w:rsidRPr="00F36BBD" w:rsidRDefault="003912CC" w:rsidP="003912CC">
      <w:pPr>
        <w:tabs>
          <w:tab w:val="left" w:pos="1260"/>
        </w:tabs>
        <w:jc w:val="center"/>
        <w:rPr>
          <w:b/>
          <w:bCs/>
          <w:iCs/>
          <w:sz w:val="28"/>
          <w:szCs w:val="28"/>
        </w:rPr>
      </w:pPr>
      <w:r w:rsidRPr="00F36BBD">
        <w:rPr>
          <w:b/>
          <w:bCs/>
          <w:iCs/>
          <w:sz w:val="28"/>
          <w:szCs w:val="28"/>
        </w:rPr>
        <w:lastRenderedPageBreak/>
        <w:t>INSTITUTION RATING</w:t>
      </w:r>
    </w:p>
    <w:p w:rsidR="003912CC" w:rsidRPr="00F36BBD" w:rsidRDefault="003912CC" w:rsidP="003912CC">
      <w:pPr>
        <w:pStyle w:val="Default"/>
        <w:rPr>
          <w:b/>
          <w:bCs/>
          <w:color w:val="auto"/>
        </w:rPr>
      </w:pPr>
    </w:p>
    <w:p w:rsidR="003912CC" w:rsidRPr="00F36BBD" w:rsidRDefault="003912CC" w:rsidP="00E229ED">
      <w:pPr>
        <w:pStyle w:val="Default"/>
        <w:jc w:val="both"/>
        <w:rPr>
          <w:color w:val="auto"/>
        </w:rPr>
      </w:pPr>
      <w:r w:rsidRPr="00F36BBD">
        <w:rPr>
          <w:color w:val="auto"/>
        </w:rPr>
        <w:t xml:space="preserve">This document is an evaluation of the CRA performance of </w:t>
      </w:r>
      <w:r w:rsidR="00EE1381" w:rsidRPr="00F36BBD">
        <w:rPr>
          <w:b/>
          <w:bCs/>
          <w:color w:val="auto"/>
        </w:rPr>
        <w:t>Worcester</w:t>
      </w:r>
      <w:r w:rsidR="00BB1B65" w:rsidRPr="00F36BBD">
        <w:rPr>
          <w:b/>
          <w:bCs/>
          <w:color w:val="auto"/>
        </w:rPr>
        <w:t xml:space="preserve"> Credit Union (credit u</w:t>
      </w:r>
      <w:r w:rsidRPr="00F36BBD">
        <w:rPr>
          <w:b/>
          <w:bCs/>
          <w:color w:val="auto"/>
        </w:rPr>
        <w:t xml:space="preserve">nion) </w:t>
      </w:r>
      <w:r w:rsidRPr="00F36BBD">
        <w:rPr>
          <w:color w:val="auto"/>
        </w:rPr>
        <w:t xml:space="preserve">prepared by the Division, the institution’s supervisory agency as of </w:t>
      </w:r>
      <w:r w:rsidR="005231DE" w:rsidRPr="00F36BBD">
        <w:rPr>
          <w:b/>
          <w:color w:val="auto"/>
        </w:rPr>
        <w:t>June</w:t>
      </w:r>
      <w:r w:rsidR="005231DE" w:rsidRPr="00F36BBD">
        <w:rPr>
          <w:color w:val="auto"/>
        </w:rPr>
        <w:t xml:space="preserve"> </w:t>
      </w:r>
      <w:r w:rsidR="00EE1381" w:rsidRPr="00F36BBD">
        <w:rPr>
          <w:b/>
          <w:color w:val="auto"/>
        </w:rPr>
        <w:t>1</w:t>
      </w:r>
      <w:r w:rsidRPr="00F36BBD">
        <w:rPr>
          <w:b/>
          <w:bCs/>
          <w:color w:val="auto"/>
        </w:rPr>
        <w:t>, 20</w:t>
      </w:r>
      <w:r w:rsidR="00E63269" w:rsidRPr="00F36BBD">
        <w:rPr>
          <w:b/>
          <w:bCs/>
          <w:color w:val="auto"/>
        </w:rPr>
        <w:t>2</w:t>
      </w:r>
      <w:r w:rsidR="00EE1381" w:rsidRPr="00F36BBD">
        <w:rPr>
          <w:b/>
          <w:bCs/>
          <w:color w:val="auto"/>
        </w:rPr>
        <w:t>1</w:t>
      </w:r>
      <w:r w:rsidRPr="00F36BBD">
        <w:rPr>
          <w:color w:val="auto"/>
        </w:rPr>
        <w:t xml:space="preserve">. The Division rates the CRA performance of an institution consistent with the provisions set forth in Massachusetts Regulation 209 CMR 46.00. </w:t>
      </w:r>
    </w:p>
    <w:p w:rsidR="003912CC" w:rsidRPr="00F36BBD" w:rsidRDefault="003912CC" w:rsidP="00E229ED">
      <w:pPr>
        <w:pStyle w:val="Default"/>
        <w:jc w:val="both"/>
        <w:rPr>
          <w:b/>
          <w:bCs/>
          <w:color w:val="auto"/>
        </w:rPr>
      </w:pPr>
    </w:p>
    <w:p w:rsidR="003912CC" w:rsidRPr="00F36BBD" w:rsidRDefault="003912CC" w:rsidP="00E229ED">
      <w:pPr>
        <w:pStyle w:val="Default"/>
        <w:jc w:val="both"/>
        <w:rPr>
          <w:b/>
          <w:bCs/>
        </w:rPr>
      </w:pPr>
      <w:r w:rsidRPr="00F36BBD">
        <w:rPr>
          <w:b/>
          <w:bCs/>
        </w:rPr>
        <w:t xml:space="preserve">INSTITUTION'S CRA RATING: </w:t>
      </w:r>
      <w:r w:rsidRPr="00F36BBD">
        <w:t xml:space="preserve">This institution is rated </w:t>
      </w:r>
      <w:r w:rsidRPr="00F36BBD">
        <w:rPr>
          <w:b/>
          <w:bCs/>
        </w:rPr>
        <w:t xml:space="preserve">"Satisfactory." </w:t>
      </w:r>
      <w:r w:rsidRPr="00F36BBD">
        <w:t>An institution in this group has a satisfactory record of helping to meet the credit needs of its assessment area, including low- a</w:t>
      </w:r>
      <w:r w:rsidR="00893F1C" w:rsidRPr="00F36BBD">
        <w:t>nd moderate-income individuals</w:t>
      </w:r>
      <w:r w:rsidRPr="00F36BBD">
        <w:t>, in a manner consistent with its resources and cap</w:t>
      </w:r>
      <w:r w:rsidR="00B80514" w:rsidRPr="00F36BBD">
        <w:t xml:space="preserve">abilities. </w:t>
      </w:r>
      <w:r w:rsidR="00EE1381" w:rsidRPr="00F36BBD">
        <w:t>Worcester</w:t>
      </w:r>
      <w:r w:rsidRPr="00F36BBD">
        <w:t xml:space="preserve"> Credit Union’s performance under this test is summarized below: </w:t>
      </w:r>
    </w:p>
    <w:p w:rsidR="003912CC" w:rsidRPr="00F36BBD" w:rsidRDefault="003912CC" w:rsidP="00E229ED">
      <w:pPr>
        <w:pStyle w:val="Default"/>
        <w:jc w:val="both"/>
      </w:pPr>
    </w:p>
    <w:p w:rsidR="00F36BBD" w:rsidRPr="00F36BBD" w:rsidRDefault="00EE1381" w:rsidP="00E229ED">
      <w:pPr>
        <w:pStyle w:val="Default"/>
        <w:numPr>
          <w:ilvl w:val="0"/>
          <w:numId w:val="2"/>
        </w:numPr>
        <w:spacing w:after="47"/>
        <w:jc w:val="both"/>
      </w:pPr>
      <w:r w:rsidRPr="00F36BBD">
        <w:t>Worcester</w:t>
      </w:r>
      <w:r w:rsidR="003912CC" w:rsidRPr="00F36BBD">
        <w:t xml:space="preserve"> Credit Union’s ave</w:t>
      </w:r>
      <w:r w:rsidR="003B772E" w:rsidRPr="00F36BBD">
        <w:t xml:space="preserve">rage net loan-to-share ratio </w:t>
      </w:r>
      <w:r w:rsidR="003912CC" w:rsidRPr="00F36BBD">
        <w:t xml:space="preserve">is reasonable given the institution’s size, financial condition, and credit needs of its assessment area. </w:t>
      </w:r>
    </w:p>
    <w:p w:rsidR="00F36BBD" w:rsidRPr="00F36BBD" w:rsidRDefault="00F36BBD" w:rsidP="00E229ED">
      <w:pPr>
        <w:pStyle w:val="Default"/>
        <w:numPr>
          <w:ilvl w:val="0"/>
          <w:numId w:val="2"/>
        </w:numPr>
        <w:spacing w:after="47"/>
        <w:jc w:val="both"/>
      </w:pPr>
      <w:r w:rsidRPr="00F36BBD">
        <w:t>A majority of the credit union’s residential loans are inside the assessment area.</w:t>
      </w:r>
    </w:p>
    <w:p w:rsidR="00F36BBD" w:rsidRPr="00F36BBD" w:rsidRDefault="00F36BBD" w:rsidP="00E229ED">
      <w:pPr>
        <w:pStyle w:val="Default"/>
        <w:numPr>
          <w:ilvl w:val="0"/>
          <w:numId w:val="2"/>
        </w:numPr>
        <w:spacing w:after="47"/>
        <w:jc w:val="both"/>
      </w:pPr>
      <w:r w:rsidRPr="00F36BBD">
        <w:t>The geographic distribution of loans reflects reasonable dispersion throughout the assessment area.</w:t>
      </w:r>
    </w:p>
    <w:p w:rsidR="003912CC" w:rsidRPr="00F36BBD" w:rsidRDefault="003912CC" w:rsidP="00E229ED">
      <w:pPr>
        <w:pStyle w:val="Default"/>
        <w:numPr>
          <w:ilvl w:val="0"/>
          <w:numId w:val="2"/>
        </w:numPr>
        <w:spacing w:after="47"/>
        <w:jc w:val="both"/>
      </w:pPr>
      <w:r w:rsidRPr="00F36BBD">
        <w:t>The distribution of borrowers reflects, given the demogr</w:t>
      </w:r>
      <w:r w:rsidR="00CF48CF" w:rsidRPr="00F36BBD">
        <w:t xml:space="preserve">aphics of the assessment area, </w:t>
      </w:r>
      <w:r w:rsidR="00236D42" w:rsidRPr="00F36BBD">
        <w:t>reasonable</w:t>
      </w:r>
      <w:r w:rsidRPr="00F36BBD">
        <w:t xml:space="preserve"> penetration among individuals of different income levels (including low- and moderate-income). </w:t>
      </w:r>
    </w:p>
    <w:p w:rsidR="003912CC" w:rsidRPr="00F36BBD" w:rsidRDefault="00BB1B65" w:rsidP="00E229ED">
      <w:pPr>
        <w:pStyle w:val="Default"/>
        <w:numPr>
          <w:ilvl w:val="0"/>
          <w:numId w:val="2"/>
        </w:numPr>
        <w:jc w:val="both"/>
      </w:pPr>
      <w:r w:rsidRPr="00F36BBD">
        <w:t>The c</w:t>
      </w:r>
      <w:r w:rsidR="003912CC" w:rsidRPr="00F36BBD">
        <w:t xml:space="preserve">redit </w:t>
      </w:r>
      <w:r w:rsidRPr="00F36BBD">
        <w:t>u</w:t>
      </w:r>
      <w:r w:rsidR="003912CC" w:rsidRPr="00F36BBD">
        <w:t xml:space="preserve">nion has not received any CRA-related complaints since the last CRA evaluation. </w:t>
      </w:r>
    </w:p>
    <w:p w:rsidR="003912CC" w:rsidRPr="00575420" w:rsidRDefault="003912CC" w:rsidP="00E229ED">
      <w:pPr>
        <w:pStyle w:val="QuickFormat1"/>
        <w:jc w:val="both"/>
        <w:rPr>
          <w:color w:val="auto"/>
          <w:sz w:val="28"/>
          <w:szCs w:val="28"/>
          <w:highlight w:val="yellow"/>
          <w:lang w:val="en-US"/>
        </w:rPr>
      </w:pPr>
    </w:p>
    <w:p w:rsidR="00A03374" w:rsidRPr="00575420" w:rsidRDefault="00A03374" w:rsidP="003912CC">
      <w:pPr>
        <w:pStyle w:val="QuickFormat1"/>
        <w:rPr>
          <w:color w:val="auto"/>
          <w:sz w:val="28"/>
          <w:szCs w:val="28"/>
          <w:highlight w:val="yellow"/>
          <w:lang w:val="en-US"/>
        </w:rPr>
      </w:pPr>
    </w:p>
    <w:p w:rsidR="00B70895" w:rsidRDefault="00B70895">
      <w:pPr>
        <w:spacing w:after="160" w:line="259" w:lineRule="auto"/>
        <w:rPr>
          <w:rFonts w:eastAsiaTheme="minorHAnsi"/>
          <w:b/>
          <w:sz w:val="28"/>
          <w:szCs w:val="28"/>
          <w:lang w:val="x-none" w:eastAsia="x-none"/>
        </w:rPr>
      </w:pPr>
      <w:r>
        <w:rPr>
          <w:sz w:val="28"/>
          <w:szCs w:val="28"/>
        </w:rPr>
        <w:br w:type="page"/>
      </w:r>
    </w:p>
    <w:p w:rsidR="003912CC" w:rsidRPr="00BC7848" w:rsidRDefault="00DB3558" w:rsidP="003912CC">
      <w:pPr>
        <w:pStyle w:val="QuickFormat1"/>
        <w:rPr>
          <w:b w:val="0"/>
          <w:bCs/>
          <w:sz w:val="24"/>
          <w:szCs w:val="24"/>
        </w:rPr>
      </w:pPr>
      <w:r w:rsidRPr="00BC7848">
        <w:rPr>
          <w:color w:val="auto"/>
          <w:sz w:val="28"/>
          <w:szCs w:val="28"/>
        </w:rPr>
        <w:lastRenderedPageBreak/>
        <w:t>DESCRIPTION</w:t>
      </w:r>
      <w:r w:rsidR="003912CC" w:rsidRPr="00BC7848">
        <w:rPr>
          <w:color w:val="auto"/>
          <w:sz w:val="28"/>
          <w:szCs w:val="28"/>
        </w:rPr>
        <w:t xml:space="preserve"> OF INSTITUTION</w:t>
      </w:r>
    </w:p>
    <w:p w:rsidR="003912CC" w:rsidRPr="00BC7848" w:rsidRDefault="003912CC" w:rsidP="003912CC"/>
    <w:p w:rsidR="003912CC" w:rsidRPr="00BC7848" w:rsidRDefault="003912CC" w:rsidP="00E229ED">
      <w:pPr>
        <w:jc w:val="both"/>
        <w:rPr>
          <w:b/>
          <w:bCs/>
          <w:iCs/>
          <w:color w:val="000000"/>
          <w:u w:val="single"/>
        </w:rPr>
      </w:pPr>
      <w:r w:rsidRPr="00BC7848">
        <w:rPr>
          <w:b/>
          <w:bCs/>
          <w:iCs/>
          <w:color w:val="000000"/>
          <w:u w:val="single"/>
        </w:rPr>
        <w:t>Background</w:t>
      </w:r>
    </w:p>
    <w:p w:rsidR="00914C75" w:rsidRPr="00BC7848" w:rsidRDefault="00914C75" w:rsidP="00E229ED">
      <w:pPr>
        <w:jc w:val="both"/>
        <w:rPr>
          <w:b/>
          <w:bCs/>
          <w:iCs/>
          <w:color w:val="000000"/>
          <w:u w:val="single"/>
        </w:rPr>
      </w:pPr>
    </w:p>
    <w:p w:rsidR="00F31627" w:rsidRPr="00575420" w:rsidRDefault="00EE1381" w:rsidP="00E229ED">
      <w:pPr>
        <w:spacing w:after="160" w:line="259" w:lineRule="auto"/>
        <w:jc w:val="both"/>
        <w:rPr>
          <w:bCs/>
          <w:iCs/>
          <w:color w:val="000000"/>
          <w:highlight w:val="yellow"/>
        </w:rPr>
      </w:pPr>
      <w:r w:rsidRPr="00BC7848">
        <w:rPr>
          <w:bCs/>
          <w:iCs/>
          <w:color w:val="000000"/>
        </w:rPr>
        <w:t>Worcester</w:t>
      </w:r>
      <w:r w:rsidR="009E604B" w:rsidRPr="00BC7848">
        <w:rPr>
          <w:bCs/>
          <w:iCs/>
          <w:color w:val="000000"/>
        </w:rPr>
        <w:t xml:space="preserve"> Credit Union is a state-chartered</w:t>
      </w:r>
      <w:r w:rsidR="00024996" w:rsidRPr="00BC7848">
        <w:rPr>
          <w:bCs/>
          <w:iCs/>
          <w:color w:val="000000"/>
        </w:rPr>
        <w:t xml:space="preserve"> credit union</w:t>
      </w:r>
      <w:r w:rsidR="009E604B" w:rsidRPr="00BC7848">
        <w:rPr>
          <w:bCs/>
          <w:iCs/>
          <w:color w:val="000000"/>
        </w:rPr>
        <w:t xml:space="preserve"> that was established </w:t>
      </w:r>
      <w:r w:rsidR="00BC7848" w:rsidRPr="00BC7848">
        <w:rPr>
          <w:bCs/>
          <w:iCs/>
          <w:color w:val="000000"/>
        </w:rPr>
        <w:t>in 1976</w:t>
      </w:r>
      <w:r w:rsidR="00893F1C" w:rsidRPr="00BC7848">
        <w:rPr>
          <w:bCs/>
          <w:iCs/>
          <w:color w:val="000000"/>
        </w:rPr>
        <w:t xml:space="preserve">.  The </w:t>
      </w:r>
      <w:r w:rsidR="00F96AAB" w:rsidRPr="00BC7848">
        <w:rPr>
          <w:bCs/>
          <w:iCs/>
          <w:color w:val="000000"/>
        </w:rPr>
        <w:t>c</w:t>
      </w:r>
      <w:r w:rsidR="00AB2944" w:rsidRPr="00BC7848">
        <w:rPr>
          <w:bCs/>
          <w:iCs/>
          <w:color w:val="000000"/>
        </w:rPr>
        <w:t xml:space="preserve">redit </w:t>
      </w:r>
      <w:r w:rsidR="00F96AAB" w:rsidRPr="00BC7848">
        <w:rPr>
          <w:bCs/>
          <w:iCs/>
          <w:color w:val="000000"/>
        </w:rPr>
        <w:t>u</w:t>
      </w:r>
      <w:r w:rsidR="00AB2944" w:rsidRPr="00BC7848">
        <w:rPr>
          <w:bCs/>
          <w:iCs/>
          <w:color w:val="000000"/>
        </w:rPr>
        <w:t xml:space="preserve">nion’s membership is made up of </w:t>
      </w:r>
      <w:r w:rsidR="00BC7848">
        <w:rPr>
          <w:bCs/>
          <w:iCs/>
          <w:color w:val="000000"/>
        </w:rPr>
        <w:t>anyone who lives, works, and worships or attends any school in the City of Worcester or any of the surrounding towns.  Worcester Credit Union has received a low-income designation from the NCUA and the Division of Banks.</w:t>
      </w:r>
      <w:r w:rsidR="00356DDB">
        <w:rPr>
          <w:bCs/>
          <w:iCs/>
          <w:color w:val="000000"/>
        </w:rPr>
        <w:t xml:space="preserve">  </w:t>
      </w:r>
      <w:r w:rsidR="00AB2944" w:rsidRPr="00BC7848">
        <w:rPr>
          <w:bCs/>
          <w:iCs/>
          <w:color w:val="000000"/>
        </w:rPr>
        <w:t xml:space="preserve">The </w:t>
      </w:r>
      <w:r w:rsidR="00F96AAB" w:rsidRPr="00BC7848">
        <w:rPr>
          <w:bCs/>
          <w:iCs/>
          <w:color w:val="000000"/>
        </w:rPr>
        <w:t>c</w:t>
      </w:r>
      <w:r w:rsidR="00AB2944" w:rsidRPr="00BC7848">
        <w:rPr>
          <w:bCs/>
          <w:iCs/>
          <w:color w:val="000000"/>
        </w:rPr>
        <w:t xml:space="preserve">redit </w:t>
      </w:r>
      <w:r w:rsidR="00F96AAB" w:rsidRPr="00BC7848">
        <w:rPr>
          <w:bCs/>
          <w:iCs/>
          <w:color w:val="000000"/>
        </w:rPr>
        <w:t>u</w:t>
      </w:r>
      <w:r w:rsidR="00BC7848" w:rsidRPr="00BC7848">
        <w:rPr>
          <w:bCs/>
          <w:iCs/>
          <w:color w:val="000000"/>
        </w:rPr>
        <w:t>nion has 6,885</w:t>
      </w:r>
      <w:r w:rsidR="00AB2944" w:rsidRPr="00BC7848">
        <w:rPr>
          <w:bCs/>
          <w:iCs/>
          <w:color w:val="000000"/>
        </w:rPr>
        <w:t xml:space="preserve"> members as of March 30, 202</w:t>
      </w:r>
      <w:r w:rsidR="00BC7848" w:rsidRPr="00BC7848">
        <w:rPr>
          <w:bCs/>
          <w:iCs/>
          <w:color w:val="000000"/>
        </w:rPr>
        <w:t>1</w:t>
      </w:r>
      <w:r w:rsidR="00AB2944" w:rsidRPr="00BC7848">
        <w:rPr>
          <w:bCs/>
          <w:iCs/>
          <w:color w:val="000000"/>
        </w:rPr>
        <w:t xml:space="preserve">. </w:t>
      </w:r>
    </w:p>
    <w:p w:rsidR="003912CC" w:rsidRPr="00BC7848" w:rsidRDefault="003912CC" w:rsidP="00E229ED">
      <w:pPr>
        <w:pStyle w:val="QuickFormat1"/>
        <w:jc w:val="both"/>
        <w:rPr>
          <w:iCs/>
          <w:sz w:val="24"/>
          <w:szCs w:val="24"/>
          <w:u w:val="single"/>
        </w:rPr>
      </w:pPr>
      <w:r w:rsidRPr="00BC7848">
        <w:rPr>
          <w:iCs/>
          <w:sz w:val="24"/>
          <w:szCs w:val="24"/>
          <w:u w:val="single"/>
        </w:rPr>
        <w:t>Operations</w:t>
      </w:r>
    </w:p>
    <w:p w:rsidR="00AB2944" w:rsidRPr="00BC7848" w:rsidRDefault="00AB2944" w:rsidP="00E229ED">
      <w:pPr>
        <w:pStyle w:val="QuickFormat1"/>
        <w:jc w:val="both"/>
        <w:rPr>
          <w:iCs/>
          <w:sz w:val="24"/>
          <w:szCs w:val="24"/>
          <w:u w:val="single"/>
        </w:rPr>
      </w:pPr>
    </w:p>
    <w:p w:rsidR="00AB2944" w:rsidRPr="00BC7848" w:rsidRDefault="00AB2944" w:rsidP="00E229ED">
      <w:pPr>
        <w:pStyle w:val="QuickFormat1"/>
        <w:jc w:val="both"/>
        <w:rPr>
          <w:b w:val="0"/>
          <w:iCs/>
          <w:sz w:val="24"/>
          <w:szCs w:val="24"/>
          <w:lang w:val="en-US"/>
        </w:rPr>
      </w:pPr>
      <w:r w:rsidRPr="00BC7848">
        <w:rPr>
          <w:b w:val="0"/>
          <w:iCs/>
          <w:sz w:val="24"/>
          <w:szCs w:val="24"/>
          <w:lang w:val="en-US"/>
        </w:rPr>
        <w:t xml:space="preserve">The </w:t>
      </w:r>
      <w:r w:rsidR="00F96AAB" w:rsidRPr="00BC7848">
        <w:rPr>
          <w:b w:val="0"/>
          <w:iCs/>
          <w:sz w:val="24"/>
          <w:szCs w:val="24"/>
          <w:lang w:val="en-US"/>
        </w:rPr>
        <w:t>c</w:t>
      </w:r>
      <w:r w:rsidR="00893F1C" w:rsidRPr="00BC7848">
        <w:rPr>
          <w:b w:val="0"/>
          <w:iCs/>
          <w:sz w:val="24"/>
          <w:szCs w:val="24"/>
          <w:lang w:val="en-US"/>
        </w:rPr>
        <w:t xml:space="preserve">redit </w:t>
      </w:r>
      <w:r w:rsidR="00F96AAB" w:rsidRPr="00BC7848">
        <w:rPr>
          <w:b w:val="0"/>
          <w:iCs/>
          <w:sz w:val="24"/>
          <w:szCs w:val="24"/>
          <w:lang w:val="en-US"/>
        </w:rPr>
        <w:t>u</w:t>
      </w:r>
      <w:r w:rsidRPr="00BC7848">
        <w:rPr>
          <w:b w:val="0"/>
          <w:iCs/>
          <w:sz w:val="24"/>
          <w:szCs w:val="24"/>
          <w:lang w:val="en-US"/>
        </w:rPr>
        <w:t xml:space="preserve">nion is headquartered at </w:t>
      </w:r>
      <w:r w:rsidR="00EE1381" w:rsidRPr="00BC7848">
        <w:rPr>
          <w:b w:val="0"/>
          <w:iCs/>
          <w:sz w:val="24"/>
          <w:szCs w:val="24"/>
          <w:lang w:val="en-US"/>
        </w:rPr>
        <w:t xml:space="preserve">520 West Boylston Street Worcester, </w:t>
      </w:r>
      <w:r w:rsidRPr="00BC7848">
        <w:rPr>
          <w:b w:val="0"/>
          <w:iCs/>
          <w:sz w:val="24"/>
          <w:szCs w:val="24"/>
          <w:lang w:val="en-US"/>
        </w:rPr>
        <w:t xml:space="preserve">Massachusetts.  The credit union’s hours are </w:t>
      </w:r>
      <w:r w:rsidR="00BC7848" w:rsidRPr="00BC7848">
        <w:rPr>
          <w:b w:val="0"/>
          <w:iCs/>
          <w:sz w:val="24"/>
          <w:szCs w:val="24"/>
          <w:lang w:val="en-US"/>
        </w:rPr>
        <w:t>Monday thru Wednesday 8:30 am to 5:00 pm, Thursday 8:30 am to 6:00 pm, Friday 8:30 am to 5:00 pm and Saturday 9:00 am to 12:00 pm.</w:t>
      </w:r>
    </w:p>
    <w:p w:rsidR="00B74AB2" w:rsidRPr="00575420" w:rsidRDefault="00B74AB2" w:rsidP="00E229ED">
      <w:pPr>
        <w:tabs>
          <w:tab w:val="left" w:pos="916"/>
        </w:tabs>
        <w:jc w:val="both"/>
        <w:rPr>
          <w:highlight w:val="yellow"/>
        </w:rPr>
      </w:pPr>
    </w:p>
    <w:p w:rsidR="00595092" w:rsidRPr="006F3B4B" w:rsidRDefault="006F3B4B" w:rsidP="00E229ED">
      <w:pPr>
        <w:tabs>
          <w:tab w:val="left" w:pos="916"/>
        </w:tabs>
        <w:jc w:val="both"/>
      </w:pPr>
      <w:r w:rsidRPr="006F3B4B">
        <w:t xml:space="preserve">The credit union currently offers its members personal checking accounts, savings accounts, money market accounts, Certificates of Deposits, Individual Retirement Accounts, debit cards, online banking, Overdraft Protection, home mortgage loans, and personal loans.  The credit union also offers business checking and business savings accounts. </w:t>
      </w:r>
    </w:p>
    <w:p w:rsidR="00914C75" w:rsidRPr="006F3B4B" w:rsidRDefault="00914C75" w:rsidP="00E229ED">
      <w:pPr>
        <w:tabs>
          <w:tab w:val="left" w:pos="916"/>
        </w:tabs>
        <w:jc w:val="both"/>
      </w:pPr>
    </w:p>
    <w:p w:rsidR="003912CC" w:rsidRPr="00356DDB" w:rsidRDefault="003912CC" w:rsidP="00E229ED">
      <w:pPr>
        <w:pStyle w:val="QuickFormat1"/>
        <w:jc w:val="both"/>
        <w:rPr>
          <w:iCs/>
          <w:sz w:val="24"/>
          <w:szCs w:val="24"/>
          <w:u w:val="single"/>
          <w:lang w:val="en-US"/>
        </w:rPr>
      </w:pPr>
      <w:r w:rsidRPr="00356DDB">
        <w:rPr>
          <w:iCs/>
          <w:sz w:val="24"/>
          <w:szCs w:val="24"/>
          <w:u w:val="single"/>
        </w:rPr>
        <w:t>Ability and Capacity</w:t>
      </w:r>
    </w:p>
    <w:p w:rsidR="003912CC" w:rsidRPr="00356DDB" w:rsidRDefault="003912CC" w:rsidP="00E229ED">
      <w:pPr>
        <w:pStyle w:val="QuickFormat1"/>
        <w:jc w:val="both"/>
        <w:rPr>
          <w:iCs/>
          <w:sz w:val="24"/>
          <w:szCs w:val="24"/>
          <w:u w:val="single"/>
          <w:lang w:val="en-US"/>
        </w:rPr>
      </w:pPr>
    </w:p>
    <w:p w:rsidR="000E6557" w:rsidRPr="00EB7205" w:rsidRDefault="000E6557" w:rsidP="00E229ED">
      <w:pPr>
        <w:tabs>
          <w:tab w:val="left" w:pos="916"/>
        </w:tabs>
        <w:jc w:val="both"/>
      </w:pPr>
      <w:r w:rsidRPr="00356DDB">
        <w:t xml:space="preserve">As of </w:t>
      </w:r>
      <w:r w:rsidR="00356DDB" w:rsidRPr="00356DDB">
        <w:t>March 31</w:t>
      </w:r>
      <w:r w:rsidR="005B056A" w:rsidRPr="00356DDB">
        <w:t>, 202</w:t>
      </w:r>
      <w:r w:rsidR="00356DDB" w:rsidRPr="00356DDB">
        <w:t>1</w:t>
      </w:r>
      <w:r w:rsidRPr="00356DDB">
        <w:t xml:space="preserve">, the </w:t>
      </w:r>
      <w:r w:rsidR="00F96AAB" w:rsidRPr="00356DDB">
        <w:t>c</w:t>
      </w:r>
      <w:r w:rsidRPr="00356DDB">
        <w:t xml:space="preserve">redit </w:t>
      </w:r>
      <w:r w:rsidR="00F96AAB" w:rsidRPr="00356DDB">
        <w:t>u</w:t>
      </w:r>
      <w:r w:rsidRPr="00356DDB">
        <w:t>nion had total assets of approximately $</w:t>
      </w:r>
      <w:r w:rsidR="00356DDB" w:rsidRPr="00356DDB">
        <w:t>111.9</w:t>
      </w:r>
      <w:r w:rsidR="0006322B" w:rsidRPr="00356DDB">
        <w:t xml:space="preserve"> </w:t>
      </w:r>
      <w:r w:rsidRPr="00356DDB">
        <w:t xml:space="preserve">million, total shares </w:t>
      </w:r>
      <w:r w:rsidR="0006322B" w:rsidRPr="00356DDB">
        <w:t>and deposits of approximately $</w:t>
      </w:r>
      <w:r w:rsidR="00356DDB" w:rsidRPr="00356DDB">
        <w:t>103.0</w:t>
      </w:r>
      <w:r w:rsidRPr="00356DDB">
        <w:t xml:space="preserve"> million, and </w:t>
      </w:r>
      <w:r w:rsidR="0006322B" w:rsidRPr="00356DDB">
        <w:t>total loans of approximately $</w:t>
      </w:r>
      <w:r w:rsidR="00356DDB" w:rsidRPr="00356DDB">
        <w:t>55.7</w:t>
      </w:r>
      <w:r w:rsidR="0025110E" w:rsidRPr="00356DDB">
        <w:t xml:space="preserve"> </w:t>
      </w:r>
      <w:r w:rsidR="0025110E" w:rsidRPr="00EB7205">
        <w:t xml:space="preserve">million.  </w:t>
      </w:r>
      <w:r w:rsidR="00F96AAB" w:rsidRPr="00EB7205">
        <w:t>The c</w:t>
      </w:r>
      <w:r w:rsidRPr="00EB7205">
        <w:t xml:space="preserve">redit </w:t>
      </w:r>
      <w:r w:rsidR="00F96AAB" w:rsidRPr="00EB7205">
        <w:t>u</w:t>
      </w:r>
      <w:r w:rsidRPr="00EB7205">
        <w:t xml:space="preserve">nion is primarily a </w:t>
      </w:r>
      <w:r w:rsidR="00EB7205" w:rsidRPr="00EB7205">
        <w:t>residential</w:t>
      </w:r>
      <w:r w:rsidRPr="00EB7205">
        <w:t xml:space="preserve"> lender by dollar volume.  </w:t>
      </w:r>
      <w:r w:rsidR="00EB7205" w:rsidRPr="00EB7205">
        <w:t>Loans secured by first and junior liens on 1-4 family residential properties account for 73.1 percent of total loans</w:t>
      </w:r>
      <w:r w:rsidR="00327ACE" w:rsidRPr="00EB7205">
        <w:t xml:space="preserve">  </w:t>
      </w:r>
    </w:p>
    <w:p w:rsidR="0025110E" w:rsidRPr="00EB7205" w:rsidRDefault="0025110E" w:rsidP="00E229ED">
      <w:pPr>
        <w:tabs>
          <w:tab w:val="left" w:pos="916"/>
        </w:tabs>
        <w:jc w:val="both"/>
      </w:pPr>
    </w:p>
    <w:p w:rsidR="000E6557" w:rsidRPr="00575420" w:rsidRDefault="000E6557" w:rsidP="00E229ED">
      <w:pPr>
        <w:tabs>
          <w:tab w:val="left" w:pos="916"/>
        </w:tabs>
        <w:jc w:val="both"/>
        <w:rPr>
          <w:highlight w:val="yellow"/>
        </w:rPr>
      </w:pPr>
      <w:r w:rsidRPr="00EB7205">
        <w:t xml:space="preserve">The following table illustrates the distribution of the </w:t>
      </w:r>
      <w:r w:rsidR="00F96AAB" w:rsidRPr="00EB7205">
        <w:t>c</w:t>
      </w:r>
      <w:r w:rsidR="00BB1B65" w:rsidRPr="00EB7205">
        <w:t xml:space="preserve">redit </w:t>
      </w:r>
      <w:r w:rsidR="00F96AAB" w:rsidRPr="00EB7205">
        <w:t>u</w:t>
      </w:r>
      <w:r w:rsidRPr="00EB7205">
        <w:t>nion’s loan portfolio</w:t>
      </w:r>
      <w:r w:rsidR="00DB3558">
        <w:t>.</w:t>
      </w:r>
    </w:p>
    <w:p w:rsidR="003912CC" w:rsidRPr="00575420" w:rsidRDefault="003912CC" w:rsidP="003912CC">
      <w:pPr>
        <w:pStyle w:val="QuickFormat1"/>
        <w:jc w:val="left"/>
        <w:rPr>
          <w:b w:val="0"/>
          <w:bCs/>
          <w:spacing w:val="-4"/>
          <w:sz w:val="24"/>
          <w:szCs w:val="24"/>
          <w:highlight w:val="yellow"/>
          <w:lang w:val="en-US"/>
        </w:rPr>
      </w:pPr>
    </w:p>
    <w:tbl>
      <w:tblPr>
        <w:tblpPr w:leftFromText="180" w:rightFromText="180" w:vertAnchor="text" w:horzAnchor="margin" w:tblpY="-40"/>
        <w:tblW w:w="9187" w:type="dxa"/>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000" w:firstRow="0" w:lastRow="0" w:firstColumn="0" w:lastColumn="0" w:noHBand="0" w:noVBand="0"/>
        <w:tblDescription w:val="Table X - Loan Portfolio Distribution as of XX/XX/XX"/>
      </w:tblPr>
      <w:tblGrid>
        <w:gridCol w:w="6440"/>
        <w:gridCol w:w="1605"/>
        <w:gridCol w:w="1142"/>
      </w:tblGrid>
      <w:tr w:rsidR="000E6557" w:rsidRPr="00EB7205" w:rsidTr="0089709B">
        <w:trPr>
          <w:trHeight w:hRule="exact" w:val="335"/>
          <w:tblHeader/>
        </w:trPr>
        <w:tc>
          <w:tcPr>
            <w:tcW w:w="9187" w:type="dxa"/>
            <w:gridSpan w:val="3"/>
            <w:tcBorders>
              <w:top w:val="single" w:sz="4" w:space="0" w:color="auto"/>
              <w:bottom w:val="single" w:sz="4" w:space="0" w:color="auto"/>
            </w:tcBorders>
            <w:shd w:val="clear" w:color="auto" w:fill="auto"/>
            <w:vAlign w:val="center"/>
          </w:tcPr>
          <w:p w:rsidR="000E6557" w:rsidRPr="00EB7205" w:rsidRDefault="000E6557" w:rsidP="00EB7205">
            <w:pPr>
              <w:spacing w:after="160" w:line="259" w:lineRule="auto"/>
              <w:jc w:val="center"/>
              <w:rPr>
                <w:rFonts w:eastAsiaTheme="minorHAnsi"/>
                <w:b/>
                <w:sz w:val="20"/>
                <w:szCs w:val="20"/>
              </w:rPr>
            </w:pPr>
            <w:r w:rsidRPr="00EB7205">
              <w:rPr>
                <w:rFonts w:eastAsiaTheme="minorHAnsi"/>
                <w:sz w:val="20"/>
                <w:szCs w:val="20"/>
              </w:rPr>
              <w:br w:type="page"/>
            </w:r>
            <w:r w:rsidRPr="00EB7205">
              <w:rPr>
                <w:rFonts w:eastAsiaTheme="minorHAnsi"/>
                <w:sz w:val="20"/>
                <w:szCs w:val="20"/>
              </w:rPr>
              <w:br w:type="page"/>
            </w:r>
            <w:r w:rsidRPr="00EB7205">
              <w:rPr>
                <w:rFonts w:eastAsiaTheme="minorHAnsi"/>
                <w:sz w:val="20"/>
                <w:szCs w:val="20"/>
              </w:rPr>
              <w:br w:type="page"/>
            </w:r>
            <w:r w:rsidRPr="00EB7205">
              <w:rPr>
                <w:rFonts w:eastAsiaTheme="minorHAnsi"/>
                <w:b/>
                <w:sz w:val="20"/>
                <w:szCs w:val="20"/>
              </w:rPr>
              <w:br w:type="page"/>
              <w:t>Loa</w:t>
            </w:r>
            <w:r w:rsidR="0025110E" w:rsidRPr="00EB7205">
              <w:rPr>
                <w:rFonts w:eastAsiaTheme="minorHAnsi"/>
                <w:b/>
                <w:sz w:val="20"/>
                <w:szCs w:val="20"/>
              </w:rPr>
              <w:t xml:space="preserve">n Portfolio Distribution as of </w:t>
            </w:r>
            <w:r w:rsidR="00EB7205" w:rsidRPr="00EB7205">
              <w:rPr>
                <w:rFonts w:eastAsiaTheme="minorHAnsi"/>
                <w:b/>
                <w:sz w:val="20"/>
                <w:szCs w:val="20"/>
              </w:rPr>
              <w:t>3/31/2021</w:t>
            </w:r>
          </w:p>
        </w:tc>
      </w:tr>
      <w:tr w:rsidR="000E6557" w:rsidRPr="00EB7205" w:rsidTr="0089709B">
        <w:trPr>
          <w:trHeight w:hRule="exact" w:val="268"/>
        </w:trPr>
        <w:tc>
          <w:tcPr>
            <w:tcW w:w="6440" w:type="dxa"/>
            <w:tcBorders>
              <w:top w:val="single" w:sz="4" w:space="0" w:color="auto"/>
              <w:bottom w:val="single" w:sz="4" w:space="0" w:color="auto"/>
            </w:tcBorders>
            <w:vAlign w:val="center"/>
          </w:tcPr>
          <w:p w:rsidR="000E6557" w:rsidRPr="00EB7205" w:rsidRDefault="000E6557" w:rsidP="000E6557">
            <w:pPr>
              <w:spacing w:after="160" w:line="259" w:lineRule="auto"/>
              <w:rPr>
                <w:rFonts w:eastAsiaTheme="minorHAnsi"/>
                <w:b/>
                <w:sz w:val="20"/>
                <w:szCs w:val="22"/>
              </w:rPr>
            </w:pPr>
            <w:r w:rsidRPr="00EB7205">
              <w:rPr>
                <w:rFonts w:eastAsiaTheme="minorHAnsi"/>
                <w:b/>
                <w:sz w:val="20"/>
                <w:szCs w:val="22"/>
              </w:rPr>
              <w:t>Loan Category</w:t>
            </w:r>
          </w:p>
        </w:tc>
        <w:tc>
          <w:tcPr>
            <w:tcW w:w="1605" w:type="dxa"/>
            <w:tcBorders>
              <w:top w:val="single" w:sz="4" w:space="0" w:color="auto"/>
              <w:bottom w:val="single" w:sz="4" w:space="0" w:color="auto"/>
            </w:tcBorders>
            <w:vAlign w:val="center"/>
          </w:tcPr>
          <w:p w:rsidR="000E6557" w:rsidRPr="00EB7205" w:rsidRDefault="000E6557" w:rsidP="000E6557">
            <w:pPr>
              <w:spacing w:after="160" w:line="259" w:lineRule="auto"/>
              <w:jc w:val="center"/>
              <w:rPr>
                <w:rFonts w:eastAsiaTheme="minorHAnsi"/>
                <w:b/>
                <w:sz w:val="20"/>
                <w:szCs w:val="22"/>
              </w:rPr>
            </w:pPr>
            <w:r w:rsidRPr="00EB7205">
              <w:rPr>
                <w:rFonts w:eastAsiaTheme="minorHAnsi"/>
                <w:b/>
                <w:sz w:val="20"/>
                <w:szCs w:val="22"/>
              </w:rPr>
              <w:t>$</w:t>
            </w:r>
          </w:p>
        </w:tc>
        <w:tc>
          <w:tcPr>
            <w:tcW w:w="1141" w:type="dxa"/>
            <w:tcBorders>
              <w:top w:val="single" w:sz="4" w:space="0" w:color="auto"/>
              <w:bottom w:val="single" w:sz="4" w:space="0" w:color="auto"/>
            </w:tcBorders>
            <w:vAlign w:val="center"/>
          </w:tcPr>
          <w:p w:rsidR="000E6557" w:rsidRPr="00EB7205" w:rsidRDefault="000E6557" w:rsidP="000E6557">
            <w:pPr>
              <w:spacing w:after="160" w:line="259" w:lineRule="auto"/>
              <w:jc w:val="center"/>
              <w:rPr>
                <w:rFonts w:eastAsiaTheme="minorHAnsi"/>
                <w:b/>
                <w:sz w:val="20"/>
                <w:szCs w:val="22"/>
              </w:rPr>
            </w:pPr>
            <w:r w:rsidRPr="00EB7205">
              <w:rPr>
                <w:rFonts w:eastAsiaTheme="minorHAnsi"/>
                <w:b/>
                <w:sz w:val="20"/>
                <w:szCs w:val="22"/>
              </w:rPr>
              <w:t xml:space="preserve"> %</w:t>
            </w:r>
          </w:p>
        </w:tc>
      </w:tr>
      <w:tr w:rsidR="000E6557" w:rsidRPr="00EB7205" w:rsidTr="0089709B">
        <w:trPr>
          <w:trHeight w:hRule="exact" w:val="268"/>
        </w:trPr>
        <w:tc>
          <w:tcPr>
            <w:tcW w:w="6440" w:type="dxa"/>
            <w:tcBorders>
              <w:top w:val="single" w:sz="4" w:space="0" w:color="auto"/>
              <w:bottom w:val="single" w:sz="4" w:space="0" w:color="auto"/>
            </w:tcBorders>
            <w:vAlign w:val="center"/>
          </w:tcPr>
          <w:p w:rsidR="000E6557" w:rsidRPr="00EB7205" w:rsidRDefault="000E6557" w:rsidP="00EB7205">
            <w:pPr>
              <w:spacing w:after="160" w:line="259" w:lineRule="auto"/>
              <w:rPr>
                <w:rFonts w:eastAsiaTheme="minorHAnsi"/>
                <w:sz w:val="20"/>
                <w:szCs w:val="22"/>
              </w:rPr>
            </w:pPr>
            <w:r w:rsidRPr="00EB7205">
              <w:rPr>
                <w:rFonts w:eastAsiaTheme="minorHAnsi"/>
                <w:sz w:val="20"/>
                <w:szCs w:val="22"/>
              </w:rPr>
              <w:t xml:space="preserve">Unsecured </w:t>
            </w:r>
            <w:r w:rsidR="00EB7205" w:rsidRPr="00EB7205">
              <w:rPr>
                <w:rFonts w:eastAsiaTheme="minorHAnsi"/>
                <w:sz w:val="20"/>
                <w:szCs w:val="22"/>
              </w:rPr>
              <w:t>Credit Card Loans</w:t>
            </w:r>
          </w:p>
        </w:tc>
        <w:tc>
          <w:tcPr>
            <w:tcW w:w="1605" w:type="dxa"/>
            <w:tcBorders>
              <w:top w:val="single" w:sz="4" w:space="0" w:color="auto"/>
              <w:bottom w:val="single" w:sz="4" w:space="0" w:color="auto"/>
            </w:tcBorders>
            <w:vAlign w:val="center"/>
          </w:tcPr>
          <w:p w:rsidR="000E6557" w:rsidRPr="00EB7205" w:rsidRDefault="00EB7205" w:rsidP="000E6557">
            <w:pPr>
              <w:spacing w:after="160" w:line="259" w:lineRule="auto"/>
              <w:jc w:val="center"/>
              <w:rPr>
                <w:rFonts w:eastAsiaTheme="minorHAnsi"/>
                <w:sz w:val="20"/>
                <w:szCs w:val="22"/>
              </w:rPr>
            </w:pPr>
            <w:r w:rsidRPr="00EB7205">
              <w:rPr>
                <w:rFonts w:eastAsiaTheme="minorHAnsi"/>
                <w:sz w:val="20"/>
                <w:szCs w:val="22"/>
              </w:rPr>
              <w:t>1,017,074</w:t>
            </w:r>
          </w:p>
        </w:tc>
        <w:tc>
          <w:tcPr>
            <w:tcW w:w="1141" w:type="dxa"/>
            <w:tcBorders>
              <w:top w:val="single" w:sz="4" w:space="0" w:color="auto"/>
              <w:bottom w:val="single" w:sz="4" w:space="0" w:color="auto"/>
            </w:tcBorders>
            <w:vAlign w:val="center"/>
          </w:tcPr>
          <w:p w:rsidR="000E6557" w:rsidRPr="00EB7205" w:rsidRDefault="00EB7205" w:rsidP="000E6557">
            <w:pPr>
              <w:spacing w:after="160" w:line="259" w:lineRule="auto"/>
              <w:jc w:val="center"/>
              <w:rPr>
                <w:rFonts w:eastAsiaTheme="minorHAnsi"/>
                <w:sz w:val="20"/>
                <w:szCs w:val="22"/>
              </w:rPr>
            </w:pPr>
            <w:r w:rsidRPr="00EB7205">
              <w:rPr>
                <w:rFonts w:eastAsiaTheme="minorHAnsi"/>
                <w:sz w:val="20"/>
                <w:szCs w:val="22"/>
              </w:rPr>
              <w:t>1.8</w:t>
            </w:r>
          </w:p>
        </w:tc>
      </w:tr>
      <w:tr w:rsidR="00EB7205" w:rsidRPr="00EB7205" w:rsidTr="0089709B">
        <w:trPr>
          <w:trHeight w:hRule="exact" w:val="268"/>
        </w:trPr>
        <w:tc>
          <w:tcPr>
            <w:tcW w:w="6440" w:type="dxa"/>
            <w:tcBorders>
              <w:top w:val="single" w:sz="4" w:space="0" w:color="auto"/>
              <w:bottom w:val="single" w:sz="4" w:space="0" w:color="auto"/>
            </w:tcBorders>
            <w:vAlign w:val="center"/>
          </w:tcPr>
          <w:p w:rsidR="00EB7205" w:rsidRPr="00EB7205" w:rsidRDefault="00EB7205" w:rsidP="000E6557">
            <w:pPr>
              <w:spacing w:after="160" w:line="259" w:lineRule="auto"/>
              <w:rPr>
                <w:rFonts w:eastAsiaTheme="minorHAnsi"/>
                <w:sz w:val="20"/>
                <w:szCs w:val="22"/>
              </w:rPr>
            </w:pPr>
            <w:r w:rsidRPr="00EB7205">
              <w:rPr>
                <w:rFonts w:eastAsiaTheme="minorHAnsi"/>
                <w:sz w:val="20"/>
                <w:szCs w:val="22"/>
              </w:rPr>
              <w:t>Non-Federally Guaranteed Student Loans</w:t>
            </w:r>
          </w:p>
        </w:tc>
        <w:tc>
          <w:tcPr>
            <w:tcW w:w="1605" w:type="dxa"/>
            <w:tcBorders>
              <w:top w:val="single" w:sz="4" w:space="0" w:color="auto"/>
              <w:bottom w:val="single" w:sz="4" w:space="0" w:color="auto"/>
            </w:tcBorders>
            <w:vAlign w:val="center"/>
          </w:tcPr>
          <w:p w:rsidR="00EB7205" w:rsidRPr="00EB7205" w:rsidRDefault="00EB7205" w:rsidP="000E6557">
            <w:pPr>
              <w:spacing w:after="160" w:line="259" w:lineRule="auto"/>
              <w:jc w:val="center"/>
              <w:rPr>
                <w:rFonts w:eastAsiaTheme="minorHAnsi"/>
                <w:sz w:val="20"/>
                <w:szCs w:val="22"/>
              </w:rPr>
            </w:pPr>
            <w:r w:rsidRPr="00EB7205">
              <w:rPr>
                <w:rFonts w:eastAsiaTheme="minorHAnsi"/>
                <w:sz w:val="20"/>
                <w:szCs w:val="22"/>
              </w:rPr>
              <w:t>1,954,937</w:t>
            </w:r>
          </w:p>
        </w:tc>
        <w:tc>
          <w:tcPr>
            <w:tcW w:w="1141" w:type="dxa"/>
            <w:tcBorders>
              <w:top w:val="single" w:sz="4" w:space="0" w:color="auto"/>
              <w:bottom w:val="single" w:sz="4" w:space="0" w:color="auto"/>
            </w:tcBorders>
            <w:vAlign w:val="center"/>
          </w:tcPr>
          <w:p w:rsidR="00EB7205" w:rsidRPr="00EB7205" w:rsidRDefault="00EB7205" w:rsidP="000E6557">
            <w:pPr>
              <w:spacing w:after="160" w:line="259" w:lineRule="auto"/>
              <w:jc w:val="center"/>
              <w:rPr>
                <w:rFonts w:eastAsiaTheme="minorHAnsi"/>
                <w:sz w:val="20"/>
                <w:szCs w:val="22"/>
              </w:rPr>
            </w:pPr>
            <w:r w:rsidRPr="00EB7205">
              <w:rPr>
                <w:rFonts w:eastAsiaTheme="minorHAnsi"/>
                <w:sz w:val="20"/>
                <w:szCs w:val="22"/>
              </w:rPr>
              <w:t>3.5</w:t>
            </w:r>
          </w:p>
        </w:tc>
      </w:tr>
      <w:tr w:rsidR="00EB7205" w:rsidRPr="00EB7205" w:rsidTr="0089709B">
        <w:trPr>
          <w:trHeight w:hRule="exact" w:val="268"/>
        </w:trPr>
        <w:tc>
          <w:tcPr>
            <w:tcW w:w="6440" w:type="dxa"/>
            <w:tcBorders>
              <w:top w:val="single" w:sz="4" w:space="0" w:color="auto"/>
              <w:bottom w:val="single" w:sz="4" w:space="0" w:color="auto"/>
            </w:tcBorders>
            <w:vAlign w:val="center"/>
          </w:tcPr>
          <w:p w:rsidR="00EB7205" w:rsidRPr="00EB7205" w:rsidRDefault="00EB7205" w:rsidP="000E6557">
            <w:pPr>
              <w:spacing w:after="160" w:line="259" w:lineRule="auto"/>
              <w:rPr>
                <w:rFonts w:eastAsiaTheme="minorHAnsi"/>
                <w:sz w:val="20"/>
                <w:szCs w:val="22"/>
              </w:rPr>
            </w:pPr>
            <w:r w:rsidRPr="00EB7205">
              <w:rPr>
                <w:rFonts w:eastAsiaTheme="minorHAnsi"/>
                <w:sz w:val="20"/>
                <w:szCs w:val="22"/>
              </w:rPr>
              <w:t>All Other Unsecured Loans/Lines of Credit</w:t>
            </w:r>
          </w:p>
        </w:tc>
        <w:tc>
          <w:tcPr>
            <w:tcW w:w="1605" w:type="dxa"/>
            <w:tcBorders>
              <w:top w:val="single" w:sz="4" w:space="0" w:color="auto"/>
              <w:bottom w:val="single" w:sz="4" w:space="0" w:color="auto"/>
            </w:tcBorders>
            <w:vAlign w:val="center"/>
          </w:tcPr>
          <w:p w:rsidR="00EB7205" w:rsidRPr="00EB7205" w:rsidRDefault="00EB7205" w:rsidP="000E6557">
            <w:pPr>
              <w:spacing w:after="160" w:line="259" w:lineRule="auto"/>
              <w:jc w:val="center"/>
              <w:rPr>
                <w:rFonts w:eastAsiaTheme="minorHAnsi"/>
                <w:sz w:val="20"/>
                <w:szCs w:val="22"/>
              </w:rPr>
            </w:pPr>
            <w:r w:rsidRPr="00EB7205">
              <w:rPr>
                <w:rFonts w:eastAsiaTheme="minorHAnsi"/>
                <w:sz w:val="20"/>
                <w:szCs w:val="22"/>
              </w:rPr>
              <w:t>4,124,020</w:t>
            </w:r>
          </w:p>
        </w:tc>
        <w:tc>
          <w:tcPr>
            <w:tcW w:w="1141" w:type="dxa"/>
            <w:tcBorders>
              <w:top w:val="single" w:sz="4" w:space="0" w:color="auto"/>
              <w:bottom w:val="single" w:sz="4" w:space="0" w:color="auto"/>
            </w:tcBorders>
            <w:vAlign w:val="center"/>
          </w:tcPr>
          <w:p w:rsidR="00EB7205" w:rsidRPr="00EB7205" w:rsidRDefault="00EB7205" w:rsidP="000E6557">
            <w:pPr>
              <w:spacing w:after="160" w:line="259" w:lineRule="auto"/>
              <w:jc w:val="center"/>
              <w:rPr>
                <w:rFonts w:eastAsiaTheme="minorHAnsi"/>
                <w:sz w:val="20"/>
                <w:szCs w:val="22"/>
              </w:rPr>
            </w:pPr>
            <w:r w:rsidRPr="00EB7205">
              <w:rPr>
                <w:rFonts w:eastAsiaTheme="minorHAnsi"/>
                <w:sz w:val="20"/>
                <w:szCs w:val="22"/>
              </w:rPr>
              <w:t>7.4</w:t>
            </w:r>
          </w:p>
        </w:tc>
      </w:tr>
      <w:tr w:rsidR="000E6557" w:rsidRPr="00EB7205" w:rsidTr="0089709B">
        <w:trPr>
          <w:trHeight w:hRule="exact" w:val="268"/>
        </w:trPr>
        <w:tc>
          <w:tcPr>
            <w:tcW w:w="6440" w:type="dxa"/>
            <w:tcBorders>
              <w:top w:val="single" w:sz="4" w:space="0" w:color="auto"/>
              <w:bottom w:val="single" w:sz="4" w:space="0" w:color="auto"/>
            </w:tcBorders>
            <w:vAlign w:val="center"/>
          </w:tcPr>
          <w:p w:rsidR="000E6557" w:rsidRPr="00EB7205" w:rsidRDefault="000E6557" w:rsidP="000E6557">
            <w:pPr>
              <w:spacing w:after="160" w:line="259" w:lineRule="auto"/>
              <w:rPr>
                <w:rFonts w:eastAsiaTheme="minorHAnsi"/>
                <w:sz w:val="20"/>
                <w:szCs w:val="22"/>
              </w:rPr>
            </w:pPr>
            <w:r w:rsidRPr="00EB7205">
              <w:rPr>
                <w:rFonts w:eastAsiaTheme="minorHAnsi"/>
                <w:sz w:val="20"/>
                <w:szCs w:val="22"/>
              </w:rPr>
              <w:t>New Vehicle Loans</w:t>
            </w:r>
          </w:p>
        </w:tc>
        <w:tc>
          <w:tcPr>
            <w:tcW w:w="1605" w:type="dxa"/>
            <w:tcBorders>
              <w:top w:val="single" w:sz="4" w:space="0" w:color="auto"/>
              <w:bottom w:val="single" w:sz="4" w:space="0" w:color="auto"/>
            </w:tcBorders>
            <w:vAlign w:val="center"/>
          </w:tcPr>
          <w:p w:rsidR="000E6557" w:rsidRPr="00EB7205" w:rsidRDefault="00EB7205" w:rsidP="000E6557">
            <w:pPr>
              <w:spacing w:after="160" w:line="259" w:lineRule="auto"/>
              <w:jc w:val="center"/>
              <w:rPr>
                <w:rFonts w:eastAsiaTheme="minorHAnsi"/>
                <w:sz w:val="20"/>
                <w:szCs w:val="22"/>
              </w:rPr>
            </w:pPr>
            <w:r w:rsidRPr="00EB7205">
              <w:rPr>
                <w:rFonts w:eastAsiaTheme="minorHAnsi"/>
                <w:sz w:val="20"/>
                <w:szCs w:val="22"/>
              </w:rPr>
              <w:t>1,850,074</w:t>
            </w:r>
          </w:p>
        </w:tc>
        <w:tc>
          <w:tcPr>
            <w:tcW w:w="1141" w:type="dxa"/>
            <w:tcBorders>
              <w:top w:val="single" w:sz="4" w:space="0" w:color="auto"/>
              <w:bottom w:val="single" w:sz="4" w:space="0" w:color="auto"/>
            </w:tcBorders>
            <w:vAlign w:val="center"/>
          </w:tcPr>
          <w:p w:rsidR="000E6557" w:rsidRPr="00EB7205" w:rsidRDefault="00EB7205" w:rsidP="000E6557">
            <w:pPr>
              <w:spacing w:after="160" w:line="259" w:lineRule="auto"/>
              <w:jc w:val="center"/>
              <w:rPr>
                <w:rFonts w:eastAsiaTheme="minorHAnsi"/>
                <w:sz w:val="20"/>
                <w:szCs w:val="22"/>
              </w:rPr>
            </w:pPr>
            <w:r w:rsidRPr="00EB7205">
              <w:rPr>
                <w:rFonts w:eastAsiaTheme="minorHAnsi"/>
                <w:sz w:val="20"/>
                <w:szCs w:val="22"/>
              </w:rPr>
              <w:t>3.3</w:t>
            </w:r>
          </w:p>
        </w:tc>
      </w:tr>
      <w:tr w:rsidR="000E6557" w:rsidRPr="00EB7205" w:rsidTr="0089709B">
        <w:trPr>
          <w:trHeight w:hRule="exact" w:val="268"/>
        </w:trPr>
        <w:tc>
          <w:tcPr>
            <w:tcW w:w="6440" w:type="dxa"/>
            <w:tcBorders>
              <w:top w:val="single" w:sz="4" w:space="0" w:color="auto"/>
              <w:bottom w:val="single" w:sz="4" w:space="0" w:color="auto"/>
            </w:tcBorders>
            <w:vAlign w:val="center"/>
          </w:tcPr>
          <w:p w:rsidR="000E6557" w:rsidRPr="00EB7205" w:rsidRDefault="000E6557" w:rsidP="000E6557">
            <w:pPr>
              <w:spacing w:after="160" w:line="259" w:lineRule="auto"/>
              <w:rPr>
                <w:rFonts w:eastAsiaTheme="minorHAnsi"/>
                <w:sz w:val="20"/>
                <w:szCs w:val="22"/>
              </w:rPr>
            </w:pPr>
            <w:r w:rsidRPr="00EB7205">
              <w:rPr>
                <w:rFonts w:eastAsiaTheme="minorHAnsi"/>
                <w:sz w:val="20"/>
                <w:szCs w:val="22"/>
              </w:rPr>
              <w:t>Used Vehicle Loans</w:t>
            </w:r>
          </w:p>
        </w:tc>
        <w:tc>
          <w:tcPr>
            <w:tcW w:w="1605" w:type="dxa"/>
            <w:tcBorders>
              <w:top w:val="single" w:sz="4" w:space="0" w:color="auto"/>
              <w:bottom w:val="single" w:sz="4" w:space="0" w:color="auto"/>
            </w:tcBorders>
            <w:vAlign w:val="center"/>
          </w:tcPr>
          <w:p w:rsidR="000E6557" w:rsidRPr="00EB7205" w:rsidRDefault="00EB7205" w:rsidP="000E6557">
            <w:pPr>
              <w:spacing w:after="160" w:line="259" w:lineRule="auto"/>
              <w:jc w:val="center"/>
              <w:rPr>
                <w:rFonts w:eastAsiaTheme="minorHAnsi"/>
                <w:sz w:val="20"/>
                <w:szCs w:val="22"/>
              </w:rPr>
            </w:pPr>
            <w:r w:rsidRPr="00EB7205">
              <w:rPr>
                <w:rFonts w:eastAsiaTheme="minorHAnsi"/>
                <w:sz w:val="20"/>
                <w:szCs w:val="22"/>
              </w:rPr>
              <w:t>5,660,519</w:t>
            </w:r>
          </w:p>
        </w:tc>
        <w:tc>
          <w:tcPr>
            <w:tcW w:w="1141" w:type="dxa"/>
            <w:tcBorders>
              <w:top w:val="single" w:sz="4" w:space="0" w:color="auto"/>
              <w:bottom w:val="single" w:sz="4" w:space="0" w:color="auto"/>
            </w:tcBorders>
            <w:vAlign w:val="center"/>
          </w:tcPr>
          <w:p w:rsidR="000E6557" w:rsidRPr="00EB7205" w:rsidRDefault="00EB7205" w:rsidP="000E6557">
            <w:pPr>
              <w:spacing w:after="160" w:line="259" w:lineRule="auto"/>
              <w:jc w:val="center"/>
              <w:rPr>
                <w:rFonts w:eastAsiaTheme="minorHAnsi"/>
                <w:sz w:val="20"/>
                <w:szCs w:val="22"/>
              </w:rPr>
            </w:pPr>
            <w:r w:rsidRPr="00EB7205">
              <w:rPr>
                <w:rFonts w:eastAsiaTheme="minorHAnsi"/>
                <w:sz w:val="20"/>
                <w:szCs w:val="22"/>
              </w:rPr>
              <w:t>10.2</w:t>
            </w:r>
          </w:p>
        </w:tc>
      </w:tr>
      <w:tr w:rsidR="000E6557" w:rsidRPr="00EB7205" w:rsidTr="0089709B">
        <w:trPr>
          <w:trHeight w:hRule="exact" w:val="268"/>
        </w:trPr>
        <w:tc>
          <w:tcPr>
            <w:tcW w:w="6440" w:type="dxa"/>
            <w:tcBorders>
              <w:top w:val="single" w:sz="4" w:space="0" w:color="auto"/>
              <w:bottom w:val="single" w:sz="4" w:space="0" w:color="auto"/>
            </w:tcBorders>
            <w:vAlign w:val="center"/>
          </w:tcPr>
          <w:p w:rsidR="000E6557" w:rsidRPr="00EB7205" w:rsidRDefault="000E6557" w:rsidP="000E6557">
            <w:pPr>
              <w:spacing w:after="160" w:line="259" w:lineRule="auto"/>
              <w:rPr>
                <w:rFonts w:eastAsiaTheme="minorHAnsi"/>
                <w:sz w:val="20"/>
                <w:szCs w:val="22"/>
              </w:rPr>
            </w:pPr>
            <w:r w:rsidRPr="00EB7205">
              <w:rPr>
                <w:rFonts w:eastAsiaTheme="minorHAnsi"/>
                <w:sz w:val="20"/>
                <w:szCs w:val="22"/>
              </w:rPr>
              <w:t>Secured Non-Real Estate Loans/Lines of Credit</w:t>
            </w:r>
          </w:p>
        </w:tc>
        <w:tc>
          <w:tcPr>
            <w:tcW w:w="1605" w:type="dxa"/>
            <w:tcBorders>
              <w:top w:val="single" w:sz="4" w:space="0" w:color="auto"/>
              <w:bottom w:val="single" w:sz="4" w:space="0" w:color="auto"/>
            </w:tcBorders>
            <w:vAlign w:val="center"/>
          </w:tcPr>
          <w:p w:rsidR="000E6557" w:rsidRPr="00EB7205" w:rsidRDefault="00EB7205" w:rsidP="0094700D">
            <w:pPr>
              <w:spacing w:after="160" w:line="259" w:lineRule="auto"/>
              <w:jc w:val="center"/>
              <w:rPr>
                <w:rFonts w:eastAsiaTheme="minorHAnsi"/>
                <w:sz w:val="20"/>
                <w:szCs w:val="22"/>
              </w:rPr>
            </w:pPr>
            <w:r w:rsidRPr="00EB7205">
              <w:rPr>
                <w:rFonts w:eastAsiaTheme="minorHAnsi"/>
                <w:sz w:val="20"/>
                <w:szCs w:val="22"/>
              </w:rPr>
              <w:t>337,039</w:t>
            </w:r>
          </w:p>
        </w:tc>
        <w:tc>
          <w:tcPr>
            <w:tcW w:w="1141" w:type="dxa"/>
            <w:tcBorders>
              <w:top w:val="single" w:sz="4" w:space="0" w:color="auto"/>
              <w:bottom w:val="single" w:sz="4" w:space="0" w:color="auto"/>
            </w:tcBorders>
            <w:vAlign w:val="center"/>
          </w:tcPr>
          <w:p w:rsidR="000E6557" w:rsidRPr="00EB7205" w:rsidRDefault="00EB7205" w:rsidP="000E6557">
            <w:pPr>
              <w:spacing w:after="160" w:line="259" w:lineRule="auto"/>
              <w:jc w:val="center"/>
              <w:rPr>
                <w:rFonts w:eastAsiaTheme="minorHAnsi"/>
                <w:sz w:val="20"/>
                <w:szCs w:val="22"/>
              </w:rPr>
            </w:pPr>
            <w:r w:rsidRPr="00EB7205">
              <w:rPr>
                <w:rFonts w:eastAsiaTheme="minorHAnsi"/>
                <w:sz w:val="20"/>
                <w:szCs w:val="22"/>
              </w:rPr>
              <w:t>0.6</w:t>
            </w:r>
          </w:p>
        </w:tc>
      </w:tr>
      <w:tr w:rsidR="000E6557" w:rsidRPr="00EB7205" w:rsidTr="0089709B">
        <w:trPr>
          <w:trHeight w:hRule="exact" w:val="268"/>
        </w:trPr>
        <w:tc>
          <w:tcPr>
            <w:tcW w:w="6440" w:type="dxa"/>
            <w:tcBorders>
              <w:top w:val="single" w:sz="4" w:space="0" w:color="auto"/>
              <w:bottom w:val="single" w:sz="4" w:space="0" w:color="auto"/>
            </w:tcBorders>
            <w:vAlign w:val="center"/>
          </w:tcPr>
          <w:p w:rsidR="000E6557" w:rsidRPr="00EB7205" w:rsidRDefault="000E6557" w:rsidP="000E6557">
            <w:pPr>
              <w:spacing w:after="160" w:line="259" w:lineRule="auto"/>
              <w:rPr>
                <w:rFonts w:eastAsiaTheme="minorHAnsi"/>
                <w:sz w:val="20"/>
                <w:szCs w:val="22"/>
              </w:rPr>
            </w:pPr>
            <w:r w:rsidRPr="00EB7205">
              <w:rPr>
                <w:rFonts w:eastAsiaTheme="minorHAnsi"/>
                <w:sz w:val="20"/>
                <w:szCs w:val="22"/>
              </w:rPr>
              <w:t>Total Loans/Lines of Credit Secured by 1</w:t>
            </w:r>
            <w:r w:rsidRPr="00EB7205">
              <w:rPr>
                <w:rFonts w:eastAsiaTheme="minorHAnsi"/>
                <w:sz w:val="20"/>
                <w:szCs w:val="22"/>
                <w:vertAlign w:val="superscript"/>
              </w:rPr>
              <w:t>st</w:t>
            </w:r>
            <w:r w:rsidRPr="00EB7205">
              <w:rPr>
                <w:rFonts w:eastAsiaTheme="minorHAnsi"/>
                <w:sz w:val="20"/>
                <w:szCs w:val="22"/>
              </w:rPr>
              <w:t xml:space="preserve"> Lien 1-4 Family Residential Properties</w:t>
            </w:r>
          </w:p>
        </w:tc>
        <w:tc>
          <w:tcPr>
            <w:tcW w:w="1605" w:type="dxa"/>
            <w:tcBorders>
              <w:top w:val="single" w:sz="4" w:space="0" w:color="auto"/>
              <w:bottom w:val="single" w:sz="4" w:space="0" w:color="auto"/>
            </w:tcBorders>
            <w:vAlign w:val="center"/>
          </w:tcPr>
          <w:p w:rsidR="000E6557" w:rsidRPr="00EB7205" w:rsidRDefault="00EB7205" w:rsidP="000E6557">
            <w:pPr>
              <w:spacing w:after="160" w:line="259" w:lineRule="auto"/>
              <w:jc w:val="center"/>
              <w:rPr>
                <w:rFonts w:eastAsiaTheme="minorHAnsi"/>
                <w:sz w:val="20"/>
                <w:szCs w:val="22"/>
              </w:rPr>
            </w:pPr>
            <w:r w:rsidRPr="00EB7205">
              <w:rPr>
                <w:rFonts w:eastAsiaTheme="minorHAnsi"/>
                <w:sz w:val="20"/>
                <w:szCs w:val="22"/>
              </w:rPr>
              <w:t>27,687,602</w:t>
            </w:r>
          </w:p>
        </w:tc>
        <w:tc>
          <w:tcPr>
            <w:tcW w:w="1141" w:type="dxa"/>
            <w:tcBorders>
              <w:top w:val="single" w:sz="4" w:space="0" w:color="auto"/>
              <w:bottom w:val="single" w:sz="4" w:space="0" w:color="auto"/>
            </w:tcBorders>
            <w:vAlign w:val="center"/>
          </w:tcPr>
          <w:p w:rsidR="000E6557" w:rsidRPr="00EB7205" w:rsidRDefault="00EB7205" w:rsidP="000E6557">
            <w:pPr>
              <w:spacing w:after="160" w:line="259" w:lineRule="auto"/>
              <w:jc w:val="center"/>
              <w:rPr>
                <w:rFonts w:eastAsiaTheme="minorHAnsi"/>
                <w:sz w:val="20"/>
                <w:szCs w:val="22"/>
              </w:rPr>
            </w:pPr>
            <w:r w:rsidRPr="00EB7205">
              <w:rPr>
                <w:rFonts w:eastAsiaTheme="minorHAnsi"/>
                <w:sz w:val="20"/>
                <w:szCs w:val="22"/>
              </w:rPr>
              <w:t>49.7</w:t>
            </w:r>
          </w:p>
        </w:tc>
      </w:tr>
      <w:tr w:rsidR="000E6557" w:rsidRPr="00EB7205" w:rsidTr="0089709B">
        <w:trPr>
          <w:trHeight w:hRule="exact" w:val="505"/>
        </w:trPr>
        <w:tc>
          <w:tcPr>
            <w:tcW w:w="6440" w:type="dxa"/>
            <w:tcBorders>
              <w:top w:val="single" w:sz="4" w:space="0" w:color="auto"/>
              <w:bottom w:val="single" w:sz="4" w:space="0" w:color="auto"/>
            </w:tcBorders>
            <w:vAlign w:val="center"/>
          </w:tcPr>
          <w:p w:rsidR="000E6557" w:rsidRPr="00EB7205" w:rsidRDefault="000E6557" w:rsidP="000E6557">
            <w:pPr>
              <w:spacing w:after="160" w:line="259" w:lineRule="auto"/>
              <w:rPr>
                <w:rFonts w:eastAsiaTheme="minorHAnsi"/>
                <w:sz w:val="20"/>
                <w:szCs w:val="22"/>
              </w:rPr>
            </w:pPr>
            <w:r w:rsidRPr="00EB7205">
              <w:rPr>
                <w:rFonts w:eastAsiaTheme="minorHAnsi"/>
                <w:sz w:val="20"/>
                <w:szCs w:val="22"/>
              </w:rPr>
              <w:t>Total Loans/Lines of Credit Secured by Junior Lien 1-4 Family Residential Properties</w:t>
            </w:r>
          </w:p>
        </w:tc>
        <w:tc>
          <w:tcPr>
            <w:tcW w:w="1605" w:type="dxa"/>
            <w:tcBorders>
              <w:top w:val="single" w:sz="4" w:space="0" w:color="auto"/>
              <w:bottom w:val="single" w:sz="4" w:space="0" w:color="auto"/>
            </w:tcBorders>
            <w:vAlign w:val="center"/>
          </w:tcPr>
          <w:p w:rsidR="000E6557" w:rsidRPr="00EB7205" w:rsidRDefault="00EB7205" w:rsidP="000E6557">
            <w:pPr>
              <w:spacing w:after="160" w:line="259" w:lineRule="auto"/>
              <w:jc w:val="center"/>
              <w:rPr>
                <w:rFonts w:eastAsiaTheme="minorHAnsi"/>
                <w:sz w:val="20"/>
                <w:szCs w:val="22"/>
              </w:rPr>
            </w:pPr>
            <w:r w:rsidRPr="00EB7205">
              <w:rPr>
                <w:rFonts w:eastAsiaTheme="minorHAnsi"/>
                <w:sz w:val="20"/>
                <w:szCs w:val="22"/>
              </w:rPr>
              <w:t>13,025,761</w:t>
            </w:r>
          </w:p>
        </w:tc>
        <w:tc>
          <w:tcPr>
            <w:tcW w:w="1141" w:type="dxa"/>
            <w:tcBorders>
              <w:top w:val="single" w:sz="4" w:space="0" w:color="auto"/>
              <w:bottom w:val="single" w:sz="4" w:space="0" w:color="auto"/>
            </w:tcBorders>
            <w:vAlign w:val="center"/>
          </w:tcPr>
          <w:p w:rsidR="000E6557" w:rsidRPr="00EB7205" w:rsidRDefault="00EB7205" w:rsidP="000E6557">
            <w:pPr>
              <w:spacing w:after="160" w:line="259" w:lineRule="auto"/>
              <w:jc w:val="center"/>
              <w:rPr>
                <w:rFonts w:eastAsiaTheme="minorHAnsi"/>
                <w:sz w:val="20"/>
                <w:szCs w:val="22"/>
              </w:rPr>
            </w:pPr>
            <w:r w:rsidRPr="00EB7205">
              <w:rPr>
                <w:rFonts w:eastAsiaTheme="minorHAnsi"/>
                <w:sz w:val="20"/>
                <w:szCs w:val="22"/>
              </w:rPr>
              <w:t>23.4</w:t>
            </w:r>
          </w:p>
        </w:tc>
      </w:tr>
      <w:tr w:rsidR="000E6557" w:rsidRPr="00EB7205" w:rsidTr="0089709B">
        <w:trPr>
          <w:trHeight w:hRule="exact" w:val="268"/>
        </w:trPr>
        <w:tc>
          <w:tcPr>
            <w:tcW w:w="6440" w:type="dxa"/>
            <w:tcBorders>
              <w:top w:val="single" w:sz="4" w:space="0" w:color="auto"/>
              <w:bottom w:val="single" w:sz="4" w:space="0" w:color="auto"/>
            </w:tcBorders>
            <w:vAlign w:val="center"/>
          </w:tcPr>
          <w:p w:rsidR="000E6557" w:rsidRPr="00EB7205" w:rsidRDefault="000E6557" w:rsidP="000E6557">
            <w:pPr>
              <w:spacing w:after="160" w:line="259" w:lineRule="auto"/>
              <w:rPr>
                <w:rFonts w:eastAsiaTheme="minorHAnsi"/>
                <w:b/>
                <w:sz w:val="20"/>
                <w:szCs w:val="22"/>
              </w:rPr>
            </w:pPr>
            <w:r w:rsidRPr="00EB7205">
              <w:rPr>
                <w:rFonts w:eastAsiaTheme="minorHAnsi"/>
                <w:b/>
                <w:sz w:val="20"/>
                <w:szCs w:val="22"/>
              </w:rPr>
              <w:t>Total Loans</w:t>
            </w:r>
          </w:p>
        </w:tc>
        <w:tc>
          <w:tcPr>
            <w:tcW w:w="1605" w:type="dxa"/>
            <w:tcBorders>
              <w:top w:val="single" w:sz="4" w:space="0" w:color="auto"/>
              <w:bottom w:val="single" w:sz="4" w:space="0" w:color="auto"/>
            </w:tcBorders>
            <w:vAlign w:val="center"/>
          </w:tcPr>
          <w:p w:rsidR="000E6557" w:rsidRPr="00EB7205" w:rsidRDefault="00EB7205" w:rsidP="000E6557">
            <w:pPr>
              <w:spacing w:after="160" w:line="259" w:lineRule="auto"/>
              <w:jc w:val="center"/>
              <w:rPr>
                <w:rFonts w:eastAsiaTheme="minorHAnsi"/>
                <w:b/>
                <w:sz w:val="20"/>
                <w:szCs w:val="22"/>
              </w:rPr>
            </w:pPr>
            <w:r w:rsidRPr="00EB7205">
              <w:rPr>
                <w:rFonts w:eastAsiaTheme="minorHAnsi"/>
                <w:b/>
                <w:sz w:val="20"/>
                <w:szCs w:val="22"/>
              </w:rPr>
              <w:t>55,657,026</w:t>
            </w:r>
          </w:p>
        </w:tc>
        <w:tc>
          <w:tcPr>
            <w:tcW w:w="1141" w:type="dxa"/>
            <w:tcBorders>
              <w:top w:val="single" w:sz="4" w:space="0" w:color="auto"/>
              <w:bottom w:val="single" w:sz="4" w:space="0" w:color="auto"/>
            </w:tcBorders>
            <w:vAlign w:val="center"/>
          </w:tcPr>
          <w:p w:rsidR="000E6557" w:rsidRPr="00EB7205" w:rsidRDefault="00EB7205" w:rsidP="000E6557">
            <w:pPr>
              <w:spacing w:after="160" w:line="259" w:lineRule="auto"/>
              <w:jc w:val="center"/>
              <w:rPr>
                <w:rFonts w:eastAsiaTheme="minorHAnsi"/>
                <w:b/>
                <w:sz w:val="20"/>
                <w:szCs w:val="22"/>
              </w:rPr>
            </w:pPr>
            <w:r w:rsidRPr="00EB7205">
              <w:rPr>
                <w:rFonts w:eastAsiaTheme="minorHAnsi"/>
                <w:b/>
                <w:sz w:val="20"/>
                <w:szCs w:val="22"/>
              </w:rPr>
              <w:t>100.0</w:t>
            </w:r>
          </w:p>
        </w:tc>
      </w:tr>
      <w:tr w:rsidR="000E6557" w:rsidRPr="00EB7205" w:rsidTr="0089709B">
        <w:trPr>
          <w:trHeight w:hRule="exact" w:val="268"/>
        </w:trPr>
        <w:tc>
          <w:tcPr>
            <w:tcW w:w="9187" w:type="dxa"/>
            <w:gridSpan w:val="3"/>
            <w:tcBorders>
              <w:top w:val="single" w:sz="4" w:space="0" w:color="auto"/>
              <w:bottom w:val="single" w:sz="4" w:space="0" w:color="auto"/>
            </w:tcBorders>
            <w:vAlign w:val="center"/>
          </w:tcPr>
          <w:p w:rsidR="000E6557" w:rsidRPr="00EB7205" w:rsidRDefault="000E6557" w:rsidP="000E6557">
            <w:pPr>
              <w:spacing w:after="160" w:line="259" w:lineRule="auto"/>
              <w:rPr>
                <w:rFonts w:eastAsiaTheme="minorHAnsi"/>
                <w:i/>
                <w:sz w:val="16"/>
                <w:szCs w:val="16"/>
              </w:rPr>
            </w:pPr>
            <w:r w:rsidRPr="00EB7205">
              <w:rPr>
                <w:rFonts w:eastAsiaTheme="minorHAnsi"/>
                <w:i/>
                <w:sz w:val="16"/>
                <w:szCs w:val="16"/>
              </w:rPr>
              <w:t>Source: Reports of Income and Condition</w:t>
            </w:r>
          </w:p>
          <w:p w:rsidR="000E6557" w:rsidRPr="00EB7205" w:rsidRDefault="000E6557" w:rsidP="000E6557">
            <w:pPr>
              <w:spacing w:after="160" w:line="259" w:lineRule="auto"/>
              <w:jc w:val="center"/>
              <w:rPr>
                <w:rFonts w:eastAsiaTheme="minorHAnsi"/>
                <w:sz w:val="20"/>
                <w:szCs w:val="22"/>
              </w:rPr>
            </w:pPr>
          </w:p>
        </w:tc>
      </w:tr>
    </w:tbl>
    <w:p w:rsidR="003912CC" w:rsidRPr="00360857" w:rsidRDefault="003912CC" w:rsidP="003912CC">
      <w:pPr>
        <w:pStyle w:val="QuickFormat1"/>
        <w:jc w:val="left"/>
        <w:rPr>
          <w:b w:val="0"/>
          <w:bCs/>
          <w:spacing w:val="-4"/>
          <w:sz w:val="24"/>
          <w:szCs w:val="24"/>
          <w:lang w:val="en-US"/>
        </w:rPr>
      </w:pPr>
    </w:p>
    <w:p w:rsidR="00B70895" w:rsidRDefault="00B70895">
      <w:pPr>
        <w:spacing w:after="160" w:line="259" w:lineRule="auto"/>
        <w:rPr>
          <w:rFonts w:eastAsiaTheme="minorHAnsi"/>
          <w:b/>
          <w:bCs/>
          <w:color w:val="000000"/>
          <w:spacing w:val="-4"/>
          <w:sz w:val="28"/>
          <w:szCs w:val="28"/>
          <w:lang w:val="x-none" w:eastAsia="x-none"/>
        </w:rPr>
      </w:pPr>
      <w:r>
        <w:rPr>
          <w:bCs/>
          <w:spacing w:val="-4"/>
          <w:sz w:val="28"/>
          <w:szCs w:val="28"/>
        </w:rPr>
        <w:br w:type="page"/>
      </w:r>
    </w:p>
    <w:p w:rsidR="003912CC" w:rsidRPr="00360857" w:rsidRDefault="003912CC" w:rsidP="003912CC">
      <w:pPr>
        <w:pStyle w:val="QuickFormat1"/>
        <w:rPr>
          <w:bCs/>
          <w:spacing w:val="-4"/>
          <w:sz w:val="28"/>
          <w:szCs w:val="28"/>
        </w:rPr>
      </w:pPr>
      <w:r w:rsidRPr="00360857">
        <w:rPr>
          <w:bCs/>
          <w:spacing w:val="-4"/>
          <w:sz w:val="28"/>
          <w:szCs w:val="28"/>
        </w:rPr>
        <w:lastRenderedPageBreak/>
        <w:t>DESCRIPTION OF ASSESSMENT AREA</w:t>
      </w:r>
    </w:p>
    <w:p w:rsidR="003912CC" w:rsidRPr="00360857" w:rsidRDefault="003912CC" w:rsidP="003912CC">
      <w:pPr>
        <w:pStyle w:val="QuickFormat1"/>
        <w:jc w:val="left"/>
        <w:rPr>
          <w:bCs/>
          <w:spacing w:val="-4"/>
          <w:sz w:val="28"/>
          <w:szCs w:val="28"/>
        </w:rPr>
      </w:pPr>
    </w:p>
    <w:p w:rsidR="003912CC" w:rsidRPr="00360857" w:rsidRDefault="00AC27AC" w:rsidP="00E229ED">
      <w:pPr>
        <w:tabs>
          <w:tab w:val="center" w:pos="4680"/>
        </w:tabs>
        <w:jc w:val="both"/>
      </w:pPr>
      <w:r w:rsidRPr="00360857">
        <w:t xml:space="preserve">Pursuant to 209 CMR 46.41(8), </w:t>
      </w:r>
      <w:r w:rsidR="00EE1381" w:rsidRPr="00360857">
        <w:t>Worcester</w:t>
      </w:r>
      <w:r w:rsidRPr="00360857">
        <w:t xml:space="preserve"> Credit Union delineates its assessment area</w:t>
      </w:r>
      <w:r w:rsidR="00B11147" w:rsidRPr="00360857">
        <w:t xml:space="preserve"> as the towns of Auburn, Boylston, Grafton, Holden, Leicester, Millbury, Paxton, Shrewsbury, West Boylston, and The City of Worcester. </w:t>
      </w:r>
      <w:r w:rsidRPr="00360857">
        <w:t xml:space="preserve"> According to CRA regulations, an institution shall delineate one or more assessment areas </w:t>
      </w:r>
      <w:r w:rsidR="00082EEF" w:rsidRPr="00360857">
        <w:t>where the institution will meet the credit needs and by which the Division will evaluate the institut</w:t>
      </w:r>
      <w:r w:rsidR="00F96AAB" w:rsidRPr="00360857">
        <w:t xml:space="preserve">ion’s CRA performance.  </w:t>
      </w:r>
    </w:p>
    <w:p w:rsidR="00B11147" w:rsidRPr="00360857" w:rsidRDefault="00B11147" w:rsidP="00E229ED">
      <w:pPr>
        <w:tabs>
          <w:tab w:val="center" w:pos="4680"/>
        </w:tabs>
        <w:jc w:val="both"/>
      </w:pPr>
    </w:p>
    <w:p w:rsidR="00B11147" w:rsidRPr="00360857" w:rsidRDefault="00B11147" w:rsidP="00E229ED">
      <w:pPr>
        <w:tabs>
          <w:tab w:val="center" w:pos="4680"/>
        </w:tabs>
        <w:jc w:val="both"/>
        <w:rPr>
          <w:b/>
          <w:u w:val="single"/>
        </w:rPr>
      </w:pPr>
      <w:r w:rsidRPr="00360857">
        <w:rPr>
          <w:b/>
          <w:u w:val="single"/>
        </w:rPr>
        <w:t>Economic and Demographic Data</w:t>
      </w:r>
    </w:p>
    <w:p w:rsidR="00B11147" w:rsidRPr="00360857" w:rsidRDefault="00B11147" w:rsidP="00E229ED">
      <w:pPr>
        <w:tabs>
          <w:tab w:val="center" w:pos="4680"/>
        </w:tabs>
        <w:jc w:val="both"/>
        <w:rPr>
          <w:b/>
          <w:u w:val="single"/>
        </w:rPr>
      </w:pPr>
    </w:p>
    <w:p w:rsidR="00B11147" w:rsidRPr="00360857" w:rsidRDefault="00B11147" w:rsidP="00E229ED">
      <w:pPr>
        <w:tabs>
          <w:tab w:val="center" w:pos="4680"/>
        </w:tabs>
        <w:jc w:val="both"/>
      </w:pPr>
      <w:r w:rsidRPr="00360857">
        <w:t xml:space="preserve">The Assessment Area includes </w:t>
      </w:r>
      <w:r w:rsidR="0059746E" w:rsidRPr="0059746E">
        <w:t>79</w:t>
      </w:r>
      <w:r w:rsidRPr="0059746E">
        <w:t xml:space="preserve"> census</w:t>
      </w:r>
      <w:r w:rsidRPr="00360857">
        <w:t xml:space="preserve"> tracts.  These tracts reflect the following income designations according to the 2015 ACS U.S. Census:</w:t>
      </w:r>
    </w:p>
    <w:p w:rsidR="00B11147" w:rsidRPr="00360857" w:rsidRDefault="00B11147" w:rsidP="00E229ED">
      <w:pPr>
        <w:tabs>
          <w:tab w:val="center" w:pos="4680"/>
        </w:tabs>
        <w:jc w:val="both"/>
      </w:pPr>
    </w:p>
    <w:p w:rsidR="00B11147" w:rsidRPr="00360857" w:rsidRDefault="00B11147" w:rsidP="00E229ED">
      <w:pPr>
        <w:pStyle w:val="ListParagraph"/>
        <w:numPr>
          <w:ilvl w:val="0"/>
          <w:numId w:val="10"/>
        </w:numPr>
        <w:tabs>
          <w:tab w:val="center" w:pos="4680"/>
        </w:tabs>
        <w:jc w:val="both"/>
        <w:rPr>
          <w:rFonts w:ascii="Times New Roman" w:hAnsi="Times New Roman" w:cs="Times New Roman"/>
        </w:rPr>
      </w:pPr>
      <w:r w:rsidRPr="00360857">
        <w:rPr>
          <w:rFonts w:ascii="Times New Roman" w:hAnsi="Times New Roman" w:cs="Times New Roman"/>
        </w:rPr>
        <w:t>17 low-income tracts,</w:t>
      </w:r>
    </w:p>
    <w:p w:rsidR="00B11147" w:rsidRPr="00360857" w:rsidRDefault="00B11147" w:rsidP="00E229ED">
      <w:pPr>
        <w:pStyle w:val="ListParagraph"/>
        <w:numPr>
          <w:ilvl w:val="0"/>
          <w:numId w:val="10"/>
        </w:numPr>
        <w:tabs>
          <w:tab w:val="center" w:pos="4680"/>
        </w:tabs>
        <w:jc w:val="both"/>
        <w:rPr>
          <w:rFonts w:ascii="Times New Roman" w:hAnsi="Times New Roman" w:cs="Times New Roman"/>
        </w:rPr>
      </w:pPr>
      <w:r w:rsidRPr="00360857">
        <w:rPr>
          <w:rFonts w:ascii="Times New Roman" w:hAnsi="Times New Roman" w:cs="Times New Roman"/>
        </w:rPr>
        <w:t>17 moderate-income tracts,</w:t>
      </w:r>
    </w:p>
    <w:p w:rsidR="00B11147" w:rsidRPr="00360857" w:rsidRDefault="00360857" w:rsidP="00E229ED">
      <w:pPr>
        <w:pStyle w:val="ListParagraph"/>
        <w:numPr>
          <w:ilvl w:val="0"/>
          <w:numId w:val="10"/>
        </w:numPr>
        <w:tabs>
          <w:tab w:val="center" w:pos="4680"/>
        </w:tabs>
        <w:jc w:val="both"/>
        <w:rPr>
          <w:rFonts w:ascii="Times New Roman" w:hAnsi="Times New Roman" w:cs="Times New Roman"/>
        </w:rPr>
      </w:pPr>
      <w:r w:rsidRPr="00360857">
        <w:rPr>
          <w:rFonts w:ascii="Times New Roman" w:hAnsi="Times New Roman" w:cs="Times New Roman"/>
        </w:rPr>
        <w:t>23 middle-income tracts,</w:t>
      </w:r>
    </w:p>
    <w:p w:rsidR="00360857" w:rsidRPr="00360857" w:rsidRDefault="00360857" w:rsidP="00E229ED">
      <w:pPr>
        <w:pStyle w:val="ListParagraph"/>
        <w:numPr>
          <w:ilvl w:val="0"/>
          <w:numId w:val="10"/>
        </w:numPr>
        <w:tabs>
          <w:tab w:val="center" w:pos="4680"/>
        </w:tabs>
        <w:jc w:val="both"/>
        <w:rPr>
          <w:rFonts w:ascii="Times New Roman" w:hAnsi="Times New Roman" w:cs="Times New Roman"/>
        </w:rPr>
      </w:pPr>
      <w:r w:rsidRPr="00360857">
        <w:rPr>
          <w:rFonts w:ascii="Times New Roman" w:hAnsi="Times New Roman" w:cs="Times New Roman"/>
        </w:rPr>
        <w:t>19 upper-income tracts</w:t>
      </w:r>
    </w:p>
    <w:p w:rsidR="00360857" w:rsidRPr="00360857" w:rsidRDefault="00360857" w:rsidP="00E229ED">
      <w:pPr>
        <w:pStyle w:val="ListParagraph"/>
        <w:numPr>
          <w:ilvl w:val="0"/>
          <w:numId w:val="10"/>
        </w:numPr>
        <w:tabs>
          <w:tab w:val="center" w:pos="4680"/>
        </w:tabs>
        <w:jc w:val="both"/>
        <w:rPr>
          <w:rFonts w:ascii="Times New Roman" w:hAnsi="Times New Roman" w:cs="Times New Roman"/>
        </w:rPr>
      </w:pPr>
      <w:r w:rsidRPr="00360857">
        <w:rPr>
          <w:rFonts w:ascii="Times New Roman" w:hAnsi="Times New Roman" w:cs="Times New Roman"/>
        </w:rPr>
        <w:t>3 tracts without an income designation.</w:t>
      </w:r>
    </w:p>
    <w:p w:rsidR="00B70895" w:rsidRDefault="00B70895" w:rsidP="00E229ED">
      <w:pPr>
        <w:tabs>
          <w:tab w:val="center" w:pos="4680"/>
        </w:tabs>
        <w:jc w:val="both"/>
      </w:pPr>
    </w:p>
    <w:p w:rsidR="00360857" w:rsidRPr="00360857" w:rsidRDefault="00360857" w:rsidP="00E229ED">
      <w:pPr>
        <w:tabs>
          <w:tab w:val="center" w:pos="4680"/>
        </w:tabs>
        <w:jc w:val="both"/>
      </w:pPr>
      <w:r w:rsidRPr="00360857">
        <w:t xml:space="preserve">The following table illustrates select demographic characteristics of the AA. </w:t>
      </w:r>
    </w:p>
    <w:p w:rsidR="00F36BBD" w:rsidRPr="00360857" w:rsidRDefault="00F36BBD" w:rsidP="00E229ED">
      <w:pPr>
        <w:tabs>
          <w:tab w:val="center" w:pos="468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16"/>
        <w:gridCol w:w="969"/>
        <w:gridCol w:w="954"/>
        <w:gridCol w:w="1099"/>
        <w:gridCol w:w="1017"/>
        <w:gridCol w:w="992"/>
        <w:gridCol w:w="1079"/>
      </w:tblGrid>
      <w:tr w:rsidR="00360857" w:rsidTr="0089709B">
        <w:trPr>
          <w:trHeight w:val="227"/>
        </w:trPr>
        <w:tc>
          <w:tcPr>
            <w:tcW w:w="9326" w:type="dxa"/>
            <w:gridSpan w:val="7"/>
            <w:tcMar>
              <w:top w:w="39" w:type="dxa"/>
              <w:left w:w="39" w:type="dxa"/>
              <w:bottom w:w="39" w:type="dxa"/>
              <w:right w:w="39" w:type="dxa"/>
            </w:tcMar>
          </w:tcPr>
          <w:p w:rsidR="00360857" w:rsidRDefault="00360857" w:rsidP="00E96209">
            <w:pPr>
              <w:jc w:val="center"/>
            </w:pPr>
            <w:r>
              <w:rPr>
                <w:b/>
                <w:color w:val="000000"/>
                <w:sz w:val="20"/>
              </w:rPr>
              <w:t>Demographic Information of the Assessment Area</w:t>
            </w:r>
          </w:p>
        </w:tc>
      </w:tr>
      <w:tr w:rsidR="00360857" w:rsidTr="0089709B">
        <w:trPr>
          <w:trHeight w:val="169"/>
        </w:trPr>
        <w:tc>
          <w:tcPr>
            <w:tcW w:w="9326" w:type="dxa"/>
            <w:gridSpan w:val="7"/>
            <w:tcMar>
              <w:top w:w="39" w:type="dxa"/>
              <w:left w:w="39" w:type="dxa"/>
              <w:bottom w:w="39" w:type="dxa"/>
              <w:right w:w="39" w:type="dxa"/>
            </w:tcMar>
            <w:vAlign w:val="center"/>
          </w:tcPr>
          <w:p w:rsidR="00360857" w:rsidRDefault="00360857" w:rsidP="00E96209">
            <w:pPr>
              <w:jc w:val="center"/>
            </w:pPr>
            <w:r>
              <w:rPr>
                <w:b/>
                <w:color w:val="000000"/>
                <w:sz w:val="20"/>
              </w:rPr>
              <w:t>Assessment Area: Worcester CU</w:t>
            </w:r>
          </w:p>
        </w:tc>
      </w:tr>
      <w:tr w:rsidR="00360857" w:rsidTr="0089709B">
        <w:trPr>
          <w:trHeight w:val="343"/>
        </w:trPr>
        <w:tc>
          <w:tcPr>
            <w:tcW w:w="3216" w:type="dxa"/>
            <w:tcMar>
              <w:top w:w="39" w:type="dxa"/>
              <w:left w:w="39" w:type="dxa"/>
              <w:bottom w:w="39" w:type="dxa"/>
              <w:right w:w="39" w:type="dxa"/>
            </w:tcMar>
            <w:vAlign w:val="center"/>
          </w:tcPr>
          <w:p w:rsidR="00360857" w:rsidRDefault="00360857" w:rsidP="00E96209">
            <w:r>
              <w:rPr>
                <w:b/>
                <w:color w:val="000000"/>
                <w:sz w:val="20"/>
              </w:rPr>
              <w:t>Demographic Characteristics</w:t>
            </w:r>
          </w:p>
        </w:tc>
        <w:tc>
          <w:tcPr>
            <w:tcW w:w="969" w:type="dxa"/>
            <w:tcMar>
              <w:top w:w="39" w:type="dxa"/>
              <w:left w:w="39" w:type="dxa"/>
              <w:bottom w:w="39" w:type="dxa"/>
              <w:right w:w="39" w:type="dxa"/>
            </w:tcMar>
            <w:vAlign w:val="center"/>
          </w:tcPr>
          <w:p w:rsidR="00360857" w:rsidRDefault="00360857" w:rsidP="00E96209">
            <w:pPr>
              <w:jc w:val="center"/>
            </w:pPr>
            <w:r>
              <w:rPr>
                <w:b/>
                <w:color w:val="000000"/>
                <w:sz w:val="20"/>
              </w:rPr>
              <w:t>#</w:t>
            </w:r>
          </w:p>
        </w:tc>
        <w:tc>
          <w:tcPr>
            <w:tcW w:w="954" w:type="dxa"/>
            <w:tcMar>
              <w:top w:w="39" w:type="dxa"/>
              <w:left w:w="39" w:type="dxa"/>
              <w:bottom w:w="39" w:type="dxa"/>
              <w:right w:w="39" w:type="dxa"/>
            </w:tcMar>
            <w:vAlign w:val="center"/>
          </w:tcPr>
          <w:p w:rsidR="00360857" w:rsidRDefault="00360857" w:rsidP="00E96209">
            <w:pPr>
              <w:jc w:val="center"/>
            </w:pPr>
            <w:r>
              <w:rPr>
                <w:b/>
                <w:color w:val="000000"/>
                <w:sz w:val="20"/>
              </w:rPr>
              <w:t>Low</w:t>
            </w:r>
            <w:r>
              <w:rPr>
                <w:b/>
                <w:color w:val="000000"/>
                <w:sz w:val="20"/>
              </w:rPr>
              <w:br/>
              <w:t xml:space="preserve"> % of #</w:t>
            </w:r>
          </w:p>
        </w:tc>
        <w:tc>
          <w:tcPr>
            <w:tcW w:w="1099" w:type="dxa"/>
            <w:tcMar>
              <w:top w:w="39" w:type="dxa"/>
              <w:left w:w="39" w:type="dxa"/>
              <w:bottom w:w="39" w:type="dxa"/>
              <w:right w:w="39" w:type="dxa"/>
            </w:tcMar>
            <w:vAlign w:val="center"/>
          </w:tcPr>
          <w:p w:rsidR="00360857" w:rsidRDefault="00360857" w:rsidP="00E96209">
            <w:pPr>
              <w:jc w:val="center"/>
            </w:pPr>
            <w:r>
              <w:rPr>
                <w:b/>
                <w:color w:val="000000"/>
                <w:sz w:val="20"/>
              </w:rPr>
              <w:t>Moderate</w:t>
            </w:r>
            <w:r>
              <w:rPr>
                <w:b/>
                <w:color w:val="000000"/>
                <w:sz w:val="20"/>
              </w:rPr>
              <w:br/>
              <w:t xml:space="preserve"> % of #</w:t>
            </w:r>
          </w:p>
        </w:tc>
        <w:tc>
          <w:tcPr>
            <w:tcW w:w="1017" w:type="dxa"/>
            <w:tcMar>
              <w:top w:w="39" w:type="dxa"/>
              <w:left w:w="39" w:type="dxa"/>
              <w:bottom w:w="39" w:type="dxa"/>
              <w:right w:w="39" w:type="dxa"/>
            </w:tcMar>
            <w:vAlign w:val="center"/>
          </w:tcPr>
          <w:p w:rsidR="00360857" w:rsidRDefault="00360857" w:rsidP="00E96209">
            <w:pPr>
              <w:jc w:val="center"/>
            </w:pPr>
            <w:r>
              <w:rPr>
                <w:b/>
                <w:color w:val="000000"/>
                <w:sz w:val="20"/>
              </w:rPr>
              <w:t>Middle</w:t>
            </w:r>
            <w:r>
              <w:rPr>
                <w:b/>
                <w:color w:val="000000"/>
                <w:sz w:val="20"/>
              </w:rPr>
              <w:br/>
              <w:t xml:space="preserve"> % of #</w:t>
            </w:r>
          </w:p>
        </w:tc>
        <w:tc>
          <w:tcPr>
            <w:tcW w:w="992" w:type="dxa"/>
            <w:tcMar>
              <w:top w:w="39" w:type="dxa"/>
              <w:left w:w="39" w:type="dxa"/>
              <w:bottom w:w="39" w:type="dxa"/>
              <w:right w:w="39" w:type="dxa"/>
            </w:tcMar>
            <w:vAlign w:val="center"/>
          </w:tcPr>
          <w:p w:rsidR="00360857" w:rsidRDefault="00360857" w:rsidP="00E96209">
            <w:pPr>
              <w:jc w:val="center"/>
            </w:pPr>
            <w:r>
              <w:rPr>
                <w:b/>
                <w:color w:val="000000"/>
                <w:sz w:val="20"/>
              </w:rPr>
              <w:t>Upper</w:t>
            </w:r>
            <w:r>
              <w:rPr>
                <w:b/>
                <w:color w:val="000000"/>
                <w:sz w:val="20"/>
              </w:rPr>
              <w:br/>
              <w:t>% of #</w:t>
            </w:r>
          </w:p>
        </w:tc>
        <w:tc>
          <w:tcPr>
            <w:tcW w:w="1079" w:type="dxa"/>
            <w:tcMar>
              <w:top w:w="39" w:type="dxa"/>
              <w:left w:w="39" w:type="dxa"/>
              <w:bottom w:w="39" w:type="dxa"/>
              <w:right w:w="39" w:type="dxa"/>
            </w:tcMar>
            <w:vAlign w:val="center"/>
          </w:tcPr>
          <w:p w:rsidR="00360857" w:rsidRDefault="00360857" w:rsidP="00E96209">
            <w:pPr>
              <w:jc w:val="center"/>
            </w:pPr>
            <w:r>
              <w:rPr>
                <w:b/>
                <w:color w:val="000000"/>
                <w:sz w:val="20"/>
              </w:rPr>
              <w:t xml:space="preserve">NA* </w:t>
            </w:r>
            <w:r>
              <w:rPr>
                <w:b/>
                <w:color w:val="000000"/>
                <w:sz w:val="20"/>
              </w:rPr>
              <w:br/>
              <w:t>% of #</w:t>
            </w:r>
          </w:p>
        </w:tc>
      </w:tr>
      <w:tr w:rsidR="00360857" w:rsidTr="0089709B">
        <w:trPr>
          <w:trHeight w:val="151"/>
        </w:trPr>
        <w:tc>
          <w:tcPr>
            <w:tcW w:w="3216" w:type="dxa"/>
            <w:tcMar>
              <w:top w:w="39" w:type="dxa"/>
              <w:left w:w="239" w:type="dxa"/>
              <w:bottom w:w="39" w:type="dxa"/>
              <w:right w:w="39" w:type="dxa"/>
            </w:tcMar>
          </w:tcPr>
          <w:p w:rsidR="00360857" w:rsidRDefault="00360857" w:rsidP="00E96209">
            <w:r>
              <w:rPr>
                <w:color w:val="000000"/>
                <w:sz w:val="20"/>
              </w:rPr>
              <w:t>Geographies (Census Tracts)</w:t>
            </w:r>
          </w:p>
        </w:tc>
        <w:tc>
          <w:tcPr>
            <w:tcW w:w="969" w:type="dxa"/>
            <w:tcMar>
              <w:top w:w="39" w:type="dxa"/>
              <w:left w:w="39" w:type="dxa"/>
              <w:bottom w:w="39" w:type="dxa"/>
              <w:right w:w="39" w:type="dxa"/>
            </w:tcMar>
          </w:tcPr>
          <w:p w:rsidR="00360857" w:rsidRDefault="00360857" w:rsidP="00E96209">
            <w:pPr>
              <w:jc w:val="right"/>
            </w:pPr>
            <w:r>
              <w:rPr>
                <w:color w:val="000000"/>
                <w:sz w:val="20"/>
              </w:rPr>
              <w:t>71</w:t>
            </w:r>
          </w:p>
        </w:tc>
        <w:tc>
          <w:tcPr>
            <w:tcW w:w="954" w:type="dxa"/>
            <w:tcMar>
              <w:top w:w="39" w:type="dxa"/>
              <w:left w:w="39" w:type="dxa"/>
              <w:bottom w:w="39" w:type="dxa"/>
              <w:right w:w="39" w:type="dxa"/>
            </w:tcMar>
          </w:tcPr>
          <w:p w:rsidR="00360857" w:rsidRDefault="00360857" w:rsidP="00E96209">
            <w:pPr>
              <w:jc w:val="right"/>
            </w:pPr>
            <w:r>
              <w:rPr>
                <w:color w:val="000000"/>
                <w:sz w:val="20"/>
              </w:rPr>
              <w:t>18.3</w:t>
            </w:r>
          </w:p>
        </w:tc>
        <w:tc>
          <w:tcPr>
            <w:tcW w:w="1099" w:type="dxa"/>
            <w:tcMar>
              <w:top w:w="39" w:type="dxa"/>
              <w:left w:w="39" w:type="dxa"/>
              <w:bottom w:w="39" w:type="dxa"/>
              <w:right w:w="39" w:type="dxa"/>
            </w:tcMar>
          </w:tcPr>
          <w:p w:rsidR="00360857" w:rsidRDefault="00360857" w:rsidP="00E96209">
            <w:pPr>
              <w:jc w:val="right"/>
            </w:pPr>
            <w:r>
              <w:rPr>
                <w:color w:val="000000"/>
                <w:sz w:val="20"/>
              </w:rPr>
              <w:t>18.3</w:t>
            </w:r>
          </w:p>
        </w:tc>
        <w:tc>
          <w:tcPr>
            <w:tcW w:w="1017" w:type="dxa"/>
            <w:tcMar>
              <w:top w:w="39" w:type="dxa"/>
              <w:left w:w="39" w:type="dxa"/>
              <w:bottom w:w="39" w:type="dxa"/>
              <w:right w:w="39" w:type="dxa"/>
            </w:tcMar>
          </w:tcPr>
          <w:p w:rsidR="00360857" w:rsidRDefault="00360857" w:rsidP="00E96209">
            <w:pPr>
              <w:jc w:val="right"/>
            </w:pPr>
            <w:r>
              <w:rPr>
                <w:color w:val="000000"/>
                <w:sz w:val="20"/>
              </w:rPr>
              <w:t>32.4</w:t>
            </w:r>
          </w:p>
        </w:tc>
        <w:tc>
          <w:tcPr>
            <w:tcW w:w="992" w:type="dxa"/>
            <w:tcMar>
              <w:top w:w="39" w:type="dxa"/>
              <w:left w:w="39" w:type="dxa"/>
              <w:bottom w:w="39" w:type="dxa"/>
              <w:right w:w="39" w:type="dxa"/>
            </w:tcMar>
          </w:tcPr>
          <w:p w:rsidR="00360857" w:rsidRDefault="00360857" w:rsidP="00E96209">
            <w:pPr>
              <w:jc w:val="right"/>
            </w:pPr>
            <w:r>
              <w:rPr>
                <w:color w:val="000000"/>
                <w:sz w:val="20"/>
              </w:rPr>
              <w:t>26.8</w:t>
            </w:r>
          </w:p>
        </w:tc>
        <w:tc>
          <w:tcPr>
            <w:tcW w:w="1079" w:type="dxa"/>
            <w:tcMar>
              <w:top w:w="39" w:type="dxa"/>
              <w:left w:w="39" w:type="dxa"/>
              <w:bottom w:w="39" w:type="dxa"/>
              <w:right w:w="39" w:type="dxa"/>
            </w:tcMar>
          </w:tcPr>
          <w:p w:rsidR="00360857" w:rsidRDefault="00360857" w:rsidP="00E96209">
            <w:pPr>
              <w:jc w:val="right"/>
            </w:pPr>
            <w:r>
              <w:rPr>
                <w:color w:val="000000"/>
                <w:sz w:val="20"/>
              </w:rPr>
              <w:t>4.2</w:t>
            </w:r>
          </w:p>
        </w:tc>
      </w:tr>
      <w:tr w:rsidR="00360857" w:rsidTr="0089709B">
        <w:trPr>
          <w:trHeight w:val="151"/>
        </w:trPr>
        <w:tc>
          <w:tcPr>
            <w:tcW w:w="3216" w:type="dxa"/>
            <w:tcMar>
              <w:top w:w="39" w:type="dxa"/>
              <w:left w:w="239" w:type="dxa"/>
              <w:bottom w:w="39" w:type="dxa"/>
              <w:right w:w="39" w:type="dxa"/>
            </w:tcMar>
          </w:tcPr>
          <w:p w:rsidR="00360857" w:rsidRDefault="00360857" w:rsidP="00E96209">
            <w:r>
              <w:rPr>
                <w:color w:val="000000"/>
                <w:sz w:val="20"/>
              </w:rPr>
              <w:t>Population by Geography</w:t>
            </w:r>
          </w:p>
        </w:tc>
        <w:tc>
          <w:tcPr>
            <w:tcW w:w="969" w:type="dxa"/>
            <w:tcMar>
              <w:top w:w="39" w:type="dxa"/>
              <w:left w:w="39" w:type="dxa"/>
              <w:bottom w:w="39" w:type="dxa"/>
              <w:right w:w="39" w:type="dxa"/>
            </w:tcMar>
          </w:tcPr>
          <w:p w:rsidR="00360857" w:rsidRDefault="00360857" w:rsidP="00E96209">
            <w:pPr>
              <w:jc w:val="right"/>
            </w:pPr>
            <w:r>
              <w:rPr>
                <w:color w:val="000000"/>
                <w:sz w:val="20"/>
              </w:rPr>
              <w:t>314,111</w:t>
            </w:r>
          </w:p>
        </w:tc>
        <w:tc>
          <w:tcPr>
            <w:tcW w:w="954" w:type="dxa"/>
            <w:tcMar>
              <w:top w:w="39" w:type="dxa"/>
              <w:left w:w="39" w:type="dxa"/>
              <w:bottom w:w="39" w:type="dxa"/>
              <w:right w:w="39" w:type="dxa"/>
            </w:tcMar>
          </w:tcPr>
          <w:p w:rsidR="00360857" w:rsidRDefault="00360857" w:rsidP="00E96209">
            <w:pPr>
              <w:jc w:val="right"/>
            </w:pPr>
            <w:r>
              <w:rPr>
                <w:color w:val="000000"/>
                <w:sz w:val="20"/>
              </w:rPr>
              <w:t>17.6</w:t>
            </w:r>
          </w:p>
        </w:tc>
        <w:tc>
          <w:tcPr>
            <w:tcW w:w="1099" w:type="dxa"/>
            <w:tcMar>
              <w:top w:w="39" w:type="dxa"/>
              <w:left w:w="39" w:type="dxa"/>
              <w:bottom w:w="39" w:type="dxa"/>
              <w:right w:w="39" w:type="dxa"/>
            </w:tcMar>
          </w:tcPr>
          <w:p w:rsidR="00360857" w:rsidRDefault="00360857" w:rsidP="00E96209">
            <w:pPr>
              <w:jc w:val="right"/>
            </w:pPr>
            <w:r>
              <w:rPr>
                <w:color w:val="000000"/>
                <w:sz w:val="20"/>
              </w:rPr>
              <w:t>16.3</w:t>
            </w:r>
          </w:p>
        </w:tc>
        <w:tc>
          <w:tcPr>
            <w:tcW w:w="1017" w:type="dxa"/>
            <w:tcMar>
              <w:top w:w="39" w:type="dxa"/>
              <w:left w:w="39" w:type="dxa"/>
              <w:bottom w:w="39" w:type="dxa"/>
              <w:right w:w="39" w:type="dxa"/>
            </w:tcMar>
          </w:tcPr>
          <w:p w:rsidR="00360857" w:rsidRDefault="00360857" w:rsidP="00E96209">
            <w:pPr>
              <w:jc w:val="right"/>
            </w:pPr>
            <w:r>
              <w:rPr>
                <w:color w:val="000000"/>
                <w:sz w:val="20"/>
              </w:rPr>
              <w:t>34.4</w:t>
            </w:r>
          </w:p>
        </w:tc>
        <w:tc>
          <w:tcPr>
            <w:tcW w:w="992" w:type="dxa"/>
            <w:tcMar>
              <w:top w:w="39" w:type="dxa"/>
              <w:left w:w="39" w:type="dxa"/>
              <w:bottom w:w="39" w:type="dxa"/>
              <w:right w:w="39" w:type="dxa"/>
            </w:tcMar>
          </w:tcPr>
          <w:p w:rsidR="00360857" w:rsidRDefault="00360857" w:rsidP="00E96209">
            <w:pPr>
              <w:jc w:val="right"/>
            </w:pPr>
            <w:r>
              <w:rPr>
                <w:color w:val="000000"/>
                <w:sz w:val="20"/>
              </w:rPr>
              <w:t>30.1</w:t>
            </w:r>
          </w:p>
        </w:tc>
        <w:tc>
          <w:tcPr>
            <w:tcW w:w="1079" w:type="dxa"/>
            <w:tcMar>
              <w:top w:w="39" w:type="dxa"/>
              <w:left w:w="39" w:type="dxa"/>
              <w:bottom w:w="39" w:type="dxa"/>
              <w:right w:w="39" w:type="dxa"/>
            </w:tcMar>
          </w:tcPr>
          <w:p w:rsidR="00360857" w:rsidRDefault="00360857" w:rsidP="00E96209">
            <w:pPr>
              <w:jc w:val="right"/>
            </w:pPr>
            <w:r>
              <w:rPr>
                <w:color w:val="000000"/>
                <w:sz w:val="20"/>
              </w:rPr>
              <w:t>1.5</w:t>
            </w:r>
          </w:p>
        </w:tc>
      </w:tr>
      <w:tr w:rsidR="00360857" w:rsidTr="0089709B">
        <w:trPr>
          <w:trHeight w:val="151"/>
        </w:trPr>
        <w:tc>
          <w:tcPr>
            <w:tcW w:w="3216" w:type="dxa"/>
            <w:tcMar>
              <w:top w:w="39" w:type="dxa"/>
              <w:left w:w="239" w:type="dxa"/>
              <w:bottom w:w="39" w:type="dxa"/>
              <w:right w:w="39" w:type="dxa"/>
            </w:tcMar>
          </w:tcPr>
          <w:p w:rsidR="00360857" w:rsidRDefault="00360857" w:rsidP="00E96209">
            <w:r>
              <w:rPr>
                <w:color w:val="000000"/>
                <w:sz w:val="20"/>
              </w:rPr>
              <w:t>Housing Units by Geography</w:t>
            </w:r>
          </w:p>
        </w:tc>
        <w:tc>
          <w:tcPr>
            <w:tcW w:w="969" w:type="dxa"/>
            <w:tcMar>
              <w:top w:w="39" w:type="dxa"/>
              <w:left w:w="39" w:type="dxa"/>
              <w:bottom w:w="39" w:type="dxa"/>
              <w:right w:w="39" w:type="dxa"/>
            </w:tcMar>
          </w:tcPr>
          <w:p w:rsidR="00360857" w:rsidRDefault="00360857" w:rsidP="00E96209">
            <w:pPr>
              <w:jc w:val="right"/>
            </w:pPr>
            <w:r>
              <w:rPr>
                <w:color w:val="000000"/>
                <w:sz w:val="20"/>
              </w:rPr>
              <w:t>125,902</w:t>
            </w:r>
          </w:p>
        </w:tc>
        <w:tc>
          <w:tcPr>
            <w:tcW w:w="954" w:type="dxa"/>
            <w:tcMar>
              <w:top w:w="39" w:type="dxa"/>
              <w:left w:w="39" w:type="dxa"/>
              <w:bottom w:w="39" w:type="dxa"/>
              <w:right w:w="39" w:type="dxa"/>
            </w:tcMar>
          </w:tcPr>
          <w:p w:rsidR="00360857" w:rsidRDefault="00360857" w:rsidP="00E96209">
            <w:pPr>
              <w:jc w:val="right"/>
            </w:pPr>
            <w:r>
              <w:rPr>
                <w:color w:val="000000"/>
                <w:sz w:val="20"/>
              </w:rPr>
              <w:t>18.7</w:t>
            </w:r>
          </w:p>
        </w:tc>
        <w:tc>
          <w:tcPr>
            <w:tcW w:w="1099" w:type="dxa"/>
            <w:tcMar>
              <w:top w:w="39" w:type="dxa"/>
              <w:left w:w="39" w:type="dxa"/>
              <w:bottom w:w="39" w:type="dxa"/>
              <w:right w:w="39" w:type="dxa"/>
            </w:tcMar>
          </w:tcPr>
          <w:p w:rsidR="00360857" w:rsidRDefault="00360857" w:rsidP="00E96209">
            <w:pPr>
              <w:jc w:val="right"/>
            </w:pPr>
            <w:r>
              <w:rPr>
                <w:color w:val="000000"/>
                <w:sz w:val="20"/>
              </w:rPr>
              <w:t>17.4</w:t>
            </w:r>
          </w:p>
        </w:tc>
        <w:tc>
          <w:tcPr>
            <w:tcW w:w="1017" w:type="dxa"/>
            <w:tcMar>
              <w:top w:w="39" w:type="dxa"/>
              <w:left w:w="39" w:type="dxa"/>
              <w:bottom w:w="39" w:type="dxa"/>
              <w:right w:w="39" w:type="dxa"/>
            </w:tcMar>
          </w:tcPr>
          <w:p w:rsidR="00360857" w:rsidRDefault="00360857" w:rsidP="00E96209">
            <w:pPr>
              <w:jc w:val="right"/>
            </w:pPr>
            <w:r>
              <w:rPr>
                <w:color w:val="000000"/>
                <w:sz w:val="20"/>
              </w:rPr>
              <w:t>34.7</w:t>
            </w:r>
          </w:p>
        </w:tc>
        <w:tc>
          <w:tcPr>
            <w:tcW w:w="992" w:type="dxa"/>
            <w:tcMar>
              <w:top w:w="39" w:type="dxa"/>
              <w:left w:w="39" w:type="dxa"/>
              <w:bottom w:w="39" w:type="dxa"/>
              <w:right w:w="39" w:type="dxa"/>
            </w:tcMar>
          </w:tcPr>
          <w:p w:rsidR="00360857" w:rsidRDefault="00360857" w:rsidP="00E96209">
            <w:pPr>
              <w:jc w:val="right"/>
            </w:pPr>
            <w:r>
              <w:rPr>
                <w:color w:val="000000"/>
                <w:sz w:val="20"/>
              </w:rPr>
              <w:t>28.0</w:t>
            </w:r>
          </w:p>
        </w:tc>
        <w:tc>
          <w:tcPr>
            <w:tcW w:w="1079" w:type="dxa"/>
            <w:tcMar>
              <w:top w:w="39" w:type="dxa"/>
              <w:left w:w="39" w:type="dxa"/>
              <w:bottom w:w="39" w:type="dxa"/>
              <w:right w:w="39" w:type="dxa"/>
            </w:tcMar>
          </w:tcPr>
          <w:p w:rsidR="00360857" w:rsidRDefault="00360857" w:rsidP="00E96209">
            <w:pPr>
              <w:jc w:val="right"/>
            </w:pPr>
            <w:r>
              <w:rPr>
                <w:color w:val="000000"/>
                <w:sz w:val="20"/>
              </w:rPr>
              <w:t>1.2</w:t>
            </w:r>
          </w:p>
        </w:tc>
      </w:tr>
      <w:tr w:rsidR="00360857" w:rsidTr="0089709B">
        <w:trPr>
          <w:trHeight w:val="151"/>
        </w:trPr>
        <w:tc>
          <w:tcPr>
            <w:tcW w:w="3216" w:type="dxa"/>
            <w:tcMar>
              <w:top w:w="39" w:type="dxa"/>
              <w:left w:w="239" w:type="dxa"/>
              <w:bottom w:w="39" w:type="dxa"/>
              <w:right w:w="39" w:type="dxa"/>
            </w:tcMar>
          </w:tcPr>
          <w:p w:rsidR="00360857" w:rsidRDefault="00360857" w:rsidP="00E96209">
            <w:r>
              <w:rPr>
                <w:color w:val="000000"/>
                <w:sz w:val="20"/>
              </w:rPr>
              <w:t>Owner-Occupied Units by Geography</w:t>
            </w:r>
          </w:p>
        </w:tc>
        <w:tc>
          <w:tcPr>
            <w:tcW w:w="969" w:type="dxa"/>
            <w:tcMar>
              <w:top w:w="39" w:type="dxa"/>
              <w:left w:w="39" w:type="dxa"/>
              <w:bottom w:w="39" w:type="dxa"/>
              <w:right w:w="39" w:type="dxa"/>
            </w:tcMar>
          </w:tcPr>
          <w:p w:rsidR="00360857" w:rsidRDefault="00360857" w:rsidP="00E96209">
            <w:pPr>
              <w:jc w:val="right"/>
            </w:pPr>
            <w:r>
              <w:rPr>
                <w:color w:val="000000"/>
                <w:sz w:val="20"/>
              </w:rPr>
              <w:t>66,319</w:t>
            </w:r>
          </w:p>
        </w:tc>
        <w:tc>
          <w:tcPr>
            <w:tcW w:w="954" w:type="dxa"/>
            <w:tcMar>
              <w:top w:w="39" w:type="dxa"/>
              <w:left w:w="39" w:type="dxa"/>
              <w:bottom w:w="39" w:type="dxa"/>
              <w:right w:w="39" w:type="dxa"/>
            </w:tcMar>
          </w:tcPr>
          <w:p w:rsidR="00360857" w:rsidRDefault="00360857" w:rsidP="00E96209">
            <w:pPr>
              <w:jc w:val="right"/>
            </w:pPr>
            <w:r>
              <w:rPr>
                <w:color w:val="000000"/>
                <w:sz w:val="20"/>
              </w:rPr>
              <w:t>6.2</w:t>
            </w:r>
          </w:p>
        </w:tc>
        <w:tc>
          <w:tcPr>
            <w:tcW w:w="1099" w:type="dxa"/>
            <w:tcMar>
              <w:top w:w="39" w:type="dxa"/>
              <w:left w:w="39" w:type="dxa"/>
              <w:bottom w:w="39" w:type="dxa"/>
              <w:right w:w="39" w:type="dxa"/>
            </w:tcMar>
          </w:tcPr>
          <w:p w:rsidR="00360857" w:rsidRDefault="00360857" w:rsidP="00E96209">
            <w:pPr>
              <w:jc w:val="right"/>
            </w:pPr>
            <w:r>
              <w:rPr>
                <w:color w:val="000000"/>
                <w:sz w:val="20"/>
              </w:rPr>
              <w:t>10.8</w:t>
            </w:r>
          </w:p>
        </w:tc>
        <w:tc>
          <w:tcPr>
            <w:tcW w:w="1017" w:type="dxa"/>
            <w:tcMar>
              <w:top w:w="39" w:type="dxa"/>
              <w:left w:w="39" w:type="dxa"/>
              <w:bottom w:w="39" w:type="dxa"/>
              <w:right w:w="39" w:type="dxa"/>
            </w:tcMar>
          </w:tcPr>
          <w:p w:rsidR="00360857" w:rsidRDefault="00360857" w:rsidP="00E96209">
            <w:pPr>
              <w:jc w:val="right"/>
            </w:pPr>
            <w:r>
              <w:rPr>
                <w:color w:val="000000"/>
                <w:sz w:val="20"/>
              </w:rPr>
              <w:t>42.6</w:t>
            </w:r>
          </w:p>
        </w:tc>
        <w:tc>
          <w:tcPr>
            <w:tcW w:w="992" w:type="dxa"/>
            <w:tcMar>
              <w:top w:w="39" w:type="dxa"/>
              <w:left w:w="39" w:type="dxa"/>
              <w:bottom w:w="39" w:type="dxa"/>
              <w:right w:w="39" w:type="dxa"/>
            </w:tcMar>
          </w:tcPr>
          <w:p w:rsidR="00360857" w:rsidRDefault="00360857" w:rsidP="00E96209">
            <w:pPr>
              <w:jc w:val="right"/>
            </w:pPr>
            <w:r>
              <w:rPr>
                <w:color w:val="000000"/>
                <w:sz w:val="20"/>
              </w:rPr>
              <w:t>40.3</w:t>
            </w:r>
          </w:p>
        </w:tc>
        <w:tc>
          <w:tcPr>
            <w:tcW w:w="1079" w:type="dxa"/>
            <w:tcMar>
              <w:top w:w="39" w:type="dxa"/>
              <w:left w:w="39" w:type="dxa"/>
              <w:bottom w:w="39" w:type="dxa"/>
              <w:right w:w="39" w:type="dxa"/>
            </w:tcMar>
          </w:tcPr>
          <w:p w:rsidR="00360857" w:rsidRDefault="00360857" w:rsidP="00E96209">
            <w:pPr>
              <w:jc w:val="right"/>
            </w:pPr>
            <w:r>
              <w:rPr>
                <w:color w:val="000000"/>
                <w:sz w:val="20"/>
              </w:rPr>
              <w:t>0.2</w:t>
            </w:r>
          </w:p>
        </w:tc>
      </w:tr>
      <w:tr w:rsidR="00360857" w:rsidTr="0089709B">
        <w:trPr>
          <w:trHeight w:val="151"/>
        </w:trPr>
        <w:tc>
          <w:tcPr>
            <w:tcW w:w="3216" w:type="dxa"/>
            <w:tcMar>
              <w:top w:w="39" w:type="dxa"/>
              <w:left w:w="239" w:type="dxa"/>
              <w:bottom w:w="39" w:type="dxa"/>
              <w:right w:w="39" w:type="dxa"/>
            </w:tcMar>
          </w:tcPr>
          <w:p w:rsidR="00360857" w:rsidRDefault="00360857" w:rsidP="00E96209">
            <w:r>
              <w:rPr>
                <w:color w:val="000000"/>
                <w:sz w:val="20"/>
              </w:rPr>
              <w:t>Occupied Rental Units by Geography</w:t>
            </w:r>
          </w:p>
        </w:tc>
        <w:tc>
          <w:tcPr>
            <w:tcW w:w="969" w:type="dxa"/>
            <w:tcMar>
              <w:top w:w="39" w:type="dxa"/>
              <w:left w:w="39" w:type="dxa"/>
              <w:bottom w:w="39" w:type="dxa"/>
              <w:right w:w="39" w:type="dxa"/>
            </w:tcMar>
          </w:tcPr>
          <w:p w:rsidR="00360857" w:rsidRDefault="00360857" w:rsidP="00E96209">
            <w:pPr>
              <w:jc w:val="right"/>
            </w:pPr>
            <w:r>
              <w:rPr>
                <w:color w:val="000000"/>
                <w:sz w:val="20"/>
              </w:rPr>
              <w:t>49,337</w:t>
            </w:r>
          </w:p>
        </w:tc>
        <w:tc>
          <w:tcPr>
            <w:tcW w:w="954" w:type="dxa"/>
            <w:tcMar>
              <w:top w:w="39" w:type="dxa"/>
              <w:left w:w="39" w:type="dxa"/>
              <w:bottom w:w="39" w:type="dxa"/>
              <w:right w:w="39" w:type="dxa"/>
            </w:tcMar>
          </w:tcPr>
          <w:p w:rsidR="00360857" w:rsidRDefault="00360857" w:rsidP="00E96209">
            <w:pPr>
              <w:jc w:val="right"/>
            </w:pPr>
            <w:r>
              <w:rPr>
                <w:color w:val="000000"/>
                <w:sz w:val="20"/>
              </w:rPr>
              <w:t>34.7</w:t>
            </w:r>
          </w:p>
        </w:tc>
        <w:tc>
          <w:tcPr>
            <w:tcW w:w="1099" w:type="dxa"/>
            <w:tcMar>
              <w:top w:w="39" w:type="dxa"/>
              <w:left w:w="39" w:type="dxa"/>
              <w:bottom w:w="39" w:type="dxa"/>
              <w:right w:w="39" w:type="dxa"/>
            </w:tcMar>
          </w:tcPr>
          <w:p w:rsidR="00360857" w:rsidRDefault="00360857" w:rsidP="00E96209">
            <w:pPr>
              <w:jc w:val="right"/>
            </w:pPr>
            <w:r>
              <w:rPr>
                <w:color w:val="000000"/>
                <w:sz w:val="20"/>
              </w:rPr>
              <w:t>24.4</w:t>
            </w:r>
          </w:p>
        </w:tc>
        <w:tc>
          <w:tcPr>
            <w:tcW w:w="1017" w:type="dxa"/>
            <w:tcMar>
              <w:top w:w="39" w:type="dxa"/>
              <w:left w:w="39" w:type="dxa"/>
              <w:bottom w:w="39" w:type="dxa"/>
              <w:right w:w="39" w:type="dxa"/>
            </w:tcMar>
          </w:tcPr>
          <w:p w:rsidR="00360857" w:rsidRDefault="00360857" w:rsidP="00E96209">
            <w:pPr>
              <w:jc w:val="right"/>
            </w:pPr>
            <w:r>
              <w:rPr>
                <w:color w:val="000000"/>
                <w:sz w:val="20"/>
              </w:rPr>
              <w:t>25.3</w:t>
            </w:r>
          </w:p>
        </w:tc>
        <w:tc>
          <w:tcPr>
            <w:tcW w:w="992" w:type="dxa"/>
            <w:tcMar>
              <w:top w:w="39" w:type="dxa"/>
              <w:left w:w="39" w:type="dxa"/>
              <w:bottom w:w="39" w:type="dxa"/>
              <w:right w:w="39" w:type="dxa"/>
            </w:tcMar>
          </w:tcPr>
          <w:p w:rsidR="00360857" w:rsidRDefault="00360857" w:rsidP="00E96209">
            <w:pPr>
              <w:jc w:val="right"/>
            </w:pPr>
            <w:r>
              <w:rPr>
                <w:color w:val="000000"/>
                <w:sz w:val="20"/>
              </w:rPr>
              <w:t>13.2</w:t>
            </w:r>
          </w:p>
        </w:tc>
        <w:tc>
          <w:tcPr>
            <w:tcW w:w="1079" w:type="dxa"/>
            <w:tcMar>
              <w:top w:w="39" w:type="dxa"/>
              <w:left w:w="39" w:type="dxa"/>
              <w:bottom w:w="39" w:type="dxa"/>
              <w:right w:w="39" w:type="dxa"/>
            </w:tcMar>
          </w:tcPr>
          <w:p w:rsidR="00360857" w:rsidRDefault="00360857" w:rsidP="00E96209">
            <w:pPr>
              <w:jc w:val="right"/>
            </w:pPr>
            <w:r>
              <w:rPr>
                <w:color w:val="000000"/>
                <w:sz w:val="20"/>
              </w:rPr>
              <w:t>2.4</w:t>
            </w:r>
          </w:p>
        </w:tc>
      </w:tr>
      <w:tr w:rsidR="00360857" w:rsidTr="0089709B">
        <w:trPr>
          <w:trHeight w:val="151"/>
        </w:trPr>
        <w:tc>
          <w:tcPr>
            <w:tcW w:w="3216" w:type="dxa"/>
            <w:tcMar>
              <w:top w:w="39" w:type="dxa"/>
              <w:left w:w="239" w:type="dxa"/>
              <w:bottom w:w="39" w:type="dxa"/>
              <w:right w:w="39" w:type="dxa"/>
            </w:tcMar>
          </w:tcPr>
          <w:p w:rsidR="00360857" w:rsidRDefault="00360857" w:rsidP="00E96209">
            <w:r>
              <w:rPr>
                <w:color w:val="000000"/>
                <w:sz w:val="20"/>
              </w:rPr>
              <w:t>Vacant Units by Geography</w:t>
            </w:r>
          </w:p>
        </w:tc>
        <w:tc>
          <w:tcPr>
            <w:tcW w:w="969" w:type="dxa"/>
            <w:tcMar>
              <w:top w:w="39" w:type="dxa"/>
              <w:left w:w="39" w:type="dxa"/>
              <w:bottom w:w="39" w:type="dxa"/>
              <w:right w:w="39" w:type="dxa"/>
            </w:tcMar>
          </w:tcPr>
          <w:p w:rsidR="00360857" w:rsidRDefault="00360857" w:rsidP="00E96209">
            <w:pPr>
              <w:jc w:val="right"/>
            </w:pPr>
            <w:r>
              <w:rPr>
                <w:color w:val="000000"/>
                <w:sz w:val="20"/>
              </w:rPr>
              <w:t>10,246</w:t>
            </w:r>
          </w:p>
        </w:tc>
        <w:tc>
          <w:tcPr>
            <w:tcW w:w="954" w:type="dxa"/>
            <w:tcMar>
              <w:top w:w="39" w:type="dxa"/>
              <w:left w:w="39" w:type="dxa"/>
              <w:bottom w:w="39" w:type="dxa"/>
              <w:right w:w="39" w:type="dxa"/>
            </w:tcMar>
          </w:tcPr>
          <w:p w:rsidR="00360857" w:rsidRDefault="00360857" w:rsidP="00E96209">
            <w:pPr>
              <w:jc w:val="right"/>
            </w:pPr>
            <w:r>
              <w:rPr>
                <w:color w:val="000000"/>
                <w:sz w:val="20"/>
              </w:rPr>
              <w:t>23.0</w:t>
            </w:r>
          </w:p>
        </w:tc>
        <w:tc>
          <w:tcPr>
            <w:tcW w:w="1099" w:type="dxa"/>
            <w:tcMar>
              <w:top w:w="39" w:type="dxa"/>
              <w:left w:w="39" w:type="dxa"/>
              <w:bottom w:w="39" w:type="dxa"/>
              <w:right w:w="39" w:type="dxa"/>
            </w:tcMar>
          </w:tcPr>
          <w:p w:rsidR="00360857" w:rsidRDefault="00360857" w:rsidP="00E96209">
            <w:pPr>
              <w:jc w:val="right"/>
            </w:pPr>
            <w:r>
              <w:rPr>
                <w:color w:val="000000"/>
                <w:sz w:val="20"/>
              </w:rPr>
              <w:t>26.2</w:t>
            </w:r>
          </w:p>
        </w:tc>
        <w:tc>
          <w:tcPr>
            <w:tcW w:w="1017" w:type="dxa"/>
            <w:tcMar>
              <w:top w:w="39" w:type="dxa"/>
              <w:left w:w="39" w:type="dxa"/>
              <w:bottom w:w="39" w:type="dxa"/>
              <w:right w:w="39" w:type="dxa"/>
            </w:tcMar>
          </w:tcPr>
          <w:p w:rsidR="00360857" w:rsidRDefault="00360857" w:rsidP="00E96209">
            <w:pPr>
              <w:jc w:val="right"/>
            </w:pPr>
            <w:r>
              <w:rPr>
                <w:color w:val="000000"/>
                <w:sz w:val="20"/>
              </w:rPr>
              <w:t>28.5</w:t>
            </w:r>
          </w:p>
        </w:tc>
        <w:tc>
          <w:tcPr>
            <w:tcW w:w="992" w:type="dxa"/>
            <w:tcMar>
              <w:top w:w="39" w:type="dxa"/>
              <w:left w:w="39" w:type="dxa"/>
              <w:bottom w:w="39" w:type="dxa"/>
              <w:right w:w="39" w:type="dxa"/>
            </w:tcMar>
          </w:tcPr>
          <w:p w:rsidR="00360857" w:rsidRDefault="00360857" w:rsidP="00E96209">
            <w:pPr>
              <w:jc w:val="right"/>
            </w:pPr>
            <w:r>
              <w:rPr>
                <w:color w:val="000000"/>
                <w:sz w:val="20"/>
              </w:rPr>
              <w:t>19.8</w:t>
            </w:r>
          </w:p>
        </w:tc>
        <w:tc>
          <w:tcPr>
            <w:tcW w:w="1079" w:type="dxa"/>
            <w:tcMar>
              <w:top w:w="39" w:type="dxa"/>
              <w:left w:w="39" w:type="dxa"/>
              <w:bottom w:w="39" w:type="dxa"/>
              <w:right w:w="39" w:type="dxa"/>
            </w:tcMar>
          </w:tcPr>
          <w:p w:rsidR="00360857" w:rsidRDefault="00360857" w:rsidP="00E96209">
            <w:pPr>
              <w:jc w:val="right"/>
            </w:pPr>
            <w:r>
              <w:rPr>
                <w:color w:val="000000"/>
                <w:sz w:val="20"/>
              </w:rPr>
              <w:t>2.4</w:t>
            </w:r>
          </w:p>
        </w:tc>
      </w:tr>
      <w:tr w:rsidR="00360857" w:rsidTr="0089709B">
        <w:trPr>
          <w:trHeight w:val="151"/>
        </w:trPr>
        <w:tc>
          <w:tcPr>
            <w:tcW w:w="3216" w:type="dxa"/>
            <w:tcMar>
              <w:top w:w="39" w:type="dxa"/>
              <w:left w:w="239" w:type="dxa"/>
              <w:bottom w:w="39" w:type="dxa"/>
              <w:right w:w="39" w:type="dxa"/>
            </w:tcMar>
          </w:tcPr>
          <w:p w:rsidR="00360857" w:rsidRDefault="00360857" w:rsidP="00E96209">
            <w:r>
              <w:rPr>
                <w:color w:val="000000"/>
                <w:sz w:val="20"/>
              </w:rPr>
              <w:t>Businesses by Geography</w:t>
            </w:r>
          </w:p>
        </w:tc>
        <w:tc>
          <w:tcPr>
            <w:tcW w:w="969" w:type="dxa"/>
            <w:tcMar>
              <w:top w:w="39" w:type="dxa"/>
              <w:left w:w="39" w:type="dxa"/>
              <w:bottom w:w="39" w:type="dxa"/>
              <w:right w:w="39" w:type="dxa"/>
            </w:tcMar>
          </w:tcPr>
          <w:p w:rsidR="00360857" w:rsidRDefault="00360857" w:rsidP="00E96209">
            <w:pPr>
              <w:jc w:val="right"/>
            </w:pPr>
            <w:r>
              <w:rPr>
                <w:color w:val="000000"/>
                <w:sz w:val="20"/>
              </w:rPr>
              <w:t>18,745</w:t>
            </w:r>
          </w:p>
        </w:tc>
        <w:tc>
          <w:tcPr>
            <w:tcW w:w="954" w:type="dxa"/>
            <w:tcMar>
              <w:top w:w="39" w:type="dxa"/>
              <w:left w:w="39" w:type="dxa"/>
              <w:bottom w:w="39" w:type="dxa"/>
              <w:right w:w="39" w:type="dxa"/>
            </w:tcMar>
          </w:tcPr>
          <w:p w:rsidR="00360857" w:rsidRDefault="00360857" w:rsidP="00E96209">
            <w:pPr>
              <w:jc w:val="right"/>
            </w:pPr>
            <w:r>
              <w:rPr>
                <w:color w:val="000000"/>
                <w:sz w:val="20"/>
              </w:rPr>
              <w:t>13.4</w:t>
            </w:r>
          </w:p>
        </w:tc>
        <w:tc>
          <w:tcPr>
            <w:tcW w:w="1099" w:type="dxa"/>
            <w:tcMar>
              <w:top w:w="39" w:type="dxa"/>
              <w:left w:w="39" w:type="dxa"/>
              <w:bottom w:w="39" w:type="dxa"/>
              <w:right w:w="39" w:type="dxa"/>
            </w:tcMar>
          </w:tcPr>
          <w:p w:rsidR="00360857" w:rsidRDefault="00360857" w:rsidP="00E96209">
            <w:pPr>
              <w:jc w:val="right"/>
            </w:pPr>
            <w:r>
              <w:rPr>
                <w:color w:val="000000"/>
                <w:sz w:val="20"/>
              </w:rPr>
              <w:t>16.5</w:t>
            </w:r>
          </w:p>
        </w:tc>
        <w:tc>
          <w:tcPr>
            <w:tcW w:w="1017" w:type="dxa"/>
            <w:tcMar>
              <w:top w:w="39" w:type="dxa"/>
              <w:left w:w="39" w:type="dxa"/>
              <w:bottom w:w="39" w:type="dxa"/>
              <w:right w:w="39" w:type="dxa"/>
            </w:tcMar>
          </w:tcPr>
          <w:p w:rsidR="00360857" w:rsidRDefault="00360857" w:rsidP="00E96209">
            <w:pPr>
              <w:jc w:val="right"/>
            </w:pPr>
            <w:r>
              <w:rPr>
                <w:color w:val="000000"/>
                <w:sz w:val="20"/>
              </w:rPr>
              <w:t>33.1</w:t>
            </w:r>
          </w:p>
        </w:tc>
        <w:tc>
          <w:tcPr>
            <w:tcW w:w="992" w:type="dxa"/>
            <w:tcMar>
              <w:top w:w="39" w:type="dxa"/>
              <w:left w:w="39" w:type="dxa"/>
              <w:bottom w:w="39" w:type="dxa"/>
              <w:right w:w="39" w:type="dxa"/>
            </w:tcMar>
          </w:tcPr>
          <w:p w:rsidR="00360857" w:rsidRDefault="00360857" w:rsidP="00E96209">
            <w:pPr>
              <w:jc w:val="right"/>
            </w:pPr>
            <w:r>
              <w:rPr>
                <w:color w:val="000000"/>
                <w:sz w:val="20"/>
              </w:rPr>
              <w:t>29.6</w:t>
            </w:r>
          </w:p>
        </w:tc>
        <w:tc>
          <w:tcPr>
            <w:tcW w:w="1079" w:type="dxa"/>
            <w:tcMar>
              <w:top w:w="39" w:type="dxa"/>
              <w:left w:w="39" w:type="dxa"/>
              <w:bottom w:w="39" w:type="dxa"/>
              <w:right w:w="39" w:type="dxa"/>
            </w:tcMar>
          </w:tcPr>
          <w:p w:rsidR="00360857" w:rsidRDefault="00360857" w:rsidP="00E96209">
            <w:pPr>
              <w:jc w:val="right"/>
            </w:pPr>
            <w:r>
              <w:rPr>
                <w:color w:val="000000"/>
                <w:sz w:val="20"/>
              </w:rPr>
              <w:t>7.3</w:t>
            </w:r>
          </w:p>
        </w:tc>
      </w:tr>
      <w:tr w:rsidR="00360857" w:rsidTr="0089709B">
        <w:trPr>
          <w:trHeight w:val="151"/>
        </w:trPr>
        <w:tc>
          <w:tcPr>
            <w:tcW w:w="3216" w:type="dxa"/>
            <w:tcMar>
              <w:top w:w="39" w:type="dxa"/>
              <w:left w:w="239" w:type="dxa"/>
              <w:bottom w:w="39" w:type="dxa"/>
              <w:right w:w="39" w:type="dxa"/>
            </w:tcMar>
          </w:tcPr>
          <w:p w:rsidR="00360857" w:rsidRDefault="00360857" w:rsidP="00E96209">
            <w:r>
              <w:rPr>
                <w:color w:val="000000"/>
                <w:sz w:val="20"/>
              </w:rPr>
              <w:t>Farms by Geography</w:t>
            </w:r>
          </w:p>
        </w:tc>
        <w:tc>
          <w:tcPr>
            <w:tcW w:w="969" w:type="dxa"/>
            <w:tcMar>
              <w:top w:w="39" w:type="dxa"/>
              <w:left w:w="39" w:type="dxa"/>
              <w:bottom w:w="39" w:type="dxa"/>
              <w:right w:w="39" w:type="dxa"/>
            </w:tcMar>
          </w:tcPr>
          <w:p w:rsidR="00360857" w:rsidRDefault="00360857" w:rsidP="00E96209">
            <w:pPr>
              <w:jc w:val="right"/>
            </w:pPr>
            <w:r>
              <w:rPr>
                <w:color w:val="000000"/>
                <w:sz w:val="20"/>
              </w:rPr>
              <w:t>371</w:t>
            </w:r>
          </w:p>
        </w:tc>
        <w:tc>
          <w:tcPr>
            <w:tcW w:w="954" w:type="dxa"/>
            <w:tcMar>
              <w:top w:w="39" w:type="dxa"/>
              <w:left w:w="39" w:type="dxa"/>
              <w:bottom w:w="39" w:type="dxa"/>
              <w:right w:w="39" w:type="dxa"/>
            </w:tcMar>
          </w:tcPr>
          <w:p w:rsidR="00360857" w:rsidRDefault="00360857" w:rsidP="00E96209">
            <w:pPr>
              <w:jc w:val="right"/>
            </w:pPr>
            <w:r>
              <w:rPr>
                <w:color w:val="000000"/>
                <w:sz w:val="20"/>
              </w:rPr>
              <w:t>7.0</w:t>
            </w:r>
          </w:p>
        </w:tc>
        <w:tc>
          <w:tcPr>
            <w:tcW w:w="1099" w:type="dxa"/>
            <w:tcMar>
              <w:top w:w="39" w:type="dxa"/>
              <w:left w:w="39" w:type="dxa"/>
              <w:bottom w:w="39" w:type="dxa"/>
              <w:right w:w="39" w:type="dxa"/>
            </w:tcMar>
          </w:tcPr>
          <w:p w:rsidR="00360857" w:rsidRDefault="00360857" w:rsidP="00E96209">
            <w:pPr>
              <w:jc w:val="right"/>
            </w:pPr>
            <w:r>
              <w:rPr>
                <w:color w:val="000000"/>
                <w:sz w:val="20"/>
              </w:rPr>
              <w:t>9.2</w:t>
            </w:r>
          </w:p>
        </w:tc>
        <w:tc>
          <w:tcPr>
            <w:tcW w:w="1017" w:type="dxa"/>
            <w:tcMar>
              <w:top w:w="39" w:type="dxa"/>
              <w:left w:w="39" w:type="dxa"/>
              <w:bottom w:w="39" w:type="dxa"/>
              <w:right w:w="39" w:type="dxa"/>
            </w:tcMar>
          </w:tcPr>
          <w:p w:rsidR="00360857" w:rsidRDefault="00360857" w:rsidP="00E96209">
            <w:pPr>
              <w:jc w:val="right"/>
            </w:pPr>
            <w:r>
              <w:rPr>
                <w:color w:val="000000"/>
                <w:sz w:val="20"/>
              </w:rPr>
              <w:t>38.5</w:t>
            </w:r>
          </w:p>
        </w:tc>
        <w:tc>
          <w:tcPr>
            <w:tcW w:w="992" w:type="dxa"/>
            <w:tcMar>
              <w:top w:w="39" w:type="dxa"/>
              <w:left w:w="39" w:type="dxa"/>
              <w:bottom w:w="39" w:type="dxa"/>
              <w:right w:w="39" w:type="dxa"/>
            </w:tcMar>
          </w:tcPr>
          <w:p w:rsidR="00360857" w:rsidRDefault="00360857" w:rsidP="00E96209">
            <w:pPr>
              <w:jc w:val="right"/>
            </w:pPr>
            <w:r>
              <w:rPr>
                <w:color w:val="000000"/>
                <w:sz w:val="20"/>
              </w:rPr>
              <w:t>44.5</w:t>
            </w:r>
          </w:p>
        </w:tc>
        <w:tc>
          <w:tcPr>
            <w:tcW w:w="1079" w:type="dxa"/>
            <w:tcMar>
              <w:top w:w="39" w:type="dxa"/>
              <w:left w:w="39" w:type="dxa"/>
              <w:bottom w:w="39" w:type="dxa"/>
              <w:right w:w="39" w:type="dxa"/>
            </w:tcMar>
          </w:tcPr>
          <w:p w:rsidR="00360857" w:rsidRDefault="00360857" w:rsidP="00E96209">
            <w:pPr>
              <w:jc w:val="right"/>
            </w:pPr>
            <w:r>
              <w:rPr>
                <w:color w:val="000000"/>
                <w:sz w:val="20"/>
              </w:rPr>
              <w:t>0.8</w:t>
            </w:r>
          </w:p>
        </w:tc>
      </w:tr>
      <w:tr w:rsidR="00360857" w:rsidTr="0089709B">
        <w:trPr>
          <w:trHeight w:val="151"/>
        </w:trPr>
        <w:tc>
          <w:tcPr>
            <w:tcW w:w="3216" w:type="dxa"/>
            <w:tcMar>
              <w:top w:w="39" w:type="dxa"/>
              <w:left w:w="239" w:type="dxa"/>
              <w:bottom w:w="39" w:type="dxa"/>
              <w:right w:w="39" w:type="dxa"/>
            </w:tcMar>
          </w:tcPr>
          <w:p w:rsidR="00360857" w:rsidRDefault="00360857" w:rsidP="00E96209">
            <w:r>
              <w:rPr>
                <w:color w:val="000000"/>
                <w:sz w:val="20"/>
              </w:rPr>
              <w:t>Family Distribution by Income Level</w:t>
            </w:r>
          </w:p>
        </w:tc>
        <w:tc>
          <w:tcPr>
            <w:tcW w:w="969" w:type="dxa"/>
            <w:tcMar>
              <w:top w:w="39" w:type="dxa"/>
              <w:left w:w="39" w:type="dxa"/>
              <w:bottom w:w="39" w:type="dxa"/>
              <w:right w:w="39" w:type="dxa"/>
            </w:tcMar>
          </w:tcPr>
          <w:p w:rsidR="00360857" w:rsidRDefault="00360857" w:rsidP="00E96209">
            <w:pPr>
              <w:jc w:val="right"/>
            </w:pPr>
            <w:r>
              <w:rPr>
                <w:color w:val="000000"/>
                <w:sz w:val="20"/>
              </w:rPr>
              <w:t>73,210</w:t>
            </w:r>
          </w:p>
        </w:tc>
        <w:tc>
          <w:tcPr>
            <w:tcW w:w="954" w:type="dxa"/>
            <w:tcMar>
              <w:top w:w="39" w:type="dxa"/>
              <w:left w:w="39" w:type="dxa"/>
              <w:bottom w:w="39" w:type="dxa"/>
              <w:right w:w="39" w:type="dxa"/>
            </w:tcMar>
          </w:tcPr>
          <w:p w:rsidR="00360857" w:rsidRDefault="00360857" w:rsidP="00E96209">
            <w:pPr>
              <w:jc w:val="right"/>
            </w:pPr>
            <w:r>
              <w:rPr>
                <w:color w:val="000000"/>
                <w:sz w:val="20"/>
              </w:rPr>
              <w:t>25.2</w:t>
            </w:r>
          </w:p>
        </w:tc>
        <w:tc>
          <w:tcPr>
            <w:tcW w:w="1099" w:type="dxa"/>
            <w:tcMar>
              <w:top w:w="39" w:type="dxa"/>
              <w:left w:w="39" w:type="dxa"/>
              <w:bottom w:w="39" w:type="dxa"/>
              <w:right w:w="39" w:type="dxa"/>
            </w:tcMar>
          </w:tcPr>
          <w:p w:rsidR="00360857" w:rsidRDefault="00360857" w:rsidP="00E96209">
            <w:pPr>
              <w:jc w:val="right"/>
            </w:pPr>
            <w:r>
              <w:rPr>
                <w:color w:val="000000"/>
                <w:sz w:val="20"/>
              </w:rPr>
              <w:t>17.3</w:t>
            </w:r>
          </w:p>
        </w:tc>
        <w:tc>
          <w:tcPr>
            <w:tcW w:w="1017" w:type="dxa"/>
            <w:tcMar>
              <w:top w:w="39" w:type="dxa"/>
              <w:left w:w="39" w:type="dxa"/>
              <w:bottom w:w="39" w:type="dxa"/>
              <w:right w:w="39" w:type="dxa"/>
            </w:tcMar>
          </w:tcPr>
          <w:p w:rsidR="00360857" w:rsidRDefault="00360857" w:rsidP="00E96209">
            <w:pPr>
              <w:jc w:val="right"/>
            </w:pPr>
            <w:r>
              <w:rPr>
                <w:color w:val="000000"/>
                <w:sz w:val="20"/>
              </w:rPr>
              <w:t>19.1</w:t>
            </w:r>
          </w:p>
        </w:tc>
        <w:tc>
          <w:tcPr>
            <w:tcW w:w="992" w:type="dxa"/>
            <w:tcMar>
              <w:top w:w="39" w:type="dxa"/>
              <w:left w:w="39" w:type="dxa"/>
              <w:bottom w:w="39" w:type="dxa"/>
              <w:right w:w="39" w:type="dxa"/>
            </w:tcMar>
          </w:tcPr>
          <w:p w:rsidR="00360857" w:rsidRDefault="00360857" w:rsidP="00E96209">
            <w:pPr>
              <w:jc w:val="right"/>
            </w:pPr>
            <w:r>
              <w:rPr>
                <w:color w:val="000000"/>
                <w:sz w:val="20"/>
              </w:rPr>
              <w:t>38.3</w:t>
            </w:r>
          </w:p>
        </w:tc>
        <w:tc>
          <w:tcPr>
            <w:tcW w:w="1079" w:type="dxa"/>
            <w:tcMar>
              <w:top w:w="39" w:type="dxa"/>
              <w:left w:w="39" w:type="dxa"/>
              <w:bottom w:w="39" w:type="dxa"/>
              <w:right w:w="39" w:type="dxa"/>
            </w:tcMar>
          </w:tcPr>
          <w:p w:rsidR="00360857" w:rsidRDefault="00360857" w:rsidP="00E96209">
            <w:pPr>
              <w:jc w:val="right"/>
            </w:pPr>
            <w:r>
              <w:rPr>
                <w:color w:val="000000"/>
                <w:sz w:val="20"/>
              </w:rPr>
              <w:t>0.0</w:t>
            </w:r>
          </w:p>
        </w:tc>
      </w:tr>
      <w:tr w:rsidR="00360857" w:rsidTr="0089709B">
        <w:trPr>
          <w:trHeight w:val="151"/>
        </w:trPr>
        <w:tc>
          <w:tcPr>
            <w:tcW w:w="3216" w:type="dxa"/>
            <w:tcMar>
              <w:top w:w="39" w:type="dxa"/>
              <w:left w:w="239" w:type="dxa"/>
              <w:bottom w:w="39" w:type="dxa"/>
              <w:right w:w="39" w:type="dxa"/>
            </w:tcMar>
          </w:tcPr>
          <w:p w:rsidR="00360857" w:rsidRDefault="00360857" w:rsidP="00E96209">
            <w:r>
              <w:rPr>
                <w:color w:val="000000"/>
                <w:sz w:val="20"/>
              </w:rPr>
              <w:t>Household Distribution by Income Level</w:t>
            </w:r>
          </w:p>
        </w:tc>
        <w:tc>
          <w:tcPr>
            <w:tcW w:w="969" w:type="dxa"/>
            <w:tcMar>
              <w:top w:w="39" w:type="dxa"/>
              <w:left w:w="39" w:type="dxa"/>
              <w:bottom w:w="39" w:type="dxa"/>
              <w:right w:w="39" w:type="dxa"/>
            </w:tcMar>
          </w:tcPr>
          <w:p w:rsidR="00360857" w:rsidRDefault="00360857" w:rsidP="00E96209">
            <w:pPr>
              <w:jc w:val="right"/>
            </w:pPr>
            <w:r>
              <w:rPr>
                <w:color w:val="000000"/>
                <w:sz w:val="20"/>
              </w:rPr>
              <w:t>115,656</w:t>
            </w:r>
          </w:p>
        </w:tc>
        <w:tc>
          <w:tcPr>
            <w:tcW w:w="954" w:type="dxa"/>
            <w:tcMar>
              <w:top w:w="39" w:type="dxa"/>
              <w:left w:w="39" w:type="dxa"/>
              <w:bottom w:w="39" w:type="dxa"/>
              <w:right w:w="39" w:type="dxa"/>
            </w:tcMar>
          </w:tcPr>
          <w:p w:rsidR="00360857" w:rsidRDefault="00360857" w:rsidP="00E96209">
            <w:pPr>
              <w:jc w:val="right"/>
            </w:pPr>
            <w:r>
              <w:rPr>
                <w:color w:val="000000"/>
                <w:sz w:val="20"/>
              </w:rPr>
              <w:t>29.5</w:t>
            </w:r>
          </w:p>
        </w:tc>
        <w:tc>
          <w:tcPr>
            <w:tcW w:w="1099" w:type="dxa"/>
            <w:tcMar>
              <w:top w:w="39" w:type="dxa"/>
              <w:left w:w="39" w:type="dxa"/>
              <w:bottom w:w="39" w:type="dxa"/>
              <w:right w:w="39" w:type="dxa"/>
            </w:tcMar>
          </w:tcPr>
          <w:p w:rsidR="00360857" w:rsidRDefault="00360857" w:rsidP="00E96209">
            <w:pPr>
              <w:jc w:val="right"/>
            </w:pPr>
            <w:r>
              <w:rPr>
                <w:color w:val="000000"/>
                <w:sz w:val="20"/>
              </w:rPr>
              <w:t>15.0</w:t>
            </w:r>
          </w:p>
        </w:tc>
        <w:tc>
          <w:tcPr>
            <w:tcW w:w="1017" w:type="dxa"/>
            <w:tcMar>
              <w:top w:w="39" w:type="dxa"/>
              <w:left w:w="39" w:type="dxa"/>
              <w:bottom w:w="39" w:type="dxa"/>
              <w:right w:w="39" w:type="dxa"/>
            </w:tcMar>
          </w:tcPr>
          <w:p w:rsidR="00360857" w:rsidRDefault="00360857" w:rsidP="00E96209">
            <w:pPr>
              <w:jc w:val="right"/>
            </w:pPr>
            <w:r>
              <w:rPr>
                <w:color w:val="000000"/>
                <w:sz w:val="20"/>
              </w:rPr>
              <w:t>17.0</w:t>
            </w:r>
          </w:p>
        </w:tc>
        <w:tc>
          <w:tcPr>
            <w:tcW w:w="992" w:type="dxa"/>
            <w:tcMar>
              <w:top w:w="39" w:type="dxa"/>
              <w:left w:w="39" w:type="dxa"/>
              <w:bottom w:w="39" w:type="dxa"/>
              <w:right w:w="39" w:type="dxa"/>
            </w:tcMar>
          </w:tcPr>
          <w:p w:rsidR="00360857" w:rsidRDefault="00360857" w:rsidP="00E96209">
            <w:pPr>
              <w:jc w:val="right"/>
            </w:pPr>
            <w:r>
              <w:rPr>
                <w:color w:val="000000"/>
                <w:sz w:val="20"/>
              </w:rPr>
              <w:t>38.6</w:t>
            </w:r>
          </w:p>
        </w:tc>
        <w:tc>
          <w:tcPr>
            <w:tcW w:w="1079" w:type="dxa"/>
            <w:tcMar>
              <w:top w:w="39" w:type="dxa"/>
              <w:left w:w="39" w:type="dxa"/>
              <w:bottom w:w="39" w:type="dxa"/>
              <w:right w:w="39" w:type="dxa"/>
            </w:tcMar>
          </w:tcPr>
          <w:p w:rsidR="00360857" w:rsidRDefault="00360857" w:rsidP="00E96209">
            <w:pPr>
              <w:jc w:val="right"/>
            </w:pPr>
            <w:r>
              <w:rPr>
                <w:color w:val="000000"/>
                <w:sz w:val="20"/>
              </w:rPr>
              <w:t>0.0</w:t>
            </w:r>
          </w:p>
        </w:tc>
      </w:tr>
      <w:tr w:rsidR="00360857" w:rsidTr="0089709B">
        <w:trPr>
          <w:trHeight w:val="151"/>
        </w:trPr>
        <w:tc>
          <w:tcPr>
            <w:tcW w:w="3216" w:type="dxa"/>
            <w:tcMar>
              <w:top w:w="39" w:type="dxa"/>
              <w:left w:w="239" w:type="dxa"/>
              <w:bottom w:w="39" w:type="dxa"/>
              <w:right w:w="39" w:type="dxa"/>
            </w:tcMar>
          </w:tcPr>
          <w:p w:rsidR="00360857" w:rsidRDefault="00360857" w:rsidP="00E96209">
            <w:r>
              <w:rPr>
                <w:color w:val="000000"/>
                <w:sz w:val="20"/>
              </w:rPr>
              <w:t>Median Family Income MSA - 49340 Worcester, MA-CT MSA</w:t>
            </w:r>
          </w:p>
        </w:tc>
        <w:tc>
          <w:tcPr>
            <w:tcW w:w="969" w:type="dxa"/>
            <w:tcMar>
              <w:top w:w="39" w:type="dxa"/>
              <w:left w:w="239" w:type="dxa"/>
              <w:bottom w:w="39" w:type="dxa"/>
              <w:right w:w="39" w:type="dxa"/>
            </w:tcMar>
          </w:tcPr>
          <w:p w:rsidR="00360857" w:rsidRDefault="00360857" w:rsidP="00E96209"/>
        </w:tc>
        <w:tc>
          <w:tcPr>
            <w:tcW w:w="954" w:type="dxa"/>
            <w:tcMar>
              <w:top w:w="39" w:type="dxa"/>
              <w:left w:w="39" w:type="dxa"/>
              <w:bottom w:w="39" w:type="dxa"/>
              <w:right w:w="39" w:type="dxa"/>
            </w:tcMar>
          </w:tcPr>
          <w:p w:rsidR="00360857" w:rsidRDefault="00360857" w:rsidP="00E96209">
            <w:pPr>
              <w:jc w:val="right"/>
            </w:pPr>
            <w:r>
              <w:rPr>
                <w:color w:val="000000"/>
                <w:sz w:val="20"/>
              </w:rPr>
              <w:t>$81,137</w:t>
            </w:r>
          </w:p>
        </w:tc>
        <w:tc>
          <w:tcPr>
            <w:tcW w:w="3108" w:type="dxa"/>
            <w:gridSpan w:val="3"/>
            <w:tcMar>
              <w:top w:w="39" w:type="dxa"/>
              <w:left w:w="39" w:type="dxa"/>
              <w:bottom w:w="39" w:type="dxa"/>
              <w:right w:w="39" w:type="dxa"/>
            </w:tcMar>
          </w:tcPr>
          <w:p w:rsidR="00360857" w:rsidRDefault="00360857" w:rsidP="00E96209">
            <w:r>
              <w:rPr>
                <w:color w:val="000000"/>
                <w:sz w:val="20"/>
              </w:rPr>
              <w:t>Median Housing Value</w:t>
            </w:r>
          </w:p>
        </w:tc>
        <w:tc>
          <w:tcPr>
            <w:tcW w:w="1079" w:type="dxa"/>
            <w:tcMar>
              <w:top w:w="39" w:type="dxa"/>
              <w:left w:w="39" w:type="dxa"/>
              <w:bottom w:w="39" w:type="dxa"/>
              <w:right w:w="39" w:type="dxa"/>
            </w:tcMar>
          </w:tcPr>
          <w:p w:rsidR="00360857" w:rsidRDefault="00360857" w:rsidP="00E96209">
            <w:pPr>
              <w:jc w:val="right"/>
            </w:pPr>
            <w:r>
              <w:rPr>
                <w:color w:val="000000"/>
                <w:sz w:val="20"/>
              </w:rPr>
              <w:t>$238,439</w:t>
            </w:r>
          </w:p>
        </w:tc>
      </w:tr>
      <w:tr w:rsidR="00FD09A6" w:rsidTr="0089709B">
        <w:trPr>
          <w:trHeight w:val="151"/>
        </w:trPr>
        <w:tc>
          <w:tcPr>
            <w:tcW w:w="4185" w:type="dxa"/>
            <w:gridSpan w:val="2"/>
            <w:tcMar>
              <w:top w:w="39" w:type="dxa"/>
              <w:left w:w="239" w:type="dxa"/>
              <w:bottom w:w="39" w:type="dxa"/>
              <w:right w:w="39" w:type="dxa"/>
            </w:tcMar>
          </w:tcPr>
          <w:p w:rsidR="00FD09A6" w:rsidRDefault="00FD09A6" w:rsidP="00E96209">
            <w:r>
              <w:rPr>
                <w:color w:val="000000"/>
                <w:sz w:val="20"/>
              </w:rPr>
              <w:t>Families Below Poverty Level</w:t>
            </w:r>
          </w:p>
        </w:tc>
        <w:tc>
          <w:tcPr>
            <w:tcW w:w="954" w:type="dxa"/>
            <w:tcMar>
              <w:top w:w="39" w:type="dxa"/>
              <w:left w:w="39" w:type="dxa"/>
              <w:bottom w:w="39" w:type="dxa"/>
              <w:right w:w="39" w:type="dxa"/>
            </w:tcMar>
          </w:tcPr>
          <w:p w:rsidR="00FD09A6" w:rsidRDefault="00FD09A6" w:rsidP="00E96209">
            <w:r>
              <w:rPr>
                <w:color w:val="000000"/>
                <w:sz w:val="20"/>
              </w:rPr>
              <w:t>10.7%</w:t>
            </w:r>
          </w:p>
        </w:tc>
        <w:tc>
          <w:tcPr>
            <w:tcW w:w="3108" w:type="dxa"/>
            <w:gridSpan w:val="3"/>
            <w:tcMar>
              <w:top w:w="39" w:type="dxa"/>
              <w:left w:w="39" w:type="dxa"/>
              <w:bottom w:w="39" w:type="dxa"/>
              <w:right w:w="39" w:type="dxa"/>
            </w:tcMar>
          </w:tcPr>
          <w:p w:rsidR="00FD09A6" w:rsidRDefault="00FD09A6" w:rsidP="00E96209">
            <w:r>
              <w:rPr>
                <w:color w:val="000000"/>
                <w:sz w:val="20"/>
              </w:rPr>
              <w:t>Median Gross Rent</w:t>
            </w:r>
          </w:p>
        </w:tc>
        <w:tc>
          <w:tcPr>
            <w:tcW w:w="1079" w:type="dxa"/>
            <w:tcMar>
              <w:top w:w="39" w:type="dxa"/>
              <w:left w:w="39" w:type="dxa"/>
              <w:bottom w:w="39" w:type="dxa"/>
              <w:right w:w="39" w:type="dxa"/>
            </w:tcMar>
          </w:tcPr>
          <w:p w:rsidR="00FD09A6" w:rsidRDefault="00FD09A6" w:rsidP="00E96209">
            <w:pPr>
              <w:jc w:val="right"/>
            </w:pPr>
            <w:r>
              <w:rPr>
                <w:color w:val="000000"/>
                <w:sz w:val="20"/>
              </w:rPr>
              <w:t>$955</w:t>
            </w:r>
          </w:p>
        </w:tc>
      </w:tr>
      <w:tr w:rsidR="00FD09A6" w:rsidTr="0089709B">
        <w:trPr>
          <w:trHeight w:val="151"/>
        </w:trPr>
        <w:tc>
          <w:tcPr>
            <w:tcW w:w="9326" w:type="dxa"/>
            <w:gridSpan w:val="7"/>
            <w:tcMar>
              <w:top w:w="39" w:type="dxa"/>
              <w:left w:w="239" w:type="dxa"/>
              <w:bottom w:w="39" w:type="dxa"/>
              <w:right w:w="39" w:type="dxa"/>
            </w:tcMar>
          </w:tcPr>
          <w:p w:rsidR="00FD09A6" w:rsidRDefault="00FD09A6" w:rsidP="00FD09A6">
            <w:r>
              <w:rPr>
                <w:i/>
                <w:color w:val="000000"/>
                <w:sz w:val="16"/>
              </w:rPr>
              <w:t>Source: 2015 ACS  and 2018 D&amp;B Data</w:t>
            </w:r>
          </w:p>
          <w:p w:rsidR="00FD09A6" w:rsidRDefault="00FD09A6" w:rsidP="00FD09A6">
            <w:r>
              <w:rPr>
                <w:i/>
                <w:color w:val="000000"/>
                <w:sz w:val="16"/>
              </w:rPr>
              <w:t>Due to rounding, totals may not equal 100.0%</w:t>
            </w:r>
          </w:p>
          <w:p w:rsidR="00FD09A6" w:rsidRDefault="00FD09A6" w:rsidP="0089709B">
            <w:r>
              <w:rPr>
                <w:i/>
                <w:color w:val="000000"/>
                <w:sz w:val="16"/>
              </w:rPr>
              <w:t>(*) The NA category consists of geographies that have not been assigned an income classification.</w:t>
            </w:r>
          </w:p>
        </w:tc>
      </w:tr>
    </w:tbl>
    <w:p w:rsidR="00F47FF7" w:rsidRPr="00360857" w:rsidRDefault="00360857" w:rsidP="00E229ED">
      <w:pPr>
        <w:widowControl w:val="0"/>
        <w:ind w:right="-360"/>
        <w:jc w:val="both"/>
        <w:rPr>
          <w:bCs/>
          <w:iCs/>
          <w:color w:val="000000"/>
        </w:rPr>
      </w:pPr>
      <w:r w:rsidRPr="00360857">
        <w:rPr>
          <w:bCs/>
          <w:iCs/>
          <w:color w:val="000000"/>
        </w:rPr>
        <w:lastRenderedPageBreak/>
        <w:t>The Federal Financial Institutions Examination Council (FFIEC) updated median family income level is used to analyze hoe mortgage loans under the Borrower Profile criterion.  The low- moderate-, middle-, and upper-income categories are presented in the following table</w:t>
      </w:r>
      <w:r w:rsidR="00082EEF" w:rsidRPr="00360857">
        <w:rPr>
          <w:bCs/>
          <w:iCs/>
          <w:color w:val="000000"/>
        </w:rPr>
        <w:t xml:space="preserve">. </w:t>
      </w:r>
    </w:p>
    <w:p w:rsidR="003912CC" w:rsidRPr="00575420" w:rsidRDefault="003912CC" w:rsidP="003912CC">
      <w:pPr>
        <w:widowControl w:val="0"/>
        <w:ind w:right="-360"/>
        <w:rPr>
          <w:b/>
          <w:bCs/>
          <w:iCs/>
          <w:color w:val="000000"/>
          <w:highlight w:val="yellow"/>
          <w:u w:val="single"/>
        </w:rPr>
      </w:pPr>
    </w:p>
    <w:tbl>
      <w:tblPr>
        <w:tblW w:w="0" w:type="auto"/>
        <w:tblCellMar>
          <w:left w:w="0" w:type="dxa"/>
          <w:right w:w="0" w:type="dxa"/>
        </w:tblCellMar>
        <w:tblLook w:val="0000" w:firstRow="0" w:lastRow="0" w:firstColumn="0" w:lastColumn="0" w:noHBand="0" w:noVBand="0"/>
      </w:tblPr>
      <w:tblGrid>
        <w:gridCol w:w="2506"/>
        <w:gridCol w:w="1329"/>
        <w:gridCol w:w="2038"/>
        <w:gridCol w:w="2130"/>
        <w:gridCol w:w="1347"/>
      </w:tblGrid>
      <w:tr w:rsidR="00360857" w:rsidRPr="00360857" w:rsidTr="00105251">
        <w:trPr>
          <w:trHeight w:val="282"/>
        </w:trPr>
        <w:tc>
          <w:tcPr>
            <w:tcW w:w="10455" w:type="dxa"/>
            <w:gridSpan w:val="5"/>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360857" w:rsidRPr="00360857" w:rsidRDefault="00360857" w:rsidP="00360857">
            <w:pPr>
              <w:jc w:val="center"/>
              <w:rPr>
                <w:sz w:val="20"/>
                <w:szCs w:val="20"/>
              </w:rPr>
            </w:pPr>
            <w:r w:rsidRPr="00360857">
              <w:rPr>
                <w:b/>
                <w:color w:val="000000"/>
                <w:sz w:val="20"/>
                <w:szCs w:val="20"/>
              </w:rPr>
              <w:t>Table B – Median Family Income Ranges</w:t>
            </w:r>
          </w:p>
        </w:tc>
      </w:tr>
      <w:tr w:rsidR="00360857" w:rsidRPr="00360857" w:rsidTr="00105251">
        <w:trPr>
          <w:trHeight w:val="426"/>
        </w:trPr>
        <w:tc>
          <w:tcPr>
            <w:tcW w:w="28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rsidR="00360857" w:rsidRPr="00360857" w:rsidRDefault="00360857" w:rsidP="00360857">
            <w:pPr>
              <w:rPr>
                <w:sz w:val="20"/>
                <w:szCs w:val="20"/>
              </w:rPr>
            </w:pPr>
            <w:r w:rsidRPr="00360857">
              <w:rPr>
                <w:b/>
                <w:color w:val="000000"/>
                <w:sz w:val="20"/>
                <w:szCs w:val="20"/>
              </w:rPr>
              <w:t>Median Family Incomes</w:t>
            </w:r>
          </w:p>
        </w:tc>
        <w:tc>
          <w:tcPr>
            <w:tcW w:w="14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rsidR="00360857" w:rsidRPr="00360857" w:rsidRDefault="00360857" w:rsidP="00360857">
            <w:pPr>
              <w:jc w:val="center"/>
              <w:rPr>
                <w:sz w:val="20"/>
                <w:szCs w:val="20"/>
              </w:rPr>
            </w:pPr>
            <w:r w:rsidRPr="00360857">
              <w:rPr>
                <w:b/>
                <w:color w:val="000000"/>
                <w:sz w:val="20"/>
                <w:szCs w:val="20"/>
              </w:rPr>
              <w:t>Low</w:t>
            </w:r>
            <w:r w:rsidRPr="00360857">
              <w:rPr>
                <w:b/>
                <w:color w:val="000000"/>
                <w:sz w:val="20"/>
                <w:szCs w:val="20"/>
              </w:rPr>
              <w:br/>
              <w:t xml:space="preserve"> &lt;50% </w:t>
            </w:r>
          </w:p>
        </w:tc>
        <w:tc>
          <w:tcPr>
            <w:tcW w:w="229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rsidR="00360857" w:rsidRPr="00360857" w:rsidRDefault="00360857" w:rsidP="00360857">
            <w:pPr>
              <w:jc w:val="center"/>
              <w:rPr>
                <w:sz w:val="20"/>
                <w:szCs w:val="20"/>
              </w:rPr>
            </w:pPr>
            <w:r w:rsidRPr="00360857">
              <w:rPr>
                <w:b/>
                <w:color w:val="000000"/>
                <w:sz w:val="20"/>
                <w:szCs w:val="20"/>
              </w:rPr>
              <w:t>Moderate</w:t>
            </w:r>
            <w:r w:rsidRPr="00360857">
              <w:rPr>
                <w:b/>
                <w:color w:val="000000"/>
                <w:sz w:val="20"/>
                <w:szCs w:val="20"/>
              </w:rPr>
              <w:br/>
              <w:t>50% to &lt;80%</w:t>
            </w:r>
          </w:p>
        </w:tc>
        <w:tc>
          <w:tcPr>
            <w:tcW w:w="240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rsidR="00360857" w:rsidRPr="00360857" w:rsidRDefault="00360857" w:rsidP="00360857">
            <w:pPr>
              <w:jc w:val="center"/>
              <w:rPr>
                <w:sz w:val="20"/>
                <w:szCs w:val="20"/>
              </w:rPr>
            </w:pPr>
            <w:r w:rsidRPr="00360857">
              <w:rPr>
                <w:b/>
                <w:color w:val="000000"/>
                <w:sz w:val="20"/>
                <w:szCs w:val="20"/>
              </w:rPr>
              <w:t>Middle</w:t>
            </w:r>
            <w:r w:rsidRPr="00360857">
              <w:rPr>
                <w:b/>
                <w:color w:val="000000"/>
                <w:sz w:val="20"/>
                <w:szCs w:val="20"/>
              </w:rPr>
              <w:br/>
              <w:t>80% to &lt;120%</w:t>
            </w:r>
          </w:p>
        </w:tc>
        <w:tc>
          <w:tcPr>
            <w:tcW w:w="14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rsidR="00360857" w:rsidRPr="00360857" w:rsidRDefault="00360857" w:rsidP="00360857">
            <w:pPr>
              <w:jc w:val="center"/>
              <w:rPr>
                <w:sz w:val="20"/>
                <w:szCs w:val="20"/>
              </w:rPr>
            </w:pPr>
            <w:r w:rsidRPr="00360857">
              <w:rPr>
                <w:b/>
                <w:color w:val="000000"/>
                <w:sz w:val="20"/>
                <w:szCs w:val="20"/>
              </w:rPr>
              <w:t>Upper</w:t>
            </w:r>
            <w:r w:rsidRPr="00360857">
              <w:rPr>
                <w:b/>
                <w:color w:val="000000"/>
                <w:sz w:val="20"/>
                <w:szCs w:val="20"/>
              </w:rPr>
              <w:br/>
              <w:t>≥120%</w:t>
            </w:r>
          </w:p>
        </w:tc>
      </w:tr>
      <w:tr w:rsidR="00360857" w:rsidRPr="00360857" w:rsidTr="00105251">
        <w:trPr>
          <w:trHeight w:val="181"/>
        </w:trPr>
        <w:tc>
          <w:tcPr>
            <w:tcW w:w="10455" w:type="dxa"/>
            <w:gridSpan w:val="5"/>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rsidR="00360857" w:rsidRPr="00360857" w:rsidRDefault="00360857" w:rsidP="00360857">
            <w:pPr>
              <w:jc w:val="center"/>
              <w:rPr>
                <w:sz w:val="20"/>
                <w:szCs w:val="20"/>
              </w:rPr>
            </w:pPr>
            <w:r w:rsidRPr="00360857">
              <w:rPr>
                <w:b/>
                <w:color w:val="000000"/>
                <w:sz w:val="20"/>
                <w:szCs w:val="20"/>
              </w:rPr>
              <w:t>Worcester, MA-CT MSA Median Family Income (49340)</w:t>
            </w:r>
          </w:p>
        </w:tc>
      </w:tr>
      <w:tr w:rsidR="00360857" w:rsidRPr="00360857" w:rsidTr="00105251">
        <w:trPr>
          <w:trHeight w:val="188"/>
        </w:trPr>
        <w:tc>
          <w:tcPr>
            <w:tcW w:w="28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rsidR="00360857" w:rsidRPr="00360857" w:rsidRDefault="00360857" w:rsidP="00360857">
            <w:pPr>
              <w:rPr>
                <w:sz w:val="20"/>
                <w:szCs w:val="20"/>
              </w:rPr>
            </w:pPr>
            <w:r w:rsidRPr="00360857">
              <w:rPr>
                <w:color w:val="000000"/>
                <w:sz w:val="20"/>
                <w:szCs w:val="20"/>
              </w:rPr>
              <w:t>2019 ($95,300)</w:t>
            </w:r>
          </w:p>
        </w:tc>
        <w:tc>
          <w:tcPr>
            <w:tcW w:w="14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360857" w:rsidRPr="00360857" w:rsidRDefault="00360857" w:rsidP="00360857">
            <w:pPr>
              <w:jc w:val="center"/>
              <w:rPr>
                <w:sz w:val="20"/>
                <w:szCs w:val="20"/>
              </w:rPr>
            </w:pPr>
            <w:r w:rsidRPr="00360857">
              <w:rPr>
                <w:color w:val="000000"/>
                <w:sz w:val="20"/>
                <w:szCs w:val="20"/>
              </w:rPr>
              <w:t>&lt;$47,650</w:t>
            </w:r>
          </w:p>
        </w:tc>
        <w:tc>
          <w:tcPr>
            <w:tcW w:w="229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360857" w:rsidRPr="00360857" w:rsidRDefault="00360857" w:rsidP="00360857">
            <w:pPr>
              <w:jc w:val="center"/>
              <w:rPr>
                <w:sz w:val="20"/>
                <w:szCs w:val="20"/>
              </w:rPr>
            </w:pPr>
            <w:r w:rsidRPr="00360857">
              <w:rPr>
                <w:color w:val="000000"/>
                <w:sz w:val="20"/>
                <w:szCs w:val="20"/>
              </w:rPr>
              <w:t>$47,650 to &lt;$76,240</w:t>
            </w:r>
          </w:p>
        </w:tc>
        <w:tc>
          <w:tcPr>
            <w:tcW w:w="240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360857" w:rsidRPr="00360857" w:rsidRDefault="00360857" w:rsidP="00360857">
            <w:pPr>
              <w:jc w:val="center"/>
              <w:rPr>
                <w:sz w:val="20"/>
                <w:szCs w:val="20"/>
              </w:rPr>
            </w:pPr>
            <w:r w:rsidRPr="00360857">
              <w:rPr>
                <w:color w:val="000000"/>
                <w:sz w:val="20"/>
                <w:szCs w:val="20"/>
              </w:rPr>
              <w:t>$76,240 to &lt;$114,360</w:t>
            </w:r>
          </w:p>
        </w:tc>
        <w:tc>
          <w:tcPr>
            <w:tcW w:w="14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360857" w:rsidRPr="00360857" w:rsidRDefault="00360857" w:rsidP="00360857">
            <w:pPr>
              <w:jc w:val="center"/>
              <w:rPr>
                <w:sz w:val="20"/>
                <w:szCs w:val="20"/>
              </w:rPr>
            </w:pPr>
            <w:r w:rsidRPr="00360857">
              <w:rPr>
                <w:color w:val="000000"/>
                <w:sz w:val="20"/>
                <w:szCs w:val="20"/>
              </w:rPr>
              <w:t>≥$114,360</w:t>
            </w:r>
          </w:p>
        </w:tc>
      </w:tr>
      <w:tr w:rsidR="00360857" w:rsidRPr="00360857" w:rsidTr="00105251">
        <w:trPr>
          <w:trHeight w:val="188"/>
        </w:trPr>
        <w:tc>
          <w:tcPr>
            <w:tcW w:w="28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rsidR="00360857" w:rsidRPr="00360857" w:rsidRDefault="00360857" w:rsidP="00360857">
            <w:pPr>
              <w:rPr>
                <w:sz w:val="20"/>
                <w:szCs w:val="20"/>
              </w:rPr>
            </w:pPr>
            <w:r w:rsidRPr="00360857">
              <w:rPr>
                <w:color w:val="000000"/>
                <w:sz w:val="20"/>
                <w:szCs w:val="20"/>
              </w:rPr>
              <w:t>2020 ($95,300)</w:t>
            </w:r>
          </w:p>
        </w:tc>
        <w:tc>
          <w:tcPr>
            <w:tcW w:w="14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360857" w:rsidRPr="00360857" w:rsidRDefault="00360857" w:rsidP="00360857">
            <w:pPr>
              <w:jc w:val="center"/>
              <w:rPr>
                <w:sz w:val="20"/>
                <w:szCs w:val="20"/>
              </w:rPr>
            </w:pPr>
            <w:r w:rsidRPr="00360857">
              <w:rPr>
                <w:color w:val="000000"/>
                <w:sz w:val="20"/>
                <w:szCs w:val="20"/>
              </w:rPr>
              <w:t>&lt;$47,650</w:t>
            </w:r>
          </w:p>
        </w:tc>
        <w:tc>
          <w:tcPr>
            <w:tcW w:w="229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360857" w:rsidRPr="00360857" w:rsidRDefault="00360857" w:rsidP="00360857">
            <w:pPr>
              <w:jc w:val="center"/>
              <w:rPr>
                <w:sz w:val="20"/>
                <w:szCs w:val="20"/>
              </w:rPr>
            </w:pPr>
            <w:r w:rsidRPr="00360857">
              <w:rPr>
                <w:color w:val="000000"/>
                <w:sz w:val="20"/>
                <w:szCs w:val="20"/>
              </w:rPr>
              <w:t>$47,650 to &lt;$76,240</w:t>
            </w:r>
          </w:p>
        </w:tc>
        <w:tc>
          <w:tcPr>
            <w:tcW w:w="240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360857" w:rsidRPr="00360857" w:rsidRDefault="00360857" w:rsidP="00360857">
            <w:pPr>
              <w:jc w:val="center"/>
              <w:rPr>
                <w:sz w:val="20"/>
                <w:szCs w:val="20"/>
              </w:rPr>
            </w:pPr>
            <w:r w:rsidRPr="00360857">
              <w:rPr>
                <w:color w:val="000000"/>
                <w:sz w:val="20"/>
                <w:szCs w:val="20"/>
              </w:rPr>
              <w:t>$76,240 to &lt;$114,360</w:t>
            </w:r>
          </w:p>
        </w:tc>
        <w:tc>
          <w:tcPr>
            <w:tcW w:w="14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360857" w:rsidRPr="00360857" w:rsidRDefault="00360857" w:rsidP="00360857">
            <w:pPr>
              <w:jc w:val="center"/>
              <w:rPr>
                <w:sz w:val="20"/>
                <w:szCs w:val="20"/>
              </w:rPr>
            </w:pPr>
            <w:r w:rsidRPr="00360857">
              <w:rPr>
                <w:color w:val="000000"/>
                <w:sz w:val="20"/>
                <w:szCs w:val="20"/>
              </w:rPr>
              <w:t>≥$114,360</w:t>
            </w:r>
          </w:p>
        </w:tc>
      </w:tr>
      <w:tr w:rsidR="00360857" w:rsidRPr="00360857" w:rsidTr="0089709B">
        <w:trPr>
          <w:trHeight w:val="31"/>
        </w:trPr>
        <w:tc>
          <w:tcPr>
            <w:tcW w:w="10455" w:type="dxa"/>
            <w:gridSpan w:val="5"/>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360857" w:rsidRPr="00360857" w:rsidRDefault="00360857" w:rsidP="00360857">
            <w:pPr>
              <w:rPr>
                <w:sz w:val="20"/>
                <w:szCs w:val="20"/>
              </w:rPr>
            </w:pPr>
            <w:r w:rsidRPr="00360857">
              <w:rPr>
                <w:i/>
                <w:color w:val="000000"/>
                <w:sz w:val="16"/>
                <w:szCs w:val="20"/>
              </w:rPr>
              <w:t>Source: FFIEC</w:t>
            </w:r>
          </w:p>
        </w:tc>
      </w:tr>
    </w:tbl>
    <w:p w:rsidR="00082EEF" w:rsidRPr="00575420" w:rsidRDefault="00082EEF" w:rsidP="003912CC">
      <w:pPr>
        <w:widowControl w:val="0"/>
        <w:ind w:right="-360"/>
        <w:rPr>
          <w:b/>
          <w:bCs/>
          <w:iCs/>
          <w:color w:val="000000"/>
          <w:highlight w:val="yellow"/>
          <w:u w:val="single"/>
        </w:rPr>
      </w:pPr>
    </w:p>
    <w:p w:rsidR="003912CC" w:rsidRPr="00AA2B68" w:rsidRDefault="00AA2B68" w:rsidP="00E229ED">
      <w:pPr>
        <w:jc w:val="both"/>
        <w:rPr>
          <w:b/>
          <w:bCs/>
          <w:iCs/>
          <w:u w:val="single"/>
        </w:rPr>
      </w:pPr>
      <w:r w:rsidRPr="00AA2B68">
        <w:rPr>
          <w:b/>
          <w:bCs/>
          <w:iCs/>
          <w:u w:val="single"/>
        </w:rPr>
        <w:t>Competition</w:t>
      </w:r>
    </w:p>
    <w:p w:rsidR="00AA2B68" w:rsidRPr="00AA2B68" w:rsidRDefault="00AA2B68" w:rsidP="00E229ED">
      <w:pPr>
        <w:jc w:val="both"/>
        <w:rPr>
          <w:b/>
          <w:bCs/>
          <w:iCs/>
          <w:u w:val="single"/>
        </w:rPr>
      </w:pPr>
    </w:p>
    <w:p w:rsidR="00E96209" w:rsidRDefault="00AA2B68" w:rsidP="00E229ED">
      <w:pPr>
        <w:jc w:val="both"/>
        <w:rPr>
          <w:bCs/>
          <w:iCs/>
        </w:rPr>
      </w:pPr>
      <w:r>
        <w:rPr>
          <w:bCs/>
          <w:iCs/>
        </w:rPr>
        <w:t xml:space="preserve">The AA is a highly competitive market for home mortgage lending.  There is a </w:t>
      </w:r>
      <w:r w:rsidR="001073B9">
        <w:rPr>
          <w:bCs/>
          <w:iCs/>
        </w:rPr>
        <w:t>strong</w:t>
      </w:r>
      <w:r>
        <w:rPr>
          <w:bCs/>
          <w:iCs/>
        </w:rPr>
        <w:t xml:space="preserve"> level of competition for home mortgage lending among credit unions, banks, and non-depository lenders. </w:t>
      </w:r>
      <w:r w:rsidR="00E96209">
        <w:rPr>
          <w:bCs/>
          <w:iCs/>
        </w:rPr>
        <w:t>Large national banks, non-depository lenders, and several state-chartered community banks and credit unions ranked above Worcester Credit Union.</w:t>
      </w:r>
    </w:p>
    <w:p w:rsidR="00E96209" w:rsidRDefault="00E96209" w:rsidP="00E229ED">
      <w:pPr>
        <w:jc w:val="both"/>
        <w:rPr>
          <w:bCs/>
          <w:iCs/>
        </w:rPr>
      </w:pPr>
    </w:p>
    <w:p w:rsidR="00E96209" w:rsidRDefault="00E96209" w:rsidP="00E229ED">
      <w:pPr>
        <w:jc w:val="both"/>
        <w:rPr>
          <w:b/>
          <w:bCs/>
          <w:iCs/>
          <w:u w:val="single"/>
        </w:rPr>
      </w:pPr>
      <w:r w:rsidRPr="00133032">
        <w:rPr>
          <w:b/>
          <w:bCs/>
          <w:iCs/>
          <w:u w:val="single"/>
        </w:rPr>
        <w:t>Community Contact</w:t>
      </w:r>
    </w:p>
    <w:p w:rsidR="00506EAA" w:rsidRDefault="00506EAA" w:rsidP="00E229ED">
      <w:pPr>
        <w:jc w:val="both"/>
        <w:rPr>
          <w:b/>
          <w:bCs/>
          <w:iCs/>
          <w:u w:val="single"/>
        </w:rPr>
      </w:pPr>
    </w:p>
    <w:p w:rsidR="00506EAA" w:rsidRDefault="00506EAA" w:rsidP="00E229ED">
      <w:pPr>
        <w:jc w:val="both"/>
        <w:rPr>
          <w:bCs/>
          <w:iCs/>
        </w:rPr>
      </w:pPr>
      <w:r>
        <w:rPr>
          <w:bCs/>
          <w:iCs/>
        </w:rPr>
        <w:t xml:space="preserve">As </w:t>
      </w:r>
      <w:r w:rsidR="001073B9">
        <w:rPr>
          <w:bCs/>
          <w:iCs/>
        </w:rPr>
        <w:t>p</w:t>
      </w:r>
      <w:r>
        <w:rPr>
          <w:bCs/>
          <w:iCs/>
        </w:rPr>
        <w:t xml:space="preserve">art of the examination process, examiners contact third parties </w:t>
      </w:r>
      <w:r w:rsidR="00133032">
        <w:rPr>
          <w:bCs/>
          <w:iCs/>
        </w:rPr>
        <w:t xml:space="preserve">active in the assessment area to assist in identifying credit and community development needs.  The information helps determine whether local financial institutions are responsive to the needs.  It also shows what credit and community development opportunities are available. </w:t>
      </w:r>
    </w:p>
    <w:p w:rsidR="00133032" w:rsidRDefault="00133032" w:rsidP="00E229ED">
      <w:pPr>
        <w:jc w:val="both"/>
        <w:rPr>
          <w:bCs/>
          <w:iCs/>
        </w:rPr>
      </w:pPr>
    </w:p>
    <w:p w:rsidR="00AA2B68" w:rsidRPr="00AA2B68" w:rsidRDefault="00133032" w:rsidP="00E229ED">
      <w:pPr>
        <w:jc w:val="both"/>
        <w:rPr>
          <w:bCs/>
          <w:iCs/>
        </w:rPr>
      </w:pPr>
      <w:r>
        <w:rPr>
          <w:bCs/>
          <w:iCs/>
        </w:rPr>
        <w:t xml:space="preserve">The contact identified affordable housing as the primary need of the assessment area.  The contact discussed the increase in housing costs in the assessment area which are directly affecting the low- and moderate-income population.  The contact noted that financial institutions in the assessment area are generally supportive of the efforts to increase affordable housing. </w:t>
      </w:r>
    </w:p>
    <w:p w:rsidR="00F91D31" w:rsidRPr="00575420" w:rsidRDefault="00F91D31" w:rsidP="00E229ED">
      <w:pPr>
        <w:jc w:val="both"/>
        <w:rPr>
          <w:b/>
          <w:bCs/>
          <w:color w:val="000000"/>
          <w:sz w:val="28"/>
          <w:szCs w:val="28"/>
          <w:highlight w:val="yellow"/>
        </w:rPr>
      </w:pPr>
    </w:p>
    <w:p w:rsidR="00F91D31" w:rsidRPr="006F3B4B" w:rsidRDefault="00F91D31" w:rsidP="003912CC">
      <w:pPr>
        <w:jc w:val="center"/>
        <w:rPr>
          <w:b/>
          <w:bCs/>
          <w:color w:val="000000"/>
          <w:sz w:val="28"/>
          <w:szCs w:val="28"/>
        </w:rPr>
      </w:pPr>
    </w:p>
    <w:p w:rsidR="00FD09A6" w:rsidRDefault="00FD09A6">
      <w:pPr>
        <w:spacing w:after="160" w:line="259" w:lineRule="auto"/>
        <w:rPr>
          <w:b/>
          <w:bCs/>
          <w:color w:val="000000"/>
          <w:sz w:val="28"/>
          <w:szCs w:val="28"/>
        </w:rPr>
      </w:pPr>
      <w:r>
        <w:rPr>
          <w:b/>
          <w:bCs/>
          <w:color w:val="000000"/>
          <w:sz w:val="28"/>
          <w:szCs w:val="28"/>
        </w:rPr>
        <w:br w:type="page"/>
      </w:r>
    </w:p>
    <w:p w:rsidR="003912CC" w:rsidRPr="006F3B4B" w:rsidRDefault="003912CC" w:rsidP="00B70895">
      <w:pPr>
        <w:jc w:val="center"/>
        <w:rPr>
          <w:color w:val="000000"/>
        </w:rPr>
      </w:pPr>
      <w:r w:rsidRPr="006F3B4B">
        <w:rPr>
          <w:b/>
          <w:bCs/>
          <w:color w:val="000000"/>
          <w:sz w:val="28"/>
          <w:szCs w:val="28"/>
        </w:rPr>
        <w:lastRenderedPageBreak/>
        <w:t>CONCLUSIONS ON PERFORMANCE CRITERIA</w:t>
      </w:r>
    </w:p>
    <w:p w:rsidR="003912CC" w:rsidRPr="006F3B4B" w:rsidRDefault="003912CC" w:rsidP="0089709B">
      <w:pPr>
        <w:rPr>
          <w:color w:val="000000"/>
        </w:rPr>
      </w:pPr>
    </w:p>
    <w:p w:rsidR="003912CC" w:rsidRPr="006F3B4B" w:rsidRDefault="003912CC" w:rsidP="00E229ED">
      <w:pPr>
        <w:jc w:val="both"/>
        <w:rPr>
          <w:b/>
          <w:bCs/>
          <w:color w:val="000000"/>
          <w:u w:val="single"/>
        </w:rPr>
      </w:pPr>
      <w:r w:rsidRPr="006F3B4B">
        <w:rPr>
          <w:b/>
          <w:bCs/>
          <w:color w:val="000000"/>
          <w:u w:val="single"/>
        </w:rPr>
        <w:t>LENDING TEST</w:t>
      </w:r>
    </w:p>
    <w:p w:rsidR="003912CC" w:rsidRPr="006F3B4B" w:rsidRDefault="003912CC" w:rsidP="00E229ED">
      <w:pPr>
        <w:ind w:right="-360"/>
        <w:jc w:val="both"/>
        <w:rPr>
          <w:i/>
          <w:iCs/>
          <w:color w:val="000000"/>
        </w:rPr>
      </w:pPr>
    </w:p>
    <w:p w:rsidR="003912CC" w:rsidRPr="006F3B4B" w:rsidRDefault="003912CC" w:rsidP="00E229ED">
      <w:pPr>
        <w:jc w:val="both"/>
        <w:rPr>
          <w:b/>
          <w:bCs/>
          <w:i/>
          <w:spacing w:val="-3"/>
        </w:rPr>
      </w:pPr>
      <w:r w:rsidRPr="006F3B4B">
        <w:rPr>
          <w:b/>
          <w:bCs/>
          <w:i/>
          <w:spacing w:val="-3"/>
        </w:rPr>
        <w:t>Loan-to-Share Ratio</w:t>
      </w:r>
    </w:p>
    <w:p w:rsidR="003912CC" w:rsidRPr="006F3B4B" w:rsidRDefault="003912CC" w:rsidP="00E229ED">
      <w:pPr>
        <w:jc w:val="both"/>
        <w:rPr>
          <w:b/>
          <w:bCs/>
          <w:spacing w:val="-3"/>
          <w:u w:val="single"/>
        </w:rPr>
      </w:pPr>
    </w:p>
    <w:p w:rsidR="003912CC" w:rsidRPr="006F3B4B" w:rsidRDefault="003912CC" w:rsidP="00E229ED">
      <w:pPr>
        <w:pStyle w:val="Default"/>
        <w:jc w:val="both"/>
      </w:pPr>
      <w:r w:rsidRPr="006F3B4B">
        <w:t>This performance criterion de</w:t>
      </w:r>
      <w:r w:rsidR="00BB1B65" w:rsidRPr="006F3B4B">
        <w:t>t</w:t>
      </w:r>
      <w:r w:rsidR="00F96AAB" w:rsidRPr="006F3B4B">
        <w:t>ermines what percentage of the c</w:t>
      </w:r>
      <w:r w:rsidRPr="006F3B4B">
        <w:t xml:space="preserve">redit </w:t>
      </w:r>
      <w:r w:rsidR="00F96AAB" w:rsidRPr="006F3B4B">
        <w:t>u</w:t>
      </w:r>
      <w:r w:rsidRPr="006F3B4B">
        <w:t xml:space="preserve">nion’s share base is reinvested in the form of loans and evaluates its appropriateness. The average net loan-to-share </w:t>
      </w:r>
      <w:r w:rsidR="006F3B4B">
        <w:t xml:space="preserve">(LTS) </w:t>
      </w:r>
      <w:r w:rsidRPr="006F3B4B">
        <w:t xml:space="preserve">ratio </w:t>
      </w:r>
      <w:r w:rsidR="00BB1B65" w:rsidRPr="006F3B4B">
        <w:t>for the last eight quarters</w:t>
      </w:r>
      <w:r w:rsidRPr="006F3B4B">
        <w:t xml:space="preserve"> is reasonable given the institution’s size, financial condition, and assessment area credit needs. </w:t>
      </w:r>
    </w:p>
    <w:p w:rsidR="003912CC" w:rsidRPr="006F3B4B" w:rsidRDefault="003912CC" w:rsidP="00E229ED">
      <w:pPr>
        <w:pStyle w:val="Default"/>
        <w:jc w:val="both"/>
      </w:pPr>
    </w:p>
    <w:p w:rsidR="003912CC" w:rsidRDefault="00893F1C" w:rsidP="00E229ED">
      <w:pPr>
        <w:pStyle w:val="Default"/>
        <w:jc w:val="both"/>
      </w:pPr>
      <w:r w:rsidRPr="006F3B4B">
        <w:t xml:space="preserve">The </w:t>
      </w:r>
      <w:r w:rsidR="00F96AAB" w:rsidRPr="006F3B4B">
        <w:t>c</w:t>
      </w:r>
      <w:r w:rsidR="003912CC" w:rsidRPr="006F3B4B">
        <w:t xml:space="preserve">redit </w:t>
      </w:r>
      <w:r w:rsidR="00F96AAB" w:rsidRPr="006F3B4B">
        <w:t>u</w:t>
      </w:r>
      <w:r w:rsidR="003912CC" w:rsidRPr="006F3B4B">
        <w:t>nion’s net LTS ratio, as calculated from the NCUA 5300 Quarterly</w:t>
      </w:r>
      <w:r w:rsidR="00AC27AC" w:rsidRPr="006F3B4B">
        <w:t xml:space="preserve"> Call Report data, averaged </w:t>
      </w:r>
      <w:r w:rsidR="006F3B4B" w:rsidRPr="006F3B4B">
        <w:t>68.7</w:t>
      </w:r>
      <w:r w:rsidR="003912CC" w:rsidRPr="006F3B4B">
        <w:t xml:space="preserve"> percent over the past ei</w:t>
      </w:r>
      <w:r w:rsidR="00AF7297" w:rsidRPr="006F3B4B">
        <w:t xml:space="preserve">ght calendar quarters from </w:t>
      </w:r>
      <w:r w:rsidR="00AC27AC" w:rsidRPr="006F3B4B">
        <w:t>June</w:t>
      </w:r>
      <w:r w:rsidR="00AF7297" w:rsidRPr="006F3B4B">
        <w:t xml:space="preserve"> 3</w:t>
      </w:r>
      <w:r w:rsidR="00AC27AC" w:rsidRPr="006F3B4B">
        <w:t>0</w:t>
      </w:r>
      <w:r w:rsidR="00AF7297" w:rsidRPr="006F3B4B">
        <w:t>, 201</w:t>
      </w:r>
      <w:r w:rsidR="006F3B4B" w:rsidRPr="006F3B4B">
        <w:t>9</w:t>
      </w:r>
      <w:r w:rsidR="00AF7297" w:rsidRPr="006F3B4B">
        <w:t xml:space="preserve"> through </w:t>
      </w:r>
      <w:r w:rsidR="00AC27AC" w:rsidRPr="006F3B4B">
        <w:t xml:space="preserve">March </w:t>
      </w:r>
      <w:r w:rsidR="00952A6F" w:rsidRPr="006F3B4B">
        <w:t>3</w:t>
      </w:r>
      <w:r w:rsidR="006F3B4B" w:rsidRPr="006F3B4B">
        <w:t>1</w:t>
      </w:r>
      <w:r w:rsidR="003912CC" w:rsidRPr="006F3B4B">
        <w:t>, 20</w:t>
      </w:r>
      <w:r w:rsidR="00AC27AC" w:rsidRPr="006F3B4B">
        <w:t>2</w:t>
      </w:r>
      <w:r w:rsidR="006F3B4B" w:rsidRPr="006F3B4B">
        <w:t>1</w:t>
      </w:r>
      <w:r w:rsidR="003912CC" w:rsidRPr="006F3B4B">
        <w:t>. The</w:t>
      </w:r>
      <w:r w:rsidR="00AF7297" w:rsidRPr="006F3B4B">
        <w:t xml:space="preserve"> ratio ranged from a </w:t>
      </w:r>
      <w:r w:rsidR="001073B9">
        <w:t xml:space="preserve">high of 81.1 percent as of September 30, 2019, to a low of 54.1 percent </w:t>
      </w:r>
      <w:r w:rsidR="003912CC" w:rsidRPr="006F3B4B">
        <w:t xml:space="preserve">as of </w:t>
      </w:r>
      <w:r w:rsidR="006F3B4B" w:rsidRPr="006F3B4B">
        <w:t>March 31, 2021</w:t>
      </w:r>
      <w:r w:rsidR="001073B9">
        <w:t>.</w:t>
      </w:r>
      <w:r w:rsidR="003912CC" w:rsidRPr="006F3B4B">
        <w:t xml:space="preserve"> </w:t>
      </w:r>
    </w:p>
    <w:p w:rsidR="006F3B4B" w:rsidRDefault="006F3B4B" w:rsidP="00E229ED">
      <w:pPr>
        <w:pStyle w:val="Default"/>
        <w:jc w:val="both"/>
      </w:pPr>
    </w:p>
    <w:p w:rsidR="00B70895" w:rsidRDefault="006F3B4B" w:rsidP="00E229ED">
      <w:pPr>
        <w:pStyle w:val="Default"/>
        <w:jc w:val="both"/>
      </w:pPr>
      <w:r>
        <w:t xml:space="preserve">The credit union’s average LTS ratio over the previous eight quarters was compared to that of two similarly situated institutions.  The institution selection is based on geographic location and lending focus. </w:t>
      </w:r>
    </w:p>
    <w:p w:rsidR="00E229ED" w:rsidRDefault="00E229ED" w:rsidP="00E229ED">
      <w:pPr>
        <w:pStyle w:val="Default"/>
        <w:jc w:val="both"/>
      </w:pPr>
    </w:p>
    <w:tbl>
      <w:tblPr>
        <w:tblW w:w="963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6"/>
        <w:gridCol w:w="2360"/>
        <w:gridCol w:w="1909"/>
      </w:tblGrid>
      <w:tr w:rsidR="006F3B4B" w:rsidRPr="0074419C" w:rsidTr="0089709B">
        <w:trPr>
          <w:trHeight w:val="251"/>
        </w:trPr>
        <w:tc>
          <w:tcPr>
            <w:tcW w:w="9635" w:type="dxa"/>
            <w:gridSpan w:val="3"/>
            <w:shd w:val="clear" w:color="auto" w:fill="auto"/>
            <w:noWrap/>
            <w:vAlign w:val="bottom"/>
            <w:hideMark/>
          </w:tcPr>
          <w:p w:rsidR="006F3B4B" w:rsidRPr="0074419C" w:rsidRDefault="006F3B4B" w:rsidP="0089709B">
            <w:pPr>
              <w:pStyle w:val="Default"/>
              <w:jc w:val="center"/>
              <w:rPr>
                <w:b/>
                <w:bCs/>
                <w:sz w:val="22"/>
                <w:szCs w:val="22"/>
              </w:rPr>
            </w:pPr>
            <w:r>
              <w:t xml:space="preserve"> </w:t>
            </w:r>
            <w:r w:rsidR="00B70895">
              <w:rPr>
                <w:b/>
                <w:bCs/>
                <w:sz w:val="22"/>
                <w:szCs w:val="22"/>
              </w:rPr>
              <w:t>L</w:t>
            </w:r>
            <w:r w:rsidRPr="0074419C">
              <w:rPr>
                <w:b/>
                <w:bCs/>
                <w:sz w:val="22"/>
                <w:szCs w:val="22"/>
              </w:rPr>
              <w:t>oan-to-Share Ratio Comparison</w:t>
            </w:r>
          </w:p>
        </w:tc>
      </w:tr>
      <w:tr w:rsidR="006F3B4B" w:rsidRPr="0074419C" w:rsidTr="0089709B">
        <w:trPr>
          <w:trHeight w:val="83"/>
        </w:trPr>
        <w:tc>
          <w:tcPr>
            <w:tcW w:w="5366" w:type="dxa"/>
            <w:shd w:val="clear" w:color="auto" w:fill="auto"/>
            <w:noWrap/>
            <w:vAlign w:val="center"/>
            <w:hideMark/>
          </w:tcPr>
          <w:p w:rsidR="006F3B4B" w:rsidRPr="0059746E" w:rsidRDefault="006F3B4B" w:rsidP="00E96209">
            <w:pPr>
              <w:rPr>
                <w:color w:val="000000"/>
                <w:sz w:val="20"/>
                <w:szCs w:val="20"/>
              </w:rPr>
            </w:pPr>
            <w:r w:rsidRPr="0059746E">
              <w:rPr>
                <w:color w:val="000000"/>
                <w:sz w:val="20"/>
                <w:szCs w:val="20"/>
              </w:rPr>
              <w:t>Institution</w:t>
            </w:r>
          </w:p>
        </w:tc>
        <w:tc>
          <w:tcPr>
            <w:tcW w:w="2360" w:type="dxa"/>
            <w:shd w:val="clear" w:color="auto" w:fill="auto"/>
            <w:vAlign w:val="center"/>
            <w:hideMark/>
          </w:tcPr>
          <w:p w:rsidR="006F3B4B" w:rsidRPr="0074419C" w:rsidRDefault="006F3B4B" w:rsidP="00E96209">
            <w:pPr>
              <w:jc w:val="center"/>
              <w:rPr>
                <w:color w:val="000000"/>
                <w:sz w:val="20"/>
                <w:szCs w:val="20"/>
              </w:rPr>
            </w:pPr>
            <w:r w:rsidRPr="0074419C">
              <w:rPr>
                <w:color w:val="000000"/>
                <w:sz w:val="20"/>
                <w:szCs w:val="20"/>
              </w:rPr>
              <w:t xml:space="preserve">Total Shares </w:t>
            </w:r>
          </w:p>
        </w:tc>
        <w:tc>
          <w:tcPr>
            <w:tcW w:w="1908" w:type="dxa"/>
            <w:shd w:val="clear" w:color="auto" w:fill="auto"/>
            <w:vAlign w:val="center"/>
            <w:hideMark/>
          </w:tcPr>
          <w:p w:rsidR="006F3B4B" w:rsidRPr="0074419C" w:rsidRDefault="006F3B4B" w:rsidP="00E96209">
            <w:pPr>
              <w:jc w:val="center"/>
              <w:rPr>
                <w:color w:val="000000"/>
                <w:sz w:val="20"/>
                <w:szCs w:val="20"/>
              </w:rPr>
            </w:pPr>
            <w:r w:rsidRPr="0074419C">
              <w:rPr>
                <w:color w:val="000000"/>
                <w:sz w:val="20"/>
                <w:szCs w:val="20"/>
              </w:rPr>
              <w:t>Average LTS Ratio (%)</w:t>
            </w:r>
          </w:p>
        </w:tc>
      </w:tr>
      <w:tr w:rsidR="006F3B4B" w:rsidRPr="0074419C" w:rsidTr="0089709B">
        <w:trPr>
          <w:trHeight w:val="251"/>
        </w:trPr>
        <w:tc>
          <w:tcPr>
            <w:tcW w:w="5366" w:type="dxa"/>
            <w:shd w:val="clear" w:color="auto" w:fill="auto"/>
            <w:noWrap/>
            <w:vAlign w:val="bottom"/>
          </w:tcPr>
          <w:p w:rsidR="006F3B4B" w:rsidRPr="0059746E" w:rsidRDefault="006F3B4B" w:rsidP="00E96209">
            <w:pPr>
              <w:rPr>
                <w:color w:val="000000"/>
                <w:sz w:val="20"/>
                <w:szCs w:val="20"/>
              </w:rPr>
            </w:pPr>
            <w:r w:rsidRPr="0059746E">
              <w:rPr>
                <w:color w:val="000000"/>
                <w:sz w:val="20"/>
                <w:szCs w:val="20"/>
              </w:rPr>
              <w:t>Worcester Credit Union</w:t>
            </w:r>
          </w:p>
        </w:tc>
        <w:tc>
          <w:tcPr>
            <w:tcW w:w="2360" w:type="dxa"/>
            <w:shd w:val="clear" w:color="auto" w:fill="auto"/>
            <w:noWrap/>
            <w:vAlign w:val="bottom"/>
          </w:tcPr>
          <w:p w:rsidR="006F3B4B" w:rsidRPr="0074419C" w:rsidRDefault="006F3B4B" w:rsidP="006F3B4B">
            <w:pPr>
              <w:jc w:val="center"/>
              <w:rPr>
                <w:color w:val="000000"/>
                <w:sz w:val="20"/>
                <w:szCs w:val="20"/>
              </w:rPr>
            </w:pPr>
            <w:r>
              <w:rPr>
                <w:color w:val="000000"/>
                <w:sz w:val="20"/>
                <w:szCs w:val="20"/>
              </w:rPr>
              <w:t>102,954,423</w:t>
            </w:r>
          </w:p>
        </w:tc>
        <w:tc>
          <w:tcPr>
            <w:tcW w:w="1908" w:type="dxa"/>
            <w:shd w:val="clear" w:color="auto" w:fill="auto"/>
            <w:noWrap/>
            <w:vAlign w:val="bottom"/>
          </w:tcPr>
          <w:p w:rsidR="006F3B4B" w:rsidRPr="0074419C" w:rsidRDefault="006F3B4B" w:rsidP="006F3B4B">
            <w:pPr>
              <w:jc w:val="center"/>
              <w:rPr>
                <w:color w:val="000000"/>
                <w:sz w:val="20"/>
                <w:szCs w:val="20"/>
              </w:rPr>
            </w:pPr>
            <w:r>
              <w:rPr>
                <w:color w:val="000000"/>
                <w:sz w:val="20"/>
                <w:szCs w:val="20"/>
              </w:rPr>
              <w:t>68.7</w:t>
            </w:r>
          </w:p>
        </w:tc>
      </w:tr>
      <w:tr w:rsidR="006F3B4B" w:rsidRPr="0074419C" w:rsidTr="0089709B">
        <w:trPr>
          <w:trHeight w:val="251"/>
        </w:trPr>
        <w:tc>
          <w:tcPr>
            <w:tcW w:w="5366" w:type="dxa"/>
            <w:shd w:val="clear" w:color="auto" w:fill="auto"/>
            <w:noWrap/>
            <w:vAlign w:val="bottom"/>
          </w:tcPr>
          <w:p w:rsidR="006F3B4B" w:rsidRPr="0059746E" w:rsidRDefault="006F3B4B" w:rsidP="006F3B4B">
            <w:pPr>
              <w:rPr>
                <w:color w:val="000000"/>
                <w:sz w:val="20"/>
                <w:szCs w:val="20"/>
              </w:rPr>
            </w:pPr>
            <w:r w:rsidRPr="0059746E">
              <w:rPr>
                <w:color w:val="000000"/>
                <w:sz w:val="20"/>
                <w:szCs w:val="20"/>
              </w:rPr>
              <w:t>Allcom Credit Union</w:t>
            </w:r>
          </w:p>
        </w:tc>
        <w:tc>
          <w:tcPr>
            <w:tcW w:w="2360" w:type="dxa"/>
            <w:shd w:val="clear" w:color="auto" w:fill="auto"/>
            <w:noWrap/>
            <w:vAlign w:val="bottom"/>
          </w:tcPr>
          <w:p w:rsidR="006F3B4B" w:rsidRPr="0074419C" w:rsidRDefault="006F3B4B" w:rsidP="006F3B4B">
            <w:pPr>
              <w:jc w:val="center"/>
              <w:rPr>
                <w:color w:val="000000"/>
                <w:sz w:val="20"/>
                <w:szCs w:val="20"/>
              </w:rPr>
            </w:pPr>
            <w:r>
              <w:rPr>
                <w:color w:val="000000"/>
                <w:sz w:val="20"/>
                <w:szCs w:val="20"/>
              </w:rPr>
              <w:t>67,577,819</w:t>
            </w:r>
          </w:p>
        </w:tc>
        <w:tc>
          <w:tcPr>
            <w:tcW w:w="1908" w:type="dxa"/>
            <w:shd w:val="clear" w:color="auto" w:fill="auto"/>
            <w:noWrap/>
            <w:vAlign w:val="bottom"/>
          </w:tcPr>
          <w:p w:rsidR="006F3B4B" w:rsidRPr="0074419C" w:rsidRDefault="00477AA5" w:rsidP="006F3B4B">
            <w:pPr>
              <w:jc w:val="center"/>
              <w:rPr>
                <w:color w:val="000000"/>
                <w:sz w:val="20"/>
                <w:szCs w:val="20"/>
              </w:rPr>
            </w:pPr>
            <w:r>
              <w:rPr>
                <w:color w:val="000000"/>
                <w:sz w:val="20"/>
                <w:szCs w:val="20"/>
              </w:rPr>
              <w:t>67.2</w:t>
            </w:r>
          </w:p>
        </w:tc>
      </w:tr>
      <w:tr w:rsidR="006F3B4B" w:rsidRPr="0074419C" w:rsidTr="0089709B">
        <w:trPr>
          <w:trHeight w:val="264"/>
        </w:trPr>
        <w:tc>
          <w:tcPr>
            <w:tcW w:w="5366" w:type="dxa"/>
            <w:shd w:val="clear" w:color="auto" w:fill="auto"/>
            <w:noWrap/>
            <w:vAlign w:val="bottom"/>
          </w:tcPr>
          <w:p w:rsidR="006F3B4B" w:rsidRPr="0059746E" w:rsidRDefault="00477AA5" w:rsidP="00E96209">
            <w:pPr>
              <w:rPr>
                <w:color w:val="000000"/>
                <w:sz w:val="20"/>
                <w:szCs w:val="20"/>
              </w:rPr>
            </w:pPr>
            <w:r w:rsidRPr="0059746E">
              <w:rPr>
                <w:color w:val="000000"/>
                <w:sz w:val="20"/>
                <w:szCs w:val="20"/>
              </w:rPr>
              <w:t>Alden Credit Union</w:t>
            </w:r>
          </w:p>
        </w:tc>
        <w:tc>
          <w:tcPr>
            <w:tcW w:w="2360" w:type="dxa"/>
            <w:shd w:val="clear" w:color="auto" w:fill="auto"/>
            <w:noWrap/>
            <w:vAlign w:val="bottom"/>
          </w:tcPr>
          <w:p w:rsidR="006F3B4B" w:rsidRPr="0074419C" w:rsidRDefault="00477AA5" w:rsidP="006F3B4B">
            <w:pPr>
              <w:jc w:val="center"/>
              <w:rPr>
                <w:color w:val="000000"/>
                <w:sz w:val="20"/>
                <w:szCs w:val="20"/>
              </w:rPr>
            </w:pPr>
            <w:r>
              <w:rPr>
                <w:color w:val="000000"/>
                <w:sz w:val="20"/>
                <w:szCs w:val="20"/>
              </w:rPr>
              <w:t>164,897,206</w:t>
            </w:r>
          </w:p>
        </w:tc>
        <w:tc>
          <w:tcPr>
            <w:tcW w:w="1908" w:type="dxa"/>
            <w:shd w:val="clear" w:color="auto" w:fill="auto"/>
            <w:noWrap/>
            <w:vAlign w:val="bottom"/>
          </w:tcPr>
          <w:p w:rsidR="006F3B4B" w:rsidRPr="0074419C" w:rsidRDefault="00477AA5" w:rsidP="006F3B4B">
            <w:pPr>
              <w:jc w:val="center"/>
              <w:rPr>
                <w:color w:val="000000"/>
                <w:sz w:val="20"/>
                <w:szCs w:val="20"/>
              </w:rPr>
            </w:pPr>
            <w:r>
              <w:rPr>
                <w:color w:val="000000"/>
                <w:sz w:val="20"/>
                <w:szCs w:val="20"/>
              </w:rPr>
              <w:t>77.1</w:t>
            </w:r>
          </w:p>
        </w:tc>
      </w:tr>
      <w:tr w:rsidR="006F3B4B" w:rsidRPr="0074419C" w:rsidTr="0089709B">
        <w:trPr>
          <w:trHeight w:val="38"/>
        </w:trPr>
        <w:tc>
          <w:tcPr>
            <w:tcW w:w="5366" w:type="dxa"/>
            <w:shd w:val="clear" w:color="auto" w:fill="auto"/>
            <w:noWrap/>
            <w:vAlign w:val="bottom"/>
            <w:hideMark/>
          </w:tcPr>
          <w:p w:rsidR="006F3B4B" w:rsidRPr="0059746E" w:rsidRDefault="006F3B4B" w:rsidP="00477AA5">
            <w:pPr>
              <w:rPr>
                <w:b/>
                <w:bCs/>
                <w:i/>
                <w:iCs/>
                <w:color w:val="000000"/>
                <w:sz w:val="16"/>
                <w:szCs w:val="16"/>
              </w:rPr>
            </w:pPr>
            <w:r w:rsidRPr="0059746E">
              <w:rPr>
                <w:b/>
                <w:bCs/>
                <w:i/>
                <w:iCs/>
                <w:color w:val="000000"/>
                <w:sz w:val="16"/>
                <w:szCs w:val="16"/>
              </w:rPr>
              <w:t xml:space="preserve">Source: Reports of Income and </w:t>
            </w:r>
            <w:r w:rsidR="00477AA5" w:rsidRPr="0059746E">
              <w:rPr>
                <w:b/>
                <w:bCs/>
                <w:i/>
                <w:iCs/>
                <w:color w:val="000000"/>
                <w:sz w:val="16"/>
                <w:szCs w:val="16"/>
              </w:rPr>
              <w:t>Condition 06/30/2019</w:t>
            </w:r>
            <w:r w:rsidRPr="0059746E">
              <w:rPr>
                <w:b/>
                <w:bCs/>
                <w:i/>
                <w:iCs/>
                <w:color w:val="000000"/>
                <w:sz w:val="16"/>
                <w:szCs w:val="16"/>
              </w:rPr>
              <w:t xml:space="preserve"> through </w:t>
            </w:r>
            <w:r w:rsidR="00477AA5" w:rsidRPr="0059746E">
              <w:rPr>
                <w:b/>
                <w:bCs/>
                <w:i/>
                <w:iCs/>
                <w:color w:val="000000"/>
                <w:sz w:val="16"/>
                <w:szCs w:val="16"/>
              </w:rPr>
              <w:t>3</w:t>
            </w:r>
            <w:r w:rsidRPr="0059746E">
              <w:rPr>
                <w:b/>
                <w:bCs/>
                <w:i/>
                <w:iCs/>
                <w:color w:val="000000"/>
                <w:sz w:val="16"/>
                <w:szCs w:val="16"/>
              </w:rPr>
              <w:t>/31/20</w:t>
            </w:r>
            <w:r w:rsidR="00477AA5" w:rsidRPr="0059746E">
              <w:rPr>
                <w:b/>
                <w:bCs/>
                <w:i/>
                <w:iCs/>
                <w:color w:val="000000"/>
                <w:sz w:val="16"/>
                <w:szCs w:val="16"/>
              </w:rPr>
              <w:t>21</w:t>
            </w:r>
          </w:p>
        </w:tc>
        <w:tc>
          <w:tcPr>
            <w:tcW w:w="2360" w:type="dxa"/>
            <w:shd w:val="clear" w:color="auto" w:fill="auto"/>
            <w:noWrap/>
            <w:vAlign w:val="bottom"/>
            <w:hideMark/>
          </w:tcPr>
          <w:p w:rsidR="006F3B4B" w:rsidRPr="0074419C" w:rsidRDefault="006F3B4B" w:rsidP="00E96209">
            <w:pPr>
              <w:rPr>
                <w:color w:val="000000"/>
                <w:sz w:val="22"/>
                <w:szCs w:val="22"/>
              </w:rPr>
            </w:pPr>
            <w:r w:rsidRPr="0074419C">
              <w:rPr>
                <w:color w:val="000000"/>
                <w:sz w:val="22"/>
                <w:szCs w:val="22"/>
              </w:rPr>
              <w:t> </w:t>
            </w:r>
          </w:p>
        </w:tc>
        <w:tc>
          <w:tcPr>
            <w:tcW w:w="1908" w:type="dxa"/>
            <w:shd w:val="clear" w:color="auto" w:fill="auto"/>
            <w:noWrap/>
            <w:vAlign w:val="bottom"/>
            <w:hideMark/>
          </w:tcPr>
          <w:p w:rsidR="006F3B4B" w:rsidRPr="0074419C" w:rsidRDefault="006F3B4B" w:rsidP="00E96209">
            <w:pPr>
              <w:rPr>
                <w:color w:val="000000"/>
                <w:sz w:val="22"/>
                <w:szCs w:val="22"/>
              </w:rPr>
            </w:pPr>
            <w:r w:rsidRPr="0074419C">
              <w:rPr>
                <w:color w:val="000000"/>
                <w:sz w:val="22"/>
                <w:szCs w:val="22"/>
              </w:rPr>
              <w:t> </w:t>
            </w:r>
          </w:p>
        </w:tc>
      </w:tr>
    </w:tbl>
    <w:p w:rsidR="003912CC" w:rsidRPr="00575420" w:rsidRDefault="003912CC" w:rsidP="003912CC">
      <w:pPr>
        <w:rPr>
          <w:b/>
          <w:i/>
          <w:iCs/>
          <w:highlight w:val="yellow"/>
        </w:rPr>
      </w:pPr>
    </w:p>
    <w:p w:rsidR="00B70895" w:rsidRDefault="00B70895" w:rsidP="003912CC">
      <w:pPr>
        <w:rPr>
          <w:b/>
          <w:bCs/>
          <w:u w:val="single"/>
        </w:rPr>
      </w:pPr>
    </w:p>
    <w:p w:rsidR="00E96209" w:rsidRPr="00806432" w:rsidRDefault="00E96209" w:rsidP="00E229ED">
      <w:pPr>
        <w:jc w:val="both"/>
        <w:rPr>
          <w:b/>
          <w:bCs/>
          <w:u w:val="single"/>
        </w:rPr>
      </w:pPr>
      <w:r w:rsidRPr="00806432">
        <w:rPr>
          <w:b/>
          <w:bCs/>
          <w:u w:val="single"/>
        </w:rPr>
        <w:t xml:space="preserve">Assessment Area Concentration </w:t>
      </w:r>
    </w:p>
    <w:p w:rsidR="00E96209" w:rsidRPr="00806432" w:rsidRDefault="00E96209" w:rsidP="00E229ED">
      <w:pPr>
        <w:jc w:val="both"/>
        <w:rPr>
          <w:b/>
          <w:bCs/>
          <w:u w:val="single"/>
        </w:rPr>
      </w:pPr>
    </w:p>
    <w:p w:rsidR="00E96209" w:rsidRPr="00806432" w:rsidRDefault="00E96209" w:rsidP="00E229ED">
      <w:pPr>
        <w:jc w:val="both"/>
        <w:rPr>
          <w:bCs/>
        </w:rPr>
      </w:pPr>
      <w:r w:rsidRPr="00806432">
        <w:rPr>
          <w:bCs/>
        </w:rPr>
        <w:t>A majority of the credit union’s lending activity occurs within its assessment area.</w:t>
      </w:r>
    </w:p>
    <w:p w:rsidR="00E96209" w:rsidRPr="00806432" w:rsidRDefault="00E96209" w:rsidP="003912CC">
      <w:pPr>
        <w:rPr>
          <w:b/>
          <w:bCs/>
          <w:u w:val="single"/>
        </w:rPr>
      </w:pPr>
    </w:p>
    <w:tbl>
      <w:tblPr>
        <w:tblStyle w:val="TableGrid41"/>
        <w:tblW w:w="9639" w:type="dxa"/>
        <w:tblInd w:w="-5" w:type="dxa"/>
        <w:tblLook w:val="04A0" w:firstRow="1" w:lastRow="0" w:firstColumn="1" w:lastColumn="0" w:noHBand="0" w:noVBand="1"/>
      </w:tblPr>
      <w:tblGrid>
        <w:gridCol w:w="1555"/>
        <w:gridCol w:w="516"/>
        <w:gridCol w:w="837"/>
        <w:gridCol w:w="804"/>
        <w:gridCol w:w="944"/>
        <w:gridCol w:w="746"/>
        <w:gridCol w:w="877"/>
        <w:gridCol w:w="838"/>
        <w:gridCol w:w="858"/>
        <w:gridCol w:w="836"/>
        <w:gridCol w:w="828"/>
      </w:tblGrid>
      <w:tr w:rsidR="00E96209" w:rsidRPr="00806432" w:rsidTr="00E96209">
        <w:trPr>
          <w:trHeight w:hRule="exact" w:val="382"/>
        </w:trPr>
        <w:tc>
          <w:tcPr>
            <w:tcW w:w="9639" w:type="dxa"/>
            <w:gridSpan w:val="11"/>
            <w:vAlign w:val="center"/>
          </w:tcPr>
          <w:p w:rsidR="00E96209" w:rsidRPr="00806432" w:rsidRDefault="00E96209" w:rsidP="00E96209">
            <w:pPr>
              <w:keepNext/>
              <w:jc w:val="center"/>
              <w:rPr>
                <w:sz w:val="20"/>
                <w:szCs w:val="20"/>
              </w:rPr>
            </w:pPr>
            <w:r w:rsidRPr="00806432">
              <w:rPr>
                <w:b/>
                <w:bCs/>
                <w:sz w:val="20"/>
                <w:szCs w:val="20"/>
              </w:rPr>
              <w:t>Lending Inside and Outside of the Assessment Area</w:t>
            </w:r>
          </w:p>
        </w:tc>
      </w:tr>
      <w:tr w:rsidR="00E96209" w:rsidRPr="00806432" w:rsidTr="00E96209">
        <w:trPr>
          <w:trHeight w:val="306"/>
        </w:trPr>
        <w:tc>
          <w:tcPr>
            <w:tcW w:w="1555" w:type="dxa"/>
            <w:vMerge w:val="restart"/>
            <w:vAlign w:val="center"/>
          </w:tcPr>
          <w:p w:rsidR="00E96209" w:rsidRPr="00806432" w:rsidRDefault="00E96209" w:rsidP="00E96209">
            <w:pPr>
              <w:keepNext/>
              <w:rPr>
                <w:b/>
                <w:sz w:val="20"/>
                <w:szCs w:val="20"/>
              </w:rPr>
            </w:pPr>
            <w:r w:rsidRPr="00806432">
              <w:rPr>
                <w:b/>
                <w:sz w:val="20"/>
                <w:szCs w:val="20"/>
              </w:rPr>
              <w:t xml:space="preserve">Loan Category </w:t>
            </w:r>
          </w:p>
        </w:tc>
        <w:tc>
          <w:tcPr>
            <w:tcW w:w="3101" w:type="dxa"/>
            <w:gridSpan w:val="4"/>
            <w:vAlign w:val="center"/>
          </w:tcPr>
          <w:p w:rsidR="00E96209" w:rsidRPr="00806432" w:rsidRDefault="00E96209" w:rsidP="00E96209">
            <w:pPr>
              <w:keepNext/>
              <w:jc w:val="center"/>
              <w:rPr>
                <w:b/>
                <w:sz w:val="20"/>
                <w:szCs w:val="20"/>
              </w:rPr>
            </w:pPr>
            <w:r w:rsidRPr="00806432">
              <w:rPr>
                <w:b/>
                <w:sz w:val="20"/>
                <w:szCs w:val="20"/>
              </w:rPr>
              <w:t>Number of Loans</w:t>
            </w:r>
          </w:p>
        </w:tc>
        <w:tc>
          <w:tcPr>
            <w:tcW w:w="746" w:type="dxa"/>
            <w:vMerge w:val="restart"/>
            <w:vAlign w:val="center"/>
          </w:tcPr>
          <w:p w:rsidR="00E96209" w:rsidRPr="00806432" w:rsidRDefault="00E96209" w:rsidP="00E96209">
            <w:pPr>
              <w:keepNext/>
              <w:jc w:val="center"/>
              <w:rPr>
                <w:b/>
                <w:sz w:val="20"/>
                <w:szCs w:val="20"/>
              </w:rPr>
            </w:pPr>
            <w:r w:rsidRPr="00806432">
              <w:rPr>
                <w:b/>
                <w:sz w:val="20"/>
                <w:szCs w:val="20"/>
              </w:rPr>
              <w:t>Total     #</w:t>
            </w:r>
          </w:p>
        </w:tc>
        <w:tc>
          <w:tcPr>
            <w:tcW w:w="3409" w:type="dxa"/>
            <w:gridSpan w:val="4"/>
            <w:vAlign w:val="center"/>
          </w:tcPr>
          <w:p w:rsidR="00E96209" w:rsidRPr="00806432" w:rsidRDefault="00E96209" w:rsidP="00E96209">
            <w:pPr>
              <w:keepNext/>
              <w:jc w:val="center"/>
              <w:rPr>
                <w:b/>
                <w:sz w:val="20"/>
                <w:szCs w:val="20"/>
              </w:rPr>
            </w:pPr>
            <w:r w:rsidRPr="00806432">
              <w:rPr>
                <w:b/>
                <w:sz w:val="20"/>
                <w:szCs w:val="20"/>
              </w:rPr>
              <w:t>Dollars Amount of Loans $(000s)</w:t>
            </w:r>
          </w:p>
        </w:tc>
        <w:tc>
          <w:tcPr>
            <w:tcW w:w="828" w:type="dxa"/>
            <w:vMerge w:val="restart"/>
            <w:vAlign w:val="center"/>
          </w:tcPr>
          <w:p w:rsidR="00E96209" w:rsidRPr="00806432" w:rsidRDefault="00E96209" w:rsidP="00E96209">
            <w:pPr>
              <w:keepNext/>
              <w:jc w:val="center"/>
              <w:rPr>
                <w:b/>
                <w:sz w:val="20"/>
                <w:szCs w:val="20"/>
              </w:rPr>
            </w:pPr>
            <w:r w:rsidRPr="00806432">
              <w:rPr>
                <w:b/>
                <w:sz w:val="20"/>
                <w:szCs w:val="20"/>
              </w:rPr>
              <w:t>Total   $(000s)</w:t>
            </w:r>
          </w:p>
        </w:tc>
      </w:tr>
      <w:tr w:rsidR="00E96209" w:rsidRPr="00806432" w:rsidTr="00E96209">
        <w:trPr>
          <w:trHeight w:val="306"/>
        </w:trPr>
        <w:tc>
          <w:tcPr>
            <w:tcW w:w="1555" w:type="dxa"/>
            <w:vMerge/>
            <w:vAlign w:val="center"/>
          </w:tcPr>
          <w:p w:rsidR="00E96209" w:rsidRPr="00806432" w:rsidRDefault="00E96209" w:rsidP="00E96209">
            <w:pPr>
              <w:keepNext/>
              <w:rPr>
                <w:b/>
                <w:sz w:val="20"/>
                <w:szCs w:val="20"/>
              </w:rPr>
            </w:pPr>
          </w:p>
        </w:tc>
        <w:tc>
          <w:tcPr>
            <w:tcW w:w="1353" w:type="dxa"/>
            <w:gridSpan w:val="2"/>
            <w:vAlign w:val="center"/>
          </w:tcPr>
          <w:p w:rsidR="00E96209" w:rsidRPr="00806432" w:rsidRDefault="00E96209" w:rsidP="00E96209">
            <w:pPr>
              <w:keepNext/>
              <w:jc w:val="center"/>
              <w:rPr>
                <w:b/>
                <w:sz w:val="20"/>
                <w:szCs w:val="20"/>
              </w:rPr>
            </w:pPr>
            <w:r w:rsidRPr="00806432">
              <w:rPr>
                <w:b/>
                <w:sz w:val="20"/>
                <w:szCs w:val="20"/>
              </w:rPr>
              <w:t>Inside</w:t>
            </w:r>
          </w:p>
        </w:tc>
        <w:tc>
          <w:tcPr>
            <w:tcW w:w="1748" w:type="dxa"/>
            <w:gridSpan w:val="2"/>
            <w:vAlign w:val="center"/>
          </w:tcPr>
          <w:p w:rsidR="00E96209" w:rsidRPr="00806432" w:rsidRDefault="00E96209" w:rsidP="00E96209">
            <w:pPr>
              <w:keepNext/>
              <w:jc w:val="center"/>
              <w:rPr>
                <w:b/>
                <w:sz w:val="20"/>
                <w:szCs w:val="20"/>
              </w:rPr>
            </w:pPr>
            <w:r w:rsidRPr="00806432">
              <w:rPr>
                <w:b/>
                <w:sz w:val="20"/>
                <w:szCs w:val="20"/>
              </w:rPr>
              <w:t>Outside</w:t>
            </w:r>
          </w:p>
        </w:tc>
        <w:tc>
          <w:tcPr>
            <w:tcW w:w="746" w:type="dxa"/>
            <w:vMerge/>
            <w:vAlign w:val="center"/>
          </w:tcPr>
          <w:p w:rsidR="00E96209" w:rsidRPr="00806432" w:rsidRDefault="00E96209" w:rsidP="00E96209">
            <w:pPr>
              <w:keepNext/>
              <w:jc w:val="center"/>
              <w:rPr>
                <w:b/>
                <w:sz w:val="20"/>
                <w:szCs w:val="20"/>
              </w:rPr>
            </w:pPr>
          </w:p>
        </w:tc>
        <w:tc>
          <w:tcPr>
            <w:tcW w:w="1715" w:type="dxa"/>
            <w:gridSpan w:val="2"/>
            <w:vAlign w:val="center"/>
          </w:tcPr>
          <w:p w:rsidR="00E96209" w:rsidRPr="00806432" w:rsidRDefault="00E96209" w:rsidP="00E96209">
            <w:pPr>
              <w:keepNext/>
              <w:jc w:val="center"/>
              <w:rPr>
                <w:b/>
                <w:sz w:val="20"/>
                <w:szCs w:val="20"/>
              </w:rPr>
            </w:pPr>
            <w:r w:rsidRPr="00806432">
              <w:rPr>
                <w:b/>
                <w:sz w:val="20"/>
                <w:szCs w:val="20"/>
              </w:rPr>
              <w:t>Inside</w:t>
            </w:r>
          </w:p>
        </w:tc>
        <w:tc>
          <w:tcPr>
            <w:tcW w:w="1694" w:type="dxa"/>
            <w:gridSpan w:val="2"/>
            <w:vAlign w:val="center"/>
          </w:tcPr>
          <w:p w:rsidR="00E96209" w:rsidRPr="00806432" w:rsidRDefault="00E96209" w:rsidP="00E96209">
            <w:pPr>
              <w:keepNext/>
              <w:jc w:val="center"/>
              <w:rPr>
                <w:b/>
                <w:sz w:val="20"/>
                <w:szCs w:val="20"/>
              </w:rPr>
            </w:pPr>
            <w:r w:rsidRPr="00806432">
              <w:rPr>
                <w:b/>
                <w:sz w:val="20"/>
                <w:szCs w:val="20"/>
              </w:rPr>
              <w:t>Outside</w:t>
            </w:r>
          </w:p>
        </w:tc>
        <w:tc>
          <w:tcPr>
            <w:tcW w:w="828" w:type="dxa"/>
            <w:vMerge/>
            <w:vAlign w:val="center"/>
          </w:tcPr>
          <w:p w:rsidR="00E96209" w:rsidRPr="00806432" w:rsidRDefault="00E96209" w:rsidP="00E96209">
            <w:pPr>
              <w:keepNext/>
              <w:jc w:val="center"/>
              <w:rPr>
                <w:b/>
                <w:sz w:val="20"/>
                <w:szCs w:val="20"/>
              </w:rPr>
            </w:pPr>
          </w:p>
        </w:tc>
      </w:tr>
      <w:tr w:rsidR="00E96209" w:rsidRPr="00806432" w:rsidTr="00E96209">
        <w:trPr>
          <w:trHeight w:val="306"/>
        </w:trPr>
        <w:tc>
          <w:tcPr>
            <w:tcW w:w="1555" w:type="dxa"/>
            <w:vMerge/>
            <w:vAlign w:val="center"/>
          </w:tcPr>
          <w:p w:rsidR="00E96209" w:rsidRPr="00806432" w:rsidRDefault="00E96209" w:rsidP="00E96209">
            <w:pPr>
              <w:keepNext/>
              <w:rPr>
                <w:b/>
                <w:sz w:val="20"/>
                <w:szCs w:val="20"/>
              </w:rPr>
            </w:pPr>
          </w:p>
        </w:tc>
        <w:tc>
          <w:tcPr>
            <w:tcW w:w="516" w:type="dxa"/>
            <w:vAlign w:val="center"/>
          </w:tcPr>
          <w:p w:rsidR="00E96209" w:rsidRPr="00806432" w:rsidRDefault="00E96209" w:rsidP="00E96209">
            <w:pPr>
              <w:keepNext/>
              <w:jc w:val="center"/>
              <w:rPr>
                <w:b/>
                <w:sz w:val="20"/>
                <w:szCs w:val="20"/>
              </w:rPr>
            </w:pPr>
            <w:r w:rsidRPr="00806432">
              <w:rPr>
                <w:b/>
                <w:sz w:val="20"/>
                <w:szCs w:val="20"/>
              </w:rPr>
              <w:t>#</w:t>
            </w:r>
          </w:p>
        </w:tc>
        <w:tc>
          <w:tcPr>
            <w:tcW w:w="837" w:type="dxa"/>
            <w:vAlign w:val="center"/>
          </w:tcPr>
          <w:p w:rsidR="00E96209" w:rsidRPr="00806432" w:rsidRDefault="00E96209" w:rsidP="00E96209">
            <w:pPr>
              <w:keepNext/>
              <w:jc w:val="center"/>
              <w:rPr>
                <w:b/>
                <w:sz w:val="20"/>
                <w:szCs w:val="20"/>
              </w:rPr>
            </w:pPr>
            <w:r w:rsidRPr="00806432">
              <w:rPr>
                <w:b/>
                <w:sz w:val="20"/>
                <w:szCs w:val="20"/>
              </w:rPr>
              <w:t>%</w:t>
            </w:r>
          </w:p>
        </w:tc>
        <w:tc>
          <w:tcPr>
            <w:tcW w:w="804" w:type="dxa"/>
            <w:vAlign w:val="center"/>
          </w:tcPr>
          <w:p w:rsidR="00E96209" w:rsidRPr="00806432" w:rsidRDefault="00E96209" w:rsidP="00E96209">
            <w:pPr>
              <w:keepNext/>
              <w:jc w:val="center"/>
              <w:rPr>
                <w:b/>
                <w:sz w:val="20"/>
                <w:szCs w:val="20"/>
              </w:rPr>
            </w:pPr>
            <w:r w:rsidRPr="00806432">
              <w:rPr>
                <w:b/>
                <w:sz w:val="20"/>
                <w:szCs w:val="20"/>
              </w:rPr>
              <w:t>#</w:t>
            </w:r>
          </w:p>
        </w:tc>
        <w:tc>
          <w:tcPr>
            <w:tcW w:w="944" w:type="dxa"/>
            <w:vAlign w:val="center"/>
          </w:tcPr>
          <w:p w:rsidR="00E96209" w:rsidRPr="00806432" w:rsidRDefault="00E96209" w:rsidP="00E96209">
            <w:pPr>
              <w:keepNext/>
              <w:jc w:val="center"/>
              <w:rPr>
                <w:b/>
                <w:sz w:val="20"/>
                <w:szCs w:val="20"/>
              </w:rPr>
            </w:pPr>
            <w:r w:rsidRPr="00806432">
              <w:rPr>
                <w:b/>
                <w:sz w:val="20"/>
                <w:szCs w:val="20"/>
              </w:rPr>
              <w:t>%</w:t>
            </w:r>
          </w:p>
        </w:tc>
        <w:tc>
          <w:tcPr>
            <w:tcW w:w="746" w:type="dxa"/>
            <w:vMerge/>
            <w:vAlign w:val="center"/>
          </w:tcPr>
          <w:p w:rsidR="00E96209" w:rsidRPr="00806432" w:rsidRDefault="00E96209" w:rsidP="00E96209">
            <w:pPr>
              <w:keepNext/>
              <w:jc w:val="center"/>
              <w:rPr>
                <w:b/>
                <w:sz w:val="20"/>
                <w:szCs w:val="20"/>
              </w:rPr>
            </w:pPr>
          </w:p>
        </w:tc>
        <w:tc>
          <w:tcPr>
            <w:tcW w:w="877" w:type="dxa"/>
            <w:vAlign w:val="center"/>
          </w:tcPr>
          <w:p w:rsidR="00E96209" w:rsidRPr="00806432" w:rsidRDefault="00E96209" w:rsidP="00E96209">
            <w:pPr>
              <w:keepNext/>
              <w:jc w:val="center"/>
              <w:rPr>
                <w:b/>
                <w:sz w:val="20"/>
                <w:szCs w:val="20"/>
              </w:rPr>
            </w:pPr>
            <w:r w:rsidRPr="00806432">
              <w:rPr>
                <w:b/>
                <w:sz w:val="20"/>
                <w:szCs w:val="20"/>
              </w:rPr>
              <w:t>$</w:t>
            </w:r>
          </w:p>
        </w:tc>
        <w:tc>
          <w:tcPr>
            <w:tcW w:w="838" w:type="dxa"/>
            <w:vAlign w:val="center"/>
          </w:tcPr>
          <w:p w:rsidR="00E96209" w:rsidRPr="00806432" w:rsidRDefault="00E96209" w:rsidP="00E96209">
            <w:pPr>
              <w:keepNext/>
              <w:jc w:val="center"/>
              <w:rPr>
                <w:b/>
                <w:sz w:val="20"/>
                <w:szCs w:val="20"/>
              </w:rPr>
            </w:pPr>
            <w:r w:rsidRPr="00806432">
              <w:rPr>
                <w:b/>
                <w:sz w:val="20"/>
                <w:szCs w:val="20"/>
              </w:rPr>
              <w:t>%</w:t>
            </w:r>
          </w:p>
        </w:tc>
        <w:tc>
          <w:tcPr>
            <w:tcW w:w="858" w:type="dxa"/>
            <w:vAlign w:val="center"/>
          </w:tcPr>
          <w:p w:rsidR="00E96209" w:rsidRPr="00806432" w:rsidRDefault="00E96209" w:rsidP="00E96209">
            <w:pPr>
              <w:keepNext/>
              <w:jc w:val="center"/>
              <w:rPr>
                <w:b/>
                <w:sz w:val="20"/>
                <w:szCs w:val="20"/>
              </w:rPr>
            </w:pPr>
            <w:r w:rsidRPr="00806432">
              <w:rPr>
                <w:b/>
                <w:sz w:val="20"/>
                <w:szCs w:val="20"/>
              </w:rPr>
              <w:t>$</w:t>
            </w:r>
          </w:p>
        </w:tc>
        <w:tc>
          <w:tcPr>
            <w:tcW w:w="836" w:type="dxa"/>
            <w:vAlign w:val="center"/>
          </w:tcPr>
          <w:p w:rsidR="00E96209" w:rsidRPr="00806432" w:rsidRDefault="00E96209" w:rsidP="00E96209">
            <w:pPr>
              <w:keepNext/>
              <w:jc w:val="center"/>
              <w:rPr>
                <w:b/>
                <w:sz w:val="20"/>
                <w:szCs w:val="20"/>
              </w:rPr>
            </w:pPr>
            <w:r w:rsidRPr="00806432">
              <w:rPr>
                <w:b/>
                <w:sz w:val="20"/>
                <w:szCs w:val="20"/>
              </w:rPr>
              <w:t>%</w:t>
            </w:r>
          </w:p>
        </w:tc>
        <w:tc>
          <w:tcPr>
            <w:tcW w:w="828" w:type="dxa"/>
            <w:vMerge/>
            <w:vAlign w:val="center"/>
          </w:tcPr>
          <w:p w:rsidR="00E96209" w:rsidRPr="00806432" w:rsidRDefault="00E96209" w:rsidP="00E96209">
            <w:pPr>
              <w:keepNext/>
              <w:jc w:val="center"/>
              <w:rPr>
                <w:b/>
                <w:sz w:val="20"/>
                <w:szCs w:val="20"/>
              </w:rPr>
            </w:pPr>
          </w:p>
        </w:tc>
      </w:tr>
      <w:tr w:rsidR="00E96209" w:rsidRPr="00806432" w:rsidTr="00E96209">
        <w:trPr>
          <w:trHeight w:val="306"/>
        </w:trPr>
        <w:tc>
          <w:tcPr>
            <w:tcW w:w="1555" w:type="dxa"/>
            <w:vAlign w:val="center"/>
          </w:tcPr>
          <w:p w:rsidR="00E96209" w:rsidRPr="00806432" w:rsidRDefault="00E96209" w:rsidP="00E96209">
            <w:pPr>
              <w:keepNext/>
              <w:rPr>
                <w:sz w:val="20"/>
                <w:szCs w:val="20"/>
              </w:rPr>
            </w:pPr>
            <w:r w:rsidRPr="00806432">
              <w:rPr>
                <w:sz w:val="20"/>
                <w:szCs w:val="20"/>
              </w:rPr>
              <w:t>Home Mortgage</w:t>
            </w:r>
          </w:p>
        </w:tc>
        <w:tc>
          <w:tcPr>
            <w:tcW w:w="8084" w:type="dxa"/>
            <w:gridSpan w:val="10"/>
            <w:vAlign w:val="center"/>
          </w:tcPr>
          <w:p w:rsidR="00E96209" w:rsidRPr="00806432" w:rsidRDefault="00E96209" w:rsidP="00E96209">
            <w:pPr>
              <w:keepNext/>
              <w:jc w:val="center"/>
              <w:rPr>
                <w:sz w:val="20"/>
                <w:szCs w:val="20"/>
              </w:rPr>
            </w:pPr>
          </w:p>
        </w:tc>
      </w:tr>
      <w:tr w:rsidR="00E96209" w:rsidRPr="00806432" w:rsidTr="00E96209">
        <w:trPr>
          <w:trHeight w:val="306"/>
        </w:trPr>
        <w:tc>
          <w:tcPr>
            <w:tcW w:w="1555" w:type="dxa"/>
            <w:vAlign w:val="center"/>
          </w:tcPr>
          <w:p w:rsidR="00E96209" w:rsidRPr="00806432" w:rsidRDefault="00E96209" w:rsidP="00E96209">
            <w:pPr>
              <w:keepNext/>
              <w:jc w:val="right"/>
              <w:rPr>
                <w:sz w:val="20"/>
                <w:szCs w:val="20"/>
              </w:rPr>
            </w:pPr>
            <w:r w:rsidRPr="00806432">
              <w:rPr>
                <w:sz w:val="20"/>
                <w:szCs w:val="20"/>
              </w:rPr>
              <w:t>2019</w:t>
            </w:r>
          </w:p>
        </w:tc>
        <w:tc>
          <w:tcPr>
            <w:tcW w:w="516" w:type="dxa"/>
            <w:vAlign w:val="center"/>
          </w:tcPr>
          <w:p w:rsidR="00E96209" w:rsidRPr="00806432" w:rsidRDefault="0082034A" w:rsidP="00E96209">
            <w:pPr>
              <w:keepNext/>
              <w:jc w:val="center"/>
              <w:rPr>
                <w:sz w:val="20"/>
                <w:szCs w:val="20"/>
              </w:rPr>
            </w:pPr>
            <w:r w:rsidRPr="00806432">
              <w:rPr>
                <w:sz w:val="20"/>
                <w:szCs w:val="20"/>
              </w:rPr>
              <w:t>25</w:t>
            </w:r>
          </w:p>
        </w:tc>
        <w:tc>
          <w:tcPr>
            <w:tcW w:w="837" w:type="dxa"/>
            <w:vAlign w:val="center"/>
          </w:tcPr>
          <w:p w:rsidR="00E96209" w:rsidRPr="00806432" w:rsidRDefault="00806432" w:rsidP="00E96209">
            <w:pPr>
              <w:keepNext/>
              <w:jc w:val="center"/>
              <w:rPr>
                <w:sz w:val="20"/>
                <w:szCs w:val="20"/>
              </w:rPr>
            </w:pPr>
            <w:r w:rsidRPr="00806432">
              <w:rPr>
                <w:sz w:val="20"/>
                <w:szCs w:val="20"/>
              </w:rPr>
              <w:t>83.3</w:t>
            </w:r>
          </w:p>
        </w:tc>
        <w:tc>
          <w:tcPr>
            <w:tcW w:w="804" w:type="dxa"/>
            <w:vAlign w:val="center"/>
          </w:tcPr>
          <w:p w:rsidR="00E96209" w:rsidRPr="00806432" w:rsidRDefault="0082034A" w:rsidP="00E96209">
            <w:pPr>
              <w:keepNext/>
              <w:jc w:val="center"/>
              <w:rPr>
                <w:sz w:val="20"/>
                <w:szCs w:val="20"/>
              </w:rPr>
            </w:pPr>
            <w:r w:rsidRPr="00806432">
              <w:rPr>
                <w:sz w:val="20"/>
                <w:szCs w:val="20"/>
              </w:rPr>
              <w:t>5</w:t>
            </w:r>
          </w:p>
        </w:tc>
        <w:tc>
          <w:tcPr>
            <w:tcW w:w="944" w:type="dxa"/>
            <w:vAlign w:val="center"/>
          </w:tcPr>
          <w:p w:rsidR="00E96209" w:rsidRPr="00806432" w:rsidRDefault="00806432" w:rsidP="00E96209">
            <w:pPr>
              <w:keepNext/>
              <w:jc w:val="center"/>
              <w:rPr>
                <w:sz w:val="20"/>
                <w:szCs w:val="20"/>
              </w:rPr>
            </w:pPr>
            <w:r w:rsidRPr="00806432">
              <w:rPr>
                <w:sz w:val="20"/>
                <w:szCs w:val="20"/>
              </w:rPr>
              <w:t>16.7</w:t>
            </w:r>
          </w:p>
        </w:tc>
        <w:tc>
          <w:tcPr>
            <w:tcW w:w="746" w:type="dxa"/>
            <w:vAlign w:val="center"/>
          </w:tcPr>
          <w:p w:rsidR="00E96209" w:rsidRPr="00806432" w:rsidRDefault="0082034A" w:rsidP="00E96209">
            <w:pPr>
              <w:keepNext/>
              <w:jc w:val="center"/>
              <w:rPr>
                <w:sz w:val="20"/>
                <w:szCs w:val="20"/>
              </w:rPr>
            </w:pPr>
            <w:r w:rsidRPr="00806432">
              <w:rPr>
                <w:sz w:val="20"/>
                <w:szCs w:val="20"/>
              </w:rPr>
              <w:t>30</w:t>
            </w:r>
          </w:p>
        </w:tc>
        <w:tc>
          <w:tcPr>
            <w:tcW w:w="877" w:type="dxa"/>
            <w:vAlign w:val="center"/>
          </w:tcPr>
          <w:p w:rsidR="00E96209" w:rsidRPr="00806432" w:rsidRDefault="0082034A" w:rsidP="00E96209">
            <w:pPr>
              <w:keepNext/>
              <w:jc w:val="center"/>
              <w:rPr>
                <w:sz w:val="20"/>
                <w:szCs w:val="20"/>
              </w:rPr>
            </w:pPr>
            <w:r w:rsidRPr="00806432">
              <w:rPr>
                <w:sz w:val="20"/>
                <w:szCs w:val="20"/>
              </w:rPr>
              <w:t>1,504</w:t>
            </w:r>
          </w:p>
        </w:tc>
        <w:tc>
          <w:tcPr>
            <w:tcW w:w="838" w:type="dxa"/>
            <w:vAlign w:val="center"/>
          </w:tcPr>
          <w:p w:rsidR="00E96209" w:rsidRPr="00806432" w:rsidRDefault="00806432" w:rsidP="00E96209">
            <w:pPr>
              <w:keepNext/>
              <w:jc w:val="center"/>
              <w:rPr>
                <w:sz w:val="20"/>
                <w:szCs w:val="20"/>
              </w:rPr>
            </w:pPr>
            <w:r w:rsidRPr="00806432">
              <w:rPr>
                <w:sz w:val="20"/>
                <w:szCs w:val="20"/>
              </w:rPr>
              <w:t>76.3</w:t>
            </w:r>
          </w:p>
        </w:tc>
        <w:tc>
          <w:tcPr>
            <w:tcW w:w="858" w:type="dxa"/>
            <w:vAlign w:val="center"/>
          </w:tcPr>
          <w:p w:rsidR="00E96209" w:rsidRPr="00806432" w:rsidRDefault="0082034A" w:rsidP="00E96209">
            <w:pPr>
              <w:keepNext/>
              <w:jc w:val="center"/>
              <w:rPr>
                <w:sz w:val="20"/>
                <w:szCs w:val="20"/>
              </w:rPr>
            </w:pPr>
            <w:r w:rsidRPr="00806432">
              <w:rPr>
                <w:sz w:val="20"/>
                <w:szCs w:val="20"/>
              </w:rPr>
              <w:t>468</w:t>
            </w:r>
          </w:p>
        </w:tc>
        <w:tc>
          <w:tcPr>
            <w:tcW w:w="836" w:type="dxa"/>
            <w:vAlign w:val="center"/>
          </w:tcPr>
          <w:p w:rsidR="00E96209" w:rsidRPr="00806432" w:rsidRDefault="00806432" w:rsidP="00E96209">
            <w:pPr>
              <w:keepNext/>
              <w:jc w:val="center"/>
              <w:rPr>
                <w:sz w:val="20"/>
                <w:szCs w:val="20"/>
              </w:rPr>
            </w:pPr>
            <w:r w:rsidRPr="00806432">
              <w:rPr>
                <w:sz w:val="20"/>
                <w:szCs w:val="20"/>
              </w:rPr>
              <w:t>23.7</w:t>
            </w:r>
          </w:p>
        </w:tc>
        <w:tc>
          <w:tcPr>
            <w:tcW w:w="828" w:type="dxa"/>
            <w:vAlign w:val="center"/>
          </w:tcPr>
          <w:p w:rsidR="00E96209" w:rsidRPr="00806432" w:rsidRDefault="0082034A" w:rsidP="00E96209">
            <w:pPr>
              <w:keepNext/>
              <w:jc w:val="center"/>
              <w:rPr>
                <w:sz w:val="20"/>
                <w:szCs w:val="20"/>
              </w:rPr>
            </w:pPr>
            <w:r w:rsidRPr="00806432">
              <w:rPr>
                <w:sz w:val="20"/>
                <w:szCs w:val="20"/>
              </w:rPr>
              <w:t>1,972</w:t>
            </w:r>
          </w:p>
        </w:tc>
      </w:tr>
      <w:tr w:rsidR="00E96209" w:rsidRPr="00806432" w:rsidTr="00E96209">
        <w:trPr>
          <w:trHeight w:val="306"/>
        </w:trPr>
        <w:tc>
          <w:tcPr>
            <w:tcW w:w="1555" w:type="dxa"/>
            <w:vAlign w:val="center"/>
          </w:tcPr>
          <w:p w:rsidR="00E96209" w:rsidRPr="00806432" w:rsidRDefault="00E96209" w:rsidP="00E96209">
            <w:pPr>
              <w:keepNext/>
              <w:jc w:val="right"/>
              <w:rPr>
                <w:sz w:val="20"/>
                <w:szCs w:val="20"/>
              </w:rPr>
            </w:pPr>
            <w:r w:rsidRPr="00806432">
              <w:rPr>
                <w:sz w:val="20"/>
                <w:szCs w:val="20"/>
              </w:rPr>
              <w:t>2020</w:t>
            </w:r>
          </w:p>
        </w:tc>
        <w:tc>
          <w:tcPr>
            <w:tcW w:w="516" w:type="dxa"/>
            <w:vAlign w:val="center"/>
          </w:tcPr>
          <w:p w:rsidR="00E96209" w:rsidRPr="00806432" w:rsidRDefault="00806432" w:rsidP="00E96209">
            <w:pPr>
              <w:keepNext/>
              <w:jc w:val="center"/>
              <w:rPr>
                <w:sz w:val="20"/>
                <w:szCs w:val="20"/>
              </w:rPr>
            </w:pPr>
            <w:r w:rsidRPr="00806432">
              <w:rPr>
                <w:sz w:val="20"/>
                <w:szCs w:val="20"/>
              </w:rPr>
              <w:t>29</w:t>
            </w:r>
          </w:p>
        </w:tc>
        <w:tc>
          <w:tcPr>
            <w:tcW w:w="837" w:type="dxa"/>
            <w:vAlign w:val="center"/>
          </w:tcPr>
          <w:p w:rsidR="00E96209" w:rsidRPr="00806432" w:rsidRDefault="00806432" w:rsidP="00806432">
            <w:pPr>
              <w:keepNext/>
              <w:jc w:val="center"/>
              <w:rPr>
                <w:sz w:val="20"/>
                <w:szCs w:val="20"/>
              </w:rPr>
            </w:pPr>
            <w:r w:rsidRPr="00806432">
              <w:rPr>
                <w:sz w:val="20"/>
                <w:szCs w:val="20"/>
              </w:rPr>
              <w:t>65.9</w:t>
            </w:r>
          </w:p>
        </w:tc>
        <w:tc>
          <w:tcPr>
            <w:tcW w:w="804" w:type="dxa"/>
            <w:vAlign w:val="center"/>
          </w:tcPr>
          <w:p w:rsidR="00E96209" w:rsidRPr="00806432" w:rsidRDefault="00806432" w:rsidP="00806432">
            <w:pPr>
              <w:keepNext/>
              <w:jc w:val="center"/>
              <w:rPr>
                <w:sz w:val="20"/>
                <w:szCs w:val="20"/>
              </w:rPr>
            </w:pPr>
            <w:r w:rsidRPr="00806432">
              <w:rPr>
                <w:sz w:val="20"/>
                <w:szCs w:val="20"/>
              </w:rPr>
              <w:t>15</w:t>
            </w:r>
          </w:p>
        </w:tc>
        <w:tc>
          <w:tcPr>
            <w:tcW w:w="944" w:type="dxa"/>
            <w:vAlign w:val="center"/>
          </w:tcPr>
          <w:p w:rsidR="00E96209" w:rsidRPr="00806432" w:rsidRDefault="00806432" w:rsidP="00E96209">
            <w:pPr>
              <w:keepNext/>
              <w:jc w:val="center"/>
              <w:rPr>
                <w:sz w:val="20"/>
                <w:szCs w:val="20"/>
              </w:rPr>
            </w:pPr>
            <w:r w:rsidRPr="00806432">
              <w:rPr>
                <w:sz w:val="20"/>
                <w:szCs w:val="20"/>
              </w:rPr>
              <w:t>34.1</w:t>
            </w:r>
          </w:p>
        </w:tc>
        <w:tc>
          <w:tcPr>
            <w:tcW w:w="746" w:type="dxa"/>
            <w:vAlign w:val="center"/>
          </w:tcPr>
          <w:p w:rsidR="00E96209" w:rsidRPr="00806432" w:rsidRDefault="00F057DE" w:rsidP="00E96209">
            <w:pPr>
              <w:keepNext/>
              <w:jc w:val="center"/>
              <w:rPr>
                <w:sz w:val="20"/>
                <w:szCs w:val="20"/>
              </w:rPr>
            </w:pPr>
            <w:r w:rsidRPr="00806432">
              <w:rPr>
                <w:sz w:val="20"/>
                <w:szCs w:val="20"/>
              </w:rPr>
              <w:t>44</w:t>
            </w:r>
          </w:p>
        </w:tc>
        <w:tc>
          <w:tcPr>
            <w:tcW w:w="877" w:type="dxa"/>
            <w:vAlign w:val="center"/>
          </w:tcPr>
          <w:p w:rsidR="00E96209" w:rsidRPr="00806432" w:rsidRDefault="002B64B4" w:rsidP="00BA5A16">
            <w:pPr>
              <w:keepNext/>
              <w:jc w:val="center"/>
              <w:rPr>
                <w:sz w:val="20"/>
                <w:szCs w:val="20"/>
              </w:rPr>
            </w:pPr>
            <w:r w:rsidRPr="00806432">
              <w:rPr>
                <w:sz w:val="20"/>
                <w:szCs w:val="20"/>
              </w:rPr>
              <w:t>3,50</w:t>
            </w:r>
            <w:r w:rsidR="00F057DE" w:rsidRPr="00806432">
              <w:rPr>
                <w:sz w:val="20"/>
                <w:szCs w:val="20"/>
              </w:rPr>
              <w:t>7</w:t>
            </w:r>
          </w:p>
        </w:tc>
        <w:tc>
          <w:tcPr>
            <w:tcW w:w="838" w:type="dxa"/>
            <w:vAlign w:val="center"/>
          </w:tcPr>
          <w:p w:rsidR="00E96209" w:rsidRPr="00806432" w:rsidRDefault="00806432" w:rsidP="00E96209">
            <w:pPr>
              <w:keepNext/>
              <w:jc w:val="center"/>
              <w:rPr>
                <w:sz w:val="20"/>
                <w:szCs w:val="20"/>
              </w:rPr>
            </w:pPr>
            <w:r w:rsidRPr="00806432">
              <w:rPr>
                <w:sz w:val="20"/>
                <w:szCs w:val="20"/>
              </w:rPr>
              <w:t>64.8</w:t>
            </w:r>
          </w:p>
        </w:tc>
        <w:tc>
          <w:tcPr>
            <w:tcW w:w="858" w:type="dxa"/>
            <w:vAlign w:val="center"/>
          </w:tcPr>
          <w:p w:rsidR="00E96209" w:rsidRPr="00806432" w:rsidRDefault="002B64B4" w:rsidP="00E96209">
            <w:pPr>
              <w:keepNext/>
              <w:jc w:val="center"/>
              <w:rPr>
                <w:sz w:val="20"/>
                <w:szCs w:val="20"/>
              </w:rPr>
            </w:pPr>
            <w:r w:rsidRPr="00806432">
              <w:rPr>
                <w:sz w:val="20"/>
                <w:szCs w:val="20"/>
              </w:rPr>
              <w:t>1,90</w:t>
            </w:r>
            <w:r w:rsidR="00F057DE" w:rsidRPr="00806432">
              <w:rPr>
                <w:sz w:val="20"/>
                <w:szCs w:val="20"/>
              </w:rPr>
              <w:t>8</w:t>
            </w:r>
          </w:p>
        </w:tc>
        <w:tc>
          <w:tcPr>
            <w:tcW w:w="836" w:type="dxa"/>
            <w:vAlign w:val="center"/>
          </w:tcPr>
          <w:p w:rsidR="00E96209" w:rsidRPr="00806432" w:rsidRDefault="00806432" w:rsidP="00E96209">
            <w:pPr>
              <w:keepNext/>
              <w:jc w:val="center"/>
              <w:rPr>
                <w:sz w:val="20"/>
                <w:szCs w:val="20"/>
              </w:rPr>
            </w:pPr>
            <w:r w:rsidRPr="00806432">
              <w:rPr>
                <w:sz w:val="20"/>
                <w:szCs w:val="20"/>
              </w:rPr>
              <w:t>35.2</w:t>
            </w:r>
          </w:p>
        </w:tc>
        <w:tc>
          <w:tcPr>
            <w:tcW w:w="828" w:type="dxa"/>
            <w:vAlign w:val="center"/>
          </w:tcPr>
          <w:p w:rsidR="00E96209" w:rsidRPr="00806432" w:rsidRDefault="00F057DE" w:rsidP="00E96209">
            <w:pPr>
              <w:keepNext/>
              <w:jc w:val="center"/>
              <w:rPr>
                <w:sz w:val="20"/>
                <w:szCs w:val="20"/>
              </w:rPr>
            </w:pPr>
            <w:r w:rsidRPr="00806432">
              <w:rPr>
                <w:sz w:val="20"/>
                <w:szCs w:val="20"/>
              </w:rPr>
              <w:t>5,415</w:t>
            </w:r>
          </w:p>
        </w:tc>
      </w:tr>
      <w:tr w:rsidR="00E96209" w:rsidRPr="00806432" w:rsidTr="00E96209">
        <w:trPr>
          <w:trHeight w:val="306"/>
        </w:trPr>
        <w:tc>
          <w:tcPr>
            <w:tcW w:w="1555" w:type="dxa"/>
            <w:vAlign w:val="center"/>
          </w:tcPr>
          <w:p w:rsidR="00E96209" w:rsidRPr="00806432" w:rsidRDefault="00E96209" w:rsidP="00E96209">
            <w:pPr>
              <w:keepNext/>
              <w:rPr>
                <w:b/>
                <w:sz w:val="20"/>
                <w:szCs w:val="20"/>
              </w:rPr>
            </w:pPr>
            <w:r w:rsidRPr="00806432">
              <w:rPr>
                <w:b/>
                <w:sz w:val="20"/>
                <w:szCs w:val="20"/>
              </w:rPr>
              <w:t>Total</w:t>
            </w:r>
          </w:p>
        </w:tc>
        <w:tc>
          <w:tcPr>
            <w:tcW w:w="516" w:type="dxa"/>
            <w:vAlign w:val="center"/>
          </w:tcPr>
          <w:p w:rsidR="00E96209" w:rsidRPr="00806432" w:rsidRDefault="00806432" w:rsidP="00E96209">
            <w:pPr>
              <w:keepNext/>
              <w:jc w:val="center"/>
              <w:rPr>
                <w:b/>
                <w:sz w:val="20"/>
                <w:szCs w:val="20"/>
              </w:rPr>
            </w:pPr>
            <w:r w:rsidRPr="00806432">
              <w:rPr>
                <w:b/>
                <w:sz w:val="20"/>
                <w:szCs w:val="20"/>
              </w:rPr>
              <w:t>54</w:t>
            </w:r>
          </w:p>
        </w:tc>
        <w:tc>
          <w:tcPr>
            <w:tcW w:w="837" w:type="dxa"/>
            <w:vAlign w:val="center"/>
          </w:tcPr>
          <w:p w:rsidR="00E96209" w:rsidRPr="00806432" w:rsidRDefault="00806432" w:rsidP="00E96209">
            <w:pPr>
              <w:keepNext/>
              <w:jc w:val="center"/>
              <w:rPr>
                <w:b/>
                <w:sz w:val="20"/>
                <w:szCs w:val="20"/>
              </w:rPr>
            </w:pPr>
            <w:r w:rsidRPr="00806432">
              <w:rPr>
                <w:b/>
                <w:sz w:val="20"/>
                <w:szCs w:val="20"/>
              </w:rPr>
              <w:t>73.0</w:t>
            </w:r>
          </w:p>
        </w:tc>
        <w:tc>
          <w:tcPr>
            <w:tcW w:w="804" w:type="dxa"/>
            <w:vAlign w:val="center"/>
          </w:tcPr>
          <w:p w:rsidR="00E96209" w:rsidRPr="00806432" w:rsidRDefault="00806432" w:rsidP="00806432">
            <w:pPr>
              <w:keepNext/>
              <w:jc w:val="center"/>
              <w:rPr>
                <w:b/>
                <w:sz w:val="20"/>
                <w:szCs w:val="20"/>
              </w:rPr>
            </w:pPr>
            <w:r w:rsidRPr="00806432">
              <w:rPr>
                <w:b/>
                <w:sz w:val="20"/>
                <w:szCs w:val="20"/>
              </w:rPr>
              <w:t>20</w:t>
            </w:r>
          </w:p>
        </w:tc>
        <w:tc>
          <w:tcPr>
            <w:tcW w:w="944" w:type="dxa"/>
            <w:vAlign w:val="center"/>
          </w:tcPr>
          <w:p w:rsidR="00E96209" w:rsidRPr="00806432" w:rsidRDefault="00806432" w:rsidP="00E96209">
            <w:pPr>
              <w:keepNext/>
              <w:jc w:val="center"/>
              <w:rPr>
                <w:b/>
                <w:sz w:val="20"/>
                <w:szCs w:val="20"/>
              </w:rPr>
            </w:pPr>
            <w:r w:rsidRPr="00806432">
              <w:rPr>
                <w:b/>
                <w:sz w:val="20"/>
                <w:szCs w:val="20"/>
              </w:rPr>
              <w:t>27.0</w:t>
            </w:r>
          </w:p>
        </w:tc>
        <w:tc>
          <w:tcPr>
            <w:tcW w:w="746" w:type="dxa"/>
            <w:vAlign w:val="center"/>
          </w:tcPr>
          <w:p w:rsidR="00E96209" w:rsidRPr="00806432" w:rsidRDefault="00806432" w:rsidP="00E96209">
            <w:pPr>
              <w:keepNext/>
              <w:jc w:val="center"/>
              <w:rPr>
                <w:b/>
                <w:sz w:val="20"/>
                <w:szCs w:val="20"/>
              </w:rPr>
            </w:pPr>
            <w:r w:rsidRPr="00806432">
              <w:rPr>
                <w:b/>
                <w:sz w:val="20"/>
                <w:szCs w:val="20"/>
              </w:rPr>
              <w:t>74</w:t>
            </w:r>
          </w:p>
        </w:tc>
        <w:tc>
          <w:tcPr>
            <w:tcW w:w="877" w:type="dxa"/>
            <w:vAlign w:val="center"/>
          </w:tcPr>
          <w:p w:rsidR="00E96209" w:rsidRPr="00806432" w:rsidRDefault="00806432" w:rsidP="00E96209">
            <w:pPr>
              <w:keepNext/>
              <w:jc w:val="center"/>
              <w:rPr>
                <w:b/>
                <w:sz w:val="20"/>
                <w:szCs w:val="20"/>
              </w:rPr>
            </w:pPr>
            <w:r w:rsidRPr="00806432">
              <w:rPr>
                <w:b/>
                <w:sz w:val="20"/>
                <w:szCs w:val="20"/>
              </w:rPr>
              <w:t>5,011</w:t>
            </w:r>
          </w:p>
        </w:tc>
        <w:tc>
          <w:tcPr>
            <w:tcW w:w="838" w:type="dxa"/>
            <w:vAlign w:val="center"/>
          </w:tcPr>
          <w:p w:rsidR="00E96209" w:rsidRPr="00806432" w:rsidRDefault="00806432" w:rsidP="00E96209">
            <w:pPr>
              <w:keepNext/>
              <w:jc w:val="center"/>
              <w:rPr>
                <w:b/>
                <w:sz w:val="20"/>
                <w:szCs w:val="20"/>
              </w:rPr>
            </w:pPr>
            <w:r w:rsidRPr="00806432">
              <w:rPr>
                <w:b/>
                <w:sz w:val="20"/>
                <w:szCs w:val="20"/>
              </w:rPr>
              <w:t>67.8</w:t>
            </w:r>
          </w:p>
        </w:tc>
        <w:tc>
          <w:tcPr>
            <w:tcW w:w="858" w:type="dxa"/>
            <w:vAlign w:val="center"/>
          </w:tcPr>
          <w:p w:rsidR="00E96209" w:rsidRPr="00806432" w:rsidRDefault="00806432" w:rsidP="00E96209">
            <w:pPr>
              <w:keepNext/>
              <w:jc w:val="center"/>
              <w:rPr>
                <w:b/>
                <w:sz w:val="20"/>
                <w:szCs w:val="20"/>
              </w:rPr>
            </w:pPr>
            <w:r w:rsidRPr="00806432">
              <w:rPr>
                <w:b/>
                <w:sz w:val="20"/>
                <w:szCs w:val="20"/>
              </w:rPr>
              <w:t>2,376</w:t>
            </w:r>
          </w:p>
        </w:tc>
        <w:tc>
          <w:tcPr>
            <w:tcW w:w="836" w:type="dxa"/>
            <w:vAlign w:val="center"/>
          </w:tcPr>
          <w:p w:rsidR="00E96209" w:rsidRPr="00806432" w:rsidRDefault="00806432" w:rsidP="00E96209">
            <w:pPr>
              <w:keepNext/>
              <w:jc w:val="center"/>
              <w:rPr>
                <w:b/>
                <w:sz w:val="20"/>
                <w:szCs w:val="20"/>
              </w:rPr>
            </w:pPr>
            <w:r w:rsidRPr="00806432">
              <w:rPr>
                <w:b/>
                <w:sz w:val="20"/>
                <w:szCs w:val="20"/>
              </w:rPr>
              <w:t>32.2</w:t>
            </w:r>
          </w:p>
        </w:tc>
        <w:tc>
          <w:tcPr>
            <w:tcW w:w="828" w:type="dxa"/>
            <w:vAlign w:val="center"/>
          </w:tcPr>
          <w:p w:rsidR="00E96209" w:rsidRPr="00806432" w:rsidRDefault="00806432" w:rsidP="00E96209">
            <w:pPr>
              <w:keepNext/>
              <w:jc w:val="center"/>
              <w:rPr>
                <w:b/>
                <w:sz w:val="20"/>
                <w:szCs w:val="20"/>
              </w:rPr>
            </w:pPr>
            <w:r w:rsidRPr="00806432">
              <w:rPr>
                <w:b/>
                <w:sz w:val="20"/>
                <w:szCs w:val="20"/>
              </w:rPr>
              <w:t>7,387</w:t>
            </w:r>
          </w:p>
        </w:tc>
      </w:tr>
      <w:tr w:rsidR="00E96209" w:rsidRPr="00806432" w:rsidTr="00E96209">
        <w:trPr>
          <w:trHeight w:val="332"/>
        </w:trPr>
        <w:tc>
          <w:tcPr>
            <w:tcW w:w="9639" w:type="dxa"/>
            <w:gridSpan w:val="11"/>
            <w:vAlign w:val="center"/>
          </w:tcPr>
          <w:p w:rsidR="00E96209" w:rsidRPr="00806432" w:rsidRDefault="00E96209" w:rsidP="00E96209">
            <w:pPr>
              <w:rPr>
                <w:sz w:val="20"/>
                <w:szCs w:val="20"/>
              </w:rPr>
            </w:pPr>
            <w:r w:rsidRPr="00806432">
              <w:rPr>
                <w:i/>
                <w:color w:val="000000"/>
                <w:sz w:val="20"/>
                <w:szCs w:val="20"/>
              </w:rPr>
              <w:t>Source: Evaluati</w:t>
            </w:r>
            <w:r w:rsidR="00BA5A16" w:rsidRPr="00806432">
              <w:rPr>
                <w:i/>
                <w:color w:val="000000"/>
                <w:sz w:val="20"/>
                <w:szCs w:val="20"/>
              </w:rPr>
              <w:t>on Period: 1/1/2019 - 12/31/2020</w:t>
            </w:r>
            <w:r w:rsidRPr="00806432">
              <w:rPr>
                <w:i/>
                <w:color w:val="000000"/>
                <w:sz w:val="20"/>
                <w:szCs w:val="20"/>
              </w:rPr>
              <w:t xml:space="preserve"> credit union </w:t>
            </w:r>
            <w:r w:rsidR="001073B9">
              <w:rPr>
                <w:i/>
                <w:color w:val="000000"/>
                <w:sz w:val="20"/>
                <w:szCs w:val="20"/>
              </w:rPr>
              <w:t>d</w:t>
            </w:r>
            <w:r w:rsidRPr="00806432">
              <w:rPr>
                <w:i/>
                <w:color w:val="000000"/>
                <w:sz w:val="20"/>
                <w:szCs w:val="20"/>
              </w:rPr>
              <w:t>ata</w:t>
            </w:r>
          </w:p>
        </w:tc>
      </w:tr>
    </w:tbl>
    <w:p w:rsidR="00FD09A6" w:rsidRDefault="00FD09A6" w:rsidP="003912CC">
      <w:pPr>
        <w:rPr>
          <w:b/>
          <w:bCs/>
          <w:u w:val="single"/>
        </w:rPr>
      </w:pPr>
    </w:p>
    <w:p w:rsidR="00FD09A6" w:rsidRDefault="00FD09A6" w:rsidP="003912CC">
      <w:pPr>
        <w:rPr>
          <w:b/>
          <w:bCs/>
          <w:u w:val="single"/>
        </w:rPr>
      </w:pPr>
    </w:p>
    <w:p w:rsidR="00B70895" w:rsidRDefault="00B70895" w:rsidP="003912CC">
      <w:pPr>
        <w:rPr>
          <w:b/>
          <w:bCs/>
          <w:u w:val="single"/>
        </w:rPr>
      </w:pPr>
    </w:p>
    <w:p w:rsidR="00E96209" w:rsidRPr="00C934C1" w:rsidRDefault="00E96209" w:rsidP="003912CC">
      <w:pPr>
        <w:rPr>
          <w:b/>
          <w:bCs/>
          <w:u w:val="single"/>
        </w:rPr>
      </w:pPr>
      <w:r w:rsidRPr="00C934C1">
        <w:rPr>
          <w:b/>
          <w:bCs/>
          <w:u w:val="single"/>
        </w:rPr>
        <w:lastRenderedPageBreak/>
        <w:t>Geographic Distribution</w:t>
      </w:r>
    </w:p>
    <w:p w:rsidR="00E96209" w:rsidRPr="00C934C1" w:rsidRDefault="00E96209" w:rsidP="003912CC">
      <w:pPr>
        <w:rPr>
          <w:b/>
          <w:bCs/>
          <w:u w:val="single"/>
        </w:rPr>
      </w:pPr>
    </w:p>
    <w:p w:rsidR="00E96209" w:rsidRDefault="00E96209" w:rsidP="00E229ED">
      <w:pPr>
        <w:ind w:right="-270"/>
        <w:jc w:val="both"/>
      </w:pPr>
      <w:r w:rsidRPr="00C934C1">
        <w:t>Considering the credit union’s assessment area demographics, aggregate data, and performance context factors, the distribution of home mortgage loans reflects reasonable penetration in the low- and moderate-income geographies.</w:t>
      </w:r>
      <w:r w:rsidR="00B70895">
        <w:t xml:space="preserve"> </w:t>
      </w:r>
      <w:r w:rsidRPr="00C934C1">
        <w:t>Please refer to the table below for more information.</w:t>
      </w:r>
    </w:p>
    <w:p w:rsidR="00FD09A6" w:rsidRDefault="00FD09A6" w:rsidP="00E96209">
      <w:pPr>
        <w:ind w:right="-270"/>
      </w:pPr>
    </w:p>
    <w:tbl>
      <w:tblPr>
        <w:tblW w:w="9357" w:type="dxa"/>
        <w:tblCellMar>
          <w:left w:w="0" w:type="dxa"/>
          <w:right w:w="0" w:type="dxa"/>
        </w:tblCellMar>
        <w:tblLook w:val="0000" w:firstRow="0" w:lastRow="0" w:firstColumn="0" w:lastColumn="0" w:noHBand="0" w:noVBand="0"/>
      </w:tblPr>
      <w:tblGrid>
        <w:gridCol w:w="2505"/>
        <w:gridCol w:w="1549"/>
        <w:gridCol w:w="1429"/>
        <w:gridCol w:w="1189"/>
        <w:gridCol w:w="852"/>
        <w:gridCol w:w="1011"/>
        <w:gridCol w:w="822"/>
      </w:tblGrid>
      <w:tr w:rsidR="00F36BBD" w:rsidRPr="00321529" w:rsidTr="0089709B">
        <w:trPr>
          <w:cantSplit/>
          <w:trHeight w:val="217"/>
        </w:trPr>
        <w:tc>
          <w:tcPr>
            <w:tcW w:w="9357" w:type="dxa"/>
            <w:gridSpan w:val="7"/>
            <w:tcBorders>
              <w:top w:val="single" w:sz="7" w:space="0" w:color="000000"/>
              <w:left w:val="single" w:sz="7" w:space="0" w:color="000000"/>
              <w:right w:val="single" w:sz="7" w:space="0" w:color="000000"/>
            </w:tcBorders>
            <w:tcMar>
              <w:top w:w="39" w:type="dxa"/>
              <w:left w:w="39" w:type="dxa"/>
              <w:bottom w:w="39" w:type="dxa"/>
              <w:right w:w="39" w:type="dxa"/>
            </w:tcMar>
          </w:tcPr>
          <w:p w:rsidR="00F36BBD" w:rsidRPr="00321529" w:rsidRDefault="00F36BBD" w:rsidP="00FD09A6">
            <w:pPr>
              <w:keepNext/>
              <w:widowControl w:val="0"/>
              <w:jc w:val="center"/>
              <w:rPr>
                <w:sz w:val="20"/>
                <w:szCs w:val="20"/>
              </w:rPr>
            </w:pPr>
            <w:r w:rsidRPr="00321529">
              <w:rPr>
                <w:b/>
                <w:color w:val="000000"/>
                <w:sz w:val="20"/>
                <w:szCs w:val="20"/>
              </w:rPr>
              <w:t>Geographic Distribution of Home Mortgage Loans</w:t>
            </w:r>
          </w:p>
        </w:tc>
      </w:tr>
      <w:tr w:rsidR="00F36BBD" w:rsidRPr="00321529" w:rsidTr="0089709B">
        <w:trPr>
          <w:cantSplit/>
          <w:trHeight w:val="383"/>
        </w:trPr>
        <w:tc>
          <w:tcPr>
            <w:tcW w:w="25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F36BBD" w:rsidRPr="00321529" w:rsidRDefault="00F36BBD" w:rsidP="00FD09A6">
            <w:pPr>
              <w:keepNext/>
              <w:widowControl w:val="0"/>
              <w:rPr>
                <w:sz w:val="20"/>
                <w:szCs w:val="20"/>
              </w:rPr>
            </w:pPr>
            <w:r w:rsidRPr="00321529">
              <w:rPr>
                <w:b/>
                <w:color w:val="000000"/>
                <w:sz w:val="20"/>
                <w:szCs w:val="20"/>
              </w:rPr>
              <w:t>Tract Income Level</w:t>
            </w:r>
          </w:p>
        </w:tc>
        <w:tc>
          <w:tcPr>
            <w:tcW w:w="15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F36BBD" w:rsidRPr="00321529" w:rsidRDefault="00F36BBD" w:rsidP="00FD09A6">
            <w:pPr>
              <w:keepNext/>
              <w:widowControl w:val="0"/>
              <w:jc w:val="center"/>
              <w:rPr>
                <w:sz w:val="20"/>
                <w:szCs w:val="20"/>
              </w:rPr>
            </w:pPr>
            <w:r w:rsidRPr="00321529">
              <w:rPr>
                <w:b/>
                <w:color w:val="000000"/>
                <w:sz w:val="20"/>
                <w:szCs w:val="20"/>
              </w:rPr>
              <w:t>% of  Owner-Occupied Housing Units</w:t>
            </w:r>
          </w:p>
        </w:tc>
        <w:tc>
          <w:tcPr>
            <w:tcW w:w="14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F36BBD" w:rsidRPr="00321529" w:rsidRDefault="00F36BBD" w:rsidP="00FD09A6">
            <w:pPr>
              <w:keepNext/>
              <w:widowControl w:val="0"/>
              <w:jc w:val="center"/>
              <w:rPr>
                <w:sz w:val="20"/>
                <w:szCs w:val="20"/>
              </w:rPr>
            </w:pPr>
            <w:r w:rsidRPr="00321529">
              <w:rPr>
                <w:b/>
                <w:color w:val="000000"/>
                <w:sz w:val="20"/>
                <w:szCs w:val="20"/>
              </w:rPr>
              <w:t>Aggregate Performance</w:t>
            </w:r>
            <w:r w:rsidRPr="00321529">
              <w:rPr>
                <w:b/>
                <w:color w:val="000000"/>
                <w:sz w:val="20"/>
                <w:szCs w:val="20"/>
              </w:rPr>
              <w:br/>
              <w:t>% of #</w:t>
            </w:r>
          </w:p>
        </w:tc>
        <w:tc>
          <w:tcPr>
            <w:tcW w:w="11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F36BBD" w:rsidRPr="00321529" w:rsidRDefault="00F36BBD" w:rsidP="0089709B">
            <w:pPr>
              <w:keepNext/>
              <w:widowControl w:val="0"/>
              <w:jc w:val="center"/>
              <w:rPr>
                <w:sz w:val="20"/>
                <w:szCs w:val="20"/>
              </w:rPr>
            </w:pPr>
            <w:r w:rsidRPr="00321529">
              <w:rPr>
                <w:b/>
                <w:color w:val="000000"/>
                <w:sz w:val="20"/>
                <w:szCs w:val="20"/>
              </w:rPr>
              <w:t>#</w:t>
            </w:r>
          </w:p>
        </w:tc>
        <w:tc>
          <w:tcPr>
            <w:tcW w:w="8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F36BBD" w:rsidRPr="00321529" w:rsidRDefault="00F36BBD" w:rsidP="0089709B">
            <w:pPr>
              <w:keepNext/>
              <w:widowControl w:val="0"/>
              <w:jc w:val="center"/>
              <w:rPr>
                <w:sz w:val="20"/>
                <w:szCs w:val="20"/>
              </w:rPr>
            </w:pPr>
            <w:r w:rsidRPr="00321529">
              <w:rPr>
                <w:b/>
                <w:color w:val="000000"/>
                <w:sz w:val="20"/>
                <w:szCs w:val="20"/>
              </w:rPr>
              <w:t>%</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F36BBD" w:rsidRPr="00321529" w:rsidRDefault="00F36BBD" w:rsidP="0089709B">
            <w:pPr>
              <w:keepNext/>
              <w:widowControl w:val="0"/>
              <w:jc w:val="center"/>
              <w:rPr>
                <w:sz w:val="20"/>
                <w:szCs w:val="20"/>
              </w:rPr>
            </w:pPr>
            <w:r w:rsidRPr="00321529">
              <w:rPr>
                <w:b/>
                <w:color w:val="000000"/>
                <w:sz w:val="20"/>
                <w:szCs w:val="20"/>
              </w:rPr>
              <w:t>$(000s)</w:t>
            </w:r>
          </w:p>
        </w:tc>
        <w:tc>
          <w:tcPr>
            <w:tcW w:w="8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F36BBD" w:rsidRPr="00321529" w:rsidRDefault="00F36BBD" w:rsidP="0089709B">
            <w:pPr>
              <w:keepNext/>
              <w:widowControl w:val="0"/>
              <w:jc w:val="center"/>
              <w:rPr>
                <w:sz w:val="20"/>
                <w:szCs w:val="20"/>
              </w:rPr>
            </w:pPr>
            <w:r w:rsidRPr="00321529">
              <w:rPr>
                <w:b/>
                <w:color w:val="000000"/>
                <w:sz w:val="20"/>
                <w:szCs w:val="20"/>
              </w:rPr>
              <w:t>%</w:t>
            </w:r>
          </w:p>
        </w:tc>
      </w:tr>
      <w:tr w:rsidR="00F36BBD" w:rsidRPr="00321529" w:rsidTr="0089709B">
        <w:trPr>
          <w:cantSplit/>
          <w:trHeight w:val="150"/>
        </w:trPr>
        <w:tc>
          <w:tcPr>
            <w:tcW w:w="25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F36BBD" w:rsidRPr="00321529" w:rsidRDefault="00F36BBD" w:rsidP="00FD09A6">
            <w:pPr>
              <w:keepNext/>
              <w:widowControl w:val="0"/>
              <w:rPr>
                <w:sz w:val="20"/>
                <w:szCs w:val="20"/>
              </w:rPr>
            </w:pPr>
            <w:r w:rsidRPr="00321529">
              <w:rPr>
                <w:color w:val="000000"/>
                <w:sz w:val="20"/>
                <w:szCs w:val="20"/>
              </w:rPr>
              <w:t>Low</w:t>
            </w:r>
          </w:p>
        </w:tc>
        <w:tc>
          <w:tcPr>
            <w:tcW w:w="6851"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FD09A6">
            <w:pPr>
              <w:keepNext/>
              <w:widowControl w:val="0"/>
              <w:rPr>
                <w:sz w:val="20"/>
                <w:szCs w:val="20"/>
              </w:rPr>
            </w:pPr>
          </w:p>
        </w:tc>
      </w:tr>
      <w:tr w:rsidR="00F36BBD" w:rsidRPr="00321529" w:rsidTr="0089709B">
        <w:trPr>
          <w:cantSplit/>
          <w:trHeight w:val="139"/>
        </w:trPr>
        <w:tc>
          <w:tcPr>
            <w:tcW w:w="250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F36BBD" w:rsidRPr="00321529" w:rsidRDefault="00F36BBD" w:rsidP="00FD09A6">
            <w:pPr>
              <w:keepNext/>
              <w:widowControl w:val="0"/>
              <w:jc w:val="right"/>
              <w:rPr>
                <w:sz w:val="20"/>
                <w:szCs w:val="20"/>
              </w:rPr>
            </w:pPr>
            <w:r w:rsidRPr="00321529">
              <w:rPr>
                <w:color w:val="000000"/>
                <w:sz w:val="20"/>
                <w:szCs w:val="20"/>
              </w:rPr>
              <w:t>2019</w:t>
            </w:r>
          </w:p>
        </w:tc>
        <w:tc>
          <w:tcPr>
            <w:tcW w:w="15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FD09A6">
            <w:pPr>
              <w:keepNext/>
              <w:widowControl w:val="0"/>
              <w:jc w:val="center"/>
              <w:rPr>
                <w:sz w:val="20"/>
                <w:szCs w:val="20"/>
              </w:rPr>
            </w:pPr>
            <w:r w:rsidRPr="00321529">
              <w:rPr>
                <w:sz w:val="20"/>
                <w:szCs w:val="20"/>
              </w:rPr>
              <w:t>6.2</w:t>
            </w:r>
          </w:p>
        </w:tc>
        <w:tc>
          <w:tcPr>
            <w:tcW w:w="14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FD09A6">
            <w:pPr>
              <w:keepNext/>
              <w:widowControl w:val="0"/>
              <w:jc w:val="center"/>
              <w:rPr>
                <w:sz w:val="20"/>
                <w:szCs w:val="20"/>
              </w:rPr>
            </w:pPr>
            <w:r w:rsidRPr="00321529">
              <w:rPr>
                <w:sz w:val="20"/>
                <w:szCs w:val="20"/>
              </w:rPr>
              <w:t>9.6</w:t>
            </w:r>
          </w:p>
        </w:tc>
        <w:tc>
          <w:tcPr>
            <w:tcW w:w="11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89709B">
            <w:pPr>
              <w:keepNext/>
              <w:widowControl w:val="0"/>
              <w:jc w:val="center"/>
              <w:rPr>
                <w:sz w:val="20"/>
                <w:szCs w:val="20"/>
              </w:rPr>
            </w:pPr>
            <w:r w:rsidRPr="00321529">
              <w:rPr>
                <w:sz w:val="20"/>
                <w:szCs w:val="20"/>
              </w:rPr>
              <w:t>2</w:t>
            </w:r>
          </w:p>
        </w:tc>
        <w:tc>
          <w:tcPr>
            <w:tcW w:w="8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89709B">
            <w:pPr>
              <w:keepNext/>
              <w:widowControl w:val="0"/>
              <w:jc w:val="center"/>
              <w:rPr>
                <w:sz w:val="20"/>
                <w:szCs w:val="20"/>
              </w:rPr>
            </w:pPr>
            <w:r w:rsidRPr="00321529">
              <w:rPr>
                <w:sz w:val="20"/>
                <w:szCs w:val="20"/>
              </w:rPr>
              <w:t>8.0</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89709B">
            <w:pPr>
              <w:keepNext/>
              <w:widowControl w:val="0"/>
              <w:jc w:val="center"/>
              <w:rPr>
                <w:sz w:val="20"/>
                <w:szCs w:val="20"/>
              </w:rPr>
            </w:pPr>
            <w:r w:rsidRPr="00321529">
              <w:rPr>
                <w:sz w:val="20"/>
                <w:szCs w:val="20"/>
              </w:rPr>
              <w:t>160</w:t>
            </w:r>
          </w:p>
        </w:tc>
        <w:tc>
          <w:tcPr>
            <w:tcW w:w="8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89709B">
            <w:pPr>
              <w:keepNext/>
              <w:widowControl w:val="0"/>
              <w:jc w:val="center"/>
              <w:rPr>
                <w:sz w:val="20"/>
                <w:szCs w:val="20"/>
              </w:rPr>
            </w:pPr>
            <w:r w:rsidRPr="00321529">
              <w:rPr>
                <w:sz w:val="20"/>
                <w:szCs w:val="20"/>
              </w:rPr>
              <w:t>10.6</w:t>
            </w:r>
          </w:p>
        </w:tc>
      </w:tr>
      <w:tr w:rsidR="00F36BBD" w:rsidRPr="00321529" w:rsidTr="0089709B">
        <w:trPr>
          <w:cantSplit/>
          <w:trHeight w:val="139"/>
        </w:trPr>
        <w:tc>
          <w:tcPr>
            <w:tcW w:w="250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F36BBD" w:rsidRPr="00321529" w:rsidRDefault="00F36BBD" w:rsidP="00FD09A6">
            <w:pPr>
              <w:keepNext/>
              <w:widowControl w:val="0"/>
              <w:jc w:val="right"/>
              <w:rPr>
                <w:sz w:val="20"/>
                <w:szCs w:val="20"/>
              </w:rPr>
            </w:pPr>
            <w:r w:rsidRPr="00321529">
              <w:rPr>
                <w:color w:val="000000"/>
                <w:sz w:val="20"/>
                <w:szCs w:val="20"/>
              </w:rPr>
              <w:t>2020</w:t>
            </w:r>
          </w:p>
        </w:tc>
        <w:tc>
          <w:tcPr>
            <w:tcW w:w="15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FD09A6">
            <w:pPr>
              <w:keepNext/>
              <w:widowControl w:val="0"/>
              <w:jc w:val="center"/>
              <w:rPr>
                <w:sz w:val="20"/>
                <w:szCs w:val="20"/>
              </w:rPr>
            </w:pPr>
            <w:r w:rsidRPr="00321529">
              <w:rPr>
                <w:sz w:val="20"/>
                <w:szCs w:val="20"/>
              </w:rPr>
              <w:t>6.2</w:t>
            </w:r>
          </w:p>
        </w:tc>
        <w:tc>
          <w:tcPr>
            <w:tcW w:w="14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FD09A6">
            <w:pPr>
              <w:keepNext/>
              <w:widowControl w:val="0"/>
              <w:jc w:val="center"/>
              <w:rPr>
                <w:sz w:val="20"/>
                <w:szCs w:val="20"/>
              </w:rPr>
            </w:pPr>
            <w:r w:rsidRPr="00321529">
              <w:rPr>
                <w:sz w:val="20"/>
                <w:szCs w:val="20"/>
              </w:rPr>
              <w:t>-</w:t>
            </w:r>
          </w:p>
        </w:tc>
        <w:tc>
          <w:tcPr>
            <w:tcW w:w="11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89709B">
            <w:pPr>
              <w:keepNext/>
              <w:widowControl w:val="0"/>
              <w:jc w:val="center"/>
              <w:rPr>
                <w:sz w:val="20"/>
                <w:szCs w:val="20"/>
              </w:rPr>
            </w:pPr>
            <w:r w:rsidRPr="00321529">
              <w:rPr>
                <w:sz w:val="20"/>
                <w:szCs w:val="20"/>
              </w:rPr>
              <w:t>1</w:t>
            </w:r>
          </w:p>
        </w:tc>
        <w:tc>
          <w:tcPr>
            <w:tcW w:w="8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89709B">
            <w:pPr>
              <w:keepNext/>
              <w:widowControl w:val="0"/>
              <w:jc w:val="center"/>
              <w:rPr>
                <w:sz w:val="20"/>
                <w:szCs w:val="20"/>
              </w:rPr>
            </w:pPr>
            <w:r w:rsidRPr="00321529">
              <w:rPr>
                <w:sz w:val="20"/>
                <w:szCs w:val="20"/>
              </w:rPr>
              <w:t>3.5</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89709B">
            <w:pPr>
              <w:keepNext/>
              <w:widowControl w:val="0"/>
              <w:jc w:val="center"/>
              <w:rPr>
                <w:sz w:val="20"/>
                <w:szCs w:val="20"/>
              </w:rPr>
            </w:pPr>
            <w:r w:rsidRPr="00321529">
              <w:rPr>
                <w:sz w:val="20"/>
                <w:szCs w:val="20"/>
              </w:rPr>
              <w:t>100</w:t>
            </w:r>
          </w:p>
        </w:tc>
        <w:tc>
          <w:tcPr>
            <w:tcW w:w="8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89709B">
            <w:pPr>
              <w:keepNext/>
              <w:widowControl w:val="0"/>
              <w:jc w:val="center"/>
              <w:rPr>
                <w:sz w:val="20"/>
                <w:szCs w:val="20"/>
              </w:rPr>
            </w:pPr>
            <w:r w:rsidRPr="00321529">
              <w:rPr>
                <w:sz w:val="20"/>
                <w:szCs w:val="20"/>
              </w:rPr>
              <w:t>2.9</w:t>
            </w:r>
          </w:p>
        </w:tc>
      </w:tr>
      <w:tr w:rsidR="00F36BBD" w:rsidRPr="00321529" w:rsidTr="0089709B">
        <w:trPr>
          <w:cantSplit/>
          <w:trHeight w:val="150"/>
        </w:trPr>
        <w:tc>
          <w:tcPr>
            <w:tcW w:w="25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F36BBD" w:rsidRPr="00321529" w:rsidRDefault="00F36BBD" w:rsidP="00FD09A6">
            <w:pPr>
              <w:keepNext/>
              <w:widowControl w:val="0"/>
              <w:rPr>
                <w:sz w:val="20"/>
                <w:szCs w:val="20"/>
              </w:rPr>
            </w:pPr>
            <w:r w:rsidRPr="00321529">
              <w:rPr>
                <w:color w:val="000000"/>
                <w:sz w:val="20"/>
                <w:szCs w:val="20"/>
              </w:rPr>
              <w:t>Moderate</w:t>
            </w:r>
          </w:p>
        </w:tc>
        <w:tc>
          <w:tcPr>
            <w:tcW w:w="6851"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FD09A6">
            <w:pPr>
              <w:keepNext/>
              <w:widowControl w:val="0"/>
              <w:rPr>
                <w:sz w:val="20"/>
                <w:szCs w:val="20"/>
              </w:rPr>
            </w:pPr>
          </w:p>
        </w:tc>
      </w:tr>
      <w:tr w:rsidR="00F36BBD" w:rsidRPr="00321529" w:rsidTr="0089709B">
        <w:trPr>
          <w:cantSplit/>
          <w:trHeight w:val="139"/>
        </w:trPr>
        <w:tc>
          <w:tcPr>
            <w:tcW w:w="250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F36BBD" w:rsidRPr="00321529" w:rsidRDefault="00F36BBD" w:rsidP="00FD09A6">
            <w:pPr>
              <w:keepNext/>
              <w:widowControl w:val="0"/>
              <w:jc w:val="right"/>
              <w:rPr>
                <w:sz w:val="20"/>
                <w:szCs w:val="20"/>
              </w:rPr>
            </w:pPr>
            <w:r w:rsidRPr="00321529">
              <w:rPr>
                <w:color w:val="000000"/>
                <w:sz w:val="20"/>
                <w:szCs w:val="20"/>
              </w:rPr>
              <w:t>2019</w:t>
            </w:r>
          </w:p>
        </w:tc>
        <w:tc>
          <w:tcPr>
            <w:tcW w:w="15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FD09A6">
            <w:pPr>
              <w:keepNext/>
              <w:widowControl w:val="0"/>
              <w:jc w:val="center"/>
              <w:rPr>
                <w:sz w:val="20"/>
                <w:szCs w:val="20"/>
              </w:rPr>
            </w:pPr>
            <w:r w:rsidRPr="00321529">
              <w:rPr>
                <w:sz w:val="20"/>
                <w:szCs w:val="20"/>
              </w:rPr>
              <w:t>10.8</w:t>
            </w:r>
          </w:p>
        </w:tc>
        <w:tc>
          <w:tcPr>
            <w:tcW w:w="14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FD09A6">
            <w:pPr>
              <w:keepNext/>
              <w:widowControl w:val="0"/>
              <w:jc w:val="center"/>
              <w:rPr>
                <w:sz w:val="20"/>
                <w:szCs w:val="20"/>
              </w:rPr>
            </w:pPr>
            <w:r w:rsidRPr="00321529">
              <w:rPr>
                <w:sz w:val="20"/>
                <w:szCs w:val="20"/>
              </w:rPr>
              <w:t>12.8</w:t>
            </w:r>
          </w:p>
        </w:tc>
        <w:tc>
          <w:tcPr>
            <w:tcW w:w="11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89709B">
            <w:pPr>
              <w:keepNext/>
              <w:widowControl w:val="0"/>
              <w:jc w:val="center"/>
              <w:rPr>
                <w:sz w:val="20"/>
                <w:szCs w:val="20"/>
              </w:rPr>
            </w:pPr>
            <w:r w:rsidRPr="00321529">
              <w:rPr>
                <w:sz w:val="20"/>
                <w:szCs w:val="20"/>
              </w:rPr>
              <w:t>5</w:t>
            </w:r>
          </w:p>
        </w:tc>
        <w:tc>
          <w:tcPr>
            <w:tcW w:w="8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89709B">
            <w:pPr>
              <w:keepNext/>
              <w:widowControl w:val="0"/>
              <w:jc w:val="center"/>
              <w:rPr>
                <w:sz w:val="20"/>
                <w:szCs w:val="20"/>
              </w:rPr>
            </w:pPr>
            <w:r w:rsidRPr="00321529">
              <w:rPr>
                <w:sz w:val="20"/>
                <w:szCs w:val="20"/>
              </w:rPr>
              <w:t>20.0</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89709B">
            <w:pPr>
              <w:keepNext/>
              <w:widowControl w:val="0"/>
              <w:jc w:val="center"/>
              <w:rPr>
                <w:sz w:val="20"/>
                <w:szCs w:val="20"/>
              </w:rPr>
            </w:pPr>
            <w:r w:rsidRPr="00321529">
              <w:rPr>
                <w:sz w:val="20"/>
                <w:szCs w:val="20"/>
              </w:rPr>
              <w:t>296</w:t>
            </w:r>
          </w:p>
        </w:tc>
        <w:tc>
          <w:tcPr>
            <w:tcW w:w="8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89709B">
            <w:pPr>
              <w:keepNext/>
              <w:widowControl w:val="0"/>
              <w:jc w:val="center"/>
              <w:rPr>
                <w:sz w:val="20"/>
                <w:szCs w:val="20"/>
              </w:rPr>
            </w:pPr>
            <w:r w:rsidRPr="00321529">
              <w:rPr>
                <w:sz w:val="20"/>
                <w:szCs w:val="20"/>
              </w:rPr>
              <w:t>19.7</w:t>
            </w:r>
          </w:p>
        </w:tc>
      </w:tr>
      <w:tr w:rsidR="00F36BBD" w:rsidRPr="00321529" w:rsidTr="0089709B">
        <w:trPr>
          <w:cantSplit/>
          <w:trHeight w:val="139"/>
        </w:trPr>
        <w:tc>
          <w:tcPr>
            <w:tcW w:w="250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F36BBD" w:rsidRPr="00321529" w:rsidRDefault="00F36BBD" w:rsidP="00FD09A6">
            <w:pPr>
              <w:keepNext/>
              <w:widowControl w:val="0"/>
              <w:jc w:val="right"/>
              <w:rPr>
                <w:sz w:val="20"/>
                <w:szCs w:val="20"/>
              </w:rPr>
            </w:pPr>
            <w:r w:rsidRPr="00321529">
              <w:rPr>
                <w:color w:val="000000"/>
                <w:sz w:val="20"/>
                <w:szCs w:val="20"/>
              </w:rPr>
              <w:t>2020</w:t>
            </w:r>
          </w:p>
        </w:tc>
        <w:tc>
          <w:tcPr>
            <w:tcW w:w="15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FD09A6">
            <w:pPr>
              <w:keepNext/>
              <w:widowControl w:val="0"/>
              <w:jc w:val="center"/>
              <w:rPr>
                <w:sz w:val="20"/>
                <w:szCs w:val="20"/>
              </w:rPr>
            </w:pPr>
            <w:r w:rsidRPr="00321529">
              <w:rPr>
                <w:sz w:val="20"/>
                <w:szCs w:val="20"/>
              </w:rPr>
              <w:t>10.8</w:t>
            </w:r>
          </w:p>
        </w:tc>
        <w:tc>
          <w:tcPr>
            <w:tcW w:w="14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FD09A6">
            <w:pPr>
              <w:keepNext/>
              <w:widowControl w:val="0"/>
              <w:jc w:val="center"/>
              <w:rPr>
                <w:sz w:val="20"/>
                <w:szCs w:val="20"/>
              </w:rPr>
            </w:pPr>
            <w:r w:rsidRPr="00321529">
              <w:rPr>
                <w:sz w:val="20"/>
                <w:szCs w:val="20"/>
              </w:rPr>
              <w:t>-</w:t>
            </w:r>
          </w:p>
        </w:tc>
        <w:tc>
          <w:tcPr>
            <w:tcW w:w="11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89709B">
            <w:pPr>
              <w:keepNext/>
              <w:widowControl w:val="0"/>
              <w:jc w:val="center"/>
              <w:rPr>
                <w:sz w:val="20"/>
                <w:szCs w:val="20"/>
              </w:rPr>
            </w:pPr>
            <w:r w:rsidRPr="00321529">
              <w:rPr>
                <w:sz w:val="20"/>
                <w:szCs w:val="20"/>
              </w:rPr>
              <w:t>2</w:t>
            </w:r>
          </w:p>
        </w:tc>
        <w:tc>
          <w:tcPr>
            <w:tcW w:w="8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89709B">
            <w:pPr>
              <w:keepNext/>
              <w:widowControl w:val="0"/>
              <w:jc w:val="center"/>
              <w:rPr>
                <w:sz w:val="20"/>
                <w:szCs w:val="20"/>
              </w:rPr>
            </w:pPr>
            <w:r w:rsidRPr="00321529">
              <w:rPr>
                <w:sz w:val="20"/>
                <w:szCs w:val="20"/>
              </w:rPr>
              <w:t>6.9</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89709B">
            <w:pPr>
              <w:keepNext/>
              <w:widowControl w:val="0"/>
              <w:jc w:val="center"/>
              <w:rPr>
                <w:sz w:val="20"/>
                <w:szCs w:val="20"/>
              </w:rPr>
            </w:pPr>
            <w:r w:rsidRPr="00321529">
              <w:rPr>
                <w:sz w:val="20"/>
                <w:szCs w:val="20"/>
              </w:rPr>
              <w:t>157</w:t>
            </w:r>
          </w:p>
        </w:tc>
        <w:tc>
          <w:tcPr>
            <w:tcW w:w="8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89709B">
            <w:pPr>
              <w:keepNext/>
              <w:widowControl w:val="0"/>
              <w:jc w:val="center"/>
              <w:rPr>
                <w:sz w:val="20"/>
                <w:szCs w:val="20"/>
              </w:rPr>
            </w:pPr>
            <w:r w:rsidRPr="00321529">
              <w:rPr>
                <w:sz w:val="20"/>
                <w:szCs w:val="20"/>
              </w:rPr>
              <w:t>4.5</w:t>
            </w:r>
          </w:p>
        </w:tc>
      </w:tr>
      <w:tr w:rsidR="00F36BBD" w:rsidRPr="00321529" w:rsidTr="0089709B">
        <w:trPr>
          <w:cantSplit/>
          <w:trHeight w:val="150"/>
        </w:trPr>
        <w:tc>
          <w:tcPr>
            <w:tcW w:w="25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F36BBD" w:rsidRPr="00321529" w:rsidRDefault="00F36BBD" w:rsidP="00FD09A6">
            <w:pPr>
              <w:keepNext/>
              <w:widowControl w:val="0"/>
              <w:rPr>
                <w:sz w:val="20"/>
                <w:szCs w:val="20"/>
              </w:rPr>
            </w:pPr>
            <w:r w:rsidRPr="00321529">
              <w:rPr>
                <w:color w:val="000000"/>
                <w:sz w:val="20"/>
                <w:szCs w:val="20"/>
              </w:rPr>
              <w:t>Middle</w:t>
            </w:r>
          </w:p>
        </w:tc>
        <w:tc>
          <w:tcPr>
            <w:tcW w:w="6851"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FD09A6">
            <w:pPr>
              <w:keepNext/>
              <w:widowControl w:val="0"/>
              <w:rPr>
                <w:sz w:val="20"/>
                <w:szCs w:val="20"/>
              </w:rPr>
            </w:pPr>
          </w:p>
        </w:tc>
      </w:tr>
      <w:tr w:rsidR="00F36BBD" w:rsidRPr="00321529" w:rsidTr="0089709B">
        <w:trPr>
          <w:cantSplit/>
          <w:trHeight w:val="139"/>
        </w:trPr>
        <w:tc>
          <w:tcPr>
            <w:tcW w:w="250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F36BBD" w:rsidRPr="00321529" w:rsidRDefault="00F36BBD" w:rsidP="00FD09A6">
            <w:pPr>
              <w:keepNext/>
              <w:widowControl w:val="0"/>
              <w:jc w:val="right"/>
              <w:rPr>
                <w:sz w:val="20"/>
                <w:szCs w:val="20"/>
              </w:rPr>
            </w:pPr>
            <w:r w:rsidRPr="00321529">
              <w:rPr>
                <w:color w:val="000000"/>
                <w:sz w:val="20"/>
                <w:szCs w:val="20"/>
              </w:rPr>
              <w:t>2019</w:t>
            </w:r>
          </w:p>
        </w:tc>
        <w:tc>
          <w:tcPr>
            <w:tcW w:w="15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FD09A6">
            <w:pPr>
              <w:keepNext/>
              <w:widowControl w:val="0"/>
              <w:jc w:val="center"/>
              <w:rPr>
                <w:sz w:val="20"/>
                <w:szCs w:val="20"/>
              </w:rPr>
            </w:pPr>
            <w:r w:rsidRPr="00321529">
              <w:rPr>
                <w:sz w:val="20"/>
                <w:szCs w:val="20"/>
              </w:rPr>
              <w:t>42.6</w:t>
            </w:r>
          </w:p>
        </w:tc>
        <w:tc>
          <w:tcPr>
            <w:tcW w:w="14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FD09A6">
            <w:pPr>
              <w:keepNext/>
              <w:widowControl w:val="0"/>
              <w:jc w:val="center"/>
              <w:rPr>
                <w:sz w:val="20"/>
                <w:szCs w:val="20"/>
              </w:rPr>
            </w:pPr>
            <w:r w:rsidRPr="00321529">
              <w:rPr>
                <w:sz w:val="20"/>
                <w:szCs w:val="20"/>
              </w:rPr>
              <w:t>39.7</w:t>
            </w:r>
          </w:p>
        </w:tc>
        <w:tc>
          <w:tcPr>
            <w:tcW w:w="11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89709B">
            <w:pPr>
              <w:keepNext/>
              <w:widowControl w:val="0"/>
              <w:jc w:val="center"/>
              <w:rPr>
                <w:sz w:val="20"/>
                <w:szCs w:val="20"/>
              </w:rPr>
            </w:pPr>
            <w:r w:rsidRPr="00321529">
              <w:rPr>
                <w:sz w:val="20"/>
                <w:szCs w:val="20"/>
              </w:rPr>
              <w:t>15</w:t>
            </w:r>
          </w:p>
        </w:tc>
        <w:tc>
          <w:tcPr>
            <w:tcW w:w="8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89709B">
            <w:pPr>
              <w:keepNext/>
              <w:widowControl w:val="0"/>
              <w:jc w:val="center"/>
              <w:rPr>
                <w:sz w:val="20"/>
                <w:szCs w:val="20"/>
              </w:rPr>
            </w:pPr>
            <w:r w:rsidRPr="00321529">
              <w:rPr>
                <w:sz w:val="20"/>
                <w:szCs w:val="20"/>
              </w:rPr>
              <w:t>60.0</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89709B">
            <w:pPr>
              <w:keepNext/>
              <w:widowControl w:val="0"/>
              <w:jc w:val="center"/>
              <w:rPr>
                <w:sz w:val="20"/>
                <w:szCs w:val="20"/>
              </w:rPr>
            </w:pPr>
            <w:r w:rsidRPr="00321529">
              <w:rPr>
                <w:sz w:val="20"/>
                <w:szCs w:val="20"/>
              </w:rPr>
              <w:t>658</w:t>
            </w:r>
          </w:p>
        </w:tc>
        <w:tc>
          <w:tcPr>
            <w:tcW w:w="8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89709B">
            <w:pPr>
              <w:keepNext/>
              <w:widowControl w:val="0"/>
              <w:jc w:val="center"/>
              <w:rPr>
                <w:sz w:val="20"/>
                <w:szCs w:val="20"/>
              </w:rPr>
            </w:pPr>
            <w:r w:rsidRPr="00321529">
              <w:rPr>
                <w:sz w:val="20"/>
                <w:szCs w:val="20"/>
              </w:rPr>
              <w:t>43.8</w:t>
            </w:r>
          </w:p>
        </w:tc>
      </w:tr>
      <w:tr w:rsidR="00F36BBD" w:rsidRPr="00321529" w:rsidTr="0089709B">
        <w:trPr>
          <w:cantSplit/>
          <w:trHeight w:val="139"/>
        </w:trPr>
        <w:tc>
          <w:tcPr>
            <w:tcW w:w="250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F36BBD" w:rsidRPr="00321529" w:rsidRDefault="00F36BBD" w:rsidP="00FD09A6">
            <w:pPr>
              <w:keepNext/>
              <w:widowControl w:val="0"/>
              <w:jc w:val="right"/>
              <w:rPr>
                <w:sz w:val="20"/>
                <w:szCs w:val="20"/>
              </w:rPr>
            </w:pPr>
            <w:r w:rsidRPr="00321529">
              <w:rPr>
                <w:color w:val="000000"/>
                <w:sz w:val="20"/>
                <w:szCs w:val="20"/>
              </w:rPr>
              <w:t>2020</w:t>
            </w:r>
          </w:p>
        </w:tc>
        <w:tc>
          <w:tcPr>
            <w:tcW w:w="15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FD09A6">
            <w:pPr>
              <w:keepNext/>
              <w:widowControl w:val="0"/>
              <w:jc w:val="center"/>
              <w:rPr>
                <w:sz w:val="20"/>
                <w:szCs w:val="20"/>
              </w:rPr>
            </w:pPr>
            <w:r w:rsidRPr="00321529">
              <w:rPr>
                <w:sz w:val="20"/>
                <w:szCs w:val="20"/>
              </w:rPr>
              <w:t>42.6</w:t>
            </w:r>
          </w:p>
        </w:tc>
        <w:tc>
          <w:tcPr>
            <w:tcW w:w="14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FD09A6">
            <w:pPr>
              <w:keepNext/>
              <w:widowControl w:val="0"/>
              <w:jc w:val="center"/>
              <w:rPr>
                <w:sz w:val="20"/>
                <w:szCs w:val="20"/>
              </w:rPr>
            </w:pPr>
            <w:r w:rsidRPr="00321529">
              <w:rPr>
                <w:sz w:val="20"/>
                <w:szCs w:val="20"/>
              </w:rPr>
              <w:t>-</w:t>
            </w:r>
          </w:p>
        </w:tc>
        <w:tc>
          <w:tcPr>
            <w:tcW w:w="11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89709B">
            <w:pPr>
              <w:keepNext/>
              <w:widowControl w:val="0"/>
              <w:jc w:val="center"/>
              <w:rPr>
                <w:sz w:val="20"/>
                <w:szCs w:val="20"/>
              </w:rPr>
            </w:pPr>
            <w:r w:rsidRPr="00321529">
              <w:rPr>
                <w:sz w:val="20"/>
                <w:szCs w:val="20"/>
              </w:rPr>
              <w:t>19</w:t>
            </w:r>
          </w:p>
        </w:tc>
        <w:tc>
          <w:tcPr>
            <w:tcW w:w="8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89709B">
            <w:pPr>
              <w:keepNext/>
              <w:widowControl w:val="0"/>
              <w:jc w:val="center"/>
              <w:rPr>
                <w:sz w:val="20"/>
                <w:szCs w:val="20"/>
              </w:rPr>
            </w:pPr>
            <w:r w:rsidRPr="00321529">
              <w:rPr>
                <w:sz w:val="20"/>
                <w:szCs w:val="20"/>
              </w:rPr>
              <w:t>65.5</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89709B">
            <w:pPr>
              <w:keepNext/>
              <w:widowControl w:val="0"/>
              <w:jc w:val="center"/>
              <w:rPr>
                <w:sz w:val="20"/>
                <w:szCs w:val="20"/>
              </w:rPr>
            </w:pPr>
            <w:r w:rsidRPr="00321529">
              <w:rPr>
                <w:sz w:val="20"/>
                <w:szCs w:val="20"/>
              </w:rPr>
              <w:t>1,820</w:t>
            </w:r>
          </w:p>
        </w:tc>
        <w:tc>
          <w:tcPr>
            <w:tcW w:w="8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89709B">
            <w:pPr>
              <w:keepNext/>
              <w:widowControl w:val="0"/>
              <w:jc w:val="center"/>
              <w:rPr>
                <w:sz w:val="20"/>
                <w:szCs w:val="20"/>
              </w:rPr>
            </w:pPr>
            <w:r w:rsidRPr="00321529">
              <w:rPr>
                <w:sz w:val="20"/>
                <w:szCs w:val="20"/>
              </w:rPr>
              <w:t>51.9</w:t>
            </w:r>
          </w:p>
        </w:tc>
      </w:tr>
      <w:tr w:rsidR="00F36BBD" w:rsidRPr="00321529" w:rsidTr="0089709B">
        <w:trPr>
          <w:cantSplit/>
          <w:trHeight w:val="150"/>
        </w:trPr>
        <w:tc>
          <w:tcPr>
            <w:tcW w:w="25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F36BBD" w:rsidRPr="00321529" w:rsidRDefault="00F36BBD" w:rsidP="00FD09A6">
            <w:pPr>
              <w:keepNext/>
              <w:widowControl w:val="0"/>
              <w:rPr>
                <w:sz w:val="20"/>
                <w:szCs w:val="20"/>
              </w:rPr>
            </w:pPr>
            <w:r w:rsidRPr="00321529">
              <w:rPr>
                <w:color w:val="000000"/>
                <w:sz w:val="20"/>
                <w:szCs w:val="20"/>
              </w:rPr>
              <w:t>Upper</w:t>
            </w:r>
          </w:p>
        </w:tc>
        <w:tc>
          <w:tcPr>
            <w:tcW w:w="6851"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B70895" w:rsidP="0089709B">
            <w:pPr>
              <w:keepNext/>
              <w:widowControl w:val="0"/>
              <w:tabs>
                <w:tab w:val="left" w:pos="1695"/>
              </w:tabs>
              <w:rPr>
                <w:sz w:val="20"/>
                <w:szCs w:val="20"/>
              </w:rPr>
            </w:pPr>
            <w:r>
              <w:rPr>
                <w:sz w:val="20"/>
                <w:szCs w:val="20"/>
              </w:rPr>
              <w:tab/>
            </w:r>
          </w:p>
        </w:tc>
      </w:tr>
      <w:tr w:rsidR="00F36BBD" w:rsidRPr="00321529" w:rsidTr="0089709B">
        <w:trPr>
          <w:cantSplit/>
          <w:trHeight w:val="139"/>
        </w:trPr>
        <w:tc>
          <w:tcPr>
            <w:tcW w:w="250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F36BBD" w:rsidRPr="00321529" w:rsidRDefault="00F36BBD" w:rsidP="00FD09A6">
            <w:pPr>
              <w:keepNext/>
              <w:widowControl w:val="0"/>
              <w:jc w:val="right"/>
              <w:rPr>
                <w:sz w:val="20"/>
                <w:szCs w:val="20"/>
              </w:rPr>
            </w:pPr>
            <w:r w:rsidRPr="00321529">
              <w:rPr>
                <w:color w:val="000000"/>
                <w:sz w:val="20"/>
                <w:szCs w:val="20"/>
              </w:rPr>
              <w:t>2019</w:t>
            </w:r>
          </w:p>
        </w:tc>
        <w:tc>
          <w:tcPr>
            <w:tcW w:w="15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FD09A6">
            <w:pPr>
              <w:keepNext/>
              <w:widowControl w:val="0"/>
              <w:jc w:val="center"/>
              <w:rPr>
                <w:sz w:val="20"/>
                <w:szCs w:val="20"/>
              </w:rPr>
            </w:pPr>
            <w:r w:rsidRPr="00321529">
              <w:rPr>
                <w:sz w:val="20"/>
                <w:szCs w:val="20"/>
              </w:rPr>
              <w:t>40.3</w:t>
            </w:r>
          </w:p>
        </w:tc>
        <w:tc>
          <w:tcPr>
            <w:tcW w:w="14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FD09A6">
            <w:pPr>
              <w:keepNext/>
              <w:widowControl w:val="0"/>
              <w:jc w:val="center"/>
              <w:rPr>
                <w:sz w:val="20"/>
                <w:szCs w:val="20"/>
              </w:rPr>
            </w:pPr>
            <w:r w:rsidRPr="00321529">
              <w:rPr>
                <w:sz w:val="20"/>
                <w:szCs w:val="20"/>
              </w:rPr>
              <w:t>37.6</w:t>
            </w:r>
          </w:p>
        </w:tc>
        <w:tc>
          <w:tcPr>
            <w:tcW w:w="11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89709B">
            <w:pPr>
              <w:keepNext/>
              <w:widowControl w:val="0"/>
              <w:jc w:val="center"/>
              <w:rPr>
                <w:sz w:val="20"/>
                <w:szCs w:val="20"/>
              </w:rPr>
            </w:pPr>
            <w:r w:rsidRPr="00321529">
              <w:rPr>
                <w:sz w:val="20"/>
                <w:szCs w:val="20"/>
              </w:rPr>
              <w:t>3</w:t>
            </w:r>
          </w:p>
        </w:tc>
        <w:tc>
          <w:tcPr>
            <w:tcW w:w="8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89709B">
            <w:pPr>
              <w:keepNext/>
              <w:widowControl w:val="0"/>
              <w:jc w:val="center"/>
              <w:rPr>
                <w:sz w:val="20"/>
                <w:szCs w:val="20"/>
              </w:rPr>
            </w:pPr>
            <w:r w:rsidRPr="00321529">
              <w:rPr>
                <w:sz w:val="20"/>
                <w:szCs w:val="20"/>
              </w:rPr>
              <w:t>12.0</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89709B">
            <w:pPr>
              <w:keepNext/>
              <w:widowControl w:val="0"/>
              <w:jc w:val="center"/>
              <w:rPr>
                <w:sz w:val="20"/>
                <w:szCs w:val="20"/>
              </w:rPr>
            </w:pPr>
            <w:r w:rsidRPr="00321529">
              <w:rPr>
                <w:sz w:val="20"/>
                <w:szCs w:val="20"/>
              </w:rPr>
              <w:t>390</w:t>
            </w:r>
          </w:p>
        </w:tc>
        <w:tc>
          <w:tcPr>
            <w:tcW w:w="8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89709B">
            <w:pPr>
              <w:keepNext/>
              <w:widowControl w:val="0"/>
              <w:jc w:val="center"/>
              <w:rPr>
                <w:sz w:val="20"/>
                <w:szCs w:val="20"/>
              </w:rPr>
            </w:pPr>
            <w:r w:rsidRPr="00321529">
              <w:rPr>
                <w:sz w:val="20"/>
                <w:szCs w:val="20"/>
              </w:rPr>
              <w:t>25.9</w:t>
            </w:r>
          </w:p>
        </w:tc>
      </w:tr>
      <w:tr w:rsidR="00F36BBD" w:rsidRPr="00321529" w:rsidTr="0089709B">
        <w:trPr>
          <w:cantSplit/>
          <w:trHeight w:val="139"/>
        </w:trPr>
        <w:tc>
          <w:tcPr>
            <w:tcW w:w="250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F36BBD" w:rsidRPr="00321529" w:rsidRDefault="00F36BBD" w:rsidP="00FD09A6">
            <w:pPr>
              <w:keepNext/>
              <w:widowControl w:val="0"/>
              <w:jc w:val="right"/>
              <w:rPr>
                <w:sz w:val="20"/>
                <w:szCs w:val="20"/>
              </w:rPr>
            </w:pPr>
            <w:r w:rsidRPr="00321529">
              <w:rPr>
                <w:color w:val="000000"/>
                <w:sz w:val="20"/>
                <w:szCs w:val="20"/>
              </w:rPr>
              <w:t>2020</w:t>
            </w:r>
          </w:p>
        </w:tc>
        <w:tc>
          <w:tcPr>
            <w:tcW w:w="15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FD09A6">
            <w:pPr>
              <w:keepNext/>
              <w:widowControl w:val="0"/>
              <w:jc w:val="center"/>
              <w:rPr>
                <w:sz w:val="20"/>
                <w:szCs w:val="20"/>
              </w:rPr>
            </w:pPr>
            <w:r w:rsidRPr="00321529">
              <w:rPr>
                <w:sz w:val="20"/>
                <w:szCs w:val="20"/>
              </w:rPr>
              <w:t>40.3</w:t>
            </w:r>
          </w:p>
        </w:tc>
        <w:tc>
          <w:tcPr>
            <w:tcW w:w="14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FD09A6">
            <w:pPr>
              <w:keepNext/>
              <w:widowControl w:val="0"/>
              <w:jc w:val="center"/>
              <w:rPr>
                <w:sz w:val="20"/>
                <w:szCs w:val="20"/>
              </w:rPr>
            </w:pPr>
            <w:r w:rsidRPr="00321529">
              <w:rPr>
                <w:sz w:val="20"/>
                <w:szCs w:val="20"/>
              </w:rPr>
              <w:t>-</w:t>
            </w:r>
          </w:p>
        </w:tc>
        <w:tc>
          <w:tcPr>
            <w:tcW w:w="11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89709B">
            <w:pPr>
              <w:keepNext/>
              <w:widowControl w:val="0"/>
              <w:jc w:val="center"/>
              <w:rPr>
                <w:sz w:val="20"/>
                <w:szCs w:val="20"/>
              </w:rPr>
            </w:pPr>
            <w:r w:rsidRPr="00321529">
              <w:rPr>
                <w:sz w:val="20"/>
                <w:szCs w:val="20"/>
              </w:rPr>
              <w:t>7</w:t>
            </w:r>
          </w:p>
        </w:tc>
        <w:tc>
          <w:tcPr>
            <w:tcW w:w="8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89709B">
            <w:pPr>
              <w:keepNext/>
              <w:widowControl w:val="0"/>
              <w:jc w:val="center"/>
              <w:rPr>
                <w:sz w:val="20"/>
                <w:szCs w:val="20"/>
              </w:rPr>
            </w:pPr>
            <w:r w:rsidRPr="00321529">
              <w:rPr>
                <w:sz w:val="20"/>
                <w:szCs w:val="20"/>
              </w:rPr>
              <w:t>24.1</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89709B">
            <w:pPr>
              <w:keepNext/>
              <w:widowControl w:val="0"/>
              <w:jc w:val="center"/>
              <w:rPr>
                <w:sz w:val="20"/>
                <w:szCs w:val="20"/>
              </w:rPr>
            </w:pPr>
            <w:r w:rsidRPr="00321529">
              <w:rPr>
                <w:sz w:val="20"/>
                <w:szCs w:val="20"/>
              </w:rPr>
              <w:t>1,430</w:t>
            </w:r>
          </w:p>
        </w:tc>
        <w:tc>
          <w:tcPr>
            <w:tcW w:w="8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89709B">
            <w:pPr>
              <w:keepNext/>
              <w:widowControl w:val="0"/>
              <w:jc w:val="center"/>
              <w:rPr>
                <w:sz w:val="20"/>
                <w:szCs w:val="20"/>
              </w:rPr>
            </w:pPr>
            <w:r w:rsidRPr="00321529">
              <w:rPr>
                <w:sz w:val="20"/>
                <w:szCs w:val="20"/>
              </w:rPr>
              <w:t>40.7</w:t>
            </w:r>
          </w:p>
        </w:tc>
      </w:tr>
      <w:tr w:rsidR="00F36BBD" w:rsidRPr="00321529" w:rsidTr="0089709B">
        <w:trPr>
          <w:cantSplit/>
          <w:trHeight w:val="150"/>
        </w:trPr>
        <w:tc>
          <w:tcPr>
            <w:tcW w:w="25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F36BBD" w:rsidRPr="00321529" w:rsidRDefault="00F36BBD" w:rsidP="00FD09A6">
            <w:pPr>
              <w:keepNext/>
              <w:widowControl w:val="0"/>
              <w:rPr>
                <w:sz w:val="20"/>
                <w:szCs w:val="20"/>
              </w:rPr>
            </w:pPr>
            <w:r w:rsidRPr="00321529">
              <w:rPr>
                <w:color w:val="000000"/>
                <w:sz w:val="20"/>
                <w:szCs w:val="20"/>
              </w:rPr>
              <w:t>Not Available</w:t>
            </w:r>
          </w:p>
        </w:tc>
        <w:tc>
          <w:tcPr>
            <w:tcW w:w="6851"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FD09A6">
            <w:pPr>
              <w:keepNext/>
              <w:widowControl w:val="0"/>
              <w:rPr>
                <w:sz w:val="20"/>
                <w:szCs w:val="20"/>
              </w:rPr>
            </w:pPr>
          </w:p>
        </w:tc>
      </w:tr>
      <w:tr w:rsidR="00F36BBD" w:rsidRPr="00321529" w:rsidTr="0089709B">
        <w:trPr>
          <w:cantSplit/>
          <w:trHeight w:val="139"/>
        </w:trPr>
        <w:tc>
          <w:tcPr>
            <w:tcW w:w="250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F36BBD" w:rsidRPr="00321529" w:rsidRDefault="00F36BBD" w:rsidP="00FD09A6">
            <w:pPr>
              <w:keepNext/>
              <w:widowControl w:val="0"/>
              <w:jc w:val="right"/>
              <w:rPr>
                <w:sz w:val="20"/>
                <w:szCs w:val="20"/>
              </w:rPr>
            </w:pPr>
            <w:r w:rsidRPr="00321529">
              <w:rPr>
                <w:color w:val="000000"/>
                <w:sz w:val="20"/>
                <w:szCs w:val="20"/>
              </w:rPr>
              <w:t>2019</w:t>
            </w:r>
          </w:p>
        </w:tc>
        <w:tc>
          <w:tcPr>
            <w:tcW w:w="15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FD09A6">
            <w:pPr>
              <w:keepNext/>
              <w:widowControl w:val="0"/>
              <w:jc w:val="center"/>
              <w:rPr>
                <w:sz w:val="20"/>
                <w:szCs w:val="20"/>
              </w:rPr>
            </w:pPr>
            <w:r w:rsidRPr="00321529">
              <w:rPr>
                <w:sz w:val="20"/>
                <w:szCs w:val="20"/>
              </w:rPr>
              <w:t>0.2</w:t>
            </w:r>
          </w:p>
        </w:tc>
        <w:tc>
          <w:tcPr>
            <w:tcW w:w="14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FD09A6">
            <w:pPr>
              <w:keepNext/>
              <w:widowControl w:val="0"/>
              <w:jc w:val="center"/>
              <w:rPr>
                <w:sz w:val="20"/>
                <w:szCs w:val="20"/>
              </w:rPr>
            </w:pPr>
            <w:r w:rsidRPr="00321529">
              <w:rPr>
                <w:sz w:val="20"/>
                <w:szCs w:val="20"/>
              </w:rPr>
              <w:t>0.3</w:t>
            </w:r>
          </w:p>
        </w:tc>
        <w:tc>
          <w:tcPr>
            <w:tcW w:w="11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89709B">
            <w:pPr>
              <w:keepNext/>
              <w:widowControl w:val="0"/>
              <w:jc w:val="center"/>
              <w:rPr>
                <w:sz w:val="20"/>
                <w:szCs w:val="20"/>
              </w:rPr>
            </w:pPr>
            <w:r w:rsidRPr="00321529">
              <w:rPr>
                <w:sz w:val="20"/>
                <w:szCs w:val="20"/>
              </w:rPr>
              <w:t>0</w:t>
            </w:r>
          </w:p>
        </w:tc>
        <w:tc>
          <w:tcPr>
            <w:tcW w:w="8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89709B">
            <w:pPr>
              <w:keepNext/>
              <w:widowControl w:val="0"/>
              <w:jc w:val="center"/>
              <w:rPr>
                <w:sz w:val="20"/>
                <w:szCs w:val="20"/>
              </w:rPr>
            </w:pPr>
            <w:r w:rsidRPr="00321529">
              <w:rPr>
                <w:sz w:val="20"/>
                <w:szCs w:val="20"/>
              </w:rPr>
              <w:t>0.0</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89709B">
            <w:pPr>
              <w:keepNext/>
              <w:widowControl w:val="0"/>
              <w:jc w:val="center"/>
              <w:rPr>
                <w:sz w:val="20"/>
                <w:szCs w:val="20"/>
              </w:rPr>
            </w:pPr>
            <w:r w:rsidRPr="00321529">
              <w:rPr>
                <w:sz w:val="20"/>
                <w:szCs w:val="20"/>
              </w:rPr>
              <w:t>0</w:t>
            </w:r>
          </w:p>
        </w:tc>
        <w:tc>
          <w:tcPr>
            <w:tcW w:w="8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89709B">
            <w:pPr>
              <w:keepNext/>
              <w:widowControl w:val="0"/>
              <w:jc w:val="center"/>
              <w:rPr>
                <w:sz w:val="20"/>
                <w:szCs w:val="20"/>
              </w:rPr>
            </w:pPr>
            <w:r w:rsidRPr="00321529">
              <w:rPr>
                <w:sz w:val="20"/>
                <w:szCs w:val="20"/>
              </w:rPr>
              <w:t>0.0</w:t>
            </w:r>
          </w:p>
        </w:tc>
      </w:tr>
      <w:tr w:rsidR="00F36BBD" w:rsidRPr="00321529" w:rsidTr="0089709B">
        <w:trPr>
          <w:cantSplit/>
          <w:trHeight w:val="139"/>
        </w:trPr>
        <w:tc>
          <w:tcPr>
            <w:tcW w:w="250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F36BBD" w:rsidRPr="00321529" w:rsidRDefault="00F36BBD" w:rsidP="00FD09A6">
            <w:pPr>
              <w:keepNext/>
              <w:widowControl w:val="0"/>
              <w:jc w:val="right"/>
              <w:rPr>
                <w:sz w:val="20"/>
                <w:szCs w:val="20"/>
              </w:rPr>
            </w:pPr>
            <w:r w:rsidRPr="00321529">
              <w:rPr>
                <w:color w:val="000000"/>
                <w:sz w:val="20"/>
                <w:szCs w:val="20"/>
              </w:rPr>
              <w:t>2020</w:t>
            </w:r>
          </w:p>
        </w:tc>
        <w:tc>
          <w:tcPr>
            <w:tcW w:w="15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FD09A6">
            <w:pPr>
              <w:keepNext/>
              <w:widowControl w:val="0"/>
              <w:jc w:val="center"/>
              <w:rPr>
                <w:sz w:val="20"/>
                <w:szCs w:val="20"/>
              </w:rPr>
            </w:pPr>
            <w:r w:rsidRPr="00321529">
              <w:rPr>
                <w:sz w:val="20"/>
                <w:szCs w:val="20"/>
              </w:rPr>
              <w:t>02</w:t>
            </w:r>
          </w:p>
        </w:tc>
        <w:tc>
          <w:tcPr>
            <w:tcW w:w="14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FD09A6">
            <w:pPr>
              <w:keepNext/>
              <w:widowControl w:val="0"/>
              <w:jc w:val="center"/>
              <w:rPr>
                <w:sz w:val="20"/>
                <w:szCs w:val="20"/>
              </w:rPr>
            </w:pPr>
            <w:r w:rsidRPr="00321529">
              <w:rPr>
                <w:sz w:val="20"/>
                <w:szCs w:val="20"/>
              </w:rPr>
              <w:t>-</w:t>
            </w:r>
          </w:p>
        </w:tc>
        <w:tc>
          <w:tcPr>
            <w:tcW w:w="11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89709B">
            <w:pPr>
              <w:keepNext/>
              <w:widowControl w:val="0"/>
              <w:jc w:val="center"/>
              <w:rPr>
                <w:sz w:val="20"/>
                <w:szCs w:val="20"/>
              </w:rPr>
            </w:pPr>
            <w:r w:rsidRPr="00321529">
              <w:rPr>
                <w:sz w:val="20"/>
                <w:szCs w:val="20"/>
              </w:rPr>
              <w:t>0</w:t>
            </w:r>
          </w:p>
        </w:tc>
        <w:tc>
          <w:tcPr>
            <w:tcW w:w="8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89709B">
            <w:pPr>
              <w:keepNext/>
              <w:widowControl w:val="0"/>
              <w:jc w:val="center"/>
              <w:rPr>
                <w:sz w:val="20"/>
                <w:szCs w:val="20"/>
              </w:rPr>
            </w:pPr>
            <w:r w:rsidRPr="00321529">
              <w:rPr>
                <w:sz w:val="20"/>
                <w:szCs w:val="20"/>
              </w:rPr>
              <w:t>0.0</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89709B">
            <w:pPr>
              <w:keepNext/>
              <w:widowControl w:val="0"/>
              <w:jc w:val="center"/>
              <w:rPr>
                <w:sz w:val="20"/>
                <w:szCs w:val="20"/>
              </w:rPr>
            </w:pPr>
            <w:r w:rsidRPr="00321529">
              <w:rPr>
                <w:sz w:val="20"/>
                <w:szCs w:val="20"/>
              </w:rPr>
              <w:t>0</w:t>
            </w:r>
          </w:p>
        </w:tc>
        <w:tc>
          <w:tcPr>
            <w:tcW w:w="8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89709B">
            <w:pPr>
              <w:keepNext/>
              <w:widowControl w:val="0"/>
              <w:jc w:val="center"/>
              <w:rPr>
                <w:sz w:val="20"/>
                <w:szCs w:val="20"/>
              </w:rPr>
            </w:pPr>
            <w:r w:rsidRPr="00321529">
              <w:rPr>
                <w:sz w:val="20"/>
                <w:szCs w:val="20"/>
              </w:rPr>
              <w:t>0.0</w:t>
            </w:r>
          </w:p>
        </w:tc>
      </w:tr>
      <w:tr w:rsidR="00F36BBD" w:rsidRPr="00321529" w:rsidTr="0089709B">
        <w:trPr>
          <w:cantSplit/>
          <w:trHeight w:val="161"/>
        </w:trPr>
        <w:tc>
          <w:tcPr>
            <w:tcW w:w="25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F36BBD" w:rsidRPr="00321529" w:rsidRDefault="00F36BBD" w:rsidP="00FD09A6">
            <w:pPr>
              <w:keepNext/>
              <w:widowControl w:val="0"/>
              <w:rPr>
                <w:sz w:val="20"/>
                <w:szCs w:val="20"/>
              </w:rPr>
            </w:pPr>
            <w:r w:rsidRPr="00321529">
              <w:rPr>
                <w:b/>
                <w:color w:val="000000"/>
                <w:sz w:val="20"/>
                <w:szCs w:val="20"/>
              </w:rPr>
              <w:t>Totals</w:t>
            </w:r>
          </w:p>
        </w:tc>
        <w:tc>
          <w:tcPr>
            <w:tcW w:w="6851"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FD09A6">
            <w:pPr>
              <w:keepNext/>
              <w:widowControl w:val="0"/>
              <w:rPr>
                <w:sz w:val="20"/>
                <w:szCs w:val="20"/>
              </w:rPr>
            </w:pPr>
          </w:p>
        </w:tc>
      </w:tr>
      <w:tr w:rsidR="00F36BBD" w:rsidRPr="00321529" w:rsidTr="0089709B">
        <w:trPr>
          <w:cantSplit/>
          <w:trHeight w:val="150"/>
        </w:trPr>
        <w:tc>
          <w:tcPr>
            <w:tcW w:w="250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F36BBD" w:rsidRPr="00321529" w:rsidRDefault="00F36BBD" w:rsidP="00FD09A6">
            <w:pPr>
              <w:keepNext/>
              <w:widowControl w:val="0"/>
              <w:jc w:val="right"/>
              <w:rPr>
                <w:sz w:val="20"/>
                <w:szCs w:val="20"/>
              </w:rPr>
            </w:pPr>
            <w:r w:rsidRPr="00321529">
              <w:rPr>
                <w:b/>
                <w:color w:val="000000"/>
                <w:sz w:val="20"/>
                <w:szCs w:val="20"/>
              </w:rPr>
              <w:t>2019</w:t>
            </w:r>
          </w:p>
        </w:tc>
        <w:tc>
          <w:tcPr>
            <w:tcW w:w="15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FD09A6">
            <w:pPr>
              <w:keepNext/>
              <w:widowControl w:val="0"/>
              <w:jc w:val="center"/>
              <w:rPr>
                <w:b/>
                <w:sz w:val="20"/>
                <w:szCs w:val="20"/>
              </w:rPr>
            </w:pPr>
            <w:r w:rsidRPr="00321529">
              <w:rPr>
                <w:b/>
                <w:sz w:val="20"/>
                <w:szCs w:val="20"/>
              </w:rPr>
              <w:t>100.0</w:t>
            </w:r>
          </w:p>
        </w:tc>
        <w:tc>
          <w:tcPr>
            <w:tcW w:w="14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FD09A6">
            <w:pPr>
              <w:keepNext/>
              <w:widowControl w:val="0"/>
              <w:jc w:val="center"/>
              <w:rPr>
                <w:b/>
                <w:sz w:val="20"/>
                <w:szCs w:val="20"/>
              </w:rPr>
            </w:pPr>
            <w:r w:rsidRPr="00321529">
              <w:rPr>
                <w:b/>
                <w:sz w:val="20"/>
                <w:szCs w:val="20"/>
              </w:rPr>
              <w:t>100.0</w:t>
            </w:r>
          </w:p>
        </w:tc>
        <w:tc>
          <w:tcPr>
            <w:tcW w:w="11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89709B">
            <w:pPr>
              <w:keepNext/>
              <w:widowControl w:val="0"/>
              <w:jc w:val="center"/>
              <w:rPr>
                <w:b/>
                <w:sz w:val="20"/>
                <w:szCs w:val="20"/>
              </w:rPr>
            </w:pPr>
            <w:r w:rsidRPr="00321529">
              <w:rPr>
                <w:b/>
                <w:sz w:val="20"/>
                <w:szCs w:val="20"/>
              </w:rPr>
              <w:t>25</w:t>
            </w:r>
          </w:p>
        </w:tc>
        <w:tc>
          <w:tcPr>
            <w:tcW w:w="8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89709B">
            <w:pPr>
              <w:keepNext/>
              <w:widowControl w:val="0"/>
              <w:jc w:val="center"/>
              <w:rPr>
                <w:b/>
                <w:sz w:val="20"/>
                <w:szCs w:val="20"/>
              </w:rPr>
            </w:pPr>
            <w:r w:rsidRPr="00321529">
              <w:rPr>
                <w:b/>
                <w:sz w:val="20"/>
                <w:szCs w:val="20"/>
              </w:rPr>
              <w:t>100.0</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89709B">
            <w:pPr>
              <w:keepNext/>
              <w:widowControl w:val="0"/>
              <w:jc w:val="center"/>
              <w:rPr>
                <w:b/>
                <w:sz w:val="20"/>
                <w:szCs w:val="20"/>
              </w:rPr>
            </w:pPr>
            <w:r w:rsidRPr="00321529">
              <w:rPr>
                <w:b/>
                <w:sz w:val="20"/>
                <w:szCs w:val="20"/>
              </w:rPr>
              <w:t>1,504</w:t>
            </w:r>
          </w:p>
        </w:tc>
        <w:tc>
          <w:tcPr>
            <w:tcW w:w="8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89709B">
            <w:pPr>
              <w:keepNext/>
              <w:widowControl w:val="0"/>
              <w:jc w:val="center"/>
              <w:rPr>
                <w:b/>
                <w:sz w:val="20"/>
                <w:szCs w:val="20"/>
              </w:rPr>
            </w:pPr>
            <w:r w:rsidRPr="00321529">
              <w:rPr>
                <w:b/>
                <w:sz w:val="20"/>
                <w:szCs w:val="20"/>
              </w:rPr>
              <w:t>100.0</w:t>
            </w:r>
          </w:p>
        </w:tc>
      </w:tr>
      <w:tr w:rsidR="00F36BBD" w:rsidRPr="00321529" w:rsidTr="0089709B">
        <w:trPr>
          <w:cantSplit/>
          <w:trHeight w:val="150"/>
        </w:trPr>
        <w:tc>
          <w:tcPr>
            <w:tcW w:w="250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F36BBD" w:rsidRPr="00321529" w:rsidRDefault="00F36BBD" w:rsidP="00FD09A6">
            <w:pPr>
              <w:keepNext/>
              <w:widowControl w:val="0"/>
              <w:jc w:val="right"/>
              <w:rPr>
                <w:sz w:val="20"/>
                <w:szCs w:val="20"/>
              </w:rPr>
            </w:pPr>
            <w:r w:rsidRPr="00321529">
              <w:rPr>
                <w:b/>
                <w:color w:val="000000"/>
                <w:sz w:val="20"/>
                <w:szCs w:val="20"/>
              </w:rPr>
              <w:t>2020</w:t>
            </w:r>
          </w:p>
        </w:tc>
        <w:tc>
          <w:tcPr>
            <w:tcW w:w="15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FD09A6">
            <w:pPr>
              <w:keepNext/>
              <w:widowControl w:val="0"/>
              <w:jc w:val="center"/>
              <w:rPr>
                <w:b/>
                <w:sz w:val="20"/>
                <w:szCs w:val="20"/>
              </w:rPr>
            </w:pPr>
            <w:r w:rsidRPr="00321529">
              <w:rPr>
                <w:b/>
                <w:sz w:val="20"/>
                <w:szCs w:val="20"/>
              </w:rPr>
              <w:t>100.0</w:t>
            </w:r>
          </w:p>
        </w:tc>
        <w:tc>
          <w:tcPr>
            <w:tcW w:w="14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FD09A6">
            <w:pPr>
              <w:keepNext/>
              <w:widowControl w:val="0"/>
              <w:jc w:val="center"/>
              <w:rPr>
                <w:b/>
                <w:sz w:val="20"/>
                <w:szCs w:val="20"/>
              </w:rPr>
            </w:pPr>
            <w:r w:rsidRPr="00321529">
              <w:rPr>
                <w:b/>
                <w:color w:val="000000"/>
                <w:sz w:val="20"/>
                <w:szCs w:val="20"/>
              </w:rPr>
              <w:t>-</w:t>
            </w:r>
          </w:p>
        </w:tc>
        <w:tc>
          <w:tcPr>
            <w:tcW w:w="11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89709B">
            <w:pPr>
              <w:keepNext/>
              <w:widowControl w:val="0"/>
              <w:jc w:val="center"/>
              <w:rPr>
                <w:b/>
                <w:sz w:val="20"/>
                <w:szCs w:val="20"/>
              </w:rPr>
            </w:pPr>
            <w:r w:rsidRPr="00321529">
              <w:rPr>
                <w:b/>
                <w:sz w:val="20"/>
                <w:szCs w:val="20"/>
              </w:rPr>
              <w:t>29</w:t>
            </w:r>
          </w:p>
        </w:tc>
        <w:tc>
          <w:tcPr>
            <w:tcW w:w="8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89709B">
            <w:pPr>
              <w:keepNext/>
              <w:widowControl w:val="0"/>
              <w:jc w:val="center"/>
              <w:rPr>
                <w:b/>
                <w:sz w:val="20"/>
                <w:szCs w:val="20"/>
              </w:rPr>
            </w:pPr>
            <w:r w:rsidRPr="00321529">
              <w:rPr>
                <w:b/>
                <w:sz w:val="20"/>
                <w:szCs w:val="20"/>
              </w:rPr>
              <w:t>100.0</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89709B">
            <w:pPr>
              <w:keepNext/>
              <w:widowControl w:val="0"/>
              <w:jc w:val="center"/>
              <w:rPr>
                <w:b/>
                <w:sz w:val="20"/>
                <w:szCs w:val="20"/>
              </w:rPr>
            </w:pPr>
            <w:r w:rsidRPr="00321529">
              <w:rPr>
                <w:b/>
                <w:sz w:val="20"/>
                <w:szCs w:val="20"/>
              </w:rPr>
              <w:t>3,507</w:t>
            </w:r>
          </w:p>
        </w:tc>
        <w:tc>
          <w:tcPr>
            <w:tcW w:w="8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36BBD" w:rsidRPr="00321529" w:rsidRDefault="00F36BBD" w:rsidP="0089709B">
            <w:pPr>
              <w:keepNext/>
              <w:widowControl w:val="0"/>
              <w:jc w:val="center"/>
              <w:rPr>
                <w:b/>
                <w:sz w:val="20"/>
                <w:szCs w:val="20"/>
              </w:rPr>
            </w:pPr>
            <w:r w:rsidRPr="00321529">
              <w:rPr>
                <w:b/>
                <w:sz w:val="20"/>
                <w:szCs w:val="20"/>
              </w:rPr>
              <w:t>100.0</w:t>
            </w:r>
          </w:p>
        </w:tc>
      </w:tr>
      <w:tr w:rsidR="00F36BBD" w:rsidRPr="00321529" w:rsidTr="0089709B">
        <w:trPr>
          <w:cantSplit/>
          <w:trHeight w:val="183"/>
        </w:trPr>
        <w:tc>
          <w:tcPr>
            <w:tcW w:w="9357" w:type="dxa"/>
            <w:gridSpan w:val="7"/>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rsidR="00F36BBD" w:rsidRPr="00321529" w:rsidRDefault="00F36BBD" w:rsidP="00FD09A6">
            <w:pPr>
              <w:keepNext/>
              <w:widowControl w:val="0"/>
              <w:rPr>
                <w:sz w:val="20"/>
                <w:szCs w:val="20"/>
              </w:rPr>
            </w:pPr>
            <w:r w:rsidRPr="00321529">
              <w:rPr>
                <w:i/>
                <w:color w:val="000000"/>
                <w:sz w:val="16"/>
                <w:szCs w:val="20"/>
              </w:rPr>
              <w:t>Source: 2015 ACS Census; 1/1/2019 - 12/31/2020 credit union Data, 2019 HMDA Aggregate Data, "-" data not available.</w:t>
            </w:r>
          </w:p>
        </w:tc>
      </w:tr>
    </w:tbl>
    <w:p w:rsidR="00FD09A6" w:rsidRDefault="00FD09A6" w:rsidP="00E96209">
      <w:pPr>
        <w:pStyle w:val="ListParagraph"/>
        <w:ind w:left="0"/>
        <w:rPr>
          <w:rFonts w:ascii="Times New Roman" w:hAnsi="Times New Roman" w:cs="Times New Roman"/>
          <w:bCs/>
        </w:rPr>
      </w:pPr>
    </w:p>
    <w:p w:rsidR="00FD09A6" w:rsidRDefault="00FD09A6" w:rsidP="00E96209">
      <w:pPr>
        <w:pStyle w:val="ListParagraph"/>
        <w:ind w:left="0"/>
        <w:rPr>
          <w:rFonts w:ascii="Times New Roman" w:hAnsi="Times New Roman" w:cs="Times New Roman"/>
          <w:bCs/>
        </w:rPr>
      </w:pPr>
    </w:p>
    <w:p w:rsidR="00FD09A6" w:rsidRDefault="00FD09A6">
      <w:pPr>
        <w:spacing w:after="160" w:line="259" w:lineRule="auto"/>
        <w:rPr>
          <w:b/>
          <w:bCs/>
          <w:u w:val="single"/>
        </w:rPr>
      </w:pPr>
      <w:r>
        <w:rPr>
          <w:b/>
          <w:bCs/>
          <w:u w:val="single"/>
        </w:rPr>
        <w:br w:type="page"/>
      </w:r>
    </w:p>
    <w:p w:rsidR="00FD09A6" w:rsidRPr="00B70895" w:rsidRDefault="00FD09A6" w:rsidP="00FD09A6">
      <w:pPr>
        <w:rPr>
          <w:b/>
          <w:bCs/>
          <w:u w:val="single"/>
        </w:rPr>
      </w:pPr>
      <w:r w:rsidRPr="00B70895">
        <w:rPr>
          <w:b/>
          <w:bCs/>
          <w:u w:val="single"/>
        </w:rPr>
        <w:lastRenderedPageBreak/>
        <w:t>Borrower Profile</w:t>
      </w:r>
    </w:p>
    <w:p w:rsidR="00FD09A6" w:rsidRDefault="00FD09A6" w:rsidP="00E96209">
      <w:pPr>
        <w:pStyle w:val="ListParagraph"/>
        <w:ind w:left="0"/>
        <w:rPr>
          <w:rFonts w:ascii="Times New Roman" w:hAnsi="Times New Roman" w:cs="Times New Roman"/>
          <w:bCs/>
        </w:rPr>
      </w:pPr>
    </w:p>
    <w:p w:rsidR="0059746E" w:rsidRPr="00B70895" w:rsidRDefault="00E96209" w:rsidP="00E229ED">
      <w:pPr>
        <w:pStyle w:val="ListParagraph"/>
        <w:ind w:left="0"/>
        <w:jc w:val="both"/>
        <w:rPr>
          <w:rFonts w:ascii="Times New Roman" w:hAnsi="Times New Roman" w:cs="Times New Roman"/>
          <w:color w:val="000000"/>
        </w:rPr>
      </w:pPr>
      <w:r w:rsidRPr="0089709B">
        <w:rPr>
          <w:rFonts w:ascii="Times New Roman" w:hAnsi="Times New Roman" w:cs="Times New Roman"/>
          <w:bCs/>
        </w:rPr>
        <w:t xml:space="preserve">The distribution of home mortgage loans reflects reasonable penetration to individuals of different income levels. </w:t>
      </w:r>
      <w:r w:rsidRPr="00B70895">
        <w:rPr>
          <w:rFonts w:ascii="Times New Roman" w:hAnsi="Times New Roman" w:cs="Times New Roman"/>
          <w:color w:val="000000"/>
        </w:rPr>
        <w:t>Please refer to the table below for more information.</w:t>
      </w:r>
    </w:p>
    <w:p w:rsidR="00BF4988" w:rsidRPr="00B70895" w:rsidRDefault="00BF4988" w:rsidP="003912CC">
      <w:pPr>
        <w:pStyle w:val="ListParagraph"/>
        <w:ind w:left="0"/>
        <w:rPr>
          <w:rFonts w:ascii="Times New Roman" w:hAnsi="Times New Roman" w:cs="Times New Roman"/>
          <w:color w:val="000000"/>
          <w:highlight w:val="yellow"/>
        </w:rPr>
      </w:pPr>
    </w:p>
    <w:tbl>
      <w:tblPr>
        <w:tblW w:w="9429" w:type="dxa"/>
        <w:tblCellMar>
          <w:left w:w="0" w:type="dxa"/>
          <w:right w:w="0" w:type="dxa"/>
        </w:tblCellMar>
        <w:tblLook w:val="0000" w:firstRow="0" w:lastRow="0" w:firstColumn="0" w:lastColumn="0" w:noHBand="0" w:noVBand="0"/>
      </w:tblPr>
      <w:tblGrid>
        <w:gridCol w:w="2196"/>
        <w:gridCol w:w="1443"/>
        <w:gridCol w:w="1561"/>
        <w:gridCol w:w="1044"/>
        <w:gridCol w:w="1000"/>
        <w:gridCol w:w="1170"/>
        <w:gridCol w:w="1015"/>
      </w:tblGrid>
      <w:tr w:rsidR="00784EE8" w:rsidRPr="00321529" w:rsidTr="00E229ED">
        <w:trPr>
          <w:trHeight w:val="232"/>
        </w:trPr>
        <w:tc>
          <w:tcPr>
            <w:tcW w:w="9429" w:type="dxa"/>
            <w:gridSpan w:val="7"/>
            <w:tcBorders>
              <w:top w:val="single" w:sz="7" w:space="0" w:color="000000"/>
              <w:left w:val="single" w:sz="7" w:space="0" w:color="000000"/>
              <w:right w:val="single" w:sz="7" w:space="0" w:color="000000"/>
            </w:tcBorders>
            <w:tcMar>
              <w:top w:w="39" w:type="dxa"/>
              <w:left w:w="39" w:type="dxa"/>
              <w:bottom w:w="39" w:type="dxa"/>
              <w:right w:w="39" w:type="dxa"/>
            </w:tcMar>
          </w:tcPr>
          <w:p w:rsidR="00784EE8" w:rsidRPr="00321529" w:rsidRDefault="00784EE8" w:rsidP="00EE3622">
            <w:pPr>
              <w:jc w:val="center"/>
              <w:rPr>
                <w:sz w:val="20"/>
              </w:rPr>
            </w:pPr>
            <w:bookmarkStart w:id="0" w:name="_GoBack"/>
            <w:bookmarkEnd w:id="0"/>
            <w:r w:rsidRPr="00321529">
              <w:rPr>
                <w:b/>
                <w:color w:val="000000"/>
                <w:sz w:val="20"/>
              </w:rPr>
              <w:t>Distribution of Home Mortgage Loans by Borrower Income Level</w:t>
            </w:r>
          </w:p>
        </w:tc>
      </w:tr>
      <w:tr w:rsidR="00784EE8" w:rsidRPr="00321529" w:rsidTr="00E229ED">
        <w:trPr>
          <w:trHeight w:val="272"/>
        </w:trPr>
        <w:tc>
          <w:tcPr>
            <w:tcW w:w="2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4EE8" w:rsidRPr="00321529" w:rsidRDefault="00784EE8" w:rsidP="00EE3622">
            <w:pPr>
              <w:rPr>
                <w:sz w:val="20"/>
              </w:rPr>
            </w:pPr>
            <w:r w:rsidRPr="00321529">
              <w:rPr>
                <w:b/>
                <w:color w:val="000000"/>
                <w:sz w:val="20"/>
              </w:rPr>
              <w:t>Borrower Income Level</w:t>
            </w:r>
          </w:p>
        </w:tc>
        <w:tc>
          <w:tcPr>
            <w:tcW w:w="14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4EE8" w:rsidRPr="00321529" w:rsidRDefault="00784EE8" w:rsidP="00EE3622">
            <w:pPr>
              <w:jc w:val="center"/>
              <w:rPr>
                <w:sz w:val="20"/>
              </w:rPr>
            </w:pPr>
            <w:r w:rsidRPr="00321529">
              <w:rPr>
                <w:b/>
                <w:color w:val="000000"/>
                <w:sz w:val="20"/>
              </w:rPr>
              <w:t>% of  Families</w:t>
            </w:r>
          </w:p>
        </w:tc>
        <w:tc>
          <w:tcPr>
            <w:tcW w:w="15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4EE8" w:rsidRPr="00321529" w:rsidRDefault="00784EE8" w:rsidP="00EE3622">
            <w:pPr>
              <w:jc w:val="center"/>
              <w:rPr>
                <w:sz w:val="20"/>
              </w:rPr>
            </w:pPr>
            <w:r w:rsidRPr="00321529">
              <w:rPr>
                <w:b/>
                <w:color w:val="000000"/>
                <w:sz w:val="20"/>
              </w:rPr>
              <w:t>Aggregate Performance</w:t>
            </w:r>
            <w:r w:rsidRPr="00321529">
              <w:rPr>
                <w:b/>
                <w:color w:val="000000"/>
                <w:sz w:val="20"/>
              </w:rPr>
              <w:br/>
              <w:t>% of #</w:t>
            </w:r>
          </w:p>
        </w:tc>
        <w:tc>
          <w:tcPr>
            <w:tcW w:w="10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4EE8" w:rsidRPr="00321529" w:rsidRDefault="00784EE8" w:rsidP="00EE3622">
            <w:pPr>
              <w:jc w:val="center"/>
              <w:rPr>
                <w:sz w:val="20"/>
              </w:rPr>
            </w:pPr>
            <w:r w:rsidRPr="00321529">
              <w:rPr>
                <w:b/>
                <w:color w:val="000000"/>
                <w:sz w:val="20"/>
              </w:rPr>
              <w:t>#</w:t>
            </w:r>
          </w:p>
        </w:tc>
        <w:tc>
          <w:tcPr>
            <w:tcW w:w="10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4EE8" w:rsidRPr="00321529" w:rsidRDefault="00784EE8" w:rsidP="00EE3622">
            <w:pPr>
              <w:jc w:val="center"/>
              <w:rPr>
                <w:sz w:val="20"/>
              </w:rPr>
            </w:pPr>
            <w:r w:rsidRPr="00321529">
              <w:rPr>
                <w:b/>
                <w:color w:val="000000"/>
                <w:sz w:val="20"/>
              </w:rPr>
              <w:t>%</w:t>
            </w:r>
          </w:p>
        </w:tc>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4EE8" w:rsidRPr="00321529" w:rsidRDefault="00784EE8" w:rsidP="00EE3622">
            <w:pPr>
              <w:jc w:val="center"/>
              <w:rPr>
                <w:sz w:val="20"/>
              </w:rPr>
            </w:pPr>
            <w:r w:rsidRPr="00321529">
              <w:rPr>
                <w:b/>
                <w:color w:val="000000"/>
                <w:sz w:val="20"/>
              </w:rPr>
              <w:t>$(000s)</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4EE8" w:rsidRPr="00321529" w:rsidRDefault="00784EE8" w:rsidP="00EE3622">
            <w:pPr>
              <w:jc w:val="center"/>
              <w:rPr>
                <w:sz w:val="20"/>
              </w:rPr>
            </w:pPr>
            <w:r w:rsidRPr="00321529">
              <w:rPr>
                <w:b/>
                <w:color w:val="000000"/>
                <w:sz w:val="20"/>
              </w:rPr>
              <w:t>%</w:t>
            </w:r>
          </w:p>
        </w:tc>
      </w:tr>
      <w:tr w:rsidR="00784EE8" w:rsidRPr="00321529" w:rsidTr="00E229ED">
        <w:trPr>
          <w:trHeight w:val="97"/>
        </w:trPr>
        <w:tc>
          <w:tcPr>
            <w:tcW w:w="2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4EE8" w:rsidRPr="00321529" w:rsidRDefault="00784EE8" w:rsidP="00EE3622">
            <w:pPr>
              <w:rPr>
                <w:sz w:val="20"/>
              </w:rPr>
            </w:pPr>
            <w:r w:rsidRPr="00321529">
              <w:rPr>
                <w:color w:val="000000"/>
                <w:sz w:val="20"/>
              </w:rPr>
              <w:t>Low</w:t>
            </w:r>
          </w:p>
        </w:tc>
        <w:tc>
          <w:tcPr>
            <w:tcW w:w="7232"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784EE8" w:rsidP="00EE3622">
            <w:pPr>
              <w:rPr>
                <w:sz w:val="20"/>
              </w:rPr>
            </w:pPr>
          </w:p>
        </w:tc>
      </w:tr>
      <w:tr w:rsidR="00784EE8" w:rsidRPr="00321529" w:rsidTr="00E229ED">
        <w:trPr>
          <w:trHeight w:val="89"/>
        </w:trPr>
        <w:tc>
          <w:tcPr>
            <w:tcW w:w="2196"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784EE8" w:rsidRPr="00321529" w:rsidRDefault="00784EE8" w:rsidP="00EE3622">
            <w:pPr>
              <w:jc w:val="right"/>
              <w:rPr>
                <w:sz w:val="20"/>
              </w:rPr>
            </w:pPr>
            <w:r w:rsidRPr="00321529">
              <w:rPr>
                <w:color w:val="000000"/>
                <w:sz w:val="20"/>
              </w:rPr>
              <w:t>2019</w:t>
            </w:r>
          </w:p>
        </w:tc>
        <w:tc>
          <w:tcPr>
            <w:tcW w:w="14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784EE8" w:rsidP="00EE3622">
            <w:pPr>
              <w:jc w:val="center"/>
              <w:rPr>
                <w:sz w:val="20"/>
              </w:rPr>
            </w:pPr>
            <w:r w:rsidRPr="00321529">
              <w:rPr>
                <w:sz w:val="20"/>
              </w:rPr>
              <w:t>25.2</w:t>
            </w:r>
          </w:p>
        </w:tc>
        <w:tc>
          <w:tcPr>
            <w:tcW w:w="15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B320E9" w:rsidP="00EE3622">
            <w:pPr>
              <w:jc w:val="center"/>
              <w:rPr>
                <w:sz w:val="20"/>
              </w:rPr>
            </w:pPr>
            <w:r w:rsidRPr="00321529">
              <w:rPr>
                <w:sz w:val="20"/>
              </w:rPr>
              <w:t>10.6</w:t>
            </w:r>
          </w:p>
        </w:tc>
        <w:tc>
          <w:tcPr>
            <w:tcW w:w="10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82034A" w:rsidP="00EE3622">
            <w:pPr>
              <w:jc w:val="center"/>
              <w:rPr>
                <w:sz w:val="20"/>
              </w:rPr>
            </w:pPr>
            <w:r w:rsidRPr="00321529">
              <w:rPr>
                <w:sz w:val="20"/>
              </w:rPr>
              <w:t>1</w:t>
            </w:r>
          </w:p>
        </w:tc>
        <w:tc>
          <w:tcPr>
            <w:tcW w:w="10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321529" w:rsidP="00EE3622">
            <w:pPr>
              <w:jc w:val="center"/>
              <w:rPr>
                <w:sz w:val="20"/>
              </w:rPr>
            </w:pPr>
            <w:r w:rsidRPr="00321529">
              <w:rPr>
                <w:sz w:val="20"/>
              </w:rPr>
              <w:t>4.0</w:t>
            </w:r>
          </w:p>
        </w:tc>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82034A" w:rsidP="00EE3622">
            <w:pPr>
              <w:jc w:val="center"/>
              <w:rPr>
                <w:sz w:val="20"/>
              </w:rPr>
            </w:pPr>
            <w:r w:rsidRPr="00321529">
              <w:rPr>
                <w:sz w:val="20"/>
              </w:rPr>
              <w:t>68</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321529" w:rsidP="00EE3622">
            <w:pPr>
              <w:jc w:val="center"/>
              <w:rPr>
                <w:sz w:val="20"/>
              </w:rPr>
            </w:pPr>
            <w:r w:rsidRPr="00321529">
              <w:rPr>
                <w:sz w:val="20"/>
              </w:rPr>
              <w:t>4.5</w:t>
            </w:r>
          </w:p>
        </w:tc>
      </w:tr>
      <w:tr w:rsidR="00784EE8" w:rsidRPr="00321529" w:rsidTr="00E229ED">
        <w:trPr>
          <w:trHeight w:val="89"/>
        </w:trPr>
        <w:tc>
          <w:tcPr>
            <w:tcW w:w="2196"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784EE8" w:rsidRPr="00321529" w:rsidRDefault="00784EE8" w:rsidP="00784EE8">
            <w:pPr>
              <w:jc w:val="right"/>
              <w:rPr>
                <w:color w:val="000000"/>
                <w:sz w:val="20"/>
              </w:rPr>
            </w:pPr>
            <w:r w:rsidRPr="00321529">
              <w:rPr>
                <w:color w:val="000000"/>
                <w:sz w:val="20"/>
              </w:rPr>
              <w:t>2020</w:t>
            </w:r>
          </w:p>
        </w:tc>
        <w:tc>
          <w:tcPr>
            <w:tcW w:w="14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784EE8" w:rsidP="00EE3622">
            <w:pPr>
              <w:jc w:val="center"/>
              <w:rPr>
                <w:sz w:val="20"/>
              </w:rPr>
            </w:pPr>
            <w:r w:rsidRPr="00321529">
              <w:rPr>
                <w:sz w:val="20"/>
              </w:rPr>
              <w:t>25.2</w:t>
            </w:r>
          </w:p>
        </w:tc>
        <w:tc>
          <w:tcPr>
            <w:tcW w:w="15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E57780" w:rsidP="00EE3622">
            <w:pPr>
              <w:jc w:val="center"/>
              <w:rPr>
                <w:sz w:val="20"/>
              </w:rPr>
            </w:pPr>
            <w:r w:rsidRPr="00321529">
              <w:rPr>
                <w:sz w:val="20"/>
              </w:rPr>
              <w:t>-</w:t>
            </w:r>
          </w:p>
        </w:tc>
        <w:tc>
          <w:tcPr>
            <w:tcW w:w="10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806432" w:rsidP="00EE3622">
            <w:pPr>
              <w:jc w:val="center"/>
              <w:rPr>
                <w:sz w:val="20"/>
              </w:rPr>
            </w:pPr>
            <w:r w:rsidRPr="00321529">
              <w:rPr>
                <w:sz w:val="20"/>
              </w:rPr>
              <w:t>2</w:t>
            </w:r>
          </w:p>
        </w:tc>
        <w:tc>
          <w:tcPr>
            <w:tcW w:w="10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321529" w:rsidP="00EE3622">
            <w:pPr>
              <w:jc w:val="center"/>
              <w:rPr>
                <w:sz w:val="20"/>
              </w:rPr>
            </w:pPr>
            <w:r w:rsidRPr="00321529">
              <w:rPr>
                <w:sz w:val="20"/>
              </w:rPr>
              <w:t>6.9</w:t>
            </w:r>
          </w:p>
        </w:tc>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806432" w:rsidP="00600BED">
            <w:pPr>
              <w:jc w:val="center"/>
              <w:rPr>
                <w:sz w:val="20"/>
              </w:rPr>
            </w:pPr>
            <w:r w:rsidRPr="00321529">
              <w:rPr>
                <w:sz w:val="20"/>
              </w:rPr>
              <w:t>81</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321529" w:rsidP="00EE3622">
            <w:pPr>
              <w:jc w:val="center"/>
              <w:rPr>
                <w:sz w:val="20"/>
              </w:rPr>
            </w:pPr>
            <w:r w:rsidRPr="00321529">
              <w:rPr>
                <w:sz w:val="20"/>
              </w:rPr>
              <w:t>2.3</w:t>
            </w:r>
          </w:p>
        </w:tc>
      </w:tr>
      <w:tr w:rsidR="00784EE8" w:rsidRPr="00321529" w:rsidTr="00E229ED">
        <w:trPr>
          <w:trHeight w:val="97"/>
        </w:trPr>
        <w:tc>
          <w:tcPr>
            <w:tcW w:w="2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4EE8" w:rsidRPr="00321529" w:rsidRDefault="00784EE8" w:rsidP="00EE3622">
            <w:pPr>
              <w:rPr>
                <w:sz w:val="20"/>
              </w:rPr>
            </w:pPr>
            <w:r w:rsidRPr="00321529">
              <w:rPr>
                <w:color w:val="000000"/>
                <w:sz w:val="20"/>
              </w:rPr>
              <w:t>Moderate</w:t>
            </w:r>
          </w:p>
        </w:tc>
        <w:tc>
          <w:tcPr>
            <w:tcW w:w="7232"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784EE8" w:rsidP="00EE3622">
            <w:pPr>
              <w:rPr>
                <w:sz w:val="20"/>
              </w:rPr>
            </w:pPr>
          </w:p>
        </w:tc>
      </w:tr>
      <w:tr w:rsidR="00784EE8" w:rsidRPr="00321529" w:rsidTr="00E229ED">
        <w:trPr>
          <w:trHeight w:val="89"/>
        </w:trPr>
        <w:tc>
          <w:tcPr>
            <w:tcW w:w="2196"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784EE8" w:rsidRPr="00321529" w:rsidRDefault="00784EE8" w:rsidP="00784EE8">
            <w:pPr>
              <w:jc w:val="right"/>
              <w:rPr>
                <w:sz w:val="20"/>
              </w:rPr>
            </w:pPr>
            <w:r w:rsidRPr="00321529">
              <w:rPr>
                <w:color w:val="000000"/>
                <w:sz w:val="20"/>
              </w:rPr>
              <w:t>2019</w:t>
            </w:r>
          </w:p>
        </w:tc>
        <w:tc>
          <w:tcPr>
            <w:tcW w:w="14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784EE8" w:rsidP="00784EE8">
            <w:pPr>
              <w:jc w:val="center"/>
              <w:rPr>
                <w:sz w:val="20"/>
              </w:rPr>
            </w:pPr>
            <w:r w:rsidRPr="00321529">
              <w:rPr>
                <w:sz w:val="20"/>
              </w:rPr>
              <w:t>17.3</w:t>
            </w:r>
          </w:p>
        </w:tc>
        <w:tc>
          <w:tcPr>
            <w:tcW w:w="15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B320E9" w:rsidP="00784EE8">
            <w:pPr>
              <w:jc w:val="center"/>
              <w:rPr>
                <w:sz w:val="20"/>
              </w:rPr>
            </w:pPr>
            <w:r w:rsidRPr="00321529">
              <w:rPr>
                <w:sz w:val="20"/>
              </w:rPr>
              <w:t>23.8</w:t>
            </w:r>
          </w:p>
        </w:tc>
        <w:tc>
          <w:tcPr>
            <w:tcW w:w="10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82034A" w:rsidP="00784EE8">
            <w:pPr>
              <w:jc w:val="center"/>
              <w:rPr>
                <w:sz w:val="20"/>
              </w:rPr>
            </w:pPr>
            <w:r w:rsidRPr="00321529">
              <w:rPr>
                <w:sz w:val="20"/>
              </w:rPr>
              <w:t>4</w:t>
            </w:r>
          </w:p>
        </w:tc>
        <w:tc>
          <w:tcPr>
            <w:tcW w:w="10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321529" w:rsidP="00784EE8">
            <w:pPr>
              <w:jc w:val="center"/>
              <w:rPr>
                <w:sz w:val="20"/>
              </w:rPr>
            </w:pPr>
            <w:r w:rsidRPr="00321529">
              <w:rPr>
                <w:sz w:val="20"/>
              </w:rPr>
              <w:t>16.0</w:t>
            </w:r>
          </w:p>
        </w:tc>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82034A" w:rsidP="00784EE8">
            <w:pPr>
              <w:jc w:val="center"/>
              <w:rPr>
                <w:sz w:val="20"/>
              </w:rPr>
            </w:pPr>
            <w:r w:rsidRPr="00321529">
              <w:rPr>
                <w:sz w:val="20"/>
              </w:rPr>
              <w:t>127</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321529" w:rsidP="00784EE8">
            <w:pPr>
              <w:jc w:val="center"/>
              <w:rPr>
                <w:sz w:val="20"/>
              </w:rPr>
            </w:pPr>
            <w:r w:rsidRPr="00321529">
              <w:rPr>
                <w:sz w:val="20"/>
              </w:rPr>
              <w:t>8.4</w:t>
            </w:r>
          </w:p>
        </w:tc>
      </w:tr>
      <w:tr w:rsidR="00784EE8" w:rsidRPr="00321529" w:rsidTr="00E229ED">
        <w:trPr>
          <w:trHeight w:val="89"/>
        </w:trPr>
        <w:tc>
          <w:tcPr>
            <w:tcW w:w="2196"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784EE8" w:rsidRPr="00321529" w:rsidRDefault="00784EE8" w:rsidP="00784EE8">
            <w:pPr>
              <w:jc w:val="right"/>
              <w:rPr>
                <w:sz w:val="20"/>
              </w:rPr>
            </w:pPr>
            <w:r w:rsidRPr="00321529">
              <w:rPr>
                <w:color w:val="000000"/>
                <w:sz w:val="20"/>
              </w:rPr>
              <w:t>2020</w:t>
            </w:r>
          </w:p>
        </w:tc>
        <w:tc>
          <w:tcPr>
            <w:tcW w:w="14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784EE8" w:rsidP="00784EE8">
            <w:pPr>
              <w:jc w:val="center"/>
              <w:rPr>
                <w:sz w:val="20"/>
              </w:rPr>
            </w:pPr>
            <w:r w:rsidRPr="00321529">
              <w:rPr>
                <w:sz w:val="20"/>
              </w:rPr>
              <w:t>17.3</w:t>
            </w:r>
          </w:p>
        </w:tc>
        <w:tc>
          <w:tcPr>
            <w:tcW w:w="15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E57780" w:rsidP="00784EE8">
            <w:pPr>
              <w:jc w:val="center"/>
              <w:rPr>
                <w:sz w:val="20"/>
              </w:rPr>
            </w:pPr>
            <w:r w:rsidRPr="00321529">
              <w:rPr>
                <w:sz w:val="20"/>
              </w:rPr>
              <w:t>-</w:t>
            </w:r>
          </w:p>
        </w:tc>
        <w:tc>
          <w:tcPr>
            <w:tcW w:w="10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806432" w:rsidP="00600BED">
            <w:pPr>
              <w:jc w:val="center"/>
              <w:rPr>
                <w:sz w:val="20"/>
              </w:rPr>
            </w:pPr>
            <w:r w:rsidRPr="00321529">
              <w:rPr>
                <w:sz w:val="20"/>
              </w:rPr>
              <w:t>6</w:t>
            </w:r>
          </w:p>
        </w:tc>
        <w:tc>
          <w:tcPr>
            <w:tcW w:w="10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321529" w:rsidP="00784EE8">
            <w:pPr>
              <w:jc w:val="center"/>
              <w:rPr>
                <w:sz w:val="20"/>
              </w:rPr>
            </w:pPr>
            <w:r w:rsidRPr="00321529">
              <w:rPr>
                <w:sz w:val="20"/>
              </w:rPr>
              <w:t>20.7</w:t>
            </w:r>
          </w:p>
        </w:tc>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806432" w:rsidP="00600BED">
            <w:pPr>
              <w:jc w:val="center"/>
              <w:rPr>
                <w:sz w:val="20"/>
              </w:rPr>
            </w:pPr>
            <w:r w:rsidRPr="00321529">
              <w:rPr>
                <w:sz w:val="20"/>
              </w:rPr>
              <w:t>358</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321529" w:rsidP="00784EE8">
            <w:pPr>
              <w:jc w:val="center"/>
              <w:rPr>
                <w:sz w:val="20"/>
              </w:rPr>
            </w:pPr>
            <w:r w:rsidRPr="00321529">
              <w:rPr>
                <w:sz w:val="20"/>
              </w:rPr>
              <w:t>10.2</w:t>
            </w:r>
          </w:p>
        </w:tc>
      </w:tr>
      <w:tr w:rsidR="00784EE8" w:rsidRPr="00321529" w:rsidTr="00E229ED">
        <w:trPr>
          <w:trHeight w:val="97"/>
        </w:trPr>
        <w:tc>
          <w:tcPr>
            <w:tcW w:w="2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4EE8" w:rsidRPr="00321529" w:rsidRDefault="00784EE8" w:rsidP="00EE3622">
            <w:pPr>
              <w:rPr>
                <w:sz w:val="20"/>
              </w:rPr>
            </w:pPr>
            <w:r w:rsidRPr="00321529">
              <w:rPr>
                <w:color w:val="000000"/>
                <w:sz w:val="20"/>
              </w:rPr>
              <w:t>Middle</w:t>
            </w:r>
          </w:p>
        </w:tc>
        <w:tc>
          <w:tcPr>
            <w:tcW w:w="7232"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784EE8" w:rsidP="00EE3622">
            <w:pPr>
              <w:rPr>
                <w:sz w:val="20"/>
              </w:rPr>
            </w:pPr>
          </w:p>
        </w:tc>
      </w:tr>
      <w:tr w:rsidR="00784EE8" w:rsidRPr="00321529" w:rsidTr="00E229ED">
        <w:trPr>
          <w:trHeight w:val="12"/>
        </w:trPr>
        <w:tc>
          <w:tcPr>
            <w:tcW w:w="2196"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784EE8" w:rsidRPr="00321529" w:rsidRDefault="00784EE8" w:rsidP="00784EE8">
            <w:pPr>
              <w:jc w:val="right"/>
              <w:rPr>
                <w:sz w:val="20"/>
              </w:rPr>
            </w:pPr>
            <w:r w:rsidRPr="00321529">
              <w:rPr>
                <w:color w:val="000000"/>
                <w:sz w:val="20"/>
              </w:rPr>
              <w:t>2019</w:t>
            </w:r>
          </w:p>
        </w:tc>
        <w:tc>
          <w:tcPr>
            <w:tcW w:w="14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784EE8" w:rsidP="00784EE8">
            <w:pPr>
              <w:jc w:val="center"/>
              <w:rPr>
                <w:sz w:val="20"/>
              </w:rPr>
            </w:pPr>
            <w:r w:rsidRPr="00321529">
              <w:rPr>
                <w:sz w:val="20"/>
              </w:rPr>
              <w:t>19.1</w:t>
            </w:r>
          </w:p>
        </w:tc>
        <w:tc>
          <w:tcPr>
            <w:tcW w:w="15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B320E9" w:rsidP="00784EE8">
            <w:pPr>
              <w:jc w:val="center"/>
              <w:rPr>
                <w:sz w:val="20"/>
              </w:rPr>
            </w:pPr>
            <w:r w:rsidRPr="00321529">
              <w:rPr>
                <w:sz w:val="20"/>
              </w:rPr>
              <w:t>23.3</w:t>
            </w:r>
          </w:p>
        </w:tc>
        <w:tc>
          <w:tcPr>
            <w:tcW w:w="10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82034A" w:rsidP="00784EE8">
            <w:pPr>
              <w:jc w:val="center"/>
              <w:rPr>
                <w:sz w:val="20"/>
              </w:rPr>
            </w:pPr>
            <w:r w:rsidRPr="00321529">
              <w:rPr>
                <w:sz w:val="20"/>
              </w:rPr>
              <w:t>9</w:t>
            </w:r>
          </w:p>
        </w:tc>
        <w:tc>
          <w:tcPr>
            <w:tcW w:w="10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321529" w:rsidP="00784EE8">
            <w:pPr>
              <w:jc w:val="center"/>
              <w:rPr>
                <w:sz w:val="20"/>
              </w:rPr>
            </w:pPr>
            <w:r w:rsidRPr="00321529">
              <w:rPr>
                <w:sz w:val="20"/>
              </w:rPr>
              <w:t>36.0</w:t>
            </w:r>
          </w:p>
        </w:tc>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82034A" w:rsidP="00784EE8">
            <w:pPr>
              <w:jc w:val="center"/>
              <w:rPr>
                <w:sz w:val="20"/>
              </w:rPr>
            </w:pPr>
            <w:r w:rsidRPr="00321529">
              <w:rPr>
                <w:sz w:val="20"/>
              </w:rPr>
              <w:t>425</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321529" w:rsidP="00784EE8">
            <w:pPr>
              <w:jc w:val="center"/>
              <w:rPr>
                <w:sz w:val="20"/>
              </w:rPr>
            </w:pPr>
            <w:r w:rsidRPr="00321529">
              <w:rPr>
                <w:sz w:val="20"/>
              </w:rPr>
              <w:t>28.3</w:t>
            </w:r>
          </w:p>
        </w:tc>
      </w:tr>
      <w:tr w:rsidR="00784EE8" w:rsidRPr="00321529" w:rsidTr="00E229ED">
        <w:trPr>
          <w:trHeight w:val="89"/>
        </w:trPr>
        <w:tc>
          <w:tcPr>
            <w:tcW w:w="2196"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784EE8" w:rsidRPr="00321529" w:rsidRDefault="00784EE8" w:rsidP="00784EE8">
            <w:pPr>
              <w:jc w:val="right"/>
              <w:rPr>
                <w:sz w:val="20"/>
              </w:rPr>
            </w:pPr>
            <w:r w:rsidRPr="00321529">
              <w:rPr>
                <w:color w:val="000000"/>
                <w:sz w:val="20"/>
              </w:rPr>
              <w:t>2020</w:t>
            </w:r>
          </w:p>
        </w:tc>
        <w:tc>
          <w:tcPr>
            <w:tcW w:w="14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784EE8" w:rsidP="00784EE8">
            <w:pPr>
              <w:jc w:val="center"/>
              <w:rPr>
                <w:sz w:val="20"/>
              </w:rPr>
            </w:pPr>
            <w:r w:rsidRPr="00321529">
              <w:rPr>
                <w:sz w:val="20"/>
              </w:rPr>
              <w:t>19.1</w:t>
            </w:r>
          </w:p>
        </w:tc>
        <w:tc>
          <w:tcPr>
            <w:tcW w:w="15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E57780" w:rsidP="00784EE8">
            <w:pPr>
              <w:jc w:val="center"/>
              <w:rPr>
                <w:sz w:val="20"/>
              </w:rPr>
            </w:pPr>
            <w:r w:rsidRPr="00321529">
              <w:rPr>
                <w:sz w:val="20"/>
              </w:rPr>
              <w:t>-</w:t>
            </w:r>
          </w:p>
        </w:tc>
        <w:tc>
          <w:tcPr>
            <w:tcW w:w="10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806432" w:rsidP="00600BED">
            <w:pPr>
              <w:jc w:val="center"/>
              <w:rPr>
                <w:sz w:val="20"/>
              </w:rPr>
            </w:pPr>
            <w:r w:rsidRPr="00321529">
              <w:rPr>
                <w:sz w:val="20"/>
              </w:rPr>
              <w:t>7</w:t>
            </w:r>
          </w:p>
        </w:tc>
        <w:tc>
          <w:tcPr>
            <w:tcW w:w="10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321529" w:rsidP="00784EE8">
            <w:pPr>
              <w:jc w:val="center"/>
              <w:rPr>
                <w:sz w:val="20"/>
              </w:rPr>
            </w:pPr>
            <w:r w:rsidRPr="00321529">
              <w:rPr>
                <w:sz w:val="20"/>
              </w:rPr>
              <w:t>24.1</w:t>
            </w:r>
          </w:p>
        </w:tc>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806432" w:rsidP="00600BED">
            <w:pPr>
              <w:jc w:val="center"/>
              <w:rPr>
                <w:sz w:val="20"/>
              </w:rPr>
            </w:pPr>
            <w:r w:rsidRPr="00321529">
              <w:rPr>
                <w:sz w:val="20"/>
              </w:rPr>
              <w:t>574</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321529" w:rsidP="00784EE8">
            <w:pPr>
              <w:jc w:val="center"/>
              <w:rPr>
                <w:sz w:val="20"/>
              </w:rPr>
            </w:pPr>
            <w:r w:rsidRPr="00321529">
              <w:rPr>
                <w:sz w:val="20"/>
              </w:rPr>
              <w:t>16.4</w:t>
            </w:r>
          </w:p>
        </w:tc>
      </w:tr>
      <w:tr w:rsidR="00784EE8" w:rsidRPr="00321529" w:rsidTr="00E229ED">
        <w:trPr>
          <w:trHeight w:val="97"/>
        </w:trPr>
        <w:tc>
          <w:tcPr>
            <w:tcW w:w="2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4EE8" w:rsidRPr="00321529" w:rsidRDefault="00784EE8" w:rsidP="00EE3622">
            <w:pPr>
              <w:rPr>
                <w:sz w:val="20"/>
              </w:rPr>
            </w:pPr>
            <w:r w:rsidRPr="00321529">
              <w:rPr>
                <w:color w:val="000000"/>
                <w:sz w:val="20"/>
              </w:rPr>
              <w:t>Upper</w:t>
            </w:r>
          </w:p>
        </w:tc>
        <w:tc>
          <w:tcPr>
            <w:tcW w:w="7232"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784EE8" w:rsidP="00EE3622">
            <w:pPr>
              <w:rPr>
                <w:sz w:val="20"/>
              </w:rPr>
            </w:pPr>
          </w:p>
        </w:tc>
      </w:tr>
      <w:tr w:rsidR="00784EE8" w:rsidRPr="00321529" w:rsidTr="00E229ED">
        <w:trPr>
          <w:trHeight w:val="89"/>
        </w:trPr>
        <w:tc>
          <w:tcPr>
            <w:tcW w:w="2196"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784EE8" w:rsidRPr="00321529" w:rsidRDefault="00784EE8" w:rsidP="00784EE8">
            <w:pPr>
              <w:jc w:val="right"/>
              <w:rPr>
                <w:sz w:val="20"/>
              </w:rPr>
            </w:pPr>
            <w:r w:rsidRPr="00321529">
              <w:rPr>
                <w:color w:val="000000"/>
                <w:sz w:val="20"/>
              </w:rPr>
              <w:t>2019</w:t>
            </w:r>
          </w:p>
        </w:tc>
        <w:tc>
          <w:tcPr>
            <w:tcW w:w="14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784EE8" w:rsidP="00784EE8">
            <w:pPr>
              <w:jc w:val="center"/>
              <w:rPr>
                <w:sz w:val="20"/>
              </w:rPr>
            </w:pPr>
            <w:r w:rsidRPr="00321529">
              <w:rPr>
                <w:sz w:val="20"/>
              </w:rPr>
              <w:t>38.3</w:t>
            </w:r>
          </w:p>
        </w:tc>
        <w:tc>
          <w:tcPr>
            <w:tcW w:w="15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B320E9" w:rsidP="00784EE8">
            <w:pPr>
              <w:jc w:val="center"/>
              <w:rPr>
                <w:sz w:val="20"/>
              </w:rPr>
            </w:pPr>
            <w:r w:rsidRPr="00321529">
              <w:rPr>
                <w:sz w:val="20"/>
              </w:rPr>
              <w:t>31.1</w:t>
            </w:r>
          </w:p>
        </w:tc>
        <w:tc>
          <w:tcPr>
            <w:tcW w:w="10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82034A" w:rsidP="00784EE8">
            <w:pPr>
              <w:jc w:val="center"/>
              <w:rPr>
                <w:sz w:val="20"/>
              </w:rPr>
            </w:pPr>
            <w:r w:rsidRPr="00321529">
              <w:rPr>
                <w:sz w:val="20"/>
              </w:rPr>
              <w:t>11</w:t>
            </w:r>
          </w:p>
        </w:tc>
        <w:tc>
          <w:tcPr>
            <w:tcW w:w="10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321529" w:rsidP="00784EE8">
            <w:pPr>
              <w:jc w:val="center"/>
              <w:rPr>
                <w:sz w:val="20"/>
              </w:rPr>
            </w:pPr>
            <w:r w:rsidRPr="00321529">
              <w:rPr>
                <w:sz w:val="20"/>
              </w:rPr>
              <w:t>44.0</w:t>
            </w:r>
          </w:p>
        </w:tc>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82034A" w:rsidP="00784EE8">
            <w:pPr>
              <w:jc w:val="center"/>
              <w:rPr>
                <w:sz w:val="20"/>
              </w:rPr>
            </w:pPr>
            <w:r w:rsidRPr="00321529">
              <w:rPr>
                <w:sz w:val="20"/>
              </w:rPr>
              <w:t>884</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321529" w:rsidP="00784EE8">
            <w:pPr>
              <w:jc w:val="center"/>
              <w:rPr>
                <w:sz w:val="20"/>
              </w:rPr>
            </w:pPr>
            <w:r w:rsidRPr="00321529">
              <w:rPr>
                <w:sz w:val="20"/>
              </w:rPr>
              <w:t>58.8</w:t>
            </w:r>
          </w:p>
        </w:tc>
      </w:tr>
      <w:tr w:rsidR="00784EE8" w:rsidRPr="00321529" w:rsidTr="00E229ED">
        <w:trPr>
          <w:trHeight w:val="89"/>
        </w:trPr>
        <w:tc>
          <w:tcPr>
            <w:tcW w:w="2196"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784EE8" w:rsidRPr="00321529" w:rsidRDefault="00784EE8" w:rsidP="00784EE8">
            <w:pPr>
              <w:jc w:val="right"/>
              <w:rPr>
                <w:sz w:val="20"/>
              </w:rPr>
            </w:pPr>
            <w:r w:rsidRPr="00321529">
              <w:rPr>
                <w:color w:val="000000"/>
                <w:sz w:val="20"/>
              </w:rPr>
              <w:t>2020</w:t>
            </w:r>
          </w:p>
        </w:tc>
        <w:tc>
          <w:tcPr>
            <w:tcW w:w="14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784EE8" w:rsidP="00784EE8">
            <w:pPr>
              <w:jc w:val="center"/>
              <w:rPr>
                <w:sz w:val="20"/>
              </w:rPr>
            </w:pPr>
            <w:r w:rsidRPr="00321529">
              <w:rPr>
                <w:sz w:val="20"/>
              </w:rPr>
              <w:t>38.3</w:t>
            </w:r>
          </w:p>
        </w:tc>
        <w:tc>
          <w:tcPr>
            <w:tcW w:w="15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E57780" w:rsidP="00784EE8">
            <w:pPr>
              <w:jc w:val="center"/>
              <w:rPr>
                <w:sz w:val="20"/>
              </w:rPr>
            </w:pPr>
            <w:r w:rsidRPr="00321529">
              <w:rPr>
                <w:sz w:val="20"/>
              </w:rPr>
              <w:t>-</w:t>
            </w:r>
          </w:p>
        </w:tc>
        <w:tc>
          <w:tcPr>
            <w:tcW w:w="10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806432" w:rsidP="00784EE8">
            <w:pPr>
              <w:jc w:val="center"/>
              <w:rPr>
                <w:sz w:val="20"/>
              </w:rPr>
            </w:pPr>
            <w:r w:rsidRPr="00321529">
              <w:rPr>
                <w:sz w:val="20"/>
              </w:rPr>
              <w:t>14</w:t>
            </w:r>
          </w:p>
        </w:tc>
        <w:tc>
          <w:tcPr>
            <w:tcW w:w="10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321529" w:rsidP="00784EE8">
            <w:pPr>
              <w:jc w:val="center"/>
              <w:rPr>
                <w:sz w:val="20"/>
              </w:rPr>
            </w:pPr>
            <w:r w:rsidRPr="00321529">
              <w:rPr>
                <w:sz w:val="20"/>
              </w:rPr>
              <w:t>48.3</w:t>
            </w:r>
          </w:p>
        </w:tc>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806432" w:rsidP="00600BED">
            <w:pPr>
              <w:jc w:val="center"/>
              <w:rPr>
                <w:sz w:val="20"/>
              </w:rPr>
            </w:pPr>
            <w:r w:rsidRPr="00321529">
              <w:rPr>
                <w:sz w:val="20"/>
              </w:rPr>
              <w:t>2,494</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321529" w:rsidP="00784EE8">
            <w:pPr>
              <w:jc w:val="center"/>
              <w:rPr>
                <w:sz w:val="20"/>
              </w:rPr>
            </w:pPr>
            <w:r w:rsidRPr="00321529">
              <w:rPr>
                <w:sz w:val="20"/>
              </w:rPr>
              <w:t>71.1</w:t>
            </w:r>
          </w:p>
        </w:tc>
      </w:tr>
      <w:tr w:rsidR="00784EE8" w:rsidRPr="00321529" w:rsidTr="00E229ED">
        <w:trPr>
          <w:trHeight w:val="97"/>
        </w:trPr>
        <w:tc>
          <w:tcPr>
            <w:tcW w:w="2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4EE8" w:rsidRPr="00321529" w:rsidRDefault="00784EE8" w:rsidP="00EE3622">
            <w:pPr>
              <w:rPr>
                <w:sz w:val="20"/>
              </w:rPr>
            </w:pPr>
            <w:r w:rsidRPr="00321529">
              <w:rPr>
                <w:color w:val="000000"/>
                <w:sz w:val="20"/>
              </w:rPr>
              <w:t>Not Available</w:t>
            </w:r>
          </w:p>
        </w:tc>
        <w:tc>
          <w:tcPr>
            <w:tcW w:w="7232"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784EE8" w:rsidP="00EE3622">
            <w:pPr>
              <w:rPr>
                <w:sz w:val="20"/>
              </w:rPr>
            </w:pPr>
          </w:p>
        </w:tc>
      </w:tr>
      <w:tr w:rsidR="00784EE8" w:rsidRPr="00321529" w:rsidTr="00E229ED">
        <w:trPr>
          <w:trHeight w:val="89"/>
        </w:trPr>
        <w:tc>
          <w:tcPr>
            <w:tcW w:w="2196"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784EE8" w:rsidRPr="00321529" w:rsidRDefault="00784EE8" w:rsidP="00784EE8">
            <w:pPr>
              <w:jc w:val="right"/>
              <w:rPr>
                <w:sz w:val="20"/>
              </w:rPr>
            </w:pPr>
            <w:r w:rsidRPr="00321529">
              <w:rPr>
                <w:color w:val="000000"/>
                <w:sz w:val="20"/>
              </w:rPr>
              <w:t>2019</w:t>
            </w:r>
          </w:p>
        </w:tc>
        <w:tc>
          <w:tcPr>
            <w:tcW w:w="14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784EE8" w:rsidP="00784EE8">
            <w:pPr>
              <w:jc w:val="center"/>
              <w:rPr>
                <w:sz w:val="20"/>
              </w:rPr>
            </w:pPr>
            <w:r w:rsidRPr="00321529">
              <w:rPr>
                <w:sz w:val="20"/>
              </w:rPr>
              <w:t>0.0</w:t>
            </w:r>
          </w:p>
        </w:tc>
        <w:tc>
          <w:tcPr>
            <w:tcW w:w="15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B320E9" w:rsidP="00784EE8">
            <w:pPr>
              <w:jc w:val="center"/>
              <w:rPr>
                <w:sz w:val="20"/>
              </w:rPr>
            </w:pPr>
            <w:r w:rsidRPr="00321529">
              <w:rPr>
                <w:sz w:val="20"/>
              </w:rPr>
              <w:t>11.2</w:t>
            </w:r>
          </w:p>
        </w:tc>
        <w:tc>
          <w:tcPr>
            <w:tcW w:w="10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82034A" w:rsidP="00784EE8">
            <w:pPr>
              <w:jc w:val="center"/>
              <w:rPr>
                <w:sz w:val="20"/>
              </w:rPr>
            </w:pPr>
            <w:r w:rsidRPr="00321529">
              <w:rPr>
                <w:sz w:val="20"/>
              </w:rPr>
              <w:t>0</w:t>
            </w:r>
          </w:p>
        </w:tc>
        <w:tc>
          <w:tcPr>
            <w:tcW w:w="10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321529" w:rsidP="00784EE8">
            <w:pPr>
              <w:jc w:val="center"/>
              <w:rPr>
                <w:sz w:val="20"/>
              </w:rPr>
            </w:pPr>
            <w:r w:rsidRPr="00321529">
              <w:rPr>
                <w:sz w:val="20"/>
              </w:rPr>
              <w:t>0.0</w:t>
            </w:r>
          </w:p>
        </w:tc>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82034A" w:rsidP="00784EE8">
            <w:pPr>
              <w:jc w:val="center"/>
              <w:rPr>
                <w:sz w:val="20"/>
              </w:rPr>
            </w:pPr>
            <w:r w:rsidRPr="00321529">
              <w:rPr>
                <w:sz w:val="20"/>
              </w:rPr>
              <w:t>0</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321529" w:rsidP="00784EE8">
            <w:pPr>
              <w:jc w:val="center"/>
              <w:rPr>
                <w:sz w:val="20"/>
              </w:rPr>
            </w:pPr>
            <w:r w:rsidRPr="00321529">
              <w:rPr>
                <w:sz w:val="20"/>
              </w:rPr>
              <w:t>0.0</w:t>
            </w:r>
          </w:p>
        </w:tc>
      </w:tr>
      <w:tr w:rsidR="00784EE8" w:rsidRPr="00321529" w:rsidTr="00E229ED">
        <w:trPr>
          <w:trHeight w:val="89"/>
        </w:trPr>
        <w:tc>
          <w:tcPr>
            <w:tcW w:w="2196"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784EE8" w:rsidRPr="00321529" w:rsidRDefault="00784EE8" w:rsidP="00784EE8">
            <w:pPr>
              <w:jc w:val="right"/>
              <w:rPr>
                <w:sz w:val="20"/>
              </w:rPr>
            </w:pPr>
            <w:r w:rsidRPr="00321529">
              <w:rPr>
                <w:color w:val="000000"/>
                <w:sz w:val="20"/>
              </w:rPr>
              <w:t>2020</w:t>
            </w:r>
          </w:p>
        </w:tc>
        <w:tc>
          <w:tcPr>
            <w:tcW w:w="14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784EE8" w:rsidP="00784EE8">
            <w:pPr>
              <w:jc w:val="center"/>
              <w:rPr>
                <w:sz w:val="20"/>
              </w:rPr>
            </w:pPr>
            <w:r w:rsidRPr="00321529">
              <w:rPr>
                <w:sz w:val="20"/>
              </w:rPr>
              <w:t>0.0</w:t>
            </w:r>
          </w:p>
        </w:tc>
        <w:tc>
          <w:tcPr>
            <w:tcW w:w="15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E57780" w:rsidP="00784EE8">
            <w:pPr>
              <w:jc w:val="center"/>
              <w:rPr>
                <w:sz w:val="20"/>
              </w:rPr>
            </w:pPr>
            <w:r w:rsidRPr="00321529">
              <w:rPr>
                <w:sz w:val="20"/>
              </w:rPr>
              <w:t>-</w:t>
            </w:r>
          </w:p>
        </w:tc>
        <w:tc>
          <w:tcPr>
            <w:tcW w:w="10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321529" w:rsidP="00784EE8">
            <w:pPr>
              <w:jc w:val="center"/>
              <w:rPr>
                <w:sz w:val="20"/>
              </w:rPr>
            </w:pPr>
            <w:r w:rsidRPr="00321529">
              <w:rPr>
                <w:sz w:val="20"/>
              </w:rPr>
              <w:t>0</w:t>
            </w:r>
          </w:p>
        </w:tc>
        <w:tc>
          <w:tcPr>
            <w:tcW w:w="10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321529" w:rsidP="00784EE8">
            <w:pPr>
              <w:jc w:val="center"/>
              <w:rPr>
                <w:sz w:val="20"/>
              </w:rPr>
            </w:pPr>
            <w:r w:rsidRPr="00321529">
              <w:rPr>
                <w:sz w:val="20"/>
              </w:rPr>
              <w:t>0.0</w:t>
            </w:r>
          </w:p>
        </w:tc>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321529" w:rsidP="00600BED">
            <w:pPr>
              <w:jc w:val="center"/>
              <w:rPr>
                <w:sz w:val="20"/>
              </w:rPr>
            </w:pPr>
            <w:r w:rsidRPr="00321529">
              <w:rPr>
                <w:sz w:val="20"/>
              </w:rPr>
              <w:t>0</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321529" w:rsidP="00784EE8">
            <w:pPr>
              <w:jc w:val="center"/>
              <w:rPr>
                <w:sz w:val="20"/>
              </w:rPr>
            </w:pPr>
            <w:r w:rsidRPr="00321529">
              <w:rPr>
                <w:sz w:val="20"/>
              </w:rPr>
              <w:t>0.0</w:t>
            </w:r>
          </w:p>
        </w:tc>
      </w:tr>
      <w:tr w:rsidR="00784EE8" w:rsidRPr="00321529" w:rsidTr="00E229ED">
        <w:trPr>
          <w:trHeight w:val="97"/>
        </w:trPr>
        <w:tc>
          <w:tcPr>
            <w:tcW w:w="2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84EE8" w:rsidRPr="00321529" w:rsidRDefault="00784EE8" w:rsidP="00EE3622">
            <w:pPr>
              <w:rPr>
                <w:sz w:val="20"/>
              </w:rPr>
            </w:pPr>
            <w:r w:rsidRPr="00321529">
              <w:rPr>
                <w:b/>
                <w:color w:val="000000"/>
                <w:sz w:val="20"/>
              </w:rPr>
              <w:t>Totals</w:t>
            </w:r>
          </w:p>
        </w:tc>
        <w:tc>
          <w:tcPr>
            <w:tcW w:w="7232"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784EE8" w:rsidP="00EE3622">
            <w:pPr>
              <w:rPr>
                <w:sz w:val="20"/>
              </w:rPr>
            </w:pPr>
          </w:p>
        </w:tc>
      </w:tr>
      <w:tr w:rsidR="00784EE8" w:rsidRPr="00321529" w:rsidTr="00E229ED">
        <w:trPr>
          <w:trHeight w:val="97"/>
        </w:trPr>
        <w:tc>
          <w:tcPr>
            <w:tcW w:w="2196"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784EE8" w:rsidRPr="00321529" w:rsidRDefault="00784EE8" w:rsidP="00784EE8">
            <w:pPr>
              <w:jc w:val="right"/>
              <w:rPr>
                <w:b/>
                <w:sz w:val="20"/>
              </w:rPr>
            </w:pPr>
            <w:r w:rsidRPr="00321529">
              <w:rPr>
                <w:b/>
                <w:color w:val="000000"/>
                <w:sz w:val="20"/>
              </w:rPr>
              <w:t>2019</w:t>
            </w:r>
          </w:p>
        </w:tc>
        <w:tc>
          <w:tcPr>
            <w:tcW w:w="14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784EE8" w:rsidP="00784EE8">
            <w:pPr>
              <w:jc w:val="center"/>
              <w:rPr>
                <w:b/>
                <w:sz w:val="20"/>
              </w:rPr>
            </w:pPr>
            <w:r w:rsidRPr="00321529">
              <w:rPr>
                <w:b/>
                <w:sz w:val="20"/>
              </w:rPr>
              <w:t>100.0</w:t>
            </w:r>
          </w:p>
        </w:tc>
        <w:tc>
          <w:tcPr>
            <w:tcW w:w="15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B320E9" w:rsidP="00784EE8">
            <w:pPr>
              <w:jc w:val="center"/>
              <w:rPr>
                <w:b/>
                <w:sz w:val="20"/>
              </w:rPr>
            </w:pPr>
            <w:r w:rsidRPr="00321529">
              <w:rPr>
                <w:b/>
                <w:sz w:val="20"/>
              </w:rPr>
              <w:t>100.0</w:t>
            </w:r>
          </w:p>
        </w:tc>
        <w:tc>
          <w:tcPr>
            <w:tcW w:w="10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82034A" w:rsidP="00784EE8">
            <w:pPr>
              <w:jc w:val="center"/>
              <w:rPr>
                <w:b/>
                <w:sz w:val="20"/>
              </w:rPr>
            </w:pPr>
            <w:r w:rsidRPr="00321529">
              <w:rPr>
                <w:b/>
                <w:sz w:val="20"/>
              </w:rPr>
              <w:t>25</w:t>
            </w:r>
          </w:p>
        </w:tc>
        <w:tc>
          <w:tcPr>
            <w:tcW w:w="10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321529" w:rsidP="00784EE8">
            <w:pPr>
              <w:jc w:val="center"/>
              <w:rPr>
                <w:b/>
                <w:sz w:val="20"/>
              </w:rPr>
            </w:pPr>
            <w:r w:rsidRPr="00321529">
              <w:rPr>
                <w:b/>
                <w:sz w:val="20"/>
              </w:rPr>
              <w:t>100.0</w:t>
            </w:r>
          </w:p>
        </w:tc>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82034A" w:rsidP="00784EE8">
            <w:pPr>
              <w:jc w:val="center"/>
              <w:rPr>
                <w:b/>
                <w:sz w:val="20"/>
              </w:rPr>
            </w:pPr>
            <w:r w:rsidRPr="00321529">
              <w:rPr>
                <w:b/>
                <w:sz w:val="20"/>
              </w:rPr>
              <w:t>1,504</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321529" w:rsidP="00784EE8">
            <w:pPr>
              <w:jc w:val="center"/>
              <w:rPr>
                <w:b/>
                <w:sz w:val="20"/>
              </w:rPr>
            </w:pPr>
            <w:r w:rsidRPr="00321529">
              <w:rPr>
                <w:b/>
                <w:sz w:val="20"/>
              </w:rPr>
              <w:t>100.0</w:t>
            </w:r>
          </w:p>
        </w:tc>
      </w:tr>
      <w:tr w:rsidR="00784EE8" w:rsidRPr="00321529" w:rsidTr="00E229ED">
        <w:trPr>
          <w:trHeight w:val="97"/>
        </w:trPr>
        <w:tc>
          <w:tcPr>
            <w:tcW w:w="2196"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784EE8" w:rsidRPr="00321529" w:rsidRDefault="00784EE8" w:rsidP="00784EE8">
            <w:pPr>
              <w:jc w:val="right"/>
              <w:rPr>
                <w:b/>
                <w:sz w:val="20"/>
              </w:rPr>
            </w:pPr>
            <w:r w:rsidRPr="00321529">
              <w:rPr>
                <w:b/>
                <w:color w:val="000000"/>
                <w:sz w:val="20"/>
              </w:rPr>
              <w:t>2020</w:t>
            </w:r>
          </w:p>
        </w:tc>
        <w:tc>
          <w:tcPr>
            <w:tcW w:w="14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784EE8" w:rsidP="00784EE8">
            <w:pPr>
              <w:jc w:val="center"/>
              <w:rPr>
                <w:b/>
                <w:sz w:val="20"/>
              </w:rPr>
            </w:pPr>
            <w:r w:rsidRPr="00321529">
              <w:rPr>
                <w:b/>
                <w:sz w:val="20"/>
              </w:rPr>
              <w:t>100.0</w:t>
            </w:r>
          </w:p>
        </w:tc>
        <w:tc>
          <w:tcPr>
            <w:tcW w:w="15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E57780" w:rsidP="00784EE8">
            <w:pPr>
              <w:jc w:val="center"/>
              <w:rPr>
                <w:b/>
                <w:sz w:val="20"/>
              </w:rPr>
            </w:pPr>
            <w:r w:rsidRPr="00321529">
              <w:rPr>
                <w:b/>
                <w:sz w:val="20"/>
              </w:rPr>
              <w:t>-</w:t>
            </w:r>
          </w:p>
        </w:tc>
        <w:tc>
          <w:tcPr>
            <w:tcW w:w="10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806432" w:rsidP="00784EE8">
            <w:pPr>
              <w:jc w:val="center"/>
              <w:rPr>
                <w:b/>
                <w:sz w:val="20"/>
              </w:rPr>
            </w:pPr>
            <w:r w:rsidRPr="00321529">
              <w:rPr>
                <w:b/>
                <w:sz w:val="20"/>
              </w:rPr>
              <w:t>29</w:t>
            </w:r>
          </w:p>
        </w:tc>
        <w:tc>
          <w:tcPr>
            <w:tcW w:w="10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321529" w:rsidP="00784EE8">
            <w:pPr>
              <w:jc w:val="center"/>
              <w:rPr>
                <w:b/>
                <w:sz w:val="20"/>
              </w:rPr>
            </w:pPr>
            <w:r w:rsidRPr="00321529">
              <w:rPr>
                <w:b/>
                <w:sz w:val="20"/>
              </w:rPr>
              <w:t>100.0</w:t>
            </w:r>
          </w:p>
        </w:tc>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806432" w:rsidP="00784EE8">
            <w:pPr>
              <w:jc w:val="center"/>
              <w:rPr>
                <w:b/>
                <w:sz w:val="20"/>
              </w:rPr>
            </w:pPr>
            <w:r w:rsidRPr="00321529">
              <w:rPr>
                <w:b/>
                <w:sz w:val="20"/>
              </w:rPr>
              <w:t>3,507</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84EE8" w:rsidRPr="00321529" w:rsidRDefault="00321529" w:rsidP="00784EE8">
            <w:pPr>
              <w:jc w:val="center"/>
              <w:rPr>
                <w:b/>
                <w:sz w:val="20"/>
              </w:rPr>
            </w:pPr>
            <w:r w:rsidRPr="00321529">
              <w:rPr>
                <w:b/>
                <w:sz w:val="20"/>
              </w:rPr>
              <w:t>100.0</w:t>
            </w:r>
          </w:p>
        </w:tc>
      </w:tr>
      <w:tr w:rsidR="00784EE8" w:rsidRPr="00321529" w:rsidTr="00E229ED">
        <w:trPr>
          <w:trHeight w:val="238"/>
        </w:trPr>
        <w:tc>
          <w:tcPr>
            <w:tcW w:w="9429" w:type="dxa"/>
            <w:gridSpan w:val="7"/>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rsidR="00784EE8" w:rsidRPr="00321529" w:rsidRDefault="00784EE8" w:rsidP="00784EE8">
            <w:pPr>
              <w:rPr>
                <w:sz w:val="20"/>
              </w:rPr>
            </w:pPr>
            <w:r w:rsidRPr="00321529">
              <w:rPr>
                <w:i/>
                <w:color w:val="000000"/>
                <w:sz w:val="20"/>
              </w:rPr>
              <w:t>Source: 2015 ACS Census; 1/1/2019 - 12/31/2020 credit union Data, 2019 HMDA Aggregate Data, "-" data not available.</w:t>
            </w:r>
          </w:p>
        </w:tc>
      </w:tr>
    </w:tbl>
    <w:p w:rsidR="00FD09A6" w:rsidRPr="003F3473" w:rsidRDefault="00FD09A6" w:rsidP="003912CC">
      <w:pPr>
        <w:pStyle w:val="QuickFormat1"/>
        <w:jc w:val="left"/>
        <w:rPr>
          <w:sz w:val="24"/>
          <w:szCs w:val="24"/>
          <w:highlight w:val="yellow"/>
          <w:u w:val="single"/>
          <w:lang w:val="en-US"/>
        </w:rPr>
      </w:pPr>
    </w:p>
    <w:p w:rsidR="002154E6" w:rsidRPr="00706EE3" w:rsidRDefault="002154E6" w:rsidP="003912CC">
      <w:pPr>
        <w:pStyle w:val="QuickFormat1"/>
        <w:jc w:val="left"/>
        <w:rPr>
          <w:sz w:val="24"/>
          <w:szCs w:val="24"/>
          <w:u w:val="single"/>
        </w:rPr>
      </w:pPr>
    </w:p>
    <w:p w:rsidR="003912CC" w:rsidRDefault="003912CC" w:rsidP="00E229ED">
      <w:pPr>
        <w:pStyle w:val="QuickFormat1"/>
        <w:jc w:val="both"/>
        <w:rPr>
          <w:sz w:val="24"/>
          <w:szCs w:val="24"/>
          <w:u w:val="single"/>
        </w:rPr>
      </w:pPr>
      <w:r w:rsidRPr="00706EE3">
        <w:rPr>
          <w:sz w:val="24"/>
          <w:szCs w:val="24"/>
          <w:u w:val="single"/>
        </w:rPr>
        <w:t>Response to Complaints</w:t>
      </w:r>
    </w:p>
    <w:p w:rsidR="002154E6" w:rsidRPr="002154E6" w:rsidRDefault="002154E6" w:rsidP="00E229ED">
      <w:pPr>
        <w:pStyle w:val="QuickFormat1"/>
        <w:jc w:val="both"/>
        <w:rPr>
          <w:sz w:val="24"/>
          <w:szCs w:val="24"/>
          <w:u w:val="single"/>
        </w:rPr>
      </w:pPr>
    </w:p>
    <w:p w:rsidR="003912CC" w:rsidRPr="00706EE3" w:rsidRDefault="00BB1B65" w:rsidP="00E229ED">
      <w:pPr>
        <w:jc w:val="both"/>
      </w:pPr>
      <w:r w:rsidRPr="00706EE3">
        <w:t xml:space="preserve">The </w:t>
      </w:r>
      <w:r w:rsidR="00F96AAB" w:rsidRPr="00706EE3">
        <w:t>c</w:t>
      </w:r>
      <w:r w:rsidR="003912CC" w:rsidRPr="00706EE3">
        <w:t xml:space="preserve">redit </w:t>
      </w:r>
      <w:r w:rsidR="00F96AAB" w:rsidRPr="00706EE3">
        <w:t>u</w:t>
      </w:r>
      <w:r w:rsidR="003912CC" w:rsidRPr="00706EE3">
        <w:t>nion did not receive any CRA-related complaints during the evaluation period.</w:t>
      </w:r>
    </w:p>
    <w:p w:rsidR="00AA743D" w:rsidRDefault="00AA743D" w:rsidP="00E229ED">
      <w:pPr>
        <w:tabs>
          <w:tab w:val="center" w:pos="4680"/>
        </w:tabs>
        <w:jc w:val="both"/>
        <w:rPr>
          <w:b/>
          <w:highlight w:val="yellow"/>
        </w:rPr>
      </w:pPr>
    </w:p>
    <w:p w:rsidR="00FD09A6" w:rsidRPr="00575420" w:rsidRDefault="00FD09A6" w:rsidP="00E229ED">
      <w:pPr>
        <w:tabs>
          <w:tab w:val="center" w:pos="4680"/>
        </w:tabs>
        <w:jc w:val="both"/>
        <w:rPr>
          <w:b/>
          <w:highlight w:val="yellow"/>
        </w:rPr>
      </w:pPr>
    </w:p>
    <w:p w:rsidR="003912CC" w:rsidRPr="00543B05" w:rsidRDefault="00AA743D" w:rsidP="00E229ED">
      <w:pPr>
        <w:tabs>
          <w:tab w:val="center" w:pos="4680"/>
        </w:tabs>
        <w:jc w:val="both"/>
        <w:rPr>
          <w:b/>
          <w:u w:val="single"/>
        </w:rPr>
      </w:pPr>
      <w:r w:rsidRPr="00543B05">
        <w:rPr>
          <w:b/>
          <w:u w:val="single"/>
        </w:rPr>
        <w:t>Discriminatory or Other Illegal Credit Practices Review</w:t>
      </w:r>
    </w:p>
    <w:p w:rsidR="002154E6" w:rsidRPr="00543B05" w:rsidRDefault="002154E6" w:rsidP="00E229ED">
      <w:pPr>
        <w:tabs>
          <w:tab w:val="center" w:pos="4680"/>
        </w:tabs>
        <w:jc w:val="both"/>
        <w:rPr>
          <w:b/>
          <w:u w:val="single"/>
        </w:rPr>
      </w:pPr>
    </w:p>
    <w:p w:rsidR="002154E6" w:rsidRPr="00543B05" w:rsidRDefault="002154E6" w:rsidP="00E229ED">
      <w:pPr>
        <w:keepLines/>
        <w:ind w:right="-144"/>
        <w:jc w:val="both"/>
        <w:rPr>
          <w:b/>
          <w:bCs/>
          <w:sz w:val="28"/>
          <w:szCs w:val="28"/>
        </w:rPr>
      </w:pPr>
      <w:r w:rsidRPr="00543B05">
        <w:rPr>
          <w:bCs/>
          <w:szCs w:val="28"/>
        </w:rPr>
        <w:t>Examiners did not identify any evidence of discriminatory or other illegal credit practices; therefore, this consideration did not affect the credit union’s overall rating.</w:t>
      </w:r>
    </w:p>
    <w:p w:rsidR="002154E6" w:rsidRDefault="002154E6" w:rsidP="00E229ED">
      <w:pPr>
        <w:tabs>
          <w:tab w:val="center" w:pos="4680"/>
        </w:tabs>
        <w:jc w:val="both"/>
        <w:rPr>
          <w:b/>
          <w:i/>
          <w:spacing w:val="-4"/>
        </w:rPr>
      </w:pPr>
    </w:p>
    <w:p w:rsidR="00FD09A6" w:rsidRDefault="00FD09A6" w:rsidP="00E229ED">
      <w:pPr>
        <w:tabs>
          <w:tab w:val="center" w:pos="4680"/>
        </w:tabs>
        <w:jc w:val="both"/>
        <w:rPr>
          <w:b/>
          <w:i/>
          <w:spacing w:val="-4"/>
        </w:rPr>
      </w:pPr>
    </w:p>
    <w:p w:rsidR="00FD09A6" w:rsidRPr="00543B05" w:rsidRDefault="00FD09A6" w:rsidP="00E229ED">
      <w:pPr>
        <w:tabs>
          <w:tab w:val="center" w:pos="4680"/>
        </w:tabs>
        <w:jc w:val="both"/>
        <w:rPr>
          <w:b/>
          <w:i/>
          <w:spacing w:val="-4"/>
        </w:rPr>
      </w:pPr>
    </w:p>
    <w:p w:rsidR="002154E6" w:rsidRPr="00543B05" w:rsidRDefault="002154E6" w:rsidP="00E229ED">
      <w:pPr>
        <w:tabs>
          <w:tab w:val="center" w:pos="4680"/>
        </w:tabs>
        <w:jc w:val="both"/>
        <w:rPr>
          <w:b/>
          <w:i/>
          <w:spacing w:val="-4"/>
        </w:rPr>
      </w:pPr>
      <w:r w:rsidRPr="00543B05">
        <w:rPr>
          <w:b/>
          <w:i/>
          <w:spacing w:val="-4"/>
        </w:rPr>
        <w:lastRenderedPageBreak/>
        <w:t>Fair Lending Policies and Procedures</w:t>
      </w:r>
    </w:p>
    <w:p w:rsidR="002154E6" w:rsidRPr="00543B05" w:rsidRDefault="002154E6" w:rsidP="00E229ED">
      <w:pPr>
        <w:tabs>
          <w:tab w:val="center" w:pos="4680"/>
        </w:tabs>
        <w:jc w:val="both"/>
        <w:rPr>
          <w:b/>
          <w:spacing w:val="-4"/>
        </w:rPr>
      </w:pPr>
    </w:p>
    <w:p w:rsidR="002154E6" w:rsidRPr="00543B05" w:rsidRDefault="002154E6" w:rsidP="00E229ED">
      <w:pPr>
        <w:jc w:val="both"/>
      </w:pPr>
      <w:r w:rsidRPr="00543B05">
        <w:t>The Division of Banks provides comments regarding the institution’s fair lending policies and procedures pursuant to Regulatory Bulletin 1.3-106. The fair lending review was conducted in accordance with the Federal Financial Institutions Examination Council (FFIEC) Interagency Fair Lending Examination Procedures.  Based on these procedures, no evidence of disparate treatment was noted.</w:t>
      </w:r>
    </w:p>
    <w:p w:rsidR="002154E6" w:rsidRPr="00543B05" w:rsidRDefault="002154E6" w:rsidP="00E229ED">
      <w:pPr>
        <w:tabs>
          <w:tab w:val="center" w:pos="4680"/>
        </w:tabs>
        <w:jc w:val="both"/>
        <w:rPr>
          <w:b/>
          <w:spacing w:val="-4"/>
        </w:rPr>
      </w:pPr>
    </w:p>
    <w:p w:rsidR="002154E6" w:rsidRPr="00543B05" w:rsidRDefault="002154E6" w:rsidP="00E229ED">
      <w:pPr>
        <w:autoSpaceDE w:val="0"/>
        <w:autoSpaceDN w:val="0"/>
        <w:adjustRightInd w:val="0"/>
        <w:jc w:val="both"/>
        <w:rPr>
          <w:b/>
          <w:i/>
          <w:spacing w:val="-4"/>
        </w:rPr>
      </w:pPr>
      <w:r w:rsidRPr="00543B05">
        <w:rPr>
          <w:b/>
          <w:i/>
          <w:spacing w:val="-4"/>
        </w:rPr>
        <w:t xml:space="preserve">Minority Application Flow </w:t>
      </w:r>
    </w:p>
    <w:p w:rsidR="002154E6" w:rsidRPr="00543B05" w:rsidRDefault="002154E6" w:rsidP="00E229ED">
      <w:pPr>
        <w:autoSpaceDE w:val="0"/>
        <w:autoSpaceDN w:val="0"/>
        <w:adjustRightInd w:val="0"/>
        <w:jc w:val="both"/>
        <w:rPr>
          <w:color w:val="000000"/>
        </w:rPr>
      </w:pPr>
    </w:p>
    <w:p w:rsidR="002154E6" w:rsidRPr="00543B05" w:rsidRDefault="002154E6" w:rsidP="00E229ED">
      <w:pPr>
        <w:autoSpaceDE w:val="0"/>
        <w:autoSpaceDN w:val="0"/>
        <w:adjustRightInd w:val="0"/>
        <w:jc w:val="both"/>
        <w:rPr>
          <w:color w:val="000000"/>
        </w:rPr>
      </w:pPr>
      <w:r w:rsidRPr="00543B05">
        <w:rPr>
          <w:color w:val="000000"/>
        </w:rPr>
        <w:t xml:space="preserve">According to the 2015 ACS Census Data, the credit union’s assessment area contained a total population of </w:t>
      </w:r>
      <w:r w:rsidR="00A23296" w:rsidRPr="00543B05">
        <w:rPr>
          <w:color w:val="000000"/>
        </w:rPr>
        <w:t>314,111</w:t>
      </w:r>
      <w:r w:rsidRPr="00543B05">
        <w:rPr>
          <w:color w:val="000000"/>
        </w:rPr>
        <w:t xml:space="preserve"> individuals of which </w:t>
      </w:r>
      <w:r w:rsidR="00A23296" w:rsidRPr="00543B05">
        <w:rPr>
          <w:color w:val="000000"/>
        </w:rPr>
        <w:t>30.8</w:t>
      </w:r>
      <w:r w:rsidRPr="00543B05">
        <w:rPr>
          <w:color w:val="000000"/>
        </w:rPr>
        <w:t xml:space="preserve"> percent are minorities. The assessment area’s minority and ethnic population is </w:t>
      </w:r>
      <w:r w:rsidR="00A23296" w:rsidRPr="00543B05">
        <w:rPr>
          <w:color w:val="000000"/>
        </w:rPr>
        <w:t>7.7</w:t>
      </w:r>
      <w:r w:rsidRPr="00543B05">
        <w:rPr>
          <w:color w:val="000000"/>
        </w:rPr>
        <w:t xml:space="preserve"> percent Black/African America</w:t>
      </w:r>
      <w:r w:rsidR="00A23296" w:rsidRPr="00543B05">
        <w:rPr>
          <w:color w:val="000000"/>
        </w:rPr>
        <w:t>n, 6.9</w:t>
      </w:r>
      <w:r w:rsidRPr="00543B05">
        <w:rPr>
          <w:color w:val="000000"/>
        </w:rPr>
        <w:t xml:space="preserve"> per</w:t>
      </w:r>
      <w:r w:rsidR="00A23296" w:rsidRPr="00543B05">
        <w:rPr>
          <w:color w:val="000000"/>
        </w:rPr>
        <w:t>cent Asian/Pacific Islander, 0.2 percent American Indian, 13.7</w:t>
      </w:r>
      <w:r w:rsidRPr="00543B05">
        <w:rPr>
          <w:color w:val="000000"/>
        </w:rPr>
        <w:t xml:space="preserve"> percent Hispanic or Latino and </w:t>
      </w:r>
      <w:r w:rsidR="00A23296" w:rsidRPr="00543B05">
        <w:rPr>
          <w:color w:val="000000"/>
        </w:rPr>
        <w:t>2.3</w:t>
      </w:r>
      <w:r w:rsidRPr="00543B05">
        <w:rPr>
          <w:color w:val="000000"/>
        </w:rPr>
        <w:t xml:space="preserve"> percent Other. </w:t>
      </w:r>
    </w:p>
    <w:p w:rsidR="002154E6" w:rsidRPr="00543B05" w:rsidRDefault="002154E6" w:rsidP="00E229ED">
      <w:pPr>
        <w:autoSpaceDE w:val="0"/>
        <w:autoSpaceDN w:val="0"/>
        <w:adjustRightInd w:val="0"/>
        <w:jc w:val="both"/>
        <w:rPr>
          <w:color w:val="000000"/>
        </w:rPr>
      </w:pPr>
    </w:p>
    <w:p w:rsidR="002154E6" w:rsidRPr="00543B05" w:rsidRDefault="002154E6" w:rsidP="00E229ED">
      <w:pPr>
        <w:autoSpaceDE w:val="0"/>
        <w:autoSpaceDN w:val="0"/>
        <w:adjustRightInd w:val="0"/>
        <w:jc w:val="both"/>
        <w:rPr>
          <w:color w:val="000000"/>
        </w:rPr>
      </w:pPr>
      <w:r w:rsidRPr="00543B05">
        <w:rPr>
          <w:color w:val="000000"/>
        </w:rPr>
        <w:t>The credit union’s level of lending was compared with that of the aggregate’s lending performance level for the most recent year that data was available, the year 201</w:t>
      </w:r>
      <w:r w:rsidR="00A23296" w:rsidRPr="00543B05">
        <w:rPr>
          <w:color w:val="000000"/>
        </w:rPr>
        <w:t>9</w:t>
      </w:r>
      <w:r w:rsidRPr="00543B05">
        <w:rPr>
          <w:color w:val="000000"/>
        </w:rPr>
        <w:t xml:space="preserve">.  The comparison of this data assists in deriving reasonable expectations for the rate of applications the credit union received from minority residential loan applicants.  </w:t>
      </w:r>
    </w:p>
    <w:p w:rsidR="00E229ED" w:rsidRDefault="00E229ED" w:rsidP="00E229ED">
      <w:pPr>
        <w:spacing w:after="160" w:line="259" w:lineRule="auto"/>
        <w:jc w:val="both"/>
        <w:rPr>
          <w:color w:val="000000"/>
        </w:rPr>
      </w:pPr>
    </w:p>
    <w:p w:rsidR="002154E6" w:rsidRPr="0092778D" w:rsidRDefault="002154E6" w:rsidP="00E229ED">
      <w:pPr>
        <w:spacing w:after="160" w:line="259" w:lineRule="auto"/>
        <w:jc w:val="both"/>
        <w:rPr>
          <w:rFonts w:asciiTheme="minorHAnsi" w:eastAsiaTheme="minorHAnsi" w:hAnsiTheme="minorHAnsi" w:cstheme="minorBidi"/>
          <w:sz w:val="22"/>
          <w:szCs w:val="22"/>
        </w:rPr>
      </w:pPr>
      <w:r w:rsidRPr="00543B05">
        <w:rPr>
          <w:color w:val="000000"/>
        </w:rPr>
        <w:t>Refer to the table below for information on the credit union’s minority application flow as well as the aggregate in the credit union’s assessment area.</w:t>
      </w:r>
      <w:r w:rsidRPr="0092778D">
        <w:fldChar w:fldCharType="begin"/>
      </w:r>
      <w:r w:rsidRPr="0092778D">
        <w:instrText xml:space="preserve"> LINK Excel.Sheet.12 "Book1" "Sheet1!R4C4:R25C9" \a \f 4 \h  \* MERGEFORMAT </w:instrText>
      </w:r>
      <w:r w:rsidRPr="0092778D">
        <w:fldChar w:fldCharType="separate"/>
      </w:r>
    </w:p>
    <w:tbl>
      <w:tblPr>
        <w:tblW w:w="9370" w:type="dxa"/>
        <w:tblLook w:val="04A0" w:firstRow="1" w:lastRow="0" w:firstColumn="1" w:lastColumn="0" w:noHBand="0" w:noVBand="1"/>
      </w:tblPr>
      <w:tblGrid>
        <w:gridCol w:w="4615"/>
        <w:gridCol w:w="939"/>
        <w:gridCol w:w="951"/>
        <w:gridCol w:w="1067"/>
        <w:gridCol w:w="883"/>
        <w:gridCol w:w="915"/>
      </w:tblGrid>
      <w:tr w:rsidR="002154E6" w:rsidRPr="0092778D" w:rsidTr="0089709B">
        <w:trPr>
          <w:trHeight w:val="175"/>
        </w:trPr>
        <w:tc>
          <w:tcPr>
            <w:tcW w:w="937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2154E6" w:rsidRPr="0092778D" w:rsidRDefault="002154E6" w:rsidP="00A23296">
            <w:pPr>
              <w:jc w:val="center"/>
              <w:rPr>
                <w:b/>
                <w:bCs/>
                <w:color w:val="000000"/>
                <w:sz w:val="20"/>
                <w:szCs w:val="20"/>
              </w:rPr>
            </w:pPr>
            <w:r w:rsidRPr="0092778D">
              <w:rPr>
                <w:b/>
                <w:bCs/>
                <w:color w:val="000000"/>
                <w:sz w:val="20"/>
                <w:szCs w:val="20"/>
              </w:rPr>
              <w:t>Minority Application Flow</w:t>
            </w:r>
          </w:p>
        </w:tc>
      </w:tr>
      <w:tr w:rsidR="002154E6" w:rsidRPr="0092778D" w:rsidTr="0089709B">
        <w:trPr>
          <w:cantSplit/>
          <w:trHeight w:val="175"/>
        </w:trPr>
        <w:tc>
          <w:tcPr>
            <w:tcW w:w="4615" w:type="dxa"/>
            <w:tcBorders>
              <w:top w:val="nil"/>
              <w:left w:val="single" w:sz="8" w:space="0" w:color="auto"/>
              <w:bottom w:val="nil"/>
              <w:right w:val="nil"/>
            </w:tcBorders>
            <w:shd w:val="clear" w:color="auto" w:fill="auto"/>
            <w:vAlign w:val="center"/>
            <w:hideMark/>
          </w:tcPr>
          <w:p w:rsidR="002154E6" w:rsidRPr="0092778D" w:rsidRDefault="002154E6" w:rsidP="00A23296">
            <w:pPr>
              <w:jc w:val="both"/>
              <w:rPr>
                <w:color w:val="000000"/>
                <w:sz w:val="20"/>
                <w:szCs w:val="20"/>
              </w:rPr>
            </w:pPr>
            <w:r w:rsidRPr="0092778D">
              <w:rPr>
                <w:color w:val="000000"/>
                <w:spacing w:val="-3"/>
                <w:sz w:val="20"/>
                <w:szCs w:val="20"/>
              </w:rPr>
              <w:t> </w:t>
            </w:r>
          </w:p>
        </w:tc>
        <w:tc>
          <w:tcPr>
            <w:tcW w:w="1901" w:type="dxa"/>
            <w:gridSpan w:val="2"/>
            <w:tcBorders>
              <w:top w:val="nil"/>
              <w:left w:val="single" w:sz="8" w:space="0" w:color="auto"/>
              <w:bottom w:val="nil"/>
              <w:right w:val="single" w:sz="8" w:space="0" w:color="000000"/>
            </w:tcBorders>
            <w:shd w:val="clear" w:color="auto" w:fill="auto"/>
            <w:vAlign w:val="center"/>
            <w:hideMark/>
          </w:tcPr>
          <w:p w:rsidR="002154E6" w:rsidRPr="0092778D" w:rsidRDefault="002154E6" w:rsidP="00A23296">
            <w:pPr>
              <w:jc w:val="center"/>
              <w:rPr>
                <w:b/>
                <w:bCs/>
                <w:color w:val="000000"/>
                <w:sz w:val="20"/>
                <w:szCs w:val="20"/>
              </w:rPr>
            </w:pPr>
            <w:r w:rsidRPr="0092778D">
              <w:rPr>
                <w:b/>
                <w:bCs/>
                <w:color w:val="000000"/>
                <w:sz w:val="20"/>
                <w:szCs w:val="20"/>
              </w:rPr>
              <w:t>2019</w:t>
            </w:r>
          </w:p>
        </w:tc>
        <w:tc>
          <w:tcPr>
            <w:tcW w:w="1056" w:type="dxa"/>
            <w:vMerge w:val="restart"/>
            <w:tcBorders>
              <w:top w:val="nil"/>
              <w:left w:val="nil"/>
              <w:bottom w:val="single" w:sz="4" w:space="0" w:color="auto"/>
              <w:right w:val="nil"/>
            </w:tcBorders>
            <w:shd w:val="clear" w:color="000000" w:fill="E7E6E6"/>
            <w:vAlign w:val="center"/>
            <w:hideMark/>
          </w:tcPr>
          <w:p w:rsidR="002154E6" w:rsidRPr="0092778D" w:rsidRDefault="002154E6" w:rsidP="002154E6">
            <w:pPr>
              <w:jc w:val="center"/>
              <w:rPr>
                <w:b/>
                <w:bCs/>
                <w:color w:val="000000"/>
                <w:sz w:val="20"/>
                <w:szCs w:val="20"/>
              </w:rPr>
            </w:pPr>
            <w:r w:rsidRPr="0092778D">
              <w:rPr>
                <w:b/>
                <w:bCs/>
                <w:color w:val="000000"/>
                <w:spacing w:val="-3"/>
                <w:sz w:val="20"/>
                <w:szCs w:val="20"/>
              </w:rPr>
              <w:t>2019 Aggregate Data</w:t>
            </w:r>
          </w:p>
        </w:tc>
        <w:tc>
          <w:tcPr>
            <w:tcW w:w="1796" w:type="dxa"/>
            <w:gridSpan w:val="2"/>
            <w:tcBorders>
              <w:top w:val="nil"/>
              <w:left w:val="single" w:sz="8" w:space="0" w:color="auto"/>
              <w:bottom w:val="nil"/>
              <w:right w:val="single" w:sz="8" w:space="0" w:color="000000"/>
            </w:tcBorders>
            <w:shd w:val="clear" w:color="auto" w:fill="auto"/>
            <w:vAlign w:val="center"/>
            <w:hideMark/>
          </w:tcPr>
          <w:p w:rsidR="002154E6" w:rsidRPr="0092778D" w:rsidRDefault="002154E6" w:rsidP="00A23296">
            <w:pPr>
              <w:jc w:val="center"/>
              <w:rPr>
                <w:b/>
                <w:bCs/>
                <w:color w:val="000000"/>
                <w:sz w:val="20"/>
                <w:szCs w:val="20"/>
              </w:rPr>
            </w:pPr>
            <w:r w:rsidRPr="0092778D">
              <w:rPr>
                <w:b/>
                <w:bCs/>
                <w:color w:val="000000"/>
                <w:sz w:val="20"/>
                <w:szCs w:val="20"/>
              </w:rPr>
              <w:t>2020</w:t>
            </w:r>
          </w:p>
        </w:tc>
      </w:tr>
      <w:tr w:rsidR="002154E6" w:rsidRPr="0092778D" w:rsidTr="0089709B">
        <w:trPr>
          <w:trHeight w:val="175"/>
        </w:trPr>
        <w:tc>
          <w:tcPr>
            <w:tcW w:w="4615" w:type="dxa"/>
            <w:tcBorders>
              <w:top w:val="nil"/>
              <w:left w:val="single" w:sz="8" w:space="0" w:color="auto"/>
              <w:bottom w:val="nil"/>
              <w:right w:val="nil"/>
            </w:tcBorders>
            <w:shd w:val="clear" w:color="auto" w:fill="auto"/>
            <w:vAlign w:val="center"/>
            <w:hideMark/>
          </w:tcPr>
          <w:p w:rsidR="002154E6" w:rsidRPr="0092778D" w:rsidRDefault="002154E6" w:rsidP="00A23296">
            <w:pPr>
              <w:jc w:val="center"/>
              <w:rPr>
                <w:b/>
                <w:bCs/>
                <w:color w:val="000000"/>
                <w:sz w:val="20"/>
                <w:szCs w:val="20"/>
              </w:rPr>
            </w:pPr>
            <w:r w:rsidRPr="0092778D">
              <w:rPr>
                <w:b/>
                <w:bCs/>
                <w:color w:val="000000"/>
                <w:spacing w:val="-3"/>
                <w:sz w:val="20"/>
                <w:szCs w:val="20"/>
              </w:rPr>
              <w:t>RACE</w:t>
            </w:r>
          </w:p>
        </w:tc>
        <w:tc>
          <w:tcPr>
            <w:tcW w:w="1901" w:type="dxa"/>
            <w:gridSpan w:val="2"/>
            <w:tcBorders>
              <w:top w:val="nil"/>
              <w:left w:val="single" w:sz="8" w:space="0" w:color="auto"/>
              <w:bottom w:val="nil"/>
              <w:right w:val="single" w:sz="8" w:space="0" w:color="000000"/>
            </w:tcBorders>
            <w:shd w:val="clear" w:color="auto" w:fill="auto"/>
            <w:vAlign w:val="center"/>
            <w:hideMark/>
          </w:tcPr>
          <w:p w:rsidR="002154E6" w:rsidRPr="0092778D" w:rsidRDefault="002154E6" w:rsidP="00A23296">
            <w:pPr>
              <w:jc w:val="center"/>
              <w:rPr>
                <w:b/>
                <w:bCs/>
                <w:color w:val="000000"/>
                <w:sz w:val="20"/>
                <w:szCs w:val="20"/>
              </w:rPr>
            </w:pPr>
            <w:r w:rsidRPr="0092778D">
              <w:rPr>
                <w:b/>
                <w:bCs/>
                <w:color w:val="000000"/>
                <w:sz w:val="20"/>
                <w:szCs w:val="20"/>
              </w:rPr>
              <w:t>Credit Union</w:t>
            </w:r>
          </w:p>
        </w:tc>
        <w:tc>
          <w:tcPr>
            <w:tcW w:w="1056" w:type="dxa"/>
            <w:vMerge/>
            <w:tcBorders>
              <w:top w:val="nil"/>
              <w:left w:val="nil"/>
              <w:bottom w:val="single" w:sz="4" w:space="0" w:color="auto"/>
              <w:right w:val="nil"/>
            </w:tcBorders>
            <w:vAlign w:val="center"/>
            <w:hideMark/>
          </w:tcPr>
          <w:p w:rsidR="002154E6" w:rsidRPr="0092778D" w:rsidRDefault="002154E6" w:rsidP="00A23296">
            <w:pPr>
              <w:rPr>
                <w:b/>
                <w:bCs/>
                <w:color w:val="000000"/>
                <w:sz w:val="20"/>
                <w:szCs w:val="20"/>
              </w:rPr>
            </w:pPr>
          </w:p>
        </w:tc>
        <w:tc>
          <w:tcPr>
            <w:tcW w:w="1796" w:type="dxa"/>
            <w:gridSpan w:val="2"/>
            <w:tcBorders>
              <w:top w:val="nil"/>
              <w:left w:val="single" w:sz="8" w:space="0" w:color="auto"/>
              <w:bottom w:val="nil"/>
              <w:right w:val="single" w:sz="8" w:space="0" w:color="000000"/>
            </w:tcBorders>
            <w:shd w:val="clear" w:color="auto" w:fill="auto"/>
            <w:vAlign w:val="center"/>
            <w:hideMark/>
          </w:tcPr>
          <w:p w:rsidR="002154E6" w:rsidRPr="0092778D" w:rsidRDefault="002154E6" w:rsidP="00A23296">
            <w:pPr>
              <w:jc w:val="center"/>
              <w:rPr>
                <w:b/>
                <w:bCs/>
                <w:color w:val="000000"/>
                <w:sz w:val="20"/>
                <w:szCs w:val="20"/>
              </w:rPr>
            </w:pPr>
            <w:r w:rsidRPr="0092778D">
              <w:rPr>
                <w:b/>
                <w:bCs/>
                <w:color w:val="000000"/>
                <w:sz w:val="20"/>
                <w:szCs w:val="20"/>
              </w:rPr>
              <w:t>Credit Union</w:t>
            </w:r>
          </w:p>
        </w:tc>
      </w:tr>
      <w:tr w:rsidR="002154E6" w:rsidRPr="0092778D" w:rsidTr="0089709B">
        <w:trPr>
          <w:trHeight w:val="175"/>
        </w:trPr>
        <w:tc>
          <w:tcPr>
            <w:tcW w:w="4615" w:type="dxa"/>
            <w:tcBorders>
              <w:top w:val="nil"/>
              <w:left w:val="single" w:sz="8" w:space="0" w:color="auto"/>
              <w:bottom w:val="nil"/>
              <w:right w:val="nil"/>
            </w:tcBorders>
            <w:shd w:val="clear" w:color="auto" w:fill="auto"/>
            <w:hideMark/>
          </w:tcPr>
          <w:p w:rsidR="002154E6" w:rsidRPr="0092778D" w:rsidRDefault="002154E6" w:rsidP="00A23296">
            <w:pPr>
              <w:rPr>
                <w:rFonts w:ascii="Calibri" w:hAnsi="Calibri" w:cs="Calibri"/>
                <w:color w:val="000000"/>
                <w:sz w:val="22"/>
                <w:szCs w:val="22"/>
              </w:rPr>
            </w:pPr>
            <w:r w:rsidRPr="0092778D">
              <w:rPr>
                <w:rFonts w:ascii="Calibri" w:hAnsi="Calibri" w:cs="Calibri"/>
                <w:color w:val="000000"/>
                <w:sz w:val="22"/>
                <w:szCs w:val="22"/>
              </w:rPr>
              <w:t> </w:t>
            </w:r>
          </w:p>
        </w:tc>
        <w:tc>
          <w:tcPr>
            <w:tcW w:w="1901" w:type="dxa"/>
            <w:gridSpan w:val="2"/>
            <w:tcBorders>
              <w:top w:val="nil"/>
              <w:left w:val="single" w:sz="8" w:space="0" w:color="auto"/>
              <w:bottom w:val="single" w:sz="8" w:space="0" w:color="auto"/>
              <w:right w:val="single" w:sz="8" w:space="0" w:color="000000"/>
            </w:tcBorders>
            <w:shd w:val="clear" w:color="auto" w:fill="auto"/>
            <w:vAlign w:val="center"/>
            <w:hideMark/>
          </w:tcPr>
          <w:p w:rsidR="002154E6" w:rsidRPr="0092778D" w:rsidRDefault="002154E6" w:rsidP="00A23296">
            <w:pPr>
              <w:jc w:val="center"/>
              <w:rPr>
                <w:b/>
                <w:bCs/>
                <w:color w:val="000000"/>
                <w:sz w:val="20"/>
                <w:szCs w:val="20"/>
              </w:rPr>
            </w:pPr>
            <w:r w:rsidRPr="0092778D">
              <w:rPr>
                <w:b/>
                <w:bCs/>
                <w:color w:val="000000"/>
                <w:sz w:val="20"/>
                <w:szCs w:val="20"/>
              </w:rPr>
              <w:t>Data</w:t>
            </w:r>
          </w:p>
        </w:tc>
        <w:tc>
          <w:tcPr>
            <w:tcW w:w="1056" w:type="dxa"/>
            <w:vMerge/>
            <w:tcBorders>
              <w:top w:val="nil"/>
              <w:left w:val="nil"/>
              <w:bottom w:val="single" w:sz="4" w:space="0" w:color="auto"/>
              <w:right w:val="nil"/>
            </w:tcBorders>
            <w:vAlign w:val="center"/>
            <w:hideMark/>
          </w:tcPr>
          <w:p w:rsidR="002154E6" w:rsidRPr="0092778D" w:rsidRDefault="002154E6" w:rsidP="00A23296">
            <w:pPr>
              <w:rPr>
                <w:b/>
                <w:bCs/>
                <w:color w:val="000000"/>
                <w:sz w:val="20"/>
                <w:szCs w:val="20"/>
              </w:rPr>
            </w:pPr>
          </w:p>
        </w:tc>
        <w:tc>
          <w:tcPr>
            <w:tcW w:w="1796" w:type="dxa"/>
            <w:gridSpan w:val="2"/>
            <w:tcBorders>
              <w:top w:val="nil"/>
              <w:left w:val="single" w:sz="8" w:space="0" w:color="auto"/>
              <w:bottom w:val="single" w:sz="8" w:space="0" w:color="auto"/>
              <w:right w:val="single" w:sz="8" w:space="0" w:color="000000"/>
            </w:tcBorders>
            <w:shd w:val="clear" w:color="auto" w:fill="auto"/>
            <w:vAlign w:val="center"/>
            <w:hideMark/>
          </w:tcPr>
          <w:p w:rsidR="002154E6" w:rsidRPr="0092778D" w:rsidRDefault="002154E6" w:rsidP="00A23296">
            <w:pPr>
              <w:jc w:val="center"/>
              <w:rPr>
                <w:b/>
                <w:bCs/>
                <w:color w:val="000000"/>
                <w:sz w:val="20"/>
                <w:szCs w:val="20"/>
              </w:rPr>
            </w:pPr>
            <w:r w:rsidRPr="0092778D">
              <w:rPr>
                <w:b/>
                <w:bCs/>
                <w:color w:val="000000"/>
                <w:sz w:val="20"/>
                <w:szCs w:val="20"/>
              </w:rPr>
              <w:t>Data</w:t>
            </w:r>
          </w:p>
        </w:tc>
      </w:tr>
      <w:tr w:rsidR="002154E6" w:rsidRPr="0092778D" w:rsidTr="0089709B">
        <w:trPr>
          <w:trHeight w:val="175"/>
        </w:trPr>
        <w:tc>
          <w:tcPr>
            <w:tcW w:w="4615" w:type="dxa"/>
            <w:tcBorders>
              <w:top w:val="nil"/>
              <w:left w:val="single" w:sz="8" w:space="0" w:color="auto"/>
              <w:bottom w:val="single" w:sz="4" w:space="0" w:color="auto"/>
              <w:right w:val="single" w:sz="8" w:space="0" w:color="auto"/>
            </w:tcBorders>
            <w:shd w:val="clear" w:color="auto" w:fill="auto"/>
            <w:hideMark/>
          </w:tcPr>
          <w:p w:rsidR="002154E6" w:rsidRPr="0092778D" w:rsidRDefault="002154E6" w:rsidP="00A23296">
            <w:pPr>
              <w:rPr>
                <w:rFonts w:ascii="Calibri" w:hAnsi="Calibri" w:cs="Calibri"/>
                <w:color w:val="000000"/>
                <w:sz w:val="22"/>
                <w:szCs w:val="22"/>
              </w:rPr>
            </w:pPr>
            <w:r w:rsidRPr="0092778D">
              <w:rPr>
                <w:rFonts w:ascii="Calibri" w:hAnsi="Calibri" w:cs="Calibri"/>
                <w:color w:val="000000"/>
                <w:sz w:val="22"/>
                <w:szCs w:val="22"/>
              </w:rPr>
              <w:t> </w:t>
            </w:r>
          </w:p>
        </w:tc>
        <w:tc>
          <w:tcPr>
            <w:tcW w:w="950" w:type="dxa"/>
            <w:tcBorders>
              <w:top w:val="nil"/>
              <w:left w:val="nil"/>
              <w:bottom w:val="single" w:sz="4" w:space="0" w:color="auto"/>
              <w:right w:val="single" w:sz="4" w:space="0" w:color="auto"/>
            </w:tcBorders>
            <w:shd w:val="clear" w:color="auto" w:fill="auto"/>
            <w:vAlign w:val="center"/>
            <w:hideMark/>
          </w:tcPr>
          <w:p w:rsidR="002154E6" w:rsidRPr="0092778D" w:rsidRDefault="002154E6" w:rsidP="00A23296">
            <w:pPr>
              <w:jc w:val="center"/>
              <w:rPr>
                <w:color w:val="000000"/>
                <w:sz w:val="20"/>
                <w:szCs w:val="20"/>
              </w:rPr>
            </w:pPr>
            <w:r w:rsidRPr="0092778D">
              <w:rPr>
                <w:color w:val="000000"/>
                <w:spacing w:val="-3"/>
                <w:sz w:val="20"/>
                <w:szCs w:val="20"/>
              </w:rPr>
              <w:t>#</w:t>
            </w:r>
          </w:p>
        </w:tc>
        <w:tc>
          <w:tcPr>
            <w:tcW w:w="950" w:type="dxa"/>
            <w:tcBorders>
              <w:top w:val="nil"/>
              <w:left w:val="nil"/>
              <w:bottom w:val="single" w:sz="4" w:space="0" w:color="auto"/>
              <w:right w:val="single" w:sz="8" w:space="0" w:color="auto"/>
            </w:tcBorders>
            <w:shd w:val="clear" w:color="auto" w:fill="auto"/>
            <w:vAlign w:val="center"/>
            <w:hideMark/>
          </w:tcPr>
          <w:p w:rsidR="002154E6" w:rsidRPr="0092778D" w:rsidRDefault="002154E6" w:rsidP="00A23296">
            <w:pPr>
              <w:jc w:val="center"/>
              <w:rPr>
                <w:color w:val="000000"/>
                <w:sz w:val="20"/>
                <w:szCs w:val="20"/>
              </w:rPr>
            </w:pPr>
            <w:r w:rsidRPr="0092778D">
              <w:rPr>
                <w:color w:val="000000"/>
                <w:spacing w:val="-3"/>
                <w:sz w:val="20"/>
                <w:szCs w:val="20"/>
              </w:rPr>
              <w:t>%</w:t>
            </w:r>
          </w:p>
        </w:tc>
        <w:tc>
          <w:tcPr>
            <w:tcW w:w="1056" w:type="dxa"/>
            <w:tcBorders>
              <w:top w:val="nil"/>
              <w:left w:val="nil"/>
              <w:bottom w:val="single" w:sz="4" w:space="0" w:color="auto"/>
              <w:right w:val="single" w:sz="8" w:space="0" w:color="auto"/>
            </w:tcBorders>
            <w:shd w:val="clear" w:color="000000" w:fill="E7E6E6"/>
            <w:vAlign w:val="center"/>
            <w:hideMark/>
          </w:tcPr>
          <w:p w:rsidR="002154E6" w:rsidRPr="0092778D" w:rsidRDefault="002154E6" w:rsidP="00A23296">
            <w:pPr>
              <w:jc w:val="center"/>
              <w:rPr>
                <w:color w:val="000000"/>
                <w:sz w:val="20"/>
                <w:szCs w:val="20"/>
              </w:rPr>
            </w:pPr>
            <w:r w:rsidRPr="0092778D">
              <w:rPr>
                <w:color w:val="000000"/>
                <w:spacing w:val="-3"/>
                <w:sz w:val="20"/>
                <w:szCs w:val="20"/>
              </w:rPr>
              <w:t>%</w:t>
            </w:r>
          </w:p>
        </w:tc>
        <w:tc>
          <w:tcPr>
            <w:tcW w:w="883" w:type="dxa"/>
            <w:tcBorders>
              <w:top w:val="nil"/>
              <w:left w:val="nil"/>
              <w:bottom w:val="single" w:sz="4" w:space="0" w:color="auto"/>
              <w:right w:val="single" w:sz="4" w:space="0" w:color="auto"/>
            </w:tcBorders>
            <w:shd w:val="clear" w:color="auto" w:fill="auto"/>
            <w:vAlign w:val="center"/>
            <w:hideMark/>
          </w:tcPr>
          <w:p w:rsidR="002154E6" w:rsidRPr="0092778D" w:rsidRDefault="002154E6" w:rsidP="00A23296">
            <w:pPr>
              <w:jc w:val="center"/>
              <w:rPr>
                <w:color w:val="000000"/>
                <w:sz w:val="20"/>
                <w:szCs w:val="20"/>
              </w:rPr>
            </w:pPr>
            <w:r w:rsidRPr="0092778D">
              <w:rPr>
                <w:color w:val="000000"/>
                <w:spacing w:val="-3"/>
                <w:sz w:val="20"/>
                <w:szCs w:val="20"/>
              </w:rPr>
              <w:t>#</w:t>
            </w:r>
          </w:p>
        </w:tc>
        <w:tc>
          <w:tcPr>
            <w:tcW w:w="913" w:type="dxa"/>
            <w:tcBorders>
              <w:top w:val="nil"/>
              <w:left w:val="nil"/>
              <w:bottom w:val="single" w:sz="4" w:space="0" w:color="auto"/>
              <w:right w:val="single" w:sz="8" w:space="0" w:color="auto"/>
            </w:tcBorders>
            <w:shd w:val="clear" w:color="auto" w:fill="auto"/>
            <w:vAlign w:val="center"/>
            <w:hideMark/>
          </w:tcPr>
          <w:p w:rsidR="002154E6" w:rsidRPr="0092778D" w:rsidRDefault="002154E6" w:rsidP="00A23296">
            <w:pPr>
              <w:jc w:val="center"/>
              <w:rPr>
                <w:color w:val="000000"/>
                <w:sz w:val="20"/>
                <w:szCs w:val="20"/>
              </w:rPr>
            </w:pPr>
            <w:r w:rsidRPr="0092778D">
              <w:rPr>
                <w:color w:val="000000"/>
                <w:spacing w:val="-3"/>
                <w:sz w:val="20"/>
                <w:szCs w:val="20"/>
              </w:rPr>
              <w:t>%</w:t>
            </w:r>
          </w:p>
        </w:tc>
      </w:tr>
      <w:tr w:rsidR="002154E6" w:rsidRPr="0092778D" w:rsidTr="0089709B">
        <w:trPr>
          <w:trHeight w:val="175"/>
        </w:trPr>
        <w:tc>
          <w:tcPr>
            <w:tcW w:w="4615" w:type="dxa"/>
            <w:tcBorders>
              <w:top w:val="nil"/>
              <w:left w:val="single" w:sz="8" w:space="0" w:color="auto"/>
              <w:bottom w:val="single" w:sz="4" w:space="0" w:color="auto"/>
              <w:right w:val="single" w:sz="8" w:space="0" w:color="auto"/>
            </w:tcBorders>
            <w:shd w:val="clear" w:color="auto" w:fill="auto"/>
            <w:vAlign w:val="center"/>
            <w:hideMark/>
          </w:tcPr>
          <w:p w:rsidR="002154E6" w:rsidRPr="0092778D" w:rsidRDefault="002154E6" w:rsidP="00A23296">
            <w:pPr>
              <w:rPr>
                <w:color w:val="000000"/>
                <w:sz w:val="20"/>
                <w:szCs w:val="20"/>
              </w:rPr>
            </w:pPr>
            <w:r w:rsidRPr="0092778D">
              <w:rPr>
                <w:color w:val="000000"/>
                <w:spacing w:val="-3"/>
                <w:sz w:val="20"/>
                <w:szCs w:val="20"/>
              </w:rPr>
              <w:t>American Indian/ Alaska Native</w:t>
            </w:r>
          </w:p>
        </w:tc>
        <w:tc>
          <w:tcPr>
            <w:tcW w:w="950" w:type="dxa"/>
            <w:tcBorders>
              <w:top w:val="nil"/>
              <w:left w:val="nil"/>
              <w:bottom w:val="single" w:sz="4" w:space="0" w:color="auto"/>
              <w:right w:val="single" w:sz="4" w:space="0" w:color="auto"/>
            </w:tcBorders>
            <w:shd w:val="clear" w:color="auto" w:fill="auto"/>
            <w:vAlign w:val="center"/>
          </w:tcPr>
          <w:p w:rsidR="002154E6" w:rsidRPr="0092778D" w:rsidRDefault="00E9770A" w:rsidP="00A23296">
            <w:pPr>
              <w:jc w:val="center"/>
              <w:rPr>
                <w:color w:val="000000"/>
                <w:sz w:val="20"/>
                <w:szCs w:val="20"/>
              </w:rPr>
            </w:pPr>
            <w:r w:rsidRPr="0092778D">
              <w:rPr>
                <w:color w:val="000000"/>
                <w:sz w:val="20"/>
                <w:szCs w:val="20"/>
              </w:rPr>
              <w:t>0</w:t>
            </w:r>
          </w:p>
        </w:tc>
        <w:tc>
          <w:tcPr>
            <w:tcW w:w="950" w:type="dxa"/>
            <w:tcBorders>
              <w:top w:val="nil"/>
              <w:left w:val="nil"/>
              <w:bottom w:val="single" w:sz="4" w:space="0" w:color="auto"/>
              <w:right w:val="single" w:sz="8" w:space="0" w:color="auto"/>
            </w:tcBorders>
            <w:shd w:val="clear" w:color="auto" w:fill="auto"/>
            <w:vAlign w:val="center"/>
          </w:tcPr>
          <w:p w:rsidR="002154E6" w:rsidRPr="0092778D" w:rsidRDefault="00150B73" w:rsidP="00A23296">
            <w:pPr>
              <w:jc w:val="center"/>
              <w:rPr>
                <w:color w:val="000000"/>
                <w:sz w:val="20"/>
                <w:szCs w:val="20"/>
              </w:rPr>
            </w:pPr>
            <w:r w:rsidRPr="0092778D">
              <w:rPr>
                <w:color w:val="000000"/>
                <w:sz w:val="20"/>
                <w:szCs w:val="20"/>
              </w:rPr>
              <w:t>0</w:t>
            </w:r>
          </w:p>
        </w:tc>
        <w:tc>
          <w:tcPr>
            <w:tcW w:w="1056" w:type="dxa"/>
            <w:tcBorders>
              <w:top w:val="nil"/>
              <w:left w:val="nil"/>
              <w:bottom w:val="single" w:sz="4" w:space="0" w:color="auto"/>
              <w:right w:val="single" w:sz="8" w:space="0" w:color="auto"/>
            </w:tcBorders>
            <w:shd w:val="clear" w:color="000000" w:fill="E7E6E6"/>
            <w:vAlign w:val="center"/>
          </w:tcPr>
          <w:p w:rsidR="002154E6" w:rsidRPr="0092778D" w:rsidRDefault="0000730E" w:rsidP="00A23296">
            <w:pPr>
              <w:jc w:val="center"/>
              <w:rPr>
                <w:color w:val="000000"/>
                <w:sz w:val="20"/>
                <w:szCs w:val="20"/>
              </w:rPr>
            </w:pPr>
            <w:r w:rsidRPr="0092778D">
              <w:rPr>
                <w:color w:val="000000"/>
                <w:sz w:val="20"/>
                <w:szCs w:val="20"/>
              </w:rPr>
              <w:t>0.3</w:t>
            </w:r>
          </w:p>
        </w:tc>
        <w:tc>
          <w:tcPr>
            <w:tcW w:w="883" w:type="dxa"/>
            <w:tcBorders>
              <w:top w:val="nil"/>
              <w:left w:val="nil"/>
              <w:bottom w:val="single" w:sz="4" w:space="0" w:color="auto"/>
              <w:right w:val="single" w:sz="4" w:space="0" w:color="auto"/>
            </w:tcBorders>
            <w:shd w:val="clear" w:color="auto" w:fill="auto"/>
            <w:vAlign w:val="center"/>
          </w:tcPr>
          <w:p w:rsidR="002154E6" w:rsidRPr="0092778D" w:rsidRDefault="0000730E" w:rsidP="00A23296">
            <w:pPr>
              <w:jc w:val="center"/>
              <w:rPr>
                <w:color w:val="000000"/>
                <w:sz w:val="20"/>
                <w:szCs w:val="20"/>
              </w:rPr>
            </w:pPr>
            <w:r w:rsidRPr="0092778D">
              <w:rPr>
                <w:color w:val="000000"/>
                <w:sz w:val="20"/>
                <w:szCs w:val="20"/>
              </w:rPr>
              <w:t>0</w:t>
            </w:r>
          </w:p>
        </w:tc>
        <w:tc>
          <w:tcPr>
            <w:tcW w:w="913" w:type="dxa"/>
            <w:tcBorders>
              <w:top w:val="nil"/>
              <w:left w:val="nil"/>
              <w:bottom w:val="single" w:sz="4" w:space="0" w:color="auto"/>
              <w:right w:val="single" w:sz="8" w:space="0" w:color="auto"/>
            </w:tcBorders>
            <w:shd w:val="clear" w:color="auto" w:fill="auto"/>
            <w:vAlign w:val="center"/>
          </w:tcPr>
          <w:p w:rsidR="002154E6" w:rsidRPr="0092778D" w:rsidRDefault="0092778D" w:rsidP="00A23296">
            <w:pPr>
              <w:jc w:val="center"/>
              <w:rPr>
                <w:color w:val="000000"/>
                <w:sz w:val="20"/>
                <w:szCs w:val="20"/>
              </w:rPr>
            </w:pPr>
            <w:r w:rsidRPr="0092778D">
              <w:rPr>
                <w:color w:val="000000"/>
                <w:sz w:val="20"/>
                <w:szCs w:val="20"/>
              </w:rPr>
              <w:t>0</w:t>
            </w:r>
          </w:p>
        </w:tc>
      </w:tr>
      <w:tr w:rsidR="002154E6" w:rsidRPr="0092778D" w:rsidTr="0089709B">
        <w:trPr>
          <w:trHeight w:val="175"/>
        </w:trPr>
        <w:tc>
          <w:tcPr>
            <w:tcW w:w="4615" w:type="dxa"/>
            <w:tcBorders>
              <w:top w:val="nil"/>
              <w:left w:val="single" w:sz="8" w:space="0" w:color="auto"/>
              <w:bottom w:val="single" w:sz="4" w:space="0" w:color="auto"/>
              <w:right w:val="single" w:sz="8" w:space="0" w:color="auto"/>
            </w:tcBorders>
            <w:shd w:val="clear" w:color="auto" w:fill="auto"/>
            <w:vAlign w:val="center"/>
            <w:hideMark/>
          </w:tcPr>
          <w:p w:rsidR="002154E6" w:rsidRPr="0092778D" w:rsidRDefault="002154E6" w:rsidP="00A23296">
            <w:pPr>
              <w:rPr>
                <w:color w:val="000000"/>
                <w:sz w:val="20"/>
                <w:szCs w:val="20"/>
              </w:rPr>
            </w:pPr>
            <w:r w:rsidRPr="0092778D">
              <w:rPr>
                <w:color w:val="000000"/>
                <w:spacing w:val="-3"/>
                <w:sz w:val="20"/>
                <w:szCs w:val="20"/>
              </w:rPr>
              <w:t>Asian</w:t>
            </w:r>
          </w:p>
        </w:tc>
        <w:tc>
          <w:tcPr>
            <w:tcW w:w="950" w:type="dxa"/>
            <w:tcBorders>
              <w:top w:val="nil"/>
              <w:left w:val="nil"/>
              <w:bottom w:val="single" w:sz="4" w:space="0" w:color="auto"/>
              <w:right w:val="single" w:sz="4" w:space="0" w:color="auto"/>
            </w:tcBorders>
            <w:shd w:val="clear" w:color="auto" w:fill="auto"/>
            <w:vAlign w:val="center"/>
          </w:tcPr>
          <w:p w:rsidR="002154E6" w:rsidRPr="0092778D" w:rsidRDefault="00E9770A" w:rsidP="00A23296">
            <w:pPr>
              <w:jc w:val="center"/>
              <w:rPr>
                <w:color w:val="000000"/>
                <w:sz w:val="20"/>
                <w:szCs w:val="20"/>
              </w:rPr>
            </w:pPr>
            <w:r w:rsidRPr="0092778D">
              <w:rPr>
                <w:color w:val="000000"/>
                <w:sz w:val="20"/>
                <w:szCs w:val="20"/>
              </w:rPr>
              <w:t>2</w:t>
            </w:r>
          </w:p>
        </w:tc>
        <w:tc>
          <w:tcPr>
            <w:tcW w:w="950" w:type="dxa"/>
            <w:tcBorders>
              <w:top w:val="nil"/>
              <w:left w:val="nil"/>
              <w:bottom w:val="single" w:sz="4" w:space="0" w:color="auto"/>
              <w:right w:val="single" w:sz="8" w:space="0" w:color="auto"/>
            </w:tcBorders>
            <w:shd w:val="clear" w:color="auto" w:fill="auto"/>
            <w:vAlign w:val="center"/>
          </w:tcPr>
          <w:p w:rsidR="002154E6" w:rsidRPr="0092778D" w:rsidRDefault="00150B73" w:rsidP="002154E6">
            <w:pPr>
              <w:jc w:val="center"/>
              <w:rPr>
                <w:color w:val="000000"/>
                <w:sz w:val="20"/>
                <w:szCs w:val="20"/>
              </w:rPr>
            </w:pPr>
            <w:r w:rsidRPr="0092778D">
              <w:rPr>
                <w:color w:val="000000"/>
                <w:sz w:val="20"/>
                <w:szCs w:val="20"/>
              </w:rPr>
              <w:t>5.3</w:t>
            </w:r>
          </w:p>
        </w:tc>
        <w:tc>
          <w:tcPr>
            <w:tcW w:w="1056" w:type="dxa"/>
            <w:tcBorders>
              <w:top w:val="nil"/>
              <w:left w:val="nil"/>
              <w:bottom w:val="single" w:sz="4" w:space="0" w:color="auto"/>
              <w:right w:val="single" w:sz="8" w:space="0" w:color="auto"/>
            </w:tcBorders>
            <w:shd w:val="clear" w:color="000000" w:fill="E7E6E6"/>
            <w:vAlign w:val="center"/>
          </w:tcPr>
          <w:p w:rsidR="002154E6" w:rsidRPr="0092778D" w:rsidRDefault="0000730E" w:rsidP="00A23296">
            <w:pPr>
              <w:jc w:val="center"/>
              <w:rPr>
                <w:color w:val="000000"/>
                <w:sz w:val="20"/>
                <w:szCs w:val="20"/>
              </w:rPr>
            </w:pPr>
            <w:r w:rsidRPr="0092778D">
              <w:rPr>
                <w:color w:val="000000"/>
                <w:sz w:val="20"/>
                <w:szCs w:val="20"/>
              </w:rPr>
              <w:t>8.5</w:t>
            </w:r>
          </w:p>
        </w:tc>
        <w:tc>
          <w:tcPr>
            <w:tcW w:w="883" w:type="dxa"/>
            <w:tcBorders>
              <w:top w:val="nil"/>
              <w:left w:val="nil"/>
              <w:bottom w:val="single" w:sz="4" w:space="0" w:color="auto"/>
              <w:right w:val="single" w:sz="4" w:space="0" w:color="auto"/>
            </w:tcBorders>
            <w:shd w:val="clear" w:color="auto" w:fill="auto"/>
            <w:vAlign w:val="center"/>
          </w:tcPr>
          <w:p w:rsidR="002154E6" w:rsidRPr="0092778D" w:rsidRDefault="0000730E" w:rsidP="00A23296">
            <w:pPr>
              <w:jc w:val="center"/>
              <w:rPr>
                <w:color w:val="000000"/>
                <w:sz w:val="20"/>
                <w:szCs w:val="20"/>
              </w:rPr>
            </w:pPr>
            <w:r w:rsidRPr="0092778D">
              <w:rPr>
                <w:color w:val="000000"/>
                <w:sz w:val="20"/>
                <w:szCs w:val="20"/>
              </w:rPr>
              <w:t>2</w:t>
            </w:r>
          </w:p>
        </w:tc>
        <w:tc>
          <w:tcPr>
            <w:tcW w:w="913" w:type="dxa"/>
            <w:tcBorders>
              <w:top w:val="nil"/>
              <w:left w:val="nil"/>
              <w:bottom w:val="single" w:sz="4" w:space="0" w:color="auto"/>
              <w:right w:val="single" w:sz="8" w:space="0" w:color="auto"/>
            </w:tcBorders>
            <w:shd w:val="clear" w:color="auto" w:fill="auto"/>
            <w:vAlign w:val="center"/>
          </w:tcPr>
          <w:p w:rsidR="002154E6" w:rsidRPr="0092778D" w:rsidRDefault="0092778D" w:rsidP="00A23296">
            <w:pPr>
              <w:jc w:val="center"/>
              <w:rPr>
                <w:color w:val="000000"/>
                <w:sz w:val="20"/>
                <w:szCs w:val="20"/>
              </w:rPr>
            </w:pPr>
            <w:r w:rsidRPr="0092778D">
              <w:rPr>
                <w:color w:val="000000"/>
                <w:sz w:val="20"/>
                <w:szCs w:val="20"/>
              </w:rPr>
              <w:t>4.0</w:t>
            </w:r>
          </w:p>
        </w:tc>
      </w:tr>
      <w:tr w:rsidR="002154E6" w:rsidRPr="0092778D" w:rsidTr="0089709B">
        <w:trPr>
          <w:trHeight w:val="175"/>
        </w:trPr>
        <w:tc>
          <w:tcPr>
            <w:tcW w:w="4615" w:type="dxa"/>
            <w:tcBorders>
              <w:top w:val="nil"/>
              <w:left w:val="single" w:sz="8" w:space="0" w:color="auto"/>
              <w:bottom w:val="single" w:sz="4" w:space="0" w:color="auto"/>
              <w:right w:val="single" w:sz="8" w:space="0" w:color="auto"/>
            </w:tcBorders>
            <w:shd w:val="clear" w:color="auto" w:fill="auto"/>
            <w:vAlign w:val="center"/>
            <w:hideMark/>
          </w:tcPr>
          <w:p w:rsidR="002154E6" w:rsidRPr="0092778D" w:rsidRDefault="002154E6" w:rsidP="00A23296">
            <w:pPr>
              <w:rPr>
                <w:color w:val="000000"/>
                <w:sz w:val="20"/>
                <w:szCs w:val="20"/>
              </w:rPr>
            </w:pPr>
            <w:r w:rsidRPr="0092778D">
              <w:rPr>
                <w:color w:val="000000"/>
                <w:spacing w:val="-3"/>
                <w:sz w:val="20"/>
                <w:szCs w:val="20"/>
              </w:rPr>
              <w:t>Black/ African American</w:t>
            </w:r>
          </w:p>
        </w:tc>
        <w:tc>
          <w:tcPr>
            <w:tcW w:w="950" w:type="dxa"/>
            <w:tcBorders>
              <w:top w:val="nil"/>
              <w:left w:val="nil"/>
              <w:bottom w:val="single" w:sz="4" w:space="0" w:color="auto"/>
              <w:right w:val="single" w:sz="4" w:space="0" w:color="auto"/>
            </w:tcBorders>
            <w:shd w:val="clear" w:color="auto" w:fill="auto"/>
            <w:vAlign w:val="center"/>
          </w:tcPr>
          <w:p w:rsidR="002154E6" w:rsidRPr="0092778D" w:rsidRDefault="00E9770A" w:rsidP="00A23296">
            <w:pPr>
              <w:jc w:val="center"/>
              <w:rPr>
                <w:color w:val="000000"/>
                <w:sz w:val="20"/>
                <w:szCs w:val="20"/>
              </w:rPr>
            </w:pPr>
            <w:r w:rsidRPr="0092778D">
              <w:rPr>
                <w:color w:val="000000"/>
                <w:sz w:val="20"/>
                <w:szCs w:val="20"/>
              </w:rPr>
              <w:t>2</w:t>
            </w:r>
          </w:p>
        </w:tc>
        <w:tc>
          <w:tcPr>
            <w:tcW w:w="950" w:type="dxa"/>
            <w:tcBorders>
              <w:top w:val="nil"/>
              <w:left w:val="nil"/>
              <w:bottom w:val="single" w:sz="4" w:space="0" w:color="auto"/>
              <w:right w:val="single" w:sz="8" w:space="0" w:color="auto"/>
            </w:tcBorders>
            <w:shd w:val="clear" w:color="auto" w:fill="auto"/>
            <w:vAlign w:val="center"/>
          </w:tcPr>
          <w:p w:rsidR="002154E6" w:rsidRPr="0092778D" w:rsidRDefault="00150B73" w:rsidP="00A23296">
            <w:pPr>
              <w:jc w:val="center"/>
              <w:rPr>
                <w:color w:val="000000"/>
                <w:sz w:val="20"/>
                <w:szCs w:val="20"/>
              </w:rPr>
            </w:pPr>
            <w:r w:rsidRPr="0092778D">
              <w:rPr>
                <w:color w:val="000000"/>
                <w:sz w:val="20"/>
                <w:szCs w:val="20"/>
              </w:rPr>
              <w:t>5.3</w:t>
            </w:r>
          </w:p>
        </w:tc>
        <w:tc>
          <w:tcPr>
            <w:tcW w:w="1056" w:type="dxa"/>
            <w:tcBorders>
              <w:top w:val="nil"/>
              <w:left w:val="nil"/>
              <w:bottom w:val="single" w:sz="4" w:space="0" w:color="auto"/>
              <w:right w:val="single" w:sz="8" w:space="0" w:color="auto"/>
            </w:tcBorders>
            <w:shd w:val="clear" w:color="000000" w:fill="E7E6E6"/>
            <w:vAlign w:val="center"/>
          </w:tcPr>
          <w:p w:rsidR="002154E6" w:rsidRPr="0092778D" w:rsidRDefault="0000730E" w:rsidP="00A23296">
            <w:pPr>
              <w:jc w:val="center"/>
              <w:rPr>
                <w:color w:val="000000"/>
                <w:sz w:val="20"/>
                <w:szCs w:val="20"/>
              </w:rPr>
            </w:pPr>
            <w:r w:rsidRPr="0092778D">
              <w:rPr>
                <w:color w:val="000000"/>
                <w:sz w:val="20"/>
                <w:szCs w:val="20"/>
              </w:rPr>
              <w:t>6.2</w:t>
            </w:r>
          </w:p>
        </w:tc>
        <w:tc>
          <w:tcPr>
            <w:tcW w:w="883" w:type="dxa"/>
            <w:tcBorders>
              <w:top w:val="nil"/>
              <w:left w:val="nil"/>
              <w:bottom w:val="single" w:sz="4" w:space="0" w:color="auto"/>
              <w:right w:val="single" w:sz="4" w:space="0" w:color="auto"/>
            </w:tcBorders>
            <w:shd w:val="clear" w:color="auto" w:fill="auto"/>
            <w:vAlign w:val="center"/>
          </w:tcPr>
          <w:p w:rsidR="002154E6" w:rsidRPr="0092778D" w:rsidRDefault="0000730E" w:rsidP="00A23296">
            <w:pPr>
              <w:jc w:val="center"/>
              <w:rPr>
                <w:color w:val="000000"/>
                <w:sz w:val="20"/>
                <w:szCs w:val="20"/>
              </w:rPr>
            </w:pPr>
            <w:r w:rsidRPr="0092778D">
              <w:rPr>
                <w:color w:val="000000"/>
                <w:sz w:val="20"/>
                <w:szCs w:val="20"/>
              </w:rPr>
              <w:t>7</w:t>
            </w:r>
          </w:p>
        </w:tc>
        <w:tc>
          <w:tcPr>
            <w:tcW w:w="913" w:type="dxa"/>
            <w:tcBorders>
              <w:top w:val="nil"/>
              <w:left w:val="nil"/>
              <w:bottom w:val="single" w:sz="4" w:space="0" w:color="auto"/>
              <w:right w:val="single" w:sz="8" w:space="0" w:color="auto"/>
            </w:tcBorders>
            <w:shd w:val="clear" w:color="auto" w:fill="auto"/>
            <w:vAlign w:val="center"/>
          </w:tcPr>
          <w:p w:rsidR="002154E6" w:rsidRPr="0092778D" w:rsidRDefault="0092778D" w:rsidP="00A23296">
            <w:pPr>
              <w:jc w:val="center"/>
              <w:rPr>
                <w:color w:val="000000"/>
                <w:sz w:val="20"/>
                <w:szCs w:val="20"/>
              </w:rPr>
            </w:pPr>
            <w:r w:rsidRPr="0092778D">
              <w:rPr>
                <w:color w:val="000000"/>
                <w:sz w:val="20"/>
                <w:szCs w:val="20"/>
              </w:rPr>
              <w:t>14.0</w:t>
            </w:r>
          </w:p>
        </w:tc>
      </w:tr>
      <w:tr w:rsidR="002154E6" w:rsidRPr="0092778D" w:rsidTr="0089709B">
        <w:trPr>
          <w:trHeight w:val="175"/>
        </w:trPr>
        <w:tc>
          <w:tcPr>
            <w:tcW w:w="4615" w:type="dxa"/>
            <w:tcBorders>
              <w:top w:val="nil"/>
              <w:left w:val="single" w:sz="8" w:space="0" w:color="auto"/>
              <w:bottom w:val="single" w:sz="4" w:space="0" w:color="auto"/>
              <w:right w:val="single" w:sz="8" w:space="0" w:color="auto"/>
            </w:tcBorders>
            <w:shd w:val="clear" w:color="auto" w:fill="auto"/>
            <w:vAlign w:val="center"/>
            <w:hideMark/>
          </w:tcPr>
          <w:p w:rsidR="002154E6" w:rsidRPr="0092778D" w:rsidRDefault="002154E6" w:rsidP="00A23296">
            <w:pPr>
              <w:rPr>
                <w:color w:val="000000"/>
                <w:sz w:val="20"/>
                <w:szCs w:val="20"/>
              </w:rPr>
            </w:pPr>
            <w:r w:rsidRPr="0092778D">
              <w:rPr>
                <w:color w:val="000000"/>
                <w:spacing w:val="-3"/>
                <w:sz w:val="20"/>
                <w:szCs w:val="20"/>
              </w:rPr>
              <w:t>Hawaiian/Pacific Islander</w:t>
            </w:r>
          </w:p>
        </w:tc>
        <w:tc>
          <w:tcPr>
            <w:tcW w:w="950" w:type="dxa"/>
            <w:tcBorders>
              <w:top w:val="nil"/>
              <w:left w:val="nil"/>
              <w:bottom w:val="single" w:sz="4" w:space="0" w:color="auto"/>
              <w:right w:val="single" w:sz="4" w:space="0" w:color="auto"/>
            </w:tcBorders>
            <w:shd w:val="clear" w:color="auto" w:fill="auto"/>
            <w:vAlign w:val="center"/>
          </w:tcPr>
          <w:p w:rsidR="002154E6" w:rsidRPr="0092778D" w:rsidRDefault="00E9770A" w:rsidP="00A23296">
            <w:pPr>
              <w:jc w:val="center"/>
              <w:rPr>
                <w:color w:val="000000"/>
                <w:sz w:val="20"/>
                <w:szCs w:val="20"/>
              </w:rPr>
            </w:pPr>
            <w:r w:rsidRPr="0092778D">
              <w:rPr>
                <w:color w:val="000000"/>
                <w:sz w:val="20"/>
                <w:szCs w:val="20"/>
              </w:rPr>
              <w:t>0</w:t>
            </w:r>
          </w:p>
        </w:tc>
        <w:tc>
          <w:tcPr>
            <w:tcW w:w="950" w:type="dxa"/>
            <w:tcBorders>
              <w:top w:val="nil"/>
              <w:left w:val="nil"/>
              <w:bottom w:val="single" w:sz="4" w:space="0" w:color="auto"/>
              <w:right w:val="single" w:sz="8" w:space="0" w:color="auto"/>
            </w:tcBorders>
            <w:shd w:val="clear" w:color="auto" w:fill="auto"/>
            <w:vAlign w:val="center"/>
          </w:tcPr>
          <w:p w:rsidR="002154E6" w:rsidRPr="0092778D" w:rsidRDefault="00150B73" w:rsidP="00A23296">
            <w:pPr>
              <w:jc w:val="center"/>
              <w:rPr>
                <w:color w:val="000000"/>
                <w:sz w:val="20"/>
                <w:szCs w:val="20"/>
              </w:rPr>
            </w:pPr>
            <w:r w:rsidRPr="0092778D">
              <w:rPr>
                <w:color w:val="000000"/>
                <w:sz w:val="20"/>
                <w:szCs w:val="20"/>
              </w:rPr>
              <w:t>0.0</w:t>
            </w:r>
          </w:p>
        </w:tc>
        <w:tc>
          <w:tcPr>
            <w:tcW w:w="1056" w:type="dxa"/>
            <w:tcBorders>
              <w:top w:val="nil"/>
              <w:left w:val="nil"/>
              <w:bottom w:val="single" w:sz="4" w:space="0" w:color="auto"/>
              <w:right w:val="single" w:sz="8" w:space="0" w:color="auto"/>
            </w:tcBorders>
            <w:shd w:val="clear" w:color="000000" w:fill="E7E6E6"/>
            <w:vAlign w:val="center"/>
          </w:tcPr>
          <w:p w:rsidR="002154E6" w:rsidRPr="0092778D" w:rsidRDefault="0000730E" w:rsidP="00A23296">
            <w:pPr>
              <w:jc w:val="center"/>
              <w:rPr>
                <w:color w:val="000000"/>
                <w:sz w:val="20"/>
                <w:szCs w:val="20"/>
              </w:rPr>
            </w:pPr>
            <w:r w:rsidRPr="0092778D">
              <w:rPr>
                <w:color w:val="000000"/>
                <w:sz w:val="20"/>
                <w:szCs w:val="20"/>
              </w:rPr>
              <w:t>0.3</w:t>
            </w:r>
          </w:p>
        </w:tc>
        <w:tc>
          <w:tcPr>
            <w:tcW w:w="883" w:type="dxa"/>
            <w:tcBorders>
              <w:top w:val="nil"/>
              <w:left w:val="nil"/>
              <w:bottom w:val="single" w:sz="4" w:space="0" w:color="auto"/>
              <w:right w:val="single" w:sz="4" w:space="0" w:color="auto"/>
            </w:tcBorders>
            <w:shd w:val="clear" w:color="auto" w:fill="auto"/>
            <w:vAlign w:val="center"/>
          </w:tcPr>
          <w:p w:rsidR="002154E6" w:rsidRPr="0092778D" w:rsidRDefault="0000730E" w:rsidP="00A23296">
            <w:pPr>
              <w:jc w:val="center"/>
              <w:rPr>
                <w:color w:val="000000"/>
                <w:sz w:val="20"/>
                <w:szCs w:val="20"/>
              </w:rPr>
            </w:pPr>
            <w:r w:rsidRPr="0092778D">
              <w:rPr>
                <w:color w:val="000000"/>
                <w:sz w:val="20"/>
                <w:szCs w:val="20"/>
              </w:rPr>
              <w:t>1</w:t>
            </w:r>
          </w:p>
        </w:tc>
        <w:tc>
          <w:tcPr>
            <w:tcW w:w="913" w:type="dxa"/>
            <w:tcBorders>
              <w:top w:val="nil"/>
              <w:left w:val="nil"/>
              <w:bottom w:val="single" w:sz="4" w:space="0" w:color="auto"/>
              <w:right w:val="single" w:sz="8" w:space="0" w:color="auto"/>
            </w:tcBorders>
            <w:shd w:val="clear" w:color="auto" w:fill="auto"/>
            <w:vAlign w:val="center"/>
          </w:tcPr>
          <w:p w:rsidR="002154E6" w:rsidRPr="0092778D" w:rsidRDefault="0092778D" w:rsidP="00A23296">
            <w:pPr>
              <w:jc w:val="center"/>
              <w:rPr>
                <w:color w:val="000000"/>
                <w:sz w:val="20"/>
                <w:szCs w:val="20"/>
              </w:rPr>
            </w:pPr>
            <w:r w:rsidRPr="0092778D">
              <w:rPr>
                <w:color w:val="000000"/>
                <w:sz w:val="20"/>
                <w:szCs w:val="20"/>
              </w:rPr>
              <w:t>2.0</w:t>
            </w:r>
          </w:p>
        </w:tc>
      </w:tr>
      <w:tr w:rsidR="002154E6" w:rsidRPr="0092778D" w:rsidTr="0089709B">
        <w:trPr>
          <w:trHeight w:val="175"/>
        </w:trPr>
        <w:tc>
          <w:tcPr>
            <w:tcW w:w="4615" w:type="dxa"/>
            <w:tcBorders>
              <w:top w:val="nil"/>
              <w:left w:val="single" w:sz="8" w:space="0" w:color="auto"/>
              <w:bottom w:val="single" w:sz="4" w:space="0" w:color="auto"/>
              <w:right w:val="single" w:sz="8" w:space="0" w:color="auto"/>
            </w:tcBorders>
            <w:shd w:val="clear" w:color="auto" w:fill="auto"/>
            <w:vAlign w:val="center"/>
            <w:hideMark/>
          </w:tcPr>
          <w:p w:rsidR="002154E6" w:rsidRPr="0092778D" w:rsidRDefault="002154E6" w:rsidP="00A23296">
            <w:pPr>
              <w:rPr>
                <w:color w:val="000000"/>
                <w:sz w:val="20"/>
                <w:szCs w:val="20"/>
              </w:rPr>
            </w:pPr>
            <w:r w:rsidRPr="0092778D">
              <w:rPr>
                <w:color w:val="000000"/>
                <w:spacing w:val="-3"/>
                <w:sz w:val="20"/>
                <w:szCs w:val="20"/>
              </w:rPr>
              <w:t>2 or more Minority</w:t>
            </w:r>
          </w:p>
        </w:tc>
        <w:tc>
          <w:tcPr>
            <w:tcW w:w="950" w:type="dxa"/>
            <w:tcBorders>
              <w:top w:val="nil"/>
              <w:left w:val="nil"/>
              <w:bottom w:val="single" w:sz="4" w:space="0" w:color="auto"/>
              <w:right w:val="single" w:sz="4" w:space="0" w:color="auto"/>
            </w:tcBorders>
            <w:shd w:val="clear" w:color="auto" w:fill="auto"/>
            <w:vAlign w:val="center"/>
          </w:tcPr>
          <w:p w:rsidR="002154E6" w:rsidRPr="0092778D" w:rsidRDefault="00E9770A" w:rsidP="00A23296">
            <w:pPr>
              <w:jc w:val="center"/>
              <w:rPr>
                <w:color w:val="000000"/>
                <w:sz w:val="20"/>
                <w:szCs w:val="20"/>
              </w:rPr>
            </w:pPr>
            <w:r w:rsidRPr="0092778D">
              <w:rPr>
                <w:color w:val="000000"/>
                <w:sz w:val="20"/>
                <w:szCs w:val="20"/>
              </w:rPr>
              <w:t>0</w:t>
            </w:r>
          </w:p>
        </w:tc>
        <w:tc>
          <w:tcPr>
            <w:tcW w:w="950" w:type="dxa"/>
            <w:tcBorders>
              <w:top w:val="nil"/>
              <w:left w:val="nil"/>
              <w:bottom w:val="single" w:sz="4" w:space="0" w:color="auto"/>
              <w:right w:val="single" w:sz="8" w:space="0" w:color="auto"/>
            </w:tcBorders>
            <w:shd w:val="clear" w:color="auto" w:fill="auto"/>
            <w:vAlign w:val="center"/>
          </w:tcPr>
          <w:p w:rsidR="002154E6" w:rsidRPr="0092778D" w:rsidRDefault="00150B73" w:rsidP="00A23296">
            <w:pPr>
              <w:jc w:val="center"/>
              <w:rPr>
                <w:color w:val="000000"/>
                <w:sz w:val="20"/>
                <w:szCs w:val="20"/>
              </w:rPr>
            </w:pPr>
            <w:r w:rsidRPr="0092778D">
              <w:rPr>
                <w:color w:val="000000"/>
                <w:sz w:val="20"/>
                <w:szCs w:val="20"/>
              </w:rPr>
              <w:t>0.0</w:t>
            </w:r>
          </w:p>
        </w:tc>
        <w:tc>
          <w:tcPr>
            <w:tcW w:w="1056" w:type="dxa"/>
            <w:tcBorders>
              <w:top w:val="nil"/>
              <w:left w:val="nil"/>
              <w:bottom w:val="single" w:sz="4" w:space="0" w:color="auto"/>
              <w:right w:val="single" w:sz="8" w:space="0" w:color="auto"/>
            </w:tcBorders>
            <w:shd w:val="clear" w:color="000000" w:fill="E7E6E6"/>
            <w:vAlign w:val="center"/>
          </w:tcPr>
          <w:p w:rsidR="002154E6" w:rsidRPr="0092778D" w:rsidRDefault="0000730E" w:rsidP="00A23296">
            <w:pPr>
              <w:jc w:val="center"/>
              <w:rPr>
                <w:color w:val="000000"/>
                <w:sz w:val="20"/>
                <w:szCs w:val="20"/>
              </w:rPr>
            </w:pPr>
            <w:r w:rsidRPr="0092778D">
              <w:rPr>
                <w:color w:val="000000"/>
                <w:sz w:val="20"/>
                <w:szCs w:val="20"/>
              </w:rPr>
              <w:t>0.1</w:t>
            </w:r>
          </w:p>
        </w:tc>
        <w:tc>
          <w:tcPr>
            <w:tcW w:w="883" w:type="dxa"/>
            <w:tcBorders>
              <w:top w:val="nil"/>
              <w:left w:val="nil"/>
              <w:bottom w:val="single" w:sz="4" w:space="0" w:color="auto"/>
              <w:right w:val="single" w:sz="4" w:space="0" w:color="auto"/>
            </w:tcBorders>
            <w:shd w:val="clear" w:color="auto" w:fill="auto"/>
            <w:vAlign w:val="center"/>
          </w:tcPr>
          <w:p w:rsidR="002154E6" w:rsidRPr="0092778D" w:rsidRDefault="0092778D" w:rsidP="00A23296">
            <w:pPr>
              <w:jc w:val="center"/>
              <w:rPr>
                <w:color w:val="000000"/>
                <w:sz w:val="20"/>
                <w:szCs w:val="20"/>
              </w:rPr>
            </w:pPr>
            <w:r w:rsidRPr="0092778D">
              <w:rPr>
                <w:color w:val="000000"/>
                <w:sz w:val="20"/>
                <w:szCs w:val="20"/>
              </w:rPr>
              <w:t>0</w:t>
            </w:r>
          </w:p>
        </w:tc>
        <w:tc>
          <w:tcPr>
            <w:tcW w:w="913" w:type="dxa"/>
            <w:tcBorders>
              <w:top w:val="nil"/>
              <w:left w:val="nil"/>
              <w:bottom w:val="single" w:sz="4" w:space="0" w:color="auto"/>
              <w:right w:val="single" w:sz="8" w:space="0" w:color="auto"/>
            </w:tcBorders>
            <w:shd w:val="clear" w:color="auto" w:fill="auto"/>
            <w:vAlign w:val="center"/>
          </w:tcPr>
          <w:p w:rsidR="002154E6" w:rsidRPr="0092778D" w:rsidRDefault="0092778D" w:rsidP="00A23296">
            <w:pPr>
              <w:jc w:val="center"/>
              <w:rPr>
                <w:color w:val="000000"/>
                <w:sz w:val="20"/>
                <w:szCs w:val="20"/>
              </w:rPr>
            </w:pPr>
            <w:r w:rsidRPr="0092778D">
              <w:rPr>
                <w:color w:val="000000"/>
                <w:sz w:val="20"/>
                <w:szCs w:val="20"/>
              </w:rPr>
              <w:t>0.0</w:t>
            </w:r>
          </w:p>
        </w:tc>
      </w:tr>
      <w:tr w:rsidR="002154E6" w:rsidRPr="0092778D" w:rsidTr="0089709B">
        <w:trPr>
          <w:trHeight w:val="175"/>
        </w:trPr>
        <w:tc>
          <w:tcPr>
            <w:tcW w:w="4615" w:type="dxa"/>
            <w:tcBorders>
              <w:top w:val="nil"/>
              <w:left w:val="single" w:sz="8" w:space="0" w:color="auto"/>
              <w:bottom w:val="single" w:sz="4" w:space="0" w:color="auto"/>
              <w:right w:val="single" w:sz="8" w:space="0" w:color="auto"/>
            </w:tcBorders>
            <w:shd w:val="clear" w:color="auto" w:fill="auto"/>
            <w:vAlign w:val="center"/>
            <w:hideMark/>
          </w:tcPr>
          <w:p w:rsidR="002154E6" w:rsidRPr="0092778D" w:rsidRDefault="002154E6" w:rsidP="00A23296">
            <w:pPr>
              <w:rPr>
                <w:color w:val="000000"/>
                <w:sz w:val="20"/>
                <w:szCs w:val="20"/>
              </w:rPr>
            </w:pPr>
            <w:r w:rsidRPr="0092778D">
              <w:rPr>
                <w:color w:val="000000"/>
                <w:spacing w:val="-3"/>
                <w:sz w:val="20"/>
                <w:szCs w:val="20"/>
              </w:rPr>
              <w:t xml:space="preserve"> Joint Race (White/Minority)</w:t>
            </w:r>
          </w:p>
        </w:tc>
        <w:tc>
          <w:tcPr>
            <w:tcW w:w="950" w:type="dxa"/>
            <w:tcBorders>
              <w:top w:val="nil"/>
              <w:left w:val="nil"/>
              <w:bottom w:val="single" w:sz="4" w:space="0" w:color="auto"/>
              <w:right w:val="single" w:sz="4" w:space="0" w:color="auto"/>
            </w:tcBorders>
            <w:shd w:val="clear" w:color="auto" w:fill="auto"/>
            <w:vAlign w:val="center"/>
          </w:tcPr>
          <w:p w:rsidR="002154E6" w:rsidRPr="0092778D" w:rsidRDefault="00E9770A" w:rsidP="00A23296">
            <w:pPr>
              <w:jc w:val="center"/>
              <w:rPr>
                <w:color w:val="000000"/>
                <w:sz w:val="20"/>
                <w:szCs w:val="20"/>
              </w:rPr>
            </w:pPr>
            <w:r w:rsidRPr="0092778D">
              <w:rPr>
                <w:color w:val="000000"/>
                <w:sz w:val="20"/>
                <w:szCs w:val="20"/>
              </w:rPr>
              <w:t>0</w:t>
            </w:r>
          </w:p>
        </w:tc>
        <w:tc>
          <w:tcPr>
            <w:tcW w:w="950" w:type="dxa"/>
            <w:tcBorders>
              <w:top w:val="nil"/>
              <w:left w:val="nil"/>
              <w:bottom w:val="single" w:sz="4" w:space="0" w:color="auto"/>
              <w:right w:val="single" w:sz="8" w:space="0" w:color="auto"/>
            </w:tcBorders>
            <w:shd w:val="clear" w:color="auto" w:fill="auto"/>
            <w:vAlign w:val="center"/>
          </w:tcPr>
          <w:p w:rsidR="002154E6" w:rsidRPr="0092778D" w:rsidRDefault="00150B73" w:rsidP="00A23296">
            <w:pPr>
              <w:jc w:val="center"/>
              <w:rPr>
                <w:color w:val="000000"/>
                <w:sz w:val="20"/>
                <w:szCs w:val="20"/>
              </w:rPr>
            </w:pPr>
            <w:r w:rsidRPr="0092778D">
              <w:rPr>
                <w:color w:val="000000"/>
                <w:sz w:val="20"/>
                <w:szCs w:val="20"/>
              </w:rPr>
              <w:t>0.0</w:t>
            </w:r>
          </w:p>
        </w:tc>
        <w:tc>
          <w:tcPr>
            <w:tcW w:w="1056" w:type="dxa"/>
            <w:tcBorders>
              <w:top w:val="nil"/>
              <w:left w:val="nil"/>
              <w:bottom w:val="single" w:sz="4" w:space="0" w:color="auto"/>
              <w:right w:val="single" w:sz="8" w:space="0" w:color="auto"/>
            </w:tcBorders>
            <w:shd w:val="clear" w:color="000000" w:fill="E7E6E6"/>
            <w:vAlign w:val="center"/>
          </w:tcPr>
          <w:p w:rsidR="002154E6" w:rsidRPr="0092778D" w:rsidRDefault="0000730E" w:rsidP="00A23296">
            <w:pPr>
              <w:jc w:val="center"/>
              <w:rPr>
                <w:color w:val="000000"/>
                <w:sz w:val="20"/>
                <w:szCs w:val="20"/>
              </w:rPr>
            </w:pPr>
            <w:r w:rsidRPr="0092778D">
              <w:rPr>
                <w:color w:val="000000"/>
                <w:sz w:val="20"/>
                <w:szCs w:val="20"/>
              </w:rPr>
              <w:t>1.2</w:t>
            </w:r>
          </w:p>
        </w:tc>
        <w:tc>
          <w:tcPr>
            <w:tcW w:w="883" w:type="dxa"/>
            <w:tcBorders>
              <w:top w:val="nil"/>
              <w:left w:val="nil"/>
              <w:bottom w:val="single" w:sz="4" w:space="0" w:color="auto"/>
              <w:right w:val="single" w:sz="4" w:space="0" w:color="auto"/>
            </w:tcBorders>
            <w:shd w:val="clear" w:color="auto" w:fill="auto"/>
            <w:vAlign w:val="center"/>
          </w:tcPr>
          <w:p w:rsidR="002154E6" w:rsidRPr="0092778D" w:rsidRDefault="0092778D" w:rsidP="00A23296">
            <w:pPr>
              <w:jc w:val="center"/>
              <w:rPr>
                <w:color w:val="000000"/>
                <w:sz w:val="20"/>
                <w:szCs w:val="20"/>
              </w:rPr>
            </w:pPr>
            <w:r w:rsidRPr="0092778D">
              <w:rPr>
                <w:color w:val="000000"/>
                <w:sz w:val="20"/>
                <w:szCs w:val="20"/>
              </w:rPr>
              <w:t>1</w:t>
            </w:r>
          </w:p>
        </w:tc>
        <w:tc>
          <w:tcPr>
            <w:tcW w:w="913" w:type="dxa"/>
            <w:tcBorders>
              <w:top w:val="nil"/>
              <w:left w:val="nil"/>
              <w:bottom w:val="single" w:sz="4" w:space="0" w:color="auto"/>
              <w:right w:val="single" w:sz="8" w:space="0" w:color="auto"/>
            </w:tcBorders>
            <w:shd w:val="clear" w:color="auto" w:fill="auto"/>
            <w:vAlign w:val="center"/>
          </w:tcPr>
          <w:p w:rsidR="002154E6" w:rsidRPr="0092778D" w:rsidRDefault="0092778D" w:rsidP="00A23296">
            <w:pPr>
              <w:jc w:val="center"/>
              <w:rPr>
                <w:color w:val="000000"/>
                <w:sz w:val="20"/>
                <w:szCs w:val="20"/>
              </w:rPr>
            </w:pPr>
            <w:r w:rsidRPr="0092778D">
              <w:rPr>
                <w:color w:val="000000"/>
                <w:sz w:val="20"/>
                <w:szCs w:val="20"/>
              </w:rPr>
              <w:t>2.0</w:t>
            </w:r>
          </w:p>
        </w:tc>
      </w:tr>
      <w:tr w:rsidR="002154E6" w:rsidRPr="0092778D" w:rsidTr="0089709B">
        <w:trPr>
          <w:trHeight w:val="175"/>
        </w:trPr>
        <w:tc>
          <w:tcPr>
            <w:tcW w:w="4615" w:type="dxa"/>
            <w:tcBorders>
              <w:top w:val="nil"/>
              <w:left w:val="single" w:sz="8" w:space="0" w:color="auto"/>
              <w:bottom w:val="single" w:sz="4" w:space="0" w:color="auto"/>
              <w:right w:val="single" w:sz="8" w:space="0" w:color="auto"/>
            </w:tcBorders>
            <w:shd w:val="clear" w:color="auto" w:fill="auto"/>
            <w:vAlign w:val="center"/>
            <w:hideMark/>
          </w:tcPr>
          <w:p w:rsidR="002154E6" w:rsidRPr="0092778D" w:rsidRDefault="002154E6" w:rsidP="00E229ED">
            <w:pPr>
              <w:jc w:val="both"/>
              <w:rPr>
                <w:b/>
                <w:bCs/>
                <w:color w:val="000000"/>
                <w:sz w:val="20"/>
                <w:szCs w:val="20"/>
              </w:rPr>
            </w:pPr>
            <w:r w:rsidRPr="0092778D">
              <w:rPr>
                <w:b/>
                <w:bCs/>
                <w:color w:val="000000"/>
                <w:spacing w:val="-3"/>
                <w:sz w:val="20"/>
                <w:szCs w:val="20"/>
              </w:rPr>
              <w:t>Total Minority</w:t>
            </w:r>
          </w:p>
        </w:tc>
        <w:tc>
          <w:tcPr>
            <w:tcW w:w="950" w:type="dxa"/>
            <w:tcBorders>
              <w:top w:val="nil"/>
              <w:left w:val="nil"/>
              <w:bottom w:val="single" w:sz="4" w:space="0" w:color="auto"/>
              <w:right w:val="single" w:sz="4" w:space="0" w:color="auto"/>
            </w:tcBorders>
            <w:shd w:val="clear" w:color="auto" w:fill="auto"/>
            <w:vAlign w:val="center"/>
          </w:tcPr>
          <w:p w:rsidR="002154E6" w:rsidRPr="0092778D" w:rsidRDefault="00150B73" w:rsidP="00A23296">
            <w:pPr>
              <w:jc w:val="center"/>
              <w:rPr>
                <w:b/>
                <w:bCs/>
                <w:color w:val="000000"/>
                <w:sz w:val="20"/>
                <w:szCs w:val="20"/>
              </w:rPr>
            </w:pPr>
            <w:r w:rsidRPr="0092778D">
              <w:rPr>
                <w:b/>
                <w:bCs/>
                <w:color w:val="000000"/>
                <w:sz w:val="20"/>
                <w:szCs w:val="20"/>
              </w:rPr>
              <w:t>4</w:t>
            </w:r>
          </w:p>
        </w:tc>
        <w:tc>
          <w:tcPr>
            <w:tcW w:w="950" w:type="dxa"/>
            <w:tcBorders>
              <w:top w:val="nil"/>
              <w:left w:val="nil"/>
              <w:bottom w:val="single" w:sz="4" w:space="0" w:color="auto"/>
              <w:right w:val="single" w:sz="8" w:space="0" w:color="auto"/>
            </w:tcBorders>
            <w:shd w:val="clear" w:color="auto" w:fill="auto"/>
            <w:vAlign w:val="center"/>
          </w:tcPr>
          <w:p w:rsidR="002154E6" w:rsidRPr="0092778D" w:rsidRDefault="00150B73" w:rsidP="00A23296">
            <w:pPr>
              <w:jc w:val="center"/>
              <w:rPr>
                <w:b/>
                <w:bCs/>
                <w:color w:val="000000"/>
                <w:sz w:val="20"/>
                <w:szCs w:val="20"/>
              </w:rPr>
            </w:pPr>
            <w:r w:rsidRPr="0092778D">
              <w:rPr>
                <w:b/>
                <w:bCs/>
                <w:color w:val="000000"/>
                <w:sz w:val="20"/>
                <w:szCs w:val="20"/>
              </w:rPr>
              <w:t>10.6</w:t>
            </w:r>
          </w:p>
        </w:tc>
        <w:tc>
          <w:tcPr>
            <w:tcW w:w="1056" w:type="dxa"/>
            <w:tcBorders>
              <w:top w:val="nil"/>
              <w:left w:val="nil"/>
              <w:bottom w:val="single" w:sz="4" w:space="0" w:color="auto"/>
              <w:right w:val="single" w:sz="8" w:space="0" w:color="auto"/>
            </w:tcBorders>
            <w:shd w:val="clear" w:color="000000" w:fill="E7E6E6"/>
            <w:vAlign w:val="center"/>
          </w:tcPr>
          <w:p w:rsidR="002154E6" w:rsidRPr="0092778D" w:rsidRDefault="0000730E" w:rsidP="00A23296">
            <w:pPr>
              <w:jc w:val="center"/>
              <w:rPr>
                <w:b/>
                <w:bCs/>
                <w:color w:val="000000"/>
                <w:sz w:val="20"/>
                <w:szCs w:val="20"/>
              </w:rPr>
            </w:pPr>
            <w:r w:rsidRPr="0092778D">
              <w:rPr>
                <w:b/>
                <w:bCs/>
                <w:color w:val="000000"/>
                <w:sz w:val="20"/>
                <w:szCs w:val="20"/>
              </w:rPr>
              <w:t>16.6</w:t>
            </w:r>
          </w:p>
        </w:tc>
        <w:tc>
          <w:tcPr>
            <w:tcW w:w="883" w:type="dxa"/>
            <w:tcBorders>
              <w:top w:val="nil"/>
              <w:left w:val="nil"/>
              <w:bottom w:val="single" w:sz="4" w:space="0" w:color="auto"/>
              <w:right w:val="single" w:sz="4" w:space="0" w:color="auto"/>
            </w:tcBorders>
            <w:shd w:val="clear" w:color="auto" w:fill="auto"/>
            <w:vAlign w:val="center"/>
          </w:tcPr>
          <w:p w:rsidR="002154E6" w:rsidRPr="0092778D" w:rsidRDefault="0092778D" w:rsidP="00A23296">
            <w:pPr>
              <w:jc w:val="center"/>
              <w:rPr>
                <w:b/>
                <w:bCs/>
                <w:color w:val="000000"/>
                <w:sz w:val="20"/>
                <w:szCs w:val="20"/>
              </w:rPr>
            </w:pPr>
            <w:r w:rsidRPr="0092778D">
              <w:rPr>
                <w:b/>
                <w:bCs/>
                <w:color w:val="000000"/>
                <w:sz w:val="20"/>
                <w:szCs w:val="20"/>
              </w:rPr>
              <w:t>11</w:t>
            </w:r>
          </w:p>
        </w:tc>
        <w:tc>
          <w:tcPr>
            <w:tcW w:w="913" w:type="dxa"/>
            <w:tcBorders>
              <w:top w:val="nil"/>
              <w:left w:val="nil"/>
              <w:bottom w:val="single" w:sz="4" w:space="0" w:color="auto"/>
              <w:right w:val="single" w:sz="8" w:space="0" w:color="auto"/>
            </w:tcBorders>
            <w:shd w:val="clear" w:color="auto" w:fill="auto"/>
            <w:vAlign w:val="center"/>
          </w:tcPr>
          <w:p w:rsidR="002154E6" w:rsidRPr="0092778D" w:rsidRDefault="0092778D" w:rsidP="00A23296">
            <w:pPr>
              <w:jc w:val="center"/>
              <w:rPr>
                <w:b/>
                <w:bCs/>
                <w:color w:val="000000"/>
                <w:sz w:val="20"/>
                <w:szCs w:val="20"/>
              </w:rPr>
            </w:pPr>
            <w:r w:rsidRPr="0092778D">
              <w:rPr>
                <w:b/>
                <w:bCs/>
                <w:color w:val="000000"/>
                <w:sz w:val="20"/>
                <w:szCs w:val="20"/>
              </w:rPr>
              <w:t>22.0</w:t>
            </w:r>
          </w:p>
        </w:tc>
      </w:tr>
      <w:tr w:rsidR="002154E6" w:rsidRPr="0092778D" w:rsidTr="0089709B">
        <w:trPr>
          <w:trHeight w:val="175"/>
        </w:trPr>
        <w:tc>
          <w:tcPr>
            <w:tcW w:w="4615" w:type="dxa"/>
            <w:tcBorders>
              <w:top w:val="nil"/>
              <w:left w:val="single" w:sz="8" w:space="0" w:color="auto"/>
              <w:bottom w:val="single" w:sz="4" w:space="0" w:color="auto"/>
              <w:right w:val="single" w:sz="8" w:space="0" w:color="auto"/>
            </w:tcBorders>
            <w:shd w:val="clear" w:color="auto" w:fill="auto"/>
            <w:vAlign w:val="center"/>
            <w:hideMark/>
          </w:tcPr>
          <w:p w:rsidR="002154E6" w:rsidRPr="0092778D" w:rsidRDefault="002154E6" w:rsidP="00A23296">
            <w:pPr>
              <w:rPr>
                <w:color w:val="000000"/>
                <w:sz w:val="20"/>
                <w:szCs w:val="20"/>
              </w:rPr>
            </w:pPr>
            <w:r w:rsidRPr="0092778D">
              <w:rPr>
                <w:color w:val="000000"/>
                <w:spacing w:val="-3"/>
                <w:sz w:val="20"/>
                <w:szCs w:val="20"/>
              </w:rPr>
              <w:t>White</w:t>
            </w:r>
          </w:p>
        </w:tc>
        <w:tc>
          <w:tcPr>
            <w:tcW w:w="950" w:type="dxa"/>
            <w:tcBorders>
              <w:top w:val="nil"/>
              <w:left w:val="nil"/>
              <w:bottom w:val="single" w:sz="4" w:space="0" w:color="auto"/>
              <w:right w:val="single" w:sz="4" w:space="0" w:color="auto"/>
            </w:tcBorders>
            <w:shd w:val="clear" w:color="auto" w:fill="auto"/>
            <w:vAlign w:val="center"/>
          </w:tcPr>
          <w:p w:rsidR="002154E6" w:rsidRPr="0092778D" w:rsidRDefault="00E9770A" w:rsidP="00A23296">
            <w:pPr>
              <w:jc w:val="center"/>
              <w:rPr>
                <w:color w:val="000000"/>
                <w:sz w:val="20"/>
                <w:szCs w:val="20"/>
              </w:rPr>
            </w:pPr>
            <w:r w:rsidRPr="0092778D">
              <w:rPr>
                <w:color w:val="000000"/>
                <w:sz w:val="20"/>
                <w:szCs w:val="20"/>
              </w:rPr>
              <w:t>33</w:t>
            </w:r>
          </w:p>
        </w:tc>
        <w:tc>
          <w:tcPr>
            <w:tcW w:w="950" w:type="dxa"/>
            <w:tcBorders>
              <w:top w:val="nil"/>
              <w:left w:val="nil"/>
              <w:bottom w:val="single" w:sz="4" w:space="0" w:color="auto"/>
              <w:right w:val="single" w:sz="8" w:space="0" w:color="auto"/>
            </w:tcBorders>
            <w:shd w:val="clear" w:color="auto" w:fill="auto"/>
            <w:vAlign w:val="center"/>
          </w:tcPr>
          <w:p w:rsidR="002154E6" w:rsidRPr="0092778D" w:rsidRDefault="00150B73" w:rsidP="00A23296">
            <w:pPr>
              <w:jc w:val="center"/>
              <w:rPr>
                <w:color w:val="000000"/>
                <w:sz w:val="20"/>
                <w:szCs w:val="20"/>
              </w:rPr>
            </w:pPr>
            <w:r w:rsidRPr="0092778D">
              <w:rPr>
                <w:color w:val="000000"/>
                <w:sz w:val="20"/>
                <w:szCs w:val="20"/>
              </w:rPr>
              <w:t>86.8</w:t>
            </w:r>
          </w:p>
        </w:tc>
        <w:tc>
          <w:tcPr>
            <w:tcW w:w="1056" w:type="dxa"/>
            <w:tcBorders>
              <w:top w:val="nil"/>
              <w:left w:val="nil"/>
              <w:bottom w:val="single" w:sz="4" w:space="0" w:color="auto"/>
              <w:right w:val="single" w:sz="8" w:space="0" w:color="auto"/>
            </w:tcBorders>
            <w:shd w:val="clear" w:color="000000" w:fill="E7E6E6"/>
            <w:vAlign w:val="center"/>
          </w:tcPr>
          <w:p w:rsidR="002154E6" w:rsidRPr="0092778D" w:rsidRDefault="0000730E" w:rsidP="00A23296">
            <w:pPr>
              <w:jc w:val="center"/>
              <w:rPr>
                <w:color w:val="000000"/>
                <w:sz w:val="20"/>
                <w:szCs w:val="20"/>
              </w:rPr>
            </w:pPr>
            <w:r w:rsidRPr="0092778D">
              <w:rPr>
                <w:color w:val="000000"/>
                <w:sz w:val="20"/>
                <w:szCs w:val="20"/>
              </w:rPr>
              <w:t>60.7</w:t>
            </w:r>
          </w:p>
        </w:tc>
        <w:tc>
          <w:tcPr>
            <w:tcW w:w="883" w:type="dxa"/>
            <w:tcBorders>
              <w:top w:val="nil"/>
              <w:left w:val="nil"/>
              <w:bottom w:val="single" w:sz="4" w:space="0" w:color="auto"/>
              <w:right w:val="single" w:sz="4" w:space="0" w:color="auto"/>
            </w:tcBorders>
            <w:shd w:val="clear" w:color="auto" w:fill="auto"/>
            <w:vAlign w:val="center"/>
          </w:tcPr>
          <w:p w:rsidR="002154E6" w:rsidRPr="0092778D" w:rsidRDefault="0092778D" w:rsidP="00A23296">
            <w:pPr>
              <w:jc w:val="center"/>
              <w:rPr>
                <w:color w:val="000000"/>
                <w:sz w:val="20"/>
                <w:szCs w:val="20"/>
              </w:rPr>
            </w:pPr>
            <w:r w:rsidRPr="0092778D">
              <w:rPr>
                <w:color w:val="000000"/>
                <w:sz w:val="20"/>
                <w:szCs w:val="20"/>
              </w:rPr>
              <w:t>36</w:t>
            </w:r>
          </w:p>
        </w:tc>
        <w:tc>
          <w:tcPr>
            <w:tcW w:w="913" w:type="dxa"/>
            <w:tcBorders>
              <w:top w:val="nil"/>
              <w:left w:val="nil"/>
              <w:bottom w:val="single" w:sz="4" w:space="0" w:color="auto"/>
              <w:right w:val="single" w:sz="8" w:space="0" w:color="auto"/>
            </w:tcBorders>
            <w:shd w:val="clear" w:color="auto" w:fill="auto"/>
            <w:vAlign w:val="center"/>
          </w:tcPr>
          <w:p w:rsidR="002154E6" w:rsidRPr="0092778D" w:rsidRDefault="0092778D" w:rsidP="00A23296">
            <w:pPr>
              <w:jc w:val="center"/>
              <w:rPr>
                <w:color w:val="000000"/>
                <w:sz w:val="20"/>
                <w:szCs w:val="20"/>
              </w:rPr>
            </w:pPr>
            <w:r w:rsidRPr="0092778D">
              <w:rPr>
                <w:color w:val="000000"/>
                <w:sz w:val="20"/>
                <w:szCs w:val="20"/>
              </w:rPr>
              <w:t>72.0</w:t>
            </w:r>
          </w:p>
        </w:tc>
      </w:tr>
      <w:tr w:rsidR="002154E6" w:rsidRPr="0092778D" w:rsidTr="0089709B">
        <w:trPr>
          <w:trHeight w:val="175"/>
        </w:trPr>
        <w:tc>
          <w:tcPr>
            <w:tcW w:w="4615" w:type="dxa"/>
            <w:tcBorders>
              <w:top w:val="nil"/>
              <w:left w:val="single" w:sz="8" w:space="0" w:color="auto"/>
              <w:bottom w:val="single" w:sz="4" w:space="0" w:color="auto"/>
              <w:right w:val="single" w:sz="8" w:space="0" w:color="auto"/>
            </w:tcBorders>
            <w:shd w:val="clear" w:color="auto" w:fill="auto"/>
            <w:vAlign w:val="center"/>
            <w:hideMark/>
          </w:tcPr>
          <w:p w:rsidR="002154E6" w:rsidRPr="0092778D" w:rsidRDefault="002154E6" w:rsidP="00A23296">
            <w:pPr>
              <w:rPr>
                <w:color w:val="000000"/>
                <w:sz w:val="20"/>
                <w:szCs w:val="20"/>
              </w:rPr>
            </w:pPr>
            <w:r w:rsidRPr="0092778D">
              <w:rPr>
                <w:color w:val="000000"/>
                <w:spacing w:val="-3"/>
                <w:sz w:val="20"/>
                <w:szCs w:val="20"/>
              </w:rPr>
              <w:t>Race Not Available</w:t>
            </w:r>
          </w:p>
        </w:tc>
        <w:tc>
          <w:tcPr>
            <w:tcW w:w="950" w:type="dxa"/>
            <w:tcBorders>
              <w:top w:val="nil"/>
              <w:left w:val="nil"/>
              <w:bottom w:val="single" w:sz="4" w:space="0" w:color="auto"/>
              <w:right w:val="single" w:sz="4" w:space="0" w:color="auto"/>
            </w:tcBorders>
            <w:shd w:val="clear" w:color="auto" w:fill="auto"/>
            <w:vAlign w:val="center"/>
          </w:tcPr>
          <w:p w:rsidR="002154E6" w:rsidRPr="0092778D" w:rsidRDefault="00E9770A" w:rsidP="00A23296">
            <w:pPr>
              <w:jc w:val="center"/>
              <w:rPr>
                <w:color w:val="000000"/>
                <w:sz w:val="20"/>
                <w:szCs w:val="20"/>
              </w:rPr>
            </w:pPr>
            <w:r w:rsidRPr="0092778D">
              <w:rPr>
                <w:color w:val="000000"/>
                <w:sz w:val="20"/>
                <w:szCs w:val="20"/>
              </w:rPr>
              <w:t>1</w:t>
            </w:r>
          </w:p>
        </w:tc>
        <w:tc>
          <w:tcPr>
            <w:tcW w:w="950" w:type="dxa"/>
            <w:tcBorders>
              <w:top w:val="nil"/>
              <w:left w:val="nil"/>
              <w:bottom w:val="single" w:sz="4" w:space="0" w:color="auto"/>
              <w:right w:val="single" w:sz="8" w:space="0" w:color="auto"/>
            </w:tcBorders>
            <w:shd w:val="clear" w:color="auto" w:fill="auto"/>
            <w:vAlign w:val="center"/>
          </w:tcPr>
          <w:p w:rsidR="002154E6" w:rsidRPr="0092778D" w:rsidRDefault="00150B73" w:rsidP="00A23296">
            <w:pPr>
              <w:jc w:val="center"/>
              <w:rPr>
                <w:color w:val="000000"/>
                <w:sz w:val="20"/>
                <w:szCs w:val="20"/>
              </w:rPr>
            </w:pPr>
            <w:r w:rsidRPr="0092778D">
              <w:rPr>
                <w:color w:val="000000"/>
                <w:sz w:val="20"/>
                <w:szCs w:val="20"/>
              </w:rPr>
              <w:t>2.6</w:t>
            </w:r>
          </w:p>
        </w:tc>
        <w:tc>
          <w:tcPr>
            <w:tcW w:w="1056" w:type="dxa"/>
            <w:tcBorders>
              <w:top w:val="nil"/>
              <w:left w:val="nil"/>
              <w:bottom w:val="single" w:sz="4" w:space="0" w:color="auto"/>
              <w:right w:val="single" w:sz="8" w:space="0" w:color="auto"/>
            </w:tcBorders>
            <w:shd w:val="clear" w:color="000000" w:fill="E7E6E6"/>
            <w:vAlign w:val="center"/>
          </w:tcPr>
          <w:p w:rsidR="002154E6" w:rsidRPr="0092778D" w:rsidRDefault="0000730E" w:rsidP="00A23296">
            <w:pPr>
              <w:jc w:val="center"/>
              <w:rPr>
                <w:color w:val="000000"/>
                <w:sz w:val="20"/>
                <w:szCs w:val="20"/>
              </w:rPr>
            </w:pPr>
            <w:r w:rsidRPr="0092778D">
              <w:rPr>
                <w:color w:val="000000"/>
                <w:sz w:val="20"/>
                <w:szCs w:val="20"/>
              </w:rPr>
              <w:t>22.7</w:t>
            </w:r>
          </w:p>
        </w:tc>
        <w:tc>
          <w:tcPr>
            <w:tcW w:w="883" w:type="dxa"/>
            <w:tcBorders>
              <w:top w:val="nil"/>
              <w:left w:val="nil"/>
              <w:bottom w:val="single" w:sz="4" w:space="0" w:color="auto"/>
              <w:right w:val="single" w:sz="4" w:space="0" w:color="auto"/>
            </w:tcBorders>
            <w:shd w:val="clear" w:color="auto" w:fill="auto"/>
            <w:vAlign w:val="center"/>
          </w:tcPr>
          <w:p w:rsidR="002154E6" w:rsidRPr="0092778D" w:rsidRDefault="0092778D" w:rsidP="00A23296">
            <w:pPr>
              <w:jc w:val="center"/>
              <w:rPr>
                <w:color w:val="000000"/>
                <w:sz w:val="20"/>
                <w:szCs w:val="20"/>
              </w:rPr>
            </w:pPr>
            <w:r w:rsidRPr="0092778D">
              <w:rPr>
                <w:color w:val="000000"/>
                <w:sz w:val="20"/>
                <w:szCs w:val="20"/>
              </w:rPr>
              <w:t>3</w:t>
            </w:r>
          </w:p>
        </w:tc>
        <w:tc>
          <w:tcPr>
            <w:tcW w:w="913" w:type="dxa"/>
            <w:tcBorders>
              <w:top w:val="nil"/>
              <w:left w:val="nil"/>
              <w:bottom w:val="single" w:sz="4" w:space="0" w:color="auto"/>
              <w:right w:val="single" w:sz="8" w:space="0" w:color="auto"/>
            </w:tcBorders>
            <w:shd w:val="clear" w:color="auto" w:fill="auto"/>
            <w:vAlign w:val="center"/>
          </w:tcPr>
          <w:p w:rsidR="002154E6" w:rsidRPr="0092778D" w:rsidRDefault="0092778D" w:rsidP="00A23296">
            <w:pPr>
              <w:jc w:val="center"/>
              <w:rPr>
                <w:color w:val="000000"/>
                <w:sz w:val="20"/>
                <w:szCs w:val="20"/>
              </w:rPr>
            </w:pPr>
            <w:r w:rsidRPr="0092778D">
              <w:rPr>
                <w:color w:val="000000"/>
                <w:sz w:val="20"/>
                <w:szCs w:val="20"/>
              </w:rPr>
              <w:t>6.0</w:t>
            </w:r>
          </w:p>
        </w:tc>
      </w:tr>
      <w:tr w:rsidR="002154E6" w:rsidRPr="0092778D" w:rsidTr="0089709B">
        <w:trPr>
          <w:trHeight w:val="175"/>
        </w:trPr>
        <w:tc>
          <w:tcPr>
            <w:tcW w:w="4615" w:type="dxa"/>
            <w:tcBorders>
              <w:top w:val="nil"/>
              <w:left w:val="single" w:sz="8" w:space="0" w:color="auto"/>
              <w:bottom w:val="single" w:sz="4" w:space="0" w:color="auto"/>
              <w:right w:val="single" w:sz="8" w:space="0" w:color="auto"/>
            </w:tcBorders>
            <w:shd w:val="clear" w:color="auto" w:fill="auto"/>
            <w:vAlign w:val="center"/>
            <w:hideMark/>
          </w:tcPr>
          <w:p w:rsidR="002154E6" w:rsidRPr="0092778D" w:rsidRDefault="002154E6" w:rsidP="00A23296">
            <w:pPr>
              <w:jc w:val="center"/>
              <w:rPr>
                <w:b/>
                <w:bCs/>
                <w:color w:val="000000"/>
                <w:sz w:val="20"/>
                <w:szCs w:val="20"/>
              </w:rPr>
            </w:pPr>
            <w:r w:rsidRPr="0092778D">
              <w:rPr>
                <w:b/>
                <w:bCs/>
                <w:color w:val="000000"/>
                <w:spacing w:val="-3"/>
                <w:sz w:val="20"/>
                <w:szCs w:val="20"/>
              </w:rPr>
              <w:t>Total</w:t>
            </w:r>
          </w:p>
        </w:tc>
        <w:tc>
          <w:tcPr>
            <w:tcW w:w="950" w:type="dxa"/>
            <w:tcBorders>
              <w:top w:val="nil"/>
              <w:left w:val="nil"/>
              <w:bottom w:val="single" w:sz="4" w:space="0" w:color="auto"/>
              <w:right w:val="single" w:sz="4" w:space="0" w:color="auto"/>
            </w:tcBorders>
            <w:shd w:val="clear" w:color="auto" w:fill="auto"/>
            <w:vAlign w:val="center"/>
          </w:tcPr>
          <w:p w:rsidR="002154E6" w:rsidRPr="0092778D" w:rsidRDefault="00150B73" w:rsidP="00A23296">
            <w:pPr>
              <w:jc w:val="center"/>
              <w:rPr>
                <w:b/>
                <w:bCs/>
                <w:color w:val="000000"/>
                <w:sz w:val="20"/>
                <w:szCs w:val="20"/>
              </w:rPr>
            </w:pPr>
            <w:r w:rsidRPr="0092778D">
              <w:rPr>
                <w:b/>
                <w:bCs/>
                <w:color w:val="000000"/>
                <w:sz w:val="20"/>
                <w:szCs w:val="20"/>
              </w:rPr>
              <w:t>38</w:t>
            </w:r>
          </w:p>
        </w:tc>
        <w:tc>
          <w:tcPr>
            <w:tcW w:w="950" w:type="dxa"/>
            <w:tcBorders>
              <w:top w:val="nil"/>
              <w:left w:val="nil"/>
              <w:bottom w:val="single" w:sz="4" w:space="0" w:color="auto"/>
              <w:right w:val="single" w:sz="8" w:space="0" w:color="auto"/>
            </w:tcBorders>
            <w:shd w:val="clear" w:color="auto" w:fill="auto"/>
            <w:vAlign w:val="center"/>
          </w:tcPr>
          <w:p w:rsidR="002154E6" w:rsidRPr="0092778D" w:rsidRDefault="00150B73" w:rsidP="00A23296">
            <w:pPr>
              <w:jc w:val="center"/>
              <w:rPr>
                <w:b/>
                <w:bCs/>
                <w:color w:val="000000"/>
                <w:sz w:val="20"/>
                <w:szCs w:val="20"/>
              </w:rPr>
            </w:pPr>
            <w:r w:rsidRPr="0092778D">
              <w:rPr>
                <w:b/>
                <w:bCs/>
                <w:color w:val="000000"/>
                <w:sz w:val="20"/>
                <w:szCs w:val="20"/>
              </w:rPr>
              <w:t>100.0</w:t>
            </w:r>
          </w:p>
        </w:tc>
        <w:tc>
          <w:tcPr>
            <w:tcW w:w="1056" w:type="dxa"/>
            <w:tcBorders>
              <w:top w:val="nil"/>
              <w:left w:val="nil"/>
              <w:bottom w:val="single" w:sz="4" w:space="0" w:color="auto"/>
              <w:right w:val="single" w:sz="8" w:space="0" w:color="auto"/>
            </w:tcBorders>
            <w:shd w:val="clear" w:color="000000" w:fill="E7E6E6"/>
            <w:vAlign w:val="center"/>
          </w:tcPr>
          <w:p w:rsidR="002154E6" w:rsidRPr="0092778D" w:rsidRDefault="0000730E" w:rsidP="00A23296">
            <w:pPr>
              <w:jc w:val="center"/>
              <w:rPr>
                <w:b/>
                <w:bCs/>
                <w:color w:val="000000"/>
                <w:sz w:val="20"/>
                <w:szCs w:val="20"/>
              </w:rPr>
            </w:pPr>
            <w:r w:rsidRPr="0092778D">
              <w:rPr>
                <w:b/>
                <w:bCs/>
                <w:color w:val="000000"/>
                <w:sz w:val="20"/>
                <w:szCs w:val="20"/>
              </w:rPr>
              <w:t>100.0</w:t>
            </w:r>
          </w:p>
        </w:tc>
        <w:tc>
          <w:tcPr>
            <w:tcW w:w="883" w:type="dxa"/>
            <w:tcBorders>
              <w:top w:val="nil"/>
              <w:left w:val="nil"/>
              <w:bottom w:val="single" w:sz="4" w:space="0" w:color="auto"/>
              <w:right w:val="single" w:sz="4" w:space="0" w:color="auto"/>
            </w:tcBorders>
            <w:shd w:val="clear" w:color="auto" w:fill="auto"/>
            <w:vAlign w:val="center"/>
          </w:tcPr>
          <w:p w:rsidR="002154E6" w:rsidRPr="0092778D" w:rsidRDefault="0092778D" w:rsidP="00A23296">
            <w:pPr>
              <w:jc w:val="center"/>
              <w:rPr>
                <w:b/>
                <w:bCs/>
                <w:color w:val="000000"/>
                <w:sz w:val="20"/>
                <w:szCs w:val="20"/>
              </w:rPr>
            </w:pPr>
            <w:r w:rsidRPr="0092778D">
              <w:rPr>
                <w:b/>
                <w:bCs/>
                <w:color w:val="000000"/>
                <w:sz w:val="20"/>
                <w:szCs w:val="20"/>
              </w:rPr>
              <w:t>50</w:t>
            </w:r>
          </w:p>
        </w:tc>
        <w:tc>
          <w:tcPr>
            <w:tcW w:w="913" w:type="dxa"/>
            <w:tcBorders>
              <w:top w:val="nil"/>
              <w:left w:val="nil"/>
              <w:bottom w:val="single" w:sz="4" w:space="0" w:color="auto"/>
              <w:right w:val="single" w:sz="8" w:space="0" w:color="auto"/>
            </w:tcBorders>
            <w:shd w:val="clear" w:color="auto" w:fill="auto"/>
            <w:vAlign w:val="center"/>
          </w:tcPr>
          <w:p w:rsidR="002154E6" w:rsidRPr="0092778D" w:rsidRDefault="0092778D" w:rsidP="00A23296">
            <w:pPr>
              <w:jc w:val="center"/>
              <w:rPr>
                <w:b/>
                <w:bCs/>
                <w:color w:val="000000"/>
                <w:sz w:val="20"/>
                <w:szCs w:val="20"/>
              </w:rPr>
            </w:pPr>
            <w:r w:rsidRPr="0092778D">
              <w:rPr>
                <w:b/>
                <w:bCs/>
                <w:color w:val="000000"/>
                <w:sz w:val="20"/>
                <w:szCs w:val="20"/>
              </w:rPr>
              <w:t>100.0</w:t>
            </w:r>
          </w:p>
        </w:tc>
      </w:tr>
      <w:tr w:rsidR="002154E6" w:rsidRPr="0092778D" w:rsidTr="0089709B">
        <w:trPr>
          <w:trHeight w:val="175"/>
        </w:trPr>
        <w:tc>
          <w:tcPr>
            <w:tcW w:w="4615" w:type="dxa"/>
            <w:tcBorders>
              <w:top w:val="nil"/>
              <w:left w:val="single" w:sz="8" w:space="0" w:color="auto"/>
              <w:bottom w:val="single" w:sz="4" w:space="0" w:color="auto"/>
              <w:right w:val="single" w:sz="8" w:space="0" w:color="auto"/>
            </w:tcBorders>
            <w:shd w:val="clear" w:color="auto" w:fill="auto"/>
            <w:vAlign w:val="center"/>
            <w:hideMark/>
          </w:tcPr>
          <w:p w:rsidR="002154E6" w:rsidRPr="0092778D" w:rsidRDefault="002154E6" w:rsidP="00A23296">
            <w:pPr>
              <w:jc w:val="center"/>
              <w:rPr>
                <w:b/>
                <w:bCs/>
                <w:color w:val="000000"/>
                <w:sz w:val="20"/>
                <w:szCs w:val="20"/>
              </w:rPr>
            </w:pPr>
            <w:r w:rsidRPr="0092778D">
              <w:rPr>
                <w:b/>
                <w:bCs/>
                <w:color w:val="000000"/>
                <w:spacing w:val="-3"/>
                <w:sz w:val="20"/>
                <w:szCs w:val="20"/>
              </w:rPr>
              <w:t>ETHNICITY</w:t>
            </w:r>
          </w:p>
        </w:tc>
        <w:tc>
          <w:tcPr>
            <w:tcW w:w="950" w:type="dxa"/>
            <w:tcBorders>
              <w:top w:val="nil"/>
              <w:left w:val="nil"/>
              <w:bottom w:val="single" w:sz="4" w:space="0" w:color="auto"/>
              <w:right w:val="single" w:sz="4" w:space="0" w:color="auto"/>
            </w:tcBorders>
            <w:shd w:val="clear" w:color="auto" w:fill="auto"/>
            <w:vAlign w:val="center"/>
          </w:tcPr>
          <w:p w:rsidR="002154E6" w:rsidRPr="0092778D" w:rsidRDefault="002154E6" w:rsidP="00A23296">
            <w:pPr>
              <w:jc w:val="center"/>
              <w:rPr>
                <w:b/>
                <w:bCs/>
                <w:color w:val="000000"/>
                <w:sz w:val="20"/>
                <w:szCs w:val="20"/>
              </w:rPr>
            </w:pPr>
          </w:p>
        </w:tc>
        <w:tc>
          <w:tcPr>
            <w:tcW w:w="950" w:type="dxa"/>
            <w:tcBorders>
              <w:top w:val="nil"/>
              <w:left w:val="nil"/>
              <w:bottom w:val="single" w:sz="4" w:space="0" w:color="auto"/>
              <w:right w:val="single" w:sz="8" w:space="0" w:color="auto"/>
            </w:tcBorders>
            <w:shd w:val="clear" w:color="auto" w:fill="auto"/>
            <w:vAlign w:val="center"/>
          </w:tcPr>
          <w:p w:rsidR="002154E6" w:rsidRPr="0092778D" w:rsidRDefault="002154E6" w:rsidP="00A23296">
            <w:pPr>
              <w:jc w:val="center"/>
              <w:rPr>
                <w:b/>
                <w:bCs/>
                <w:color w:val="000000"/>
                <w:sz w:val="20"/>
                <w:szCs w:val="20"/>
              </w:rPr>
            </w:pPr>
          </w:p>
        </w:tc>
        <w:tc>
          <w:tcPr>
            <w:tcW w:w="1056" w:type="dxa"/>
            <w:tcBorders>
              <w:top w:val="nil"/>
              <w:left w:val="nil"/>
              <w:bottom w:val="single" w:sz="4" w:space="0" w:color="auto"/>
              <w:right w:val="single" w:sz="8" w:space="0" w:color="auto"/>
            </w:tcBorders>
            <w:shd w:val="clear" w:color="000000" w:fill="E7E6E6"/>
            <w:vAlign w:val="center"/>
          </w:tcPr>
          <w:p w:rsidR="002154E6" w:rsidRPr="0092778D" w:rsidRDefault="002154E6" w:rsidP="00A23296">
            <w:pPr>
              <w:jc w:val="center"/>
              <w:rPr>
                <w:b/>
                <w:bCs/>
                <w:color w:val="FF0000"/>
                <w:sz w:val="20"/>
                <w:szCs w:val="20"/>
              </w:rPr>
            </w:pPr>
          </w:p>
        </w:tc>
        <w:tc>
          <w:tcPr>
            <w:tcW w:w="883" w:type="dxa"/>
            <w:tcBorders>
              <w:top w:val="nil"/>
              <w:left w:val="nil"/>
              <w:bottom w:val="single" w:sz="4" w:space="0" w:color="auto"/>
              <w:right w:val="single" w:sz="4" w:space="0" w:color="auto"/>
            </w:tcBorders>
            <w:shd w:val="clear" w:color="auto" w:fill="auto"/>
            <w:vAlign w:val="center"/>
          </w:tcPr>
          <w:p w:rsidR="002154E6" w:rsidRPr="0092778D" w:rsidRDefault="002154E6" w:rsidP="00A23296">
            <w:pPr>
              <w:jc w:val="center"/>
              <w:rPr>
                <w:b/>
                <w:bCs/>
                <w:color w:val="000000"/>
                <w:sz w:val="20"/>
                <w:szCs w:val="20"/>
              </w:rPr>
            </w:pPr>
          </w:p>
        </w:tc>
        <w:tc>
          <w:tcPr>
            <w:tcW w:w="913" w:type="dxa"/>
            <w:tcBorders>
              <w:top w:val="nil"/>
              <w:left w:val="nil"/>
              <w:bottom w:val="single" w:sz="4" w:space="0" w:color="auto"/>
              <w:right w:val="single" w:sz="8" w:space="0" w:color="auto"/>
            </w:tcBorders>
            <w:shd w:val="clear" w:color="auto" w:fill="auto"/>
            <w:vAlign w:val="center"/>
          </w:tcPr>
          <w:p w:rsidR="002154E6" w:rsidRPr="0092778D" w:rsidRDefault="002154E6" w:rsidP="00A23296">
            <w:pPr>
              <w:jc w:val="center"/>
              <w:rPr>
                <w:b/>
                <w:bCs/>
                <w:color w:val="000000"/>
                <w:sz w:val="20"/>
                <w:szCs w:val="20"/>
              </w:rPr>
            </w:pPr>
          </w:p>
        </w:tc>
      </w:tr>
      <w:tr w:rsidR="002154E6" w:rsidRPr="0092778D" w:rsidTr="0089709B">
        <w:trPr>
          <w:trHeight w:val="175"/>
        </w:trPr>
        <w:tc>
          <w:tcPr>
            <w:tcW w:w="4615" w:type="dxa"/>
            <w:tcBorders>
              <w:top w:val="nil"/>
              <w:left w:val="single" w:sz="8" w:space="0" w:color="auto"/>
              <w:bottom w:val="single" w:sz="4" w:space="0" w:color="auto"/>
              <w:right w:val="single" w:sz="8" w:space="0" w:color="auto"/>
            </w:tcBorders>
            <w:shd w:val="clear" w:color="auto" w:fill="auto"/>
            <w:vAlign w:val="center"/>
            <w:hideMark/>
          </w:tcPr>
          <w:p w:rsidR="002154E6" w:rsidRPr="0092778D" w:rsidRDefault="002154E6" w:rsidP="00A23296">
            <w:pPr>
              <w:rPr>
                <w:color w:val="000000"/>
                <w:sz w:val="20"/>
                <w:szCs w:val="20"/>
              </w:rPr>
            </w:pPr>
            <w:r w:rsidRPr="0092778D">
              <w:rPr>
                <w:color w:val="000000"/>
                <w:spacing w:val="-3"/>
                <w:sz w:val="20"/>
                <w:szCs w:val="20"/>
              </w:rPr>
              <w:t>Hispanic or Latino</w:t>
            </w:r>
          </w:p>
        </w:tc>
        <w:tc>
          <w:tcPr>
            <w:tcW w:w="950" w:type="dxa"/>
            <w:tcBorders>
              <w:top w:val="nil"/>
              <w:left w:val="nil"/>
              <w:bottom w:val="single" w:sz="4" w:space="0" w:color="auto"/>
              <w:right w:val="single" w:sz="4" w:space="0" w:color="auto"/>
            </w:tcBorders>
            <w:shd w:val="clear" w:color="auto" w:fill="auto"/>
            <w:vAlign w:val="center"/>
          </w:tcPr>
          <w:p w:rsidR="002154E6" w:rsidRPr="0092778D" w:rsidRDefault="00141CE9" w:rsidP="00A23296">
            <w:pPr>
              <w:jc w:val="center"/>
              <w:rPr>
                <w:bCs/>
                <w:color w:val="000000"/>
                <w:sz w:val="20"/>
                <w:szCs w:val="20"/>
              </w:rPr>
            </w:pPr>
            <w:r w:rsidRPr="0092778D">
              <w:rPr>
                <w:bCs/>
                <w:color w:val="000000"/>
                <w:sz w:val="20"/>
                <w:szCs w:val="20"/>
              </w:rPr>
              <w:t>3</w:t>
            </w:r>
          </w:p>
        </w:tc>
        <w:tc>
          <w:tcPr>
            <w:tcW w:w="950" w:type="dxa"/>
            <w:tcBorders>
              <w:top w:val="nil"/>
              <w:left w:val="nil"/>
              <w:bottom w:val="single" w:sz="4" w:space="0" w:color="auto"/>
              <w:right w:val="single" w:sz="8" w:space="0" w:color="auto"/>
            </w:tcBorders>
            <w:shd w:val="clear" w:color="auto" w:fill="auto"/>
            <w:vAlign w:val="center"/>
          </w:tcPr>
          <w:p w:rsidR="002154E6" w:rsidRPr="0092778D" w:rsidRDefault="00150B73" w:rsidP="00A23296">
            <w:pPr>
              <w:jc w:val="center"/>
              <w:rPr>
                <w:bCs/>
                <w:color w:val="000000"/>
                <w:sz w:val="20"/>
                <w:szCs w:val="20"/>
              </w:rPr>
            </w:pPr>
            <w:r w:rsidRPr="0092778D">
              <w:rPr>
                <w:bCs/>
                <w:color w:val="000000"/>
                <w:sz w:val="20"/>
                <w:szCs w:val="20"/>
              </w:rPr>
              <w:t>7.9</w:t>
            </w:r>
          </w:p>
        </w:tc>
        <w:tc>
          <w:tcPr>
            <w:tcW w:w="1056" w:type="dxa"/>
            <w:tcBorders>
              <w:top w:val="nil"/>
              <w:left w:val="nil"/>
              <w:bottom w:val="single" w:sz="4" w:space="0" w:color="auto"/>
              <w:right w:val="single" w:sz="8" w:space="0" w:color="auto"/>
            </w:tcBorders>
            <w:shd w:val="clear" w:color="000000" w:fill="E7E6E6"/>
            <w:vAlign w:val="center"/>
          </w:tcPr>
          <w:p w:rsidR="002154E6" w:rsidRPr="0092778D" w:rsidRDefault="0000730E" w:rsidP="00A23296">
            <w:pPr>
              <w:jc w:val="center"/>
              <w:rPr>
                <w:bCs/>
                <w:color w:val="000000"/>
                <w:sz w:val="20"/>
                <w:szCs w:val="20"/>
              </w:rPr>
            </w:pPr>
            <w:r w:rsidRPr="0092778D">
              <w:rPr>
                <w:bCs/>
                <w:color w:val="000000"/>
                <w:sz w:val="20"/>
                <w:szCs w:val="20"/>
              </w:rPr>
              <w:t>7.9</w:t>
            </w:r>
          </w:p>
        </w:tc>
        <w:tc>
          <w:tcPr>
            <w:tcW w:w="883" w:type="dxa"/>
            <w:tcBorders>
              <w:top w:val="nil"/>
              <w:left w:val="nil"/>
              <w:bottom w:val="single" w:sz="4" w:space="0" w:color="auto"/>
              <w:right w:val="single" w:sz="4" w:space="0" w:color="auto"/>
            </w:tcBorders>
            <w:shd w:val="clear" w:color="auto" w:fill="auto"/>
            <w:vAlign w:val="center"/>
          </w:tcPr>
          <w:p w:rsidR="002154E6" w:rsidRPr="0092778D" w:rsidRDefault="0092778D" w:rsidP="00A23296">
            <w:pPr>
              <w:jc w:val="center"/>
              <w:rPr>
                <w:bCs/>
                <w:color w:val="000000"/>
                <w:sz w:val="20"/>
                <w:szCs w:val="20"/>
              </w:rPr>
            </w:pPr>
            <w:r w:rsidRPr="0092778D">
              <w:rPr>
                <w:bCs/>
                <w:color w:val="000000"/>
                <w:sz w:val="20"/>
                <w:szCs w:val="20"/>
              </w:rPr>
              <w:t>5</w:t>
            </w:r>
          </w:p>
        </w:tc>
        <w:tc>
          <w:tcPr>
            <w:tcW w:w="913" w:type="dxa"/>
            <w:tcBorders>
              <w:top w:val="nil"/>
              <w:left w:val="nil"/>
              <w:bottom w:val="single" w:sz="4" w:space="0" w:color="auto"/>
              <w:right w:val="single" w:sz="8" w:space="0" w:color="auto"/>
            </w:tcBorders>
            <w:shd w:val="clear" w:color="auto" w:fill="auto"/>
            <w:vAlign w:val="center"/>
          </w:tcPr>
          <w:p w:rsidR="002154E6" w:rsidRPr="0092778D" w:rsidRDefault="0092778D" w:rsidP="00A23296">
            <w:pPr>
              <w:jc w:val="center"/>
              <w:rPr>
                <w:bCs/>
                <w:color w:val="000000"/>
                <w:sz w:val="20"/>
                <w:szCs w:val="20"/>
              </w:rPr>
            </w:pPr>
            <w:r w:rsidRPr="0092778D">
              <w:rPr>
                <w:bCs/>
                <w:color w:val="000000"/>
                <w:sz w:val="20"/>
                <w:szCs w:val="20"/>
              </w:rPr>
              <w:t>10.0</w:t>
            </w:r>
          </w:p>
        </w:tc>
      </w:tr>
      <w:tr w:rsidR="0000730E" w:rsidRPr="0092778D" w:rsidTr="0089709B">
        <w:trPr>
          <w:trHeight w:val="175"/>
        </w:trPr>
        <w:tc>
          <w:tcPr>
            <w:tcW w:w="4615" w:type="dxa"/>
            <w:tcBorders>
              <w:top w:val="nil"/>
              <w:left w:val="single" w:sz="8" w:space="0" w:color="auto"/>
              <w:bottom w:val="single" w:sz="4" w:space="0" w:color="auto"/>
              <w:right w:val="single" w:sz="8" w:space="0" w:color="auto"/>
            </w:tcBorders>
            <w:shd w:val="clear" w:color="auto" w:fill="auto"/>
            <w:vAlign w:val="center"/>
          </w:tcPr>
          <w:p w:rsidR="0000730E" w:rsidRPr="0092778D" w:rsidRDefault="0000730E" w:rsidP="0000730E">
            <w:pPr>
              <w:rPr>
                <w:color w:val="000000"/>
                <w:sz w:val="20"/>
                <w:szCs w:val="20"/>
              </w:rPr>
            </w:pPr>
            <w:r w:rsidRPr="0092778D">
              <w:rPr>
                <w:color w:val="000000"/>
                <w:spacing w:val="-3"/>
                <w:sz w:val="20"/>
                <w:szCs w:val="20"/>
              </w:rPr>
              <w:t>Joint (Hisp/Lat /Not Hisp/Lat)</w:t>
            </w:r>
          </w:p>
        </w:tc>
        <w:tc>
          <w:tcPr>
            <w:tcW w:w="950" w:type="dxa"/>
            <w:tcBorders>
              <w:top w:val="nil"/>
              <w:left w:val="nil"/>
              <w:bottom w:val="single" w:sz="4" w:space="0" w:color="auto"/>
              <w:right w:val="single" w:sz="4" w:space="0" w:color="auto"/>
            </w:tcBorders>
            <w:shd w:val="clear" w:color="auto" w:fill="auto"/>
            <w:vAlign w:val="center"/>
          </w:tcPr>
          <w:p w:rsidR="0000730E" w:rsidRPr="0092778D" w:rsidRDefault="0000730E" w:rsidP="0000730E">
            <w:pPr>
              <w:jc w:val="center"/>
              <w:rPr>
                <w:color w:val="000000"/>
                <w:sz w:val="20"/>
                <w:szCs w:val="20"/>
              </w:rPr>
            </w:pPr>
            <w:r w:rsidRPr="0092778D">
              <w:rPr>
                <w:bCs/>
                <w:color w:val="000000"/>
                <w:sz w:val="20"/>
                <w:szCs w:val="20"/>
              </w:rPr>
              <w:t>0</w:t>
            </w:r>
          </w:p>
        </w:tc>
        <w:tc>
          <w:tcPr>
            <w:tcW w:w="950" w:type="dxa"/>
            <w:tcBorders>
              <w:top w:val="nil"/>
              <w:left w:val="nil"/>
              <w:bottom w:val="single" w:sz="4" w:space="0" w:color="auto"/>
              <w:right w:val="single" w:sz="8" w:space="0" w:color="auto"/>
            </w:tcBorders>
            <w:shd w:val="clear" w:color="auto" w:fill="auto"/>
            <w:vAlign w:val="center"/>
          </w:tcPr>
          <w:p w:rsidR="0000730E" w:rsidRPr="0092778D" w:rsidRDefault="0000730E" w:rsidP="0000730E">
            <w:pPr>
              <w:jc w:val="center"/>
              <w:rPr>
                <w:color w:val="000000"/>
                <w:sz w:val="20"/>
                <w:szCs w:val="20"/>
              </w:rPr>
            </w:pPr>
            <w:r w:rsidRPr="0092778D">
              <w:rPr>
                <w:bCs/>
                <w:color w:val="000000"/>
                <w:sz w:val="20"/>
                <w:szCs w:val="20"/>
              </w:rPr>
              <w:t>0.0</w:t>
            </w:r>
          </w:p>
        </w:tc>
        <w:tc>
          <w:tcPr>
            <w:tcW w:w="1056" w:type="dxa"/>
            <w:tcBorders>
              <w:top w:val="nil"/>
              <w:left w:val="nil"/>
              <w:bottom w:val="single" w:sz="4" w:space="0" w:color="auto"/>
              <w:right w:val="single" w:sz="8" w:space="0" w:color="auto"/>
            </w:tcBorders>
            <w:shd w:val="clear" w:color="000000" w:fill="E7E6E6"/>
            <w:vAlign w:val="center"/>
          </w:tcPr>
          <w:p w:rsidR="0000730E" w:rsidRPr="0092778D" w:rsidRDefault="0000730E" w:rsidP="0000730E">
            <w:pPr>
              <w:jc w:val="center"/>
              <w:rPr>
                <w:color w:val="000000"/>
                <w:sz w:val="20"/>
                <w:szCs w:val="20"/>
              </w:rPr>
            </w:pPr>
            <w:r w:rsidRPr="0092778D">
              <w:rPr>
                <w:bCs/>
                <w:color w:val="000000"/>
                <w:sz w:val="20"/>
                <w:szCs w:val="20"/>
              </w:rPr>
              <w:t>1.2</w:t>
            </w:r>
          </w:p>
        </w:tc>
        <w:tc>
          <w:tcPr>
            <w:tcW w:w="883" w:type="dxa"/>
            <w:tcBorders>
              <w:top w:val="nil"/>
              <w:left w:val="nil"/>
              <w:bottom w:val="single" w:sz="4" w:space="0" w:color="auto"/>
              <w:right w:val="single" w:sz="4" w:space="0" w:color="auto"/>
            </w:tcBorders>
            <w:shd w:val="clear" w:color="auto" w:fill="auto"/>
            <w:vAlign w:val="center"/>
          </w:tcPr>
          <w:p w:rsidR="0000730E" w:rsidRPr="0092778D" w:rsidRDefault="0092778D" w:rsidP="0000730E">
            <w:pPr>
              <w:jc w:val="center"/>
              <w:rPr>
                <w:color w:val="000000"/>
                <w:sz w:val="20"/>
                <w:szCs w:val="20"/>
              </w:rPr>
            </w:pPr>
            <w:r w:rsidRPr="0092778D">
              <w:rPr>
                <w:color w:val="000000"/>
                <w:sz w:val="20"/>
                <w:szCs w:val="20"/>
              </w:rPr>
              <w:t>1</w:t>
            </w:r>
          </w:p>
        </w:tc>
        <w:tc>
          <w:tcPr>
            <w:tcW w:w="913" w:type="dxa"/>
            <w:tcBorders>
              <w:top w:val="nil"/>
              <w:left w:val="nil"/>
              <w:bottom w:val="single" w:sz="4" w:space="0" w:color="auto"/>
              <w:right w:val="single" w:sz="8" w:space="0" w:color="auto"/>
            </w:tcBorders>
            <w:shd w:val="clear" w:color="auto" w:fill="auto"/>
            <w:vAlign w:val="center"/>
          </w:tcPr>
          <w:p w:rsidR="0000730E" w:rsidRPr="0092778D" w:rsidRDefault="0092778D" w:rsidP="0000730E">
            <w:pPr>
              <w:jc w:val="center"/>
              <w:rPr>
                <w:color w:val="000000"/>
                <w:sz w:val="20"/>
                <w:szCs w:val="20"/>
              </w:rPr>
            </w:pPr>
            <w:r w:rsidRPr="0092778D">
              <w:rPr>
                <w:color w:val="000000"/>
                <w:sz w:val="20"/>
                <w:szCs w:val="20"/>
              </w:rPr>
              <w:t>2.0</w:t>
            </w:r>
          </w:p>
        </w:tc>
      </w:tr>
      <w:tr w:rsidR="0000730E" w:rsidRPr="0092778D" w:rsidTr="0089709B">
        <w:trPr>
          <w:trHeight w:val="175"/>
        </w:trPr>
        <w:tc>
          <w:tcPr>
            <w:tcW w:w="4615" w:type="dxa"/>
            <w:tcBorders>
              <w:top w:val="nil"/>
              <w:left w:val="single" w:sz="8" w:space="0" w:color="auto"/>
              <w:bottom w:val="single" w:sz="4" w:space="0" w:color="auto"/>
              <w:right w:val="single" w:sz="8" w:space="0" w:color="auto"/>
            </w:tcBorders>
            <w:shd w:val="clear" w:color="auto" w:fill="auto"/>
            <w:vAlign w:val="center"/>
          </w:tcPr>
          <w:p w:rsidR="0000730E" w:rsidRPr="0092778D" w:rsidRDefault="0000730E" w:rsidP="0000730E">
            <w:pPr>
              <w:jc w:val="center"/>
              <w:rPr>
                <w:b/>
                <w:color w:val="000000"/>
                <w:spacing w:val="-3"/>
                <w:sz w:val="20"/>
                <w:szCs w:val="20"/>
              </w:rPr>
            </w:pPr>
            <w:r w:rsidRPr="0092778D">
              <w:rPr>
                <w:b/>
                <w:color w:val="000000"/>
                <w:spacing w:val="-3"/>
                <w:sz w:val="20"/>
                <w:szCs w:val="20"/>
              </w:rPr>
              <w:t>Total Ethnicity</w:t>
            </w:r>
          </w:p>
        </w:tc>
        <w:tc>
          <w:tcPr>
            <w:tcW w:w="950" w:type="dxa"/>
            <w:tcBorders>
              <w:top w:val="nil"/>
              <w:left w:val="nil"/>
              <w:bottom w:val="single" w:sz="4" w:space="0" w:color="auto"/>
              <w:right w:val="single" w:sz="4" w:space="0" w:color="auto"/>
            </w:tcBorders>
            <w:shd w:val="clear" w:color="auto" w:fill="auto"/>
            <w:vAlign w:val="center"/>
          </w:tcPr>
          <w:p w:rsidR="0000730E" w:rsidRPr="0092778D" w:rsidRDefault="0000730E" w:rsidP="0000730E">
            <w:pPr>
              <w:jc w:val="center"/>
              <w:rPr>
                <w:b/>
                <w:color w:val="000000"/>
                <w:sz w:val="20"/>
                <w:szCs w:val="20"/>
              </w:rPr>
            </w:pPr>
            <w:r w:rsidRPr="0092778D">
              <w:rPr>
                <w:b/>
                <w:color w:val="000000"/>
                <w:sz w:val="20"/>
                <w:szCs w:val="20"/>
              </w:rPr>
              <w:t>3</w:t>
            </w:r>
          </w:p>
        </w:tc>
        <w:tc>
          <w:tcPr>
            <w:tcW w:w="950" w:type="dxa"/>
            <w:tcBorders>
              <w:top w:val="nil"/>
              <w:left w:val="nil"/>
              <w:bottom w:val="single" w:sz="4" w:space="0" w:color="auto"/>
              <w:right w:val="single" w:sz="8" w:space="0" w:color="auto"/>
            </w:tcBorders>
            <w:shd w:val="clear" w:color="auto" w:fill="auto"/>
            <w:vAlign w:val="center"/>
          </w:tcPr>
          <w:p w:rsidR="0000730E" w:rsidRPr="0092778D" w:rsidRDefault="0000730E" w:rsidP="0000730E">
            <w:pPr>
              <w:jc w:val="center"/>
              <w:rPr>
                <w:b/>
                <w:color w:val="000000"/>
                <w:sz w:val="20"/>
                <w:szCs w:val="20"/>
              </w:rPr>
            </w:pPr>
            <w:r w:rsidRPr="0092778D">
              <w:rPr>
                <w:b/>
                <w:color w:val="000000"/>
                <w:sz w:val="20"/>
                <w:szCs w:val="20"/>
              </w:rPr>
              <w:t>7.9</w:t>
            </w:r>
          </w:p>
        </w:tc>
        <w:tc>
          <w:tcPr>
            <w:tcW w:w="1056" w:type="dxa"/>
            <w:tcBorders>
              <w:top w:val="nil"/>
              <w:left w:val="nil"/>
              <w:bottom w:val="single" w:sz="4" w:space="0" w:color="auto"/>
              <w:right w:val="single" w:sz="8" w:space="0" w:color="auto"/>
            </w:tcBorders>
            <w:shd w:val="clear" w:color="000000" w:fill="E7E6E6"/>
            <w:vAlign w:val="center"/>
          </w:tcPr>
          <w:p w:rsidR="0000730E" w:rsidRPr="0092778D" w:rsidRDefault="0000730E" w:rsidP="0000730E">
            <w:pPr>
              <w:jc w:val="center"/>
              <w:rPr>
                <w:b/>
                <w:color w:val="000000"/>
                <w:sz w:val="20"/>
                <w:szCs w:val="20"/>
              </w:rPr>
            </w:pPr>
            <w:r w:rsidRPr="0092778D">
              <w:rPr>
                <w:b/>
                <w:color w:val="000000"/>
                <w:sz w:val="20"/>
                <w:szCs w:val="20"/>
              </w:rPr>
              <w:t>9.1</w:t>
            </w:r>
          </w:p>
        </w:tc>
        <w:tc>
          <w:tcPr>
            <w:tcW w:w="883" w:type="dxa"/>
            <w:tcBorders>
              <w:top w:val="nil"/>
              <w:left w:val="nil"/>
              <w:bottom w:val="single" w:sz="4" w:space="0" w:color="auto"/>
              <w:right w:val="single" w:sz="4" w:space="0" w:color="auto"/>
            </w:tcBorders>
            <w:shd w:val="clear" w:color="auto" w:fill="auto"/>
            <w:vAlign w:val="center"/>
          </w:tcPr>
          <w:p w:rsidR="0000730E" w:rsidRPr="0092778D" w:rsidRDefault="0092778D" w:rsidP="0000730E">
            <w:pPr>
              <w:jc w:val="center"/>
              <w:rPr>
                <w:b/>
                <w:color w:val="000000"/>
                <w:sz w:val="20"/>
                <w:szCs w:val="20"/>
              </w:rPr>
            </w:pPr>
            <w:r w:rsidRPr="0092778D">
              <w:rPr>
                <w:b/>
                <w:color w:val="000000"/>
                <w:sz w:val="20"/>
                <w:szCs w:val="20"/>
              </w:rPr>
              <w:t>6</w:t>
            </w:r>
          </w:p>
        </w:tc>
        <w:tc>
          <w:tcPr>
            <w:tcW w:w="913" w:type="dxa"/>
            <w:tcBorders>
              <w:top w:val="nil"/>
              <w:left w:val="nil"/>
              <w:bottom w:val="single" w:sz="4" w:space="0" w:color="auto"/>
              <w:right w:val="single" w:sz="8" w:space="0" w:color="auto"/>
            </w:tcBorders>
            <w:shd w:val="clear" w:color="auto" w:fill="auto"/>
            <w:vAlign w:val="center"/>
          </w:tcPr>
          <w:p w:rsidR="0000730E" w:rsidRPr="0092778D" w:rsidRDefault="0092778D" w:rsidP="0000730E">
            <w:pPr>
              <w:jc w:val="center"/>
              <w:rPr>
                <w:b/>
                <w:color w:val="000000"/>
                <w:sz w:val="20"/>
                <w:szCs w:val="20"/>
              </w:rPr>
            </w:pPr>
            <w:r w:rsidRPr="0092778D">
              <w:rPr>
                <w:b/>
                <w:color w:val="000000"/>
                <w:sz w:val="20"/>
                <w:szCs w:val="20"/>
              </w:rPr>
              <w:t>12.0</w:t>
            </w:r>
          </w:p>
        </w:tc>
      </w:tr>
      <w:tr w:rsidR="0000730E" w:rsidRPr="0092778D" w:rsidTr="0089709B">
        <w:trPr>
          <w:trHeight w:val="175"/>
        </w:trPr>
        <w:tc>
          <w:tcPr>
            <w:tcW w:w="4615" w:type="dxa"/>
            <w:tcBorders>
              <w:top w:val="nil"/>
              <w:left w:val="single" w:sz="8" w:space="0" w:color="auto"/>
              <w:bottom w:val="single" w:sz="4" w:space="0" w:color="auto"/>
              <w:right w:val="single" w:sz="8" w:space="0" w:color="auto"/>
            </w:tcBorders>
            <w:shd w:val="clear" w:color="auto" w:fill="auto"/>
            <w:vAlign w:val="center"/>
          </w:tcPr>
          <w:p w:rsidR="0000730E" w:rsidRPr="0092778D" w:rsidRDefault="0000730E" w:rsidP="0000730E">
            <w:pPr>
              <w:rPr>
                <w:color w:val="000000"/>
                <w:sz w:val="20"/>
                <w:szCs w:val="20"/>
              </w:rPr>
            </w:pPr>
            <w:r w:rsidRPr="0092778D">
              <w:rPr>
                <w:color w:val="000000"/>
                <w:spacing w:val="-3"/>
                <w:sz w:val="20"/>
                <w:szCs w:val="20"/>
              </w:rPr>
              <w:t>Not Hispanic or Latino</w:t>
            </w:r>
          </w:p>
        </w:tc>
        <w:tc>
          <w:tcPr>
            <w:tcW w:w="950" w:type="dxa"/>
            <w:tcBorders>
              <w:top w:val="nil"/>
              <w:left w:val="nil"/>
              <w:bottom w:val="single" w:sz="4" w:space="0" w:color="auto"/>
              <w:right w:val="single" w:sz="4" w:space="0" w:color="auto"/>
            </w:tcBorders>
            <w:shd w:val="clear" w:color="auto" w:fill="auto"/>
            <w:vAlign w:val="center"/>
          </w:tcPr>
          <w:p w:rsidR="0000730E" w:rsidRPr="0092778D" w:rsidRDefault="0000730E" w:rsidP="0000730E">
            <w:pPr>
              <w:jc w:val="center"/>
              <w:rPr>
                <w:b/>
                <w:bCs/>
                <w:color w:val="000000"/>
                <w:sz w:val="20"/>
                <w:szCs w:val="20"/>
              </w:rPr>
            </w:pPr>
            <w:r w:rsidRPr="0092778D">
              <w:rPr>
                <w:color w:val="000000"/>
                <w:sz w:val="20"/>
                <w:szCs w:val="20"/>
              </w:rPr>
              <w:t>34</w:t>
            </w:r>
          </w:p>
        </w:tc>
        <w:tc>
          <w:tcPr>
            <w:tcW w:w="950" w:type="dxa"/>
            <w:tcBorders>
              <w:top w:val="nil"/>
              <w:left w:val="nil"/>
              <w:bottom w:val="single" w:sz="4" w:space="0" w:color="auto"/>
              <w:right w:val="single" w:sz="8" w:space="0" w:color="auto"/>
            </w:tcBorders>
            <w:shd w:val="clear" w:color="auto" w:fill="auto"/>
            <w:vAlign w:val="center"/>
          </w:tcPr>
          <w:p w:rsidR="0000730E" w:rsidRPr="0092778D" w:rsidRDefault="0000730E" w:rsidP="0000730E">
            <w:pPr>
              <w:jc w:val="center"/>
              <w:rPr>
                <w:b/>
                <w:bCs/>
                <w:color w:val="000000"/>
                <w:sz w:val="20"/>
                <w:szCs w:val="20"/>
              </w:rPr>
            </w:pPr>
            <w:r w:rsidRPr="0092778D">
              <w:rPr>
                <w:color w:val="000000"/>
                <w:sz w:val="20"/>
                <w:szCs w:val="20"/>
              </w:rPr>
              <w:t>89.5</w:t>
            </w:r>
          </w:p>
        </w:tc>
        <w:tc>
          <w:tcPr>
            <w:tcW w:w="1056" w:type="dxa"/>
            <w:tcBorders>
              <w:top w:val="nil"/>
              <w:left w:val="nil"/>
              <w:bottom w:val="single" w:sz="4" w:space="0" w:color="auto"/>
              <w:right w:val="single" w:sz="8" w:space="0" w:color="auto"/>
            </w:tcBorders>
            <w:shd w:val="clear" w:color="000000" w:fill="E7E6E6"/>
            <w:vAlign w:val="center"/>
          </w:tcPr>
          <w:p w:rsidR="0000730E" w:rsidRPr="0092778D" w:rsidRDefault="0000730E" w:rsidP="0000730E">
            <w:pPr>
              <w:jc w:val="center"/>
              <w:rPr>
                <w:b/>
                <w:bCs/>
                <w:color w:val="000000"/>
                <w:sz w:val="20"/>
                <w:szCs w:val="20"/>
              </w:rPr>
            </w:pPr>
            <w:r w:rsidRPr="0092778D">
              <w:rPr>
                <w:color w:val="000000"/>
                <w:sz w:val="20"/>
                <w:szCs w:val="20"/>
              </w:rPr>
              <w:t>68.44</w:t>
            </w:r>
          </w:p>
        </w:tc>
        <w:tc>
          <w:tcPr>
            <w:tcW w:w="883" w:type="dxa"/>
            <w:tcBorders>
              <w:top w:val="nil"/>
              <w:left w:val="nil"/>
              <w:bottom w:val="single" w:sz="4" w:space="0" w:color="auto"/>
              <w:right w:val="single" w:sz="4" w:space="0" w:color="auto"/>
            </w:tcBorders>
            <w:shd w:val="clear" w:color="auto" w:fill="auto"/>
            <w:vAlign w:val="center"/>
          </w:tcPr>
          <w:p w:rsidR="0000730E" w:rsidRPr="0092778D" w:rsidRDefault="0092778D" w:rsidP="0000730E">
            <w:pPr>
              <w:jc w:val="center"/>
              <w:rPr>
                <w:bCs/>
                <w:color w:val="000000"/>
                <w:sz w:val="20"/>
                <w:szCs w:val="20"/>
              </w:rPr>
            </w:pPr>
            <w:r w:rsidRPr="0092778D">
              <w:rPr>
                <w:bCs/>
                <w:color w:val="000000"/>
                <w:sz w:val="20"/>
                <w:szCs w:val="20"/>
              </w:rPr>
              <w:t>41</w:t>
            </w:r>
          </w:p>
        </w:tc>
        <w:tc>
          <w:tcPr>
            <w:tcW w:w="913" w:type="dxa"/>
            <w:tcBorders>
              <w:top w:val="nil"/>
              <w:left w:val="nil"/>
              <w:bottom w:val="single" w:sz="4" w:space="0" w:color="auto"/>
              <w:right w:val="single" w:sz="8" w:space="0" w:color="auto"/>
            </w:tcBorders>
            <w:shd w:val="clear" w:color="auto" w:fill="auto"/>
            <w:vAlign w:val="center"/>
          </w:tcPr>
          <w:p w:rsidR="0000730E" w:rsidRPr="0092778D" w:rsidRDefault="0092778D" w:rsidP="0000730E">
            <w:pPr>
              <w:jc w:val="center"/>
              <w:rPr>
                <w:bCs/>
                <w:color w:val="000000"/>
                <w:sz w:val="20"/>
                <w:szCs w:val="20"/>
              </w:rPr>
            </w:pPr>
            <w:r w:rsidRPr="0092778D">
              <w:rPr>
                <w:bCs/>
                <w:color w:val="000000"/>
                <w:sz w:val="20"/>
                <w:szCs w:val="20"/>
              </w:rPr>
              <w:t>82.0</w:t>
            </w:r>
          </w:p>
        </w:tc>
      </w:tr>
      <w:tr w:rsidR="0000730E" w:rsidRPr="0092778D" w:rsidTr="0089709B">
        <w:trPr>
          <w:trHeight w:val="175"/>
        </w:trPr>
        <w:tc>
          <w:tcPr>
            <w:tcW w:w="4615" w:type="dxa"/>
            <w:tcBorders>
              <w:top w:val="nil"/>
              <w:left w:val="single" w:sz="8" w:space="0" w:color="auto"/>
              <w:bottom w:val="single" w:sz="4" w:space="0" w:color="auto"/>
              <w:right w:val="single" w:sz="8" w:space="0" w:color="auto"/>
            </w:tcBorders>
            <w:shd w:val="clear" w:color="auto" w:fill="auto"/>
            <w:vAlign w:val="center"/>
            <w:hideMark/>
          </w:tcPr>
          <w:p w:rsidR="0000730E" w:rsidRPr="0092778D" w:rsidRDefault="0000730E" w:rsidP="0000730E">
            <w:pPr>
              <w:rPr>
                <w:color w:val="000000"/>
                <w:sz w:val="20"/>
                <w:szCs w:val="20"/>
              </w:rPr>
            </w:pPr>
            <w:r w:rsidRPr="0092778D">
              <w:rPr>
                <w:color w:val="000000"/>
                <w:spacing w:val="-3"/>
                <w:sz w:val="20"/>
                <w:szCs w:val="20"/>
              </w:rPr>
              <w:t>Ethnicity Not Available</w:t>
            </w:r>
          </w:p>
        </w:tc>
        <w:tc>
          <w:tcPr>
            <w:tcW w:w="950" w:type="dxa"/>
            <w:tcBorders>
              <w:top w:val="nil"/>
              <w:left w:val="nil"/>
              <w:bottom w:val="single" w:sz="4" w:space="0" w:color="auto"/>
              <w:right w:val="single" w:sz="4" w:space="0" w:color="auto"/>
            </w:tcBorders>
            <w:shd w:val="clear" w:color="auto" w:fill="auto"/>
            <w:vAlign w:val="center"/>
          </w:tcPr>
          <w:p w:rsidR="0000730E" w:rsidRPr="0092778D" w:rsidRDefault="0000730E" w:rsidP="0000730E">
            <w:pPr>
              <w:jc w:val="center"/>
              <w:rPr>
                <w:color w:val="000000"/>
                <w:sz w:val="20"/>
                <w:szCs w:val="20"/>
              </w:rPr>
            </w:pPr>
            <w:r w:rsidRPr="0092778D">
              <w:rPr>
                <w:color w:val="000000"/>
                <w:sz w:val="20"/>
                <w:szCs w:val="20"/>
              </w:rPr>
              <w:t>1</w:t>
            </w:r>
          </w:p>
        </w:tc>
        <w:tc>
          <w:tcPr>
            <w:tcW w:w="950" w:type="dxa"/>
            <w:tcBorders>
              <w:top w:val="nil"/>
              <w:left w:val="nil"/>
              <w:bottom w:val="single" w:sz="4" w:space="0" w:color="auto"/>
              <w:right w:val="single" w:sz="8" w:space="0" w:color="auto"/>
            </w:tcBorders>
            <w:shd w:val="clear" w:color="auto" w:fill="auto"/>
            <w:vAlign w:val="center"/>
          </w:tcPr>
          <w:p w:rsidR="0000730E" w:rsidRPr="0092778D" w:rsidRDefault="0000730E" w:rsidP="0000730E">
            <w:pPr>
              <w:jc w:val="center"/>
              <w:rPr>
                <w:color w:val="000000"/>
                <w:sz w:val="20"/>
                <w:szCs w:val="20"/>
              </w:rPr>
            </w:pPr>
            <w:r w:rsidRPr="0092778D">
              <w:rPr>
                <w:color w:val="000000"/>
                <w:sz w:val="20"/>
                <w:szCs w:val="20"/>
              </w:rPr>
              <w:t>1.6</w:t>
            </w:r>
          </w:p>
        </w:tc>
        <w:tc>
          <w:tcPr>
            <w:tcW w:w="1056" w:type="dxa"/>
            <w:tcBorders>
              <w:top w:val="nil"/>
              <w:left w:val="nil"/>
              <w:bottom w:val="single" w:sz="4" w:space="0" w:color="auto"/>
              <w:right w:val="single" w:sz="8" w:space="0" w:color="auto"/>
            </w:tcBorders>
            <w:shd w:val="clear" w:color="000000" w:fill="E7E6E6"/>
            <w:vAlign w:val="center"/>
          </w:tcPr>
          <w:p w:rsidR="0000730E" w:rsidRPr="0092778D" w:rsidRDefault="0000730E" w:rsidP="0000730E">
            <w:pPr>
              <w:jc w:val="center"/>
              <w:rPr>
                <w:color w:val="000000"/>
                <w:sz w:val="20"/>
                <w:szCs w:val="20"/>
              </w:rPr>
            </w:pPr>
            <w:r w:rsidRPr="0092778D">
              <w:rPr>
                <w:color w:val="000000"/>
                <w:sz w:val="20"/>
                <w:szCs w:val="20"/>
              </w:rPr>
              <w:t>22.46</w:t>
            </w:r>
          </w:p>
        </w:tc>
        <w:tc>
          <w:tcPr>
            <w:tcW w:w="883" w:type="dxa"/>
            <w:tcBorders>
              <w:top w:val="nil"/>
              <w:left w:val="nil"/>
              <w:bottom w:val="single" w:sz="4" w:space="0" w:color="auto"/>
              <w:right w:val="single" w:sz="4" w:space="0" w:color="auto"/>
            </w:tcBorders>
            <w:shd w:val="clear" w:color="auto" w:fill="auto"/>
            <w:vAlign w:val="center"/>
          </w:tcPr>
          <w:p w:rsidR="0000730E" w:rsidRPr="0092778D" w:rsidRDefault="0092778D" w:rsidP="0000730E">
            <w:pPr>
              <w:jc w:val="center"/>
              <w:rPr>
                <w:color w:val="000000"/>
                <w:sz w:val="20"/>
                <w:szCs w:val="20"/>
              </w:rPr>
            </w:pPr>
            <w:r w:rsidRPr="0092778D">
              <w:rPr>
                <w:color w:val="000000"/>
                <w:sz w:val="20"/>
                <w:szCs w:val="20"/>
              </w:rPr>
              <w:t>3</w:t>
            </w:r>
          </w:p>
        </w:tc>
        <w:tc>
          <w:tcPr>
            <w:tcW w:w="913" w:type="dxa"/>
            <w:tcBorders>
              <w:top w:val="nil"/>
              <w:left w:val="nil"/>
              <w:bottom w:val="single" w:sz="4" w:space="0" w:color="auto"/>
              <w:right w:val="single" w:sz="8" w:space="0" w:color="auto"/>
            </w:tcBorders>
            <w:shd w:val="clear" w:color="auto" w:fill="auto"/>
            <w:vAlign w:val="center"/>
          </w:tcPr>
          <w:p w:rsidR="0000730E" w:rsidRPr="0092778D" w:rsidRDefault="0092778D" w:rsidP="0000730E">
            <w:pPr>
              <w:jc w:val="center"/>
              <w:rPr>
                <w:color w:val="000000"/>
                <w:sz w:val="20"/>
                <w:szCs w:val="20"/>
              </w:rPr>
            </w:pPr>
            <w:r w:rsidRPr="0092778D">
              <w:rPr>
                <w:color w:val="000000"/>
                <w:sz w:val="20"/>
                <w:szCs w:val="20"/>
              </w:rPr>
              <w:t>6.0</w:t>
            </w:r>
          </w:p>
        </w:tc>
      </w:tr>
      <w:tr w:rsidR="0000730E" w:rsidRPr="0092778D" w:rsidTr="0089709B">
        <w:trPr>
          <w:trHeight w:val="175"/>
        </w:trPr>
        <w:tc>
          <w:tcPr>
            <w:tcW w:w="4615" w:type="dxa"/>
            <w:tcBorders>
              <w:top w:val="nil"/>
              <w:left w:val="single" w:sz="8" w:space="0" w:color="auto"/>
              <w:bottom w:val="single" w:sz="8" w:space="0" w:color="auto"/>
              <w:right w:val="single" w:sz="8" w:space="0" w:color="auto"/>
            </w:tcBorders>
            <w:shd w:val="clear" w:color="auto" w:fill="auto"/>
            <w:vAlign w:val="center"/>
            <w:hideMark/>
          </w:tcPr>
          <w:p w:rsidR="0000730E" w:rsidRPr="0092778D" w:rsidRDefault="0000730E" w:rsidP="0000730E">
            <w:pPr>
              <w:jc w:val="center"/>
              <w:rPr>
                <w:b/>
                <w:bCs/>
                <w:color w:val="000000"/>
                <w:sz w:val="20"/>
                <w:szCs w:val="20"/>
              </w:rPr>
            </w:pPr>
            <w:r w:rsidRPr="0092778D">
              <w:rPr>
                <w:b/>
                <w:bCs/>
                <w:color w:val="000000"/>
                <w:spacing w:val="-3"/>
                <w:sz w:val="20"/>
                <w:szCs w:val="20"/>
              </w:rPr>
              <w:t>Total</w:t>
            </w:r>
          </w:p>
        </w:tc>
        <w:tc>
          <w:tcPr>
            <w:tcW w:w="950" w:type="dxa"/>
            <w:tcBorders>
              <w:top w:val="nil"/>
              <w:left w:val="nil"/>
              <w:bottom w:val="single" w:sz="8" w:space="0" w:color="auto"/>
              <w:right w:val="single" w:sz="4" w:space="0" w:color="auto"/>
            </w:tcBorders>
            <w:shd w:val="clear" w:color="auto" w:fill="auto"/>
            <w:vAlign w:val="center"/>
          </w:tcPr>
          <w:p w:rsidR="0000730E" w:rsidRPr="0092778D" w:rsidRDefault="0000730E" w:rsidP="0000730E">
            <w:pPr>
              <w:jc w:val="center"/>
              <w:rPr>
                <w:b/>
                <w:bCs/>
                <w:color w:val="000000"/>
                <w:sz w:val="20"/>
                <w:szCs w:val="20"/>
              </w:rPr>
            </w:pPr>
            <w:r w:rsidRPr="0092778D">
              <w:rPr>
                <w:b/>
                <w:bCs/>
                <w:color w:val="000000"/>
                <w:sz w:val="20"/>
                <w:szCs w:val="20"/>
              </w:rPr>
              <w:t>38</w:t>
            </w:r>
          </w:p>
        </w:tc>
        <w:tc>
          <w:tcPr>
            <w:tcW w:w="950" w:type="dxa"/>
            <w:tcBorders>
              <w:top w:val="nil"/>
              <w:left w:val="nil"/>
              <w:bottom w:val="single" w:sz="8" w:space="0" w:color="auto"/>
              <w:right w:val="single" w:sz="8" w:space="0" w:color="auto"/>
            </w:tcBorders>
            <w:shd w:val="clear" w:color="auto" w:fill="auto"/>
            <w:vAlign w:val="center"/>
          </w:tcPr>
          <w:p w:rsidR="0000730E" w:rsidRPr="0092778D" w:rsidRDefault="0000730E" w:rsidP="0000730E">
            <w:pPr>
              <w:jc w:val="center"/>
              <w:rPr>
                <w:b/>
                <w:bCs/>
                <w:color w:val="000000"/>
                <w:sz w:val="20"/>
                <w:szCs w:val="20"/>
              </w:rPr>
            </w:pPr>
            <w:r w:rsidRPr="0092778D">
              <w:rPr>
                <w:b/>
                <w:bCs/>
                <w:color w:val="000000"/>
                <w:sz w:val="20"/>
                <w:szCs w:val="20"/>
              </w:rPr>
              <w:t>100.0</w:t>
            </w:r>
          </w:p>
        </w:tc>
        <w:tc>
          <w:tcPr>
            <w:tcW w:w="1056" w:type="dxa"/>
            <w:tcBorders>
              <w:top w:val="nil"/>
              <w:left w:val="nil"/>
              <w:bottom w:val="single" w:sz="8" w:space="0" w:color="auto"/>
              <w:right w:val="single" w:sz="8" w:space="0" w:color="auto"/>
            </w:tcBorders>
            <w:shd w:val="clear" w:color="000000" w:fill="E7E6E6"/>
            <w:vAlign w:val="center"/>
          </w:tcPr>
          <w:p w:rsidR="0000730E" w:rsidRPr="0092778D" w:rsidRDefault="0000730E" w:rsidP="0000730E">
            <w:pPr>
              <w:jc w:val="center"/>
              <w:rPr>
                <w:b/>
                <w:bCs/>
                <w:color w:val="000000"/>
                <w:sz w:val="20"/>
                <w:szCs w:val="20"/>
              </w:rPr>
            </w:pPr>
            <w:r w:rsidRPr="0092778D">
              <w:rPr>
                <w:b/>
                <w:bCs/>
                <w:color w:val="000000"/>
                <w:sz w:val="20"/>
                <w:szCs w:val="20"/>
              </w:rPr>
              <w:t>100.0</w:t>
            </w:r>
          </w:p>
        </w:tc>
        <w:tc>
          <w:tcPr>
            <w:tcW w:w="883" w:type="dxa"/>
            <w:tcBorders>
              <w:top w:val="nil"/>
              <w:left w:val="nil"/>
              <w:bottom w:val="single" w:sz="8" w:space="0" w:color="auto"/>
              <w:right w:val="single" w:sz="4" w:space="0" w:color="auto"/>
            </w:tcBorders>
            <w:shd w:val="clear" w:color="auto" w:fill="auto"/>
            <w:vAlign w:val="center"/>
          </w:tcPr>
          <w:p w:rsidR="0000730E" w:rsidRPr="0092778D" w:rsidRDefault="0092778D" w:rsidP="0000730E">
            <w:pPr>
              <w:jc w:val="center"/>
              <w:rPr>
                <w:b/>
                <w:bCs/>
                <w:color w:val="000000"/>
                <w:sz w:val="20"/>
                <w:szCs w:val="20"/>
              </w:rPr>
            </w:pPr>
            <w:r w:rsidRPr="0092778D">
              <w:rPr>
                <w:b/>
                <w:bCs/>
                <w:color w:val="000000"/>
                <w:sz w:val="20"/>
                <w:szCs w:val="20"/>
              </w:rPr>
              <w:t>50</w:t>
            </w:r>
          </w:p>
        </w:tc>
        <w:tc>
          <w:tcPr>
            <w:tcW w:w="913" w:type="dxa"/>
            <w:tcBorders>
              <w:top w:val="nil"/>
              <w:left w:val="nil"/>
              <w:bottom w:val="single" w:sz="8" w:space="0" w:color="auto"/>
              <w:right w:val="single" w:sz="8" w:space="0" w:color="auto"/>
            </w:tcBorders>
            <w:shd w:val="clear" w:color="auto" w:fill="auto"/>
            <w:vAlign w:val="center"/>
          </w:tcPr>
          <w:p w:rsidR="0000730E" w:rsidRPr="0092778D" w:rsidRDefault="0092778D" w:rsidP="0000730E">
            <w:pPr>
              <w:jc w:val="center"/>
              <w:rPr>
                <w:b/>
                <w:bCs/>
                <w:color w:val="000000"/>
                <w:sz w:val="20"/>
                <w:szCs w:val="20"/>
              </w:rPr>
            </w:pPr>
            <w:r w:rsidRPr="0092778D">
              <w:rPr>
                <w:b/>
                <w:bCs/>
                <w:color w:val="000000"/>
                <w:sz w:val="20"/>
                <w:szCs w:val="20"/>
              </w:rPr>
              <w:t>100.0</w:t>
            </w:r>
          </w:p>
        </w:tc>
      </w:tr>
      <w:tr w:rsidR="0000730E" w:rsidRPr="0092778D" w:rsidTr="0089709B">
        <w:trPr>
          <w:trHeight w:val="175"/>
        </w:trPr>
        <w:tc>
          <w:tcPr>
            <w:tcW w:w="937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0730E" w:rsidRPr="0092778D" w:rsidRDefault="0000730E" w:rsidP="0000730E">
            <w:pPr>
              <w:rPr>
                <w:i/>
                <w:iCs/>
                <w:color w:val="000000"/>
                <w:sz w:val="16"/>
                <w:szCs w:val="16"/>
              </w:rPr>
            </w:pPr>
            <w:r w:rsidRPr="0092778D">
              <w:rPr>
                <w:i/>
                <w:iCs/>
                <w:color w:val="000000"/>
                <w:sz w:val="16"/>
                <w:szCs w:val="16"/>
              </w:rPr>
              <w:t>Source:  2019&amp; 2020 HMDA Data *Due to rounding, totals may not equal 100.0 percent.</w:t>
            </w:r>
          </w:p>
        </w:tc>
      </w:tr>
    </w:tbl>
    <w:p w:rsidR="002154E6" w:rsidRPr="002154E6" w:rsidRDefault="002154E6" w:rsidP="002154E6">
      <w:pPr>
        <w:autoSpaceDE w:val="0"/>
        <w:autoSpaceDN w:val="0"/>
        <w:adjustRightInd w:val="0"/>
        <w:rPr>
          <w:color w:val="000000"/>
          <w:highlight w:val="yellow"/>
        </w:rPr>
      </w:pPr>
      <w:r w:rsidRPr="0092778D">
        <w:rPr>
          <w:color w:val="000000"/>
        </w:rPr>
        <w:fldChar w:fldCharType="end"/>
      </w:r>
    </w:p>
    <w:p w:rsidR="00E229ED" w:rsidRDefault="00E229ED" w:rsidP="00E229ED">
      <w:pPr>
        <w:autoSpaceDE w:val="0"/>
        <w:autoSpaceDN w:val="0"/>
        <w:adjustRightInd w:val="0"/>
        <w:jc w:val="both"/>
        <w:rPr>
          <w:color w:val="000000"/>
        </w:rPr>
      </w:pPr>
      <w:r>
        <w:rPr>
          <w:color w:val="000000"/>
        </w:rPr>
        <w:t>In 2020, the credit union received 50</w:t>
      </w:r>
      <w:r w:rsidRPr="00543B05">
        <w:rPr>
          <w:color w:val="000000"/>
        </w:rPr>
        <w:t xml:space="preserve"> HMDA reportable loan applications from within its </w:t>
      </w:r>
      <w:r w:rsidRPr="00627B73">
        <w:rPr>
          <w:color w:val="000000"/>
        </w:rPr>
        <w:t xml:space="preserve">assessment area.  Of these applications, 22.0 percent were received from minority applicants, of </w:t>
      </w:r>
      <w:r w:rsidRPr="00627B73">
        <w:rPr>
          <w:color w:val="000000"/>
        </w:rPr>
        <w:lastRenderedPageBreak/>
        <w:t xml:space="preserve">which 45.0 percent resulted in originations.  For the same time period, the credit union received 12.0 percent of applications from Hispanic/Latino applicants, of which 66.7 percent resulted in originations. </w:t>
      </w:r>
    </w:p>
    <w:p w:rsidR="00E229ED" w:rsidRDefault="00E229ED" w:rsidP="00E229ED">
      <w:pPr>
        <w:tabs>
          <w:tab w:val="center" w:pos="4680"/>
        </w:tabs>
        <w:jc w:val="both"/>
        <w:rPr>
          <w:color w:val="000000"/>
        </w:rPr>
      </w:pPr>
    </w:p>
    <w:p w:rsidR="002154E6" w:rsidRPr="00F36BBD" w:rsidRDefault="002154E6" w:rsidP="00E229ED">
      <w:pPr>
        <w:tabs>
          <w:tab w:val="center" w:pos="4680"/>
        </w:tabs>
        <w:jc w:val="both"/>
        <w:rPr>
          <w:color w:val="000000"/>
        </w:rPr>
      </w:pPr>
      <w:r w:rsidRPr="00F36BBD">
        <w:rPr>
          <w:color w:val="000000"/>
        </w:rPr>
        <w:t>Considering the demographic composition of the assessment area and comparisons to aggregate data, the credit union’s minority application flow is reasonable.</w:t>
      </w:r>
    </w:p>
    <w:p w:rsidR="002154E6" w:rsidRPr="00F36BBD" w:rsidRDefault="002154E6" w:rsidP="00E229ED">
      <w:pPr>
        <w:jc w:val="both"/>
        <w:rPr>
          <w:b/>
          <w:bCs/>
          <w:sz w:val="28"/>
          <w:szCs w:val="28"/>
        </w:rPr>
      </w:pPr>
    </w:p>
    <w:p w:rsidR="002154E6" w:rsidRPr="00F36BBD" w:rsidRDefault="002154E6" w:rsidP="00E229ED">
      <w:pPr>
        <w:tabs>
          <w:tab w:val="center" w:pos="4680"/>
        </w:tabs>
        <w:jc w:val="both"/>
        <w:rPr>
          <w:b/>
          <w:spacing w:val="-4"/>
          <w:sz w:val="28"/>
          <w:szCs w:val="28"/>
        </w:rPr>
      </w:pPr>
    </w:p>
    <w:p w:rsidR="002154E6" w:rsidRPr="00F36BBD" w:rsidRDefault="002154E6" w:rsidP="003912CC">
      <w:pPr>
        <w:tabs>
          <w:tab w:val="center" w:pos="4680"/>
        </w:tabs>
        <w:jc w:val="center"/>
        <w:rPr>
          <w:b/>
          <w:spacing w:val="-4"/>
          <w:sz w:val="28"/>
          <w:szCs w:val="28"/>
        </w:rPr>
      </w:pPr>
    </w:p>
    <w:p w:rsidR="002154E6" w:rsidRPr="00F36BBD" w:rsidRDefault="002154E6" w:rsidP="003912CC">
      <w:pPr>
        <w:tabs>
          <w:tab w:val="center" w:pos="4680"/>
        </w:tabs>
        <w:jc w:val="center"/>
        <w:rPr>
          <w:b/>
          <w:spacing w:val="-4"/>
          <w:sz w:val="28"/>
          <w:szCs w:val="28"/>
        </w:rPr>
      </w:pPr>
    </w:p>
    <w:p w:rsidR="002154E6" w:rsidRPr="00F36BBD" w:rsidRDefault="002154E6" w:rsidP="003912CC">
      <w:pPr>
        <w:tabs>
          <w:tab w:val="center" w:pos="4680"/>
        </w:tabs>
        <w:jc w:val="center"/>
        <w:rPr>
          <w:b/>
          <w:spacing w:val="-4"/>
          <w:sz w:val="28"/>
          <w:szCs w:val="28"/>
        </w:rPr>
      </w:pPr>
    </w:p>
    <w:p w:rsidR="002154E6" w:rsidRPr="00F36BBD" w:rsidRDefault="002154E6" w:rsidP="003912CC">
      <w:pPr>
        <w:tabs>
          <w:tab w:val="center" w:pos="4680"/>
        </w:tabs>
        <w:jc w:val="center"/>
        <w:rPr>
          <w:b/>
          <w:spacing w:val="-4"/>
          <w:sz w:val="28"/>
          <w:szCs w:val="28"/>
        </w:rPr>
      </w:pPr>
    </w:p>
    <w:p w:rsidR="002154E6" w:rsidRPr="00F36BBD" w:rsidRDefault="002154E6" w:rsidP="003912CC">
      <w:pPr>
        <w:tabs>
          <w:tab w:val="center" w:pos="4680"/>
        </w:tabs>
        <w:jc w:val="center"/>
        <w:rPr>
          <w:b/>
          <w:spacing w:val="-4"/>
          <w:sz w:val="28"/>
          <w:szCs w:val="28"/>
        </w:rPr>
      </w:pPr>
    </w:p>
    <w:p w:rsidR="002154E6" w:rsidRPr="00F36BBD" w:rsidRDefault="002154E6" w:rsidP="003912CC">
      <w:pPr>
        <w:tabs>
          <w:tab w:val="center" w:pos="4680"/>
        </w:tabs>
        <w:jc w:val="center"/>
        <w:rPr>
          <w:b/>
          <w:spacing w:val="-4"/>
          <w:sz w:val="28"/>
          <w:szCs w:val="28"/>
        </w:rPr>
      </w:pPr>
    </w:p>
    <w:p w:rsidR="002154E6" w:rsidRPr="00F36BBD" w:rsidRDefault="002154E6" w:rsidP="003912CC">
      <w:pPr>
        <w:tabs>
          <w:tab w:val="center" w:pos="4680"/>
        </w:tabs>
        <w:jc w:val="center"/>
        <w:rPr>
          <w:b/>
          <w:spacing w:val="-4"/>
          <w:sz w:val="28"/>
          <w:szCs w:val="28"/>
        </w:rPr>
      </w:pPr>
    </w:p>
    <w:p w:rsidR="002154E6" w:rsidRPr="00F36BBD" w:rsidRDefault="002154E6" w:rsidP="003912CC">
      <w:pPr>
        <w:tabs>
          <w:tab w:val="center" w:pos="4680"/>
        </w:tabs>
        <w:jc w:val="center"/>
        <w:rPr>
          <w:b/>
          <w:spacing w:val="-4"/>
          <w:sz w:val="28"/>
          <w:szCs w:val="28"/>
        </w:rPr>
      </w:pPr>
    </w:p>
    <w:p w:rsidR="002154E6" w:rsidRPr="00F36BBD" w:rsidRDefault="002154E6" w:rsidP="003912CC">
      <w:pPr>
        <w:tabs>
          <w:tab w:val="center" w:pos="4680"/>
        </w:tabs>
        <w:jc w:val="center"/>
        <w:rPr>
          <w:b/>
          <w:spacing w:val="-4"/>
          <w:sz w:val="28"/>
          <w:szCs w:val="28"/>
        </w:rPr>
      </w:pPr>
    </w:p>
    <w:p w:rsidR="002154E6" w:rsidRPr="00F36BBD" w:rsidRDefault="002154E6" w:rsidP="003912CC">
      <w:pPr>
        <w:tabs>
          <w:tab w:val="center" w:pos="4680"/>
        </w:tabs>
        <w:jc w:val="center"/>
        <w:rPr>
          <w:b/>
          <w:spacing w:val="-4"/>
          <w:sz w:val="28"/>
          <w:szCs w:val="28"/>
        </w:rPr>
      </w:pPr>
    </w:p>
    <w:p w:rsidR="002154E6" w:rsidRPr="00F36BBD" w:rsidRDefault="002154E6" w:rsidP="003912CC">
      <w:pPr>
        <w:tabs>
          <w:tab w:val="center" w:pos="4680"/>
        </w:tabs>
        <w:jc w:val="center"/>
        <w:rPr>
          <w:b/>
          <w:spacing w:val="-4"/>
          <w:sz w:val="28"/>
          <w:szCs w:val="28"/>
        </w:rPr>
      </w:pPr>
    </w:p>
    <w:p w:rsidR="002154E6" w:rsidRPr="00F36BBD" w:rsidRDefault="002154E6" w:rsidP="003912CC">
      <w:pPr>
        <w:tabs>
          <w:tab w:val="center" w:pos="4680"/>
        </w:tabs>
        <w:jc w:val="center"/>
        <w:rPr>
          <w:b/>
          <w:spacing w:val="-4"/>
          <w:sz w:val="28"/>
          <w:szCs w:val="28"/>
        </w:rPr>
      </w:pPr>
    </w:p>
    <w:p w:rsidR="002154E6" w:rsidRPr="00F36BBD" w:rsidRDefault="002154E6" w:rsidP="003912CC">
      <w:pPr>
        <w:tabs>
          <w:tab w:val="center" w:pos="4680"/>
        </w:tabs>
        <w:jc w:val="center"/>
        <w:rPr>
          <w:b/>
          <w:spacing w:val="-4"/>
          <w:sz w:val="28"/>
          <w:szCs w:val="28"/>
        </w:rPr>
      </w:pPr>
    </w:p>
    <w:p w:rsidR="002154E6" w:rsidRPr="00F36BBD" w:rsidRDefault="002154E6" w:rsidP="003912CC">
      <w:pPr>
        <w:tabs>
          <w:tab w:val="center" w:pos="4680"/>
        </w:tabs>
        <w:jc w:val="center"/>
        <w:rPr>
          <w:b/>
          <w:spacing w:val="-4"/>
          <w:sz w:val="28"/>
          <w:szCs w:val="28"/>
        </w:rPr>
      </w:pPr>
    </w:p>
    <w:p w:rsidR="002154E6" w:rsidRPr="00F36BBD" w:rsidRDefault="002154E6" w:rsidP="003912CC">
      <w:pPr>
        <w:tabs>
          <w:tab w:val="center" w:pos="4680"/>
        </w:tabs>
        <w:jc w:val="center"/>
        <w:rPr>
          <w:b/>
          <w:spacing w:val="-4"/>
          <w:sz w:val="28"/>
          <w:szCs w:val="28"/>
        </w:rPr>
      </w:pPr>
    </w:p>
    <w:p w:rsidR="002154E6" w:rsidRPr="00F36BBD" w:rsidRDefault="002154E6" w:rsidP="003912CC">
      <w:pPr>
        <w:tabs>
          <w:tab w:val="center" w:pos="4680"/>
        </w:tabs>
        <w:jc w:val="center"/>
        <w:rPr>
          <w:b/>
          <w:spacing w:val="-4"/>
          <w:sz w:val="28"/>
          <w:szCs w:val="28"/>
        </w:rPr>
      </w:pPr>
    </w:p>
    <w:p w:rsidR="00E229ED" w:rsidRDefault="00E229ED">
      <w:pPr>
        <w:spacing w:after="160" w:line="259" w:lineRule="auto"/>
        <w:rPr>
          <w:b/>
          <w:spacing w:val="-4"/>
          <w:sz w:val="28"/>
          <w:szCs w:val="28"/>
        </w:rPr>
      </w:pPr>
      <w:r>
        <w:rPr>
          <w:b/>
          <w:spacing w:val="-4"/>
          <w:sz w:val="28"/>
          <w:szCs w:val="28"/>
        </w:rPr>
        <w:br w:type="page"/>
      </w:r>
    </w:p>
    <w:p w:rsidR="003912CC" w:rsidRPr="00F36BBD" w:rsidRDefault="003912CC" w:rsidP="003912CC">
      <w:pPr>
        <w:tabs>
          <w:tab w:val="center" w:pos="4680"/>
        </w:tabs>
        <w:jc w:val="center"/>
        <w:rPr>
          <w:b/>
          <w:spacing w:val="-3"/>
          <w:sz w:val="28"/>
          <w:szCs w:val="28"/>
        </w:rPr>
      </w:pPr>
      <w:r w:rsidRPr="00F36BBD">
        <w:rPr>
          <w:b/>
          <w:spacing w:val="-4"/>
          <w:sz w:val="28"/>
          <w:szCs w:val="28"/>
        </w:rPr>
        <w:lastRenderedPageBreak/>
        <w:t>PERFORMANCE EVALUATION DISCLOSURE GUIDE</w:t>
      </w:r>
    </w:p>
    <w:p w:rsidR="003912CC" w:rsidRPr="00F36BBD" w:rsidRDefault="003912CC" w:rsidP="003912CC">
      <w:pPr>
        <w:tabs>
          <w:tab w:val="left" w:pos="720"/>
          <w:tab w:val="left" w:pos="1320"/>
          <w:tab w:val="left" w:pos="1680"/>
        </w:tabs>
        <w:jc w:val="both"/>
        <w:rPr>
          <w:spacing w:val="-3"/>
        </w:rPr>
      </w:pPr>
    </w:p>
    <w:p w:rsidR="003912CC" w:rsidRPr="00F36BBD" w:rsidRDefault="003912CC" w:rsidP="003912CC">
      <w:pPr>
        <w:tabs>
          <w:tab w:val="left" w:pos="720"/>
          <w:tab w:val="left" w:pos="1320"/>
          <w:tab w:val="left" w:pos="1680"/>
        </w:tabs>
        <w:ind w:left="720" w:hanging="720"/>
        <w:jc w:val="both"/>
        <w:rPr>
          <w:spacing w:val="-3"/>
        </w:rPr>
      </w:pPr>
      <w:r w:rsidRPr="00F36BBD">
        <w:rPr>
          <w:spacing w:val="-3"/>
        </w:rPr>
        <w:tab/>
        <w:t>Massachusetts General Laws Chapter 167, Section 14, as amended, require all financial institution to take the following actions within 30 business days of receipt of the CRA evaluation of their institution:</w:t>
      </w:r>
    </w:p>
    <w:p w:rsidR="003912CC" w:rsidRPr="00F36BBD" w:rsidRDefault="003912CC" w:rsidP="003912CC">
      <w:pPr>
        <w:tabs>
          <w:tab w:val="left" w:pos="720"/>
          <w:tab w:val="left" w:pos="1320"/>
          <w:tab w:val="left" w:pos="1680"/>
        </w:tabs>
        <w:jc w:val="both"/>
        <w:rPr>
          <w:spacing w:val="-3"/>
        </w:rPr>
      </w:pPr>
    </w:p>
    <w:p w:rsidR="003912CC" w:rsidRPr="00F36BBD" w:rsidRDefault="003912CC" w:rsidP="003912CC">
      <w:pPr>
        <w:tabs>
          <w:tab w:val="left" w:pos="720"/>
          <w:tab w:val="left" w:pos="1320"/>
          <w:tab w:val="left" w:pos="1680"/>
        </w:tabs>
        <w:ind w:left="1320" w:hanging="1320"/>
        <w:jc w:val="both"/>
        <w:rPr>
          <w:spacing w:val="-3"/>
        </w:rPr>
      </w:pPr>
      <w:r w:rsidRPr="00F36BBD">
        <w:rPr>
          <w:spacing w:val="-3"/>
        </w:rPr>
        <w:tab/>
        <w:t xml:space="preserve">1) </w:t>
      </w:r>
      <w:r w:rsidRPr="00F36BBD">
        <w:rPr>
          <w:spacing w:val="-3"/>
        </w:rPr>
        <w:tab/>
        <w:t>Make its most current CRA performance evaluation available to the public;</w:t>
      </w:r>
    </w:p>
    <w:p w:rsidR="003912CC" w:rsidRPr="00F36BBD" w:rsidRDefault="003912CC" w:rsidP="003912CC">
      <w:pPr>
        <w:tabs>
          <w:tab w:val="left" w:pos="720"/>
          <w:tab w:val="left" w:pos="1320"/>
          <w:tab w:val="left" w:pos="1680"/>
        </w:tabs>
        <w:jc w:val="both"/>
        <w:rPr>
          <w:spacing w:val="-3"/>
        </w:rPr>
      </w:pPr>
    </w:p>
    <w:p w:rsidR="003912CC" w:rsidRPr="00F36BBD" w:rsidRDefault="003912CC" w:rsidP="003912CC">
      <w:pPr>
        <w:tabs>
          <w:tab w:val="left" w:pos="720"/>
          <w:tab w:val="left" w:pos="1320"/>
          <w:tab w:val="left" w:pos="1680"/>
        </w:tabs>
        <w:ind w:left="1320" w:hanging="1320"/>
        <w:jc w:val="both"/>
        <w:rPr>
          <w:spacing w:val="-3"/>
        </w:rPr>
      </w:pPr>
      <w:r w:rsidRPr="00F36BBD">
        <w:rPr>
          <w:spacing w:val="-3"/>
        </w:rPr>
        <w:tab/>
        <w:t>2)</w:t>
      </w:r>
      <w:r w:rsidRPr="00F36BBD">
        <w:rPr>
          <w:spacing w:val="-3"/>
        </w:rPr>
        <w:tab/>
        <w:t>At a minimum, place the evaluation in the institution's CRA public file located at the head office and at a designated office in each assessment area;</w:t>
      </w:r>
    </w:p>
    <w:p w:rsidR="003912CC" w:rsidRPr="00F36BBD" w:rsidRDefault="003912CC" w:rsidP="003912CC">
      <w:pPr>
        <w:tabs>
          <w:tab w:val="left" w:pos="720"/>
          <w:tab w:val="left" w:pos="1320"/>
          <w:tab w:val="left" w:pos="1680"/>
        </w:tabs>
        <w:jc w:val="both"/>
        <w:rPr>
          <w:spacing w:val="-3"/>
        </w:rPr>
      </w:pPr>
    </w:p>
    <w:p w:rsidR="003912CC" w:rsidRPr="00F36BBD" w:rsidRDefault="003912CC" w:rsidP="003912CC">
      <w:pPr>
        <w:tabs>
          <w:tab w:val="left" w:pos="720"/>
          <w:tab w:val="left" w:pos="1320"/>
          <w:tab w:val="left" w:pos="1680"/>
        </w:tabs>
        <w:ind w:left="1320" w:hanging="1320"/>
        <w:jc w:val="both"/>
        <w:rPr>
          <w:spacing w:val="-3"/>
        </w:rPr>
      </w:pPr>
      <w:r w:rsidRPr="00F36BBD">
        <w:rPr>
          <w:spacing w:val="-3"/>
        </w:rPr>
        <w:tab/>
        <w:t>3)</w:t>
      </w:r>
      <w:r w:rsidRPr="00F36BBD">
        <w:rPr>
          <w:spacing w:val="-3"/>
        </w:rPr>
        <w:tab/>
        <w:t>Add the following language to the institution's required CRA public notice that is posted in each depository facility:</w:t>
      </w:r>
    </w:p>
    <w:p w:rsidR="003912CC" w:rsidRPr="00F36BBD" w:rsidRDefault="003912CC" w:rsidP="003912CC">
      <w:pPr>
        <w:tabs>
          <w:tab w:val="left" w:pos="720"/>
          <w:tab w:val="left" w:pos="1320"/>
          <w:tab w:val="left" w:pos="1680"/>
        </w:tabs>
        <w:jc w:val="both"/>
        <w:rPr>
          <w:spacing w:val="-3"/>
        </w:rPr>
      </w:pPr>
    </w:p>
    <w:p w:rsidR="003912CC" w:rsidRPr="00F36BBD" w:rsidRDefault="003912CC" w:rsidP="003912CC">
      <w:pPr>
        <w:tabs>
          <w:tab w:val="left" w:pos="720"/>
          <w:tab w:val="left" w:pos="1320"/>
          <w:tab w:val="left" w:pos="1680"/>
        </w:tabs>
        <w:ind w:left="1320" w:hanging="1320"/>
        <w:jc w:val="both"/>
        <w:rPr>
          <w:spacing w:val="-3"/>
        </w:rPr>
      </w:pPr>
      <w:r w:rsidRPr="00F36BBD">
        <w:rPr>
          <w:spacing w:val="-3"/>
        </w:rPr>
        <w:tab/>
      </w:r>
      <w:r w:rsidRPr="00F36BBD">
        <w:rPr>
          <w:spacing w:val="-3"/>
        </w:rPr>
        <w:tab/>
        <w:t>"You may obtain the public section of our most recent CRA Performance Evaluation, which was prepared by the Massachusetts Division of Banks, at (</w:t>
      </w:r>
      <w:r w:rsidR="00EE1381" w:rsidRPr="00F36BBD">
        <w:rPr>
          <w:spacing w:val="-3"/>
        </w:rPr>
        <w:t>52 West Boylston Street Worcester, MA 01606</w:t>
      </w:r>
      <w:r w:rsidRPr="00F36BBD">
        <w:rPr>
          <w:spacing w:val="-3"/>
        </w:rPr>
        <w:t xml:space="preserve">)."  </w:t>
      </w:r>
    </w:p>
    <w:p w:rsidR="003912CC" w:rsidRPr="00F36BBD" w:rsidRDefault="003912CC" w:rsidP="003912CC">
      <w:pPr>
        <w:tabs>
          <w:tab w:val="left" w:pos="720"/>
          <w:tab w:val="left" w:pos="1320"/>
          <w:tab w:val="left" w:pos="1680"/>
        </w:tabs>
        <w:jc w:val="both"/>
        <w:rPr>
          <w:spacing w:val="-3"/>
        </w:rPr>
      </w:pPr>
    </w:p>
    <w:p w:rsidR="003912CC" w:rsidRPr="00F36BBD" w:rsidRDefault="003912CC" w:rsidP="003912CC">
      <w:pPr>
        <w:tabs>
          <w:tab w:val="left" w:pos="720"/>
          <w:tab w:val="left" w:pos="1320"/>
          <w:tab w:val="left" w:pos="1680"/>
        </w:tabs>
        <w:ind w:left="1320" w:hanging="1320"/>
        <w:jc w:val="both"/>
        <w:rPr>
          <w:spacing w:val="-3"/>
        </w:rPr>
      </w:pPr>
      <w:r w:rsidRPr="00F36BBD">
        <w:rPr>
          <w:spacing w:val="-3"/>
        </w:rPr>
        <w:tab/>
        <w:t>4)</w:t>
      </w:r>
      <w:r w:rsidRPr="00F36BBD">
        <w:rPr>
          <w:spacing w:val="-3"/>
        </w:rPr>
        <w:tab/>
        <w:t>Provide a copy of its current evaluation to the public, upon request.  In connection with this, the institution is authorized to charge a fee which does not exceed the cost of reproduction and mailing (if applicable).</w:t>
      </w:r>
    </w:p>
    <w:p w:rsidR="003912CC" w:rsidRPr="00F36BBD" w:rsidRDefault="003912CC" w:rsidP="003912CC">
      <w:pPr>
        <w:tabs>
          <w:tab w:val="left" w:pos="720"/>
          <w:tab w:val="left" w:pos="1320"/>
          <w:tab w:val="left" w:pos="1680"/>
        </w:tabs>
        <w:jc w:val="both"/>
        <w:rPr>
          <w:spacing w:val="-3"/>
        </w:rPr>
      </w:pPr>
    </w:p>
    <w:p w:rsidR="003912CC" w:rsidRPr="00F36BBD" w:rsidRDefault="003912CC" w:rsidP="003912CC">
      <w:pPr>
        <w:tabs>
          <w:tab w:val="left" w:pos="720"/>
          <w:tab w:val="left" w:pos="1320"/>
          <w:tab w:val="left" w:pos="1680"/>
        </w:tabs>
        <w:jc w:val="both"/>
        <w:rPr>
          <w:spacing w:val="-3"/>
        </w:rPr>
      </w:pPr>
    </w:p>
    <w:p w:rsidR="003912CC" w:rsidRDefault="003912CC" w:rsidP="003912CC">
      <w:pPr>
        <w:tabs>
          <w:tab w:val="left" w:pos="720"/>
          <w:tab w:val="left" w:pos="1320"/>
          <w:tab w:val="left" w:pos="1680"/>
        </w:tabs>
        <w:ind w:left="720" w:hanging="720"/>
        <w:jc w:val="both"/>
        <w:rPr>
          <w:spacing w:val="-3"/>
        </w:rPr>
      </w:pPr>
      <w:r w:rsidRPr="00F36BBD">
        <w:rPr>
          <w:spacing w:val="-3"/>
        </w:rPr>
        <w:tab/>
        <w:t>The format and content of the institution's evaluation, as prepared by its supervisory agencies, may not be altered or abridged in any manner.  The institution is encouraged to include its response to the evaluation in its CRA public file.</w:t>
      </w:r>
    </w:p>
    <w:p w:rsidR="00C17780" w:rsidRDefault="00C17780"/>
    <w:sectPr w:rsidR="00C17780" w:rsidSect="00AA743D">
      <w:footerReference w:type="defaul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128" w:rsidRDefault="00910128" w:rsidP="00F94B29">
      <w:r>
        <w:separator/>
      </w:r>
    </w:p>
  </w:endnote>
  <w:endnote w:type="continuationSeparator" w:id="0">
    <w:p w:rsidR="00910128" w:rsidRDefault="00910128" w:rsidP="00F94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558" w:rsidRDefault="00DB3558" w:rsidP="0089709B">
    <w:pPr>
      <w:pStyle w:val="Footer"/>
    </w:pPr>
  </w:p>
  <w:p w:rsidR="00DB3558" w:rsidRDefault="00DB35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43676"/>
      <w:docPartObj>
        <w:docPartGallery w:val="Page Numbers (Bottom of Page)"/>
        <w:docPartUnique/>
      </w:docPartObj>
    </w:sdtPr>
    <w:sdtEndPr>
      <w:rPr>
        <w:noProof/>
      </w:rPr>
    </w:sdtEndPr>
    <w:sdtContent>
      <w:p w:rsidR="00DB3558" w:rsidRDefault="00DB3558">
        <w:pPr>
          <w:pStyle w:val="Footer"/>
          <w:jc w:val="center"/>
        </w:pPr>
        <w:r>
          <w:fldChar w:fldCharType="begin"/>
        </w:r>
        <w:r>
          <w:instrText xml:space="preserve"> PAGE   \* MERGEFORMAT </w:instrText>
        </w:r>
        <w:r>
          <w:fldChar w:fldCharType="separate"/>
        </w:r>
        <w:r w:rsidR="00E229ED">
          <w:rPr>
            <w:noProof/>
          </w:rPr>
          <w:t>1</w:t>
        </w:r>
        <w:r>
          <w:rPr>
            <w:noProof/>
          </w:rPr>
          <w:fldChar w:fldCharType="end"/>
        </w:r>
      </w:p>
    </w:sdtContent>
  </w:sdt>
  <w:p w:rsidR="00DB3558" w:rsidRDefault="00DB35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7163371"/>
      <w:docPartObj>
        <w:docPartGallery w:val="Page Numbers (Bottom of Page)"/>
        <w:docPartUnique/>
      </w:docPartObj>
    </w:sdtPr>
    <w:sdtEndPr>
      <w:rPr>
        <w:noProof/>
      </w:rPr>
    </w:sdtEndPr>
    <w:sdtContent>
      <w:p w:rsidR="00DB3558" w:rsidRDefault="00DB3558">
        <w:pPr>
          <w:pStyle w:val="Footer"/>
          <w:jc w:val="center"/>
        </w:pPr>
        <w:r>
          <w:fldChar w:fldCharType="begin"/>
        </w:r>
        <w:r>
          <w:instrText xml:space="preserve"> PAGE   \* MERGEFORMAT </w:instrText>
        </w:r>
        <w:r>
          <w:fldChar w:fldCharType="separate"/>
        </w:r>
        <w:r w:rsidR="00E229ED">
          <w:rPr>
            <w:noProof/>
          </w:rPr>
          <w:t>7</w:t>
        </w:r>
        <w:r>
          <w:rPr>
            <w:noProof/>
          </w:rPr>
          <w:fldChar w:fldCharType="end"/>
        </w:r>
      </w:p>
    </w:sdtContent>
  </w:sdt>
  <w:p w:rsidR="00DB3558" w:rsidRDefault="00DB3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128" w:rsidRDefault="00910128" w:rsidP="00F94B29">
      <w:r>
        <w:separator/>
      </w:r>
    </w:p>
  </w:footnote>
  <w:footnote w:type="continuationSeparator" w:id="0">
    <w:p w:rsidR="00910128" w:rsidRDefault="00910128" w:rsidP="00F94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5784"/>
    <w:multiLevelType w:val="hybridMultilevel"/>
    <w:tmpl w:val="B4801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58068C"/>
    <w:multiLevelType w:val="hybridMultilevel"/>
    <w:tmpl w:val="8F262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1B4147"/>
    <w:multiLevelType w:val="hybridMultilevel"/>
    <w:tmpl w:val="F7A8A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FD310B"/>
    <w:multiLevelType w:val="hybridMultilevel"/>
    <w:tmpl w:val="6DF26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223212E"/>
    <w:multiLevelType w:val="singleLevel"/>
    <w:tmpl w:val="04090001"/>
    <w:lvl w:ilvl="0">
      <w:start w:val="1"/>
      <w:numFmt w:val="bullet"/>
      <w:lvlText w:val=""/>
      <w:lvlJc w:val="left"/>
      <w:pPr>
        <w:ind w:left="720" w:hanging="360"/>
      </w:pPr>
      <w:rPr>
        <w:rFonts w:ascii="Symbol" w:hAnsi="Symbol" w:hint="default"/>
      </w:rPr>
    </w:lvl>
  </w:abstractNum>
  <w:abstractNum w:abstractNumId="5" w15:restartNumberingAfterBreak="0">
    <w:nsid w:val="639511E1"/>
    <w:multiLevelType w:val="multilevel"/>
    <w:tmpl w:val="2FCE3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4"/>
  </w:num>
  <w:num w:numId="3">
    <w:abstractNumId w:val="5"/>
  </w:num>
  <w:num w:numId="4">
    <w:abstractNumId w:val="1"/>
  </w:num>
  <w:num w:numId="5">
    <w:abstractNumId w:val="1"/>
  </w:num>
  <w:num w:numId="6">
    <w:abstractNumId w:val="3"/>
  </w:num>
  <w:num w:numId="7">
    <w:abstractNumId w:val="3"/>
  </w:num>
  <w:num w:numId="8">
    <w:abstractNumId w:val="0"/>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2CC"/>
    <w:rsid w:val="0000730E"/>
    <w:rsid w:val="000228BD"/>
    <w:rsid w:val="00024996"/>
    <w:rsid w:val="00046594"/>
    <w:rsid w:val="00057F44"/>
    <w:rsid w:val="0006322B"/>
    <w:rsid w:val="00082EEF"/>
    <w:rsid w:val="000939BE"/>
    <w:rsid w:val="00094C5B"/>
    <w:rsid w:val="000961FE"/>
    <w:rsid w:val="000A5733"/>
    <w:rsid w:val="000E583F"/>
    <w:rsid w:val="000E6557"/>
    <w:rsid w:val="000F6038"/>
    <w:rsid w:val="00105251"/>
    <w:rsid w:val="001073B9"/>
    <w:rsid w:val="00133032"/>
    <w:rsid w:val="00134E52"/>
    <w:rsid w:val="00141CE9"/>
    <w:rsid w:val="00150B73"/>
    <w:rsid w:val="00154167"/>
    <w:rsid w:val="00166348"/>
    <w:rsid w:val="001704A2"/>
    <w:rsid w:val="0017641A"/>
    <w:rsid w:val="001B38D6"/>
    <w:rsid w:val="001C5F84"/>
    <w:rsid w:val="001D6063"/>
    <w:rsid w:val="001F1FD9"/>
    <w:rsid w:val="00212CA8"/>
    <w:rsid w:val="002154E6"/>
    <w:rsid w:val="00236D42"/>
    <w:rsid w:val="00243017"/>
    <w:rsid w:val="0025110E"/>
    <w:rsid w:val="00254CE1"/>
    <w:rsid w:val="00262E55"/>
    <w:rsid w:val="00270EFB"/>
    <w:rsid w:val="002777F3"/>
    <w:rsid w:val="002B170F"/>
    <w:rsid w:val="002B64B4"/>
    <w:rsid w:val="002C68BC"/>
    <w:rsid w:val="002F3F26"/>
    <w:rsid w:val="00305A1A"/>
    <w:rsid w:val="0031453C"/>
    <w:rsid w:val="00321529"/>
    <w:rsid w:val="00324D21"/>
    <w:rsid w:val="00327ACE"/>
    <w:rsid w:val="00335A31"/>
    <w:rsid w:val="00341A24"/>
    <w:rsid w:val="00356DDB"/>
    <w:rsid w:val="00360857"/>
    <w:rsid w:val="00376EC4"/>
    <w:rsid w:val="003912CC"/>
    <w:rsid w:val="003B7013"/>
    <w:rsid w:val="003B772E"/>
    <w:rsid w:val="003C07A8"/>
    <w:rsid w:val="003D4073"/>
    <w:rsid w:val="003F3473"/>
    <w:rsid w:val="00402FAB"/>
    <w:rsid w:val="00421BD8"/>
    <w:rsid w:val="00477AA5"/>
    <w:rsid w:val="00484B70"/>
    <w:rsid w:val="004A0B4B"/>
    <w:rsid w:val="00506EAA"/>
    <w:rsid w:val="005231DE"/>
    <w:rsid w:val="00543B05"/>
    <w:rsid w:val="00575420"/>
    <w:rsid w:val="00583987"/>
    <w:rsid w:val="005924A7"/>
    <w:rsid w:val="00595092"/>
    <w:rsid w:val="0059746E"/>
    <w:rsid w:val="005A3585"/>
    <w:rsid w:val="005B056A"/>
    <w:rsid w:val="005E3A5F"/>
    <w:rsid w:val="005F6442"/>
    <w:rsid w:val="00600BED"/>
    <w:rsid w:val="00616682"/>
    <w:rsid w:val="00616A67"/>
    <w:rsid w:val="00627B73"/>
    <w:rsid w:val="0065620E"/>
    <w:rsid w:val="00657321"/>
    <w:rsid w:val="006843EB"/>
    <w:rsid w:val="006D31F2"/>
    <w:rsid w:val="006D744E"/>
    <w:rsid w:val="006F3B4B"/>
    <w:rsid w:val="006F5089"/>
    <w:rsid w:val="0070031C"/>
    <w:rsid w:val="007036CB"/>
    <w:rsid w:val="00706EE3"/>
    <w:rsid w:val="0071640E"/>
    <w:rsid w:val="00725281"/>
    <w:rsid w:val="00765819"/>
    <w:rsid w:val="00784EE8"/>
    <w:rsid w:val="007A41E6"/>
    <w:rsid w:val="007A53A5"/>
    <w:rsid w:val="007A5EED"/>
    <w:rsid w:val="007B6D45"/>
    <w:rsid w:val="007D485B"/>
    <w:rsid w:val="007E3400"/>
    <w:rsid w:val="007E42D1"/>
    <w:rsid w:val="007F6C1C"/>
    <w:rsid w:val="00806432"/>
    <w:rsid w:val="0082034A"/>
    <w:rsid w:val="00823F39"/>
    <w:rsid w:val="0084340E"/>
    <w:rsid w:val="00847176"/>
    <w:rsid w:val="008625C6"/>
    <w:rsid w:val="00870B05"/>
    <w:rsid w:val="00893F1C"/>
    <w:rsid w:val="0089709B"/>
    <w:rsid w:val="008B411E"/>
    <w:rsid w:val="008D006A"/>
    <w:rsid w:val="009023F5"/>
    <w:rsid w:val="0090338F"/>
    <w:rsid w:val="00907467"/>
    <w:rsid w:val="00910128"/>
    <w:rsid w:val="00914C75"/>
    <w:rsid w:val="0092778D"/>
    <w:rsid w:val="0094700D"/>
    <w:rsid w:val="00952A6F"/>
    <w:rsid w:val="00980F05"/>
    <w:rsid w:val="00992356"/>
    <w:rsid w:val="00993E5F"/>
    <w:rsid w:val="009B1C01"/>
    <w:rsid w:val="009E224F"/>
    <w:rsid w:val="009E604B"/>
    <w:rsid w:val="00A03374"/>
    <w:rsid w:val="00A1519B"/>
    <w:rsid w:val="00A1575F"/>
    <w:rsid w:val="00A200BB"/>
    <w:rsid w:val="00A22650"/>
    <w:rsid w:val="00A23296"/>
    <w:rsid w:val="00A413B7"/>
    <w:rsid w:val="00A44C19"/>
    <w:rsid w:val="00A56A2C"/>
    <w:rsid w:val="00A97A6A"/>
    <w:rsid w:val="00AA2B68"/>
    <w:rsid w:val="00AA743D"/>
    <w:rsid w:val="00AB2944"/>
    <w:rsid w:val="00AC27AC"/>
    <w:rsid w:val="00AF7297"/>
    <w:rsid w:val="00B0570B"/>
    <w:rsid w:val="00B11147"/>
    <w:rsid w:val="00B178FD"/>
    <w:rsid w:val="00B320E9"/>
    <w:rsid w:val="00B70895"/>
    <w:rsid w:val="00B72637"/>
    <w:rsid w:val="00B74AB2"/>
    <w:rsid w:val="00B80514"/>
    <w:rsid w:val="00B85A80"/>
    <w:rsid w:val="00B96A50"/>
    <w:rsid w:val="00BA5A16"/>
    <w:rsid w:val="00BB1B65"/>
    <w:rsid w:val="00BC7848"/>
    <w:rsid w:val="00BD49DB"/>
    <w:rsid w:val="00BE009D"/>
    <w:rsid w:val="00BF4988"/>
    <w:rsid w:val="00C16E9F"/>
    <w:rsid w:val="00C17780"/>
    <w:rsid w:val="00C934C1"/>
    <w:rsid w:val="00C96A89"/>
    <w:rsid w:val="00CA05CA"/>
    <w:rsid w:val="00CB40D0"/>
    <w:rsid w:val="00CF48CF"/>
    <w:rsid w:val="00D03807"/>
    <w:rsid w:val="00D074C1"/>
    <w:rsid w:val="00D369BD"/>
    <w:rsid w:val="00D37DE9"/>
    <w:rsid w:val="00D40244"/>
    <w:rsid w:val="00D451F6"/>
    <w:rsid w:val="00D502C1"/>
    <w:rsid w:val="00D50C0C"/>
    <w:rsid w:val="00D54308"/>
    <w:rsid w:val="00DB3558"/>
    <w:rsid w:val="00DC439C"/>
    <w:rsid w:val="00DE0C41"/>
    <w:rsid w:val="00E15795"/>
    <w:rsid w:val="00E229ED"/>
    <w:rsid w:val="00E57780"/>
    <w:rsid w:val="00E63269"/>
    <w:rsid w:val="00E85768"/>
    <w:rsid w:val="00E96209"/>
    <w:rsid w:val="00E9770A"/>
    <w:rsid w:val="00EB7205"/>
    <w:rsid w:val="00EE1381"/>
    <w:rsid w:val="00EE3622"/>
    <w:rsid w:val="00F057DE"/>
    <w:rsid w:val="00F30D3F"/>
    <w:rsid w:val="00F31627"/>
    <w:rsid w:val="00F36BBD"/>
    <w:rsid w:val="00F47FF7"/>
    <w:rsid w:val="00F55FA2"/>
    <w:rsid w:val="00F56004"/>
    <w:rsid w:val="00F73A94"/>
    <w:rsid w:val="00F91D31"/>
    <w:rsid w:val="00F94B29"/>
    <w:rsid w:val="00F96AAB"/>
    <w:rsid w:val="00FC128E"/>
    <w:rsid w:val="00FC6B69"/>
    <w:rsid w:val="00FD0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A69AC5"/>
  <w15:chartTrackingRefBased/>
  <w15:docId w15:val="{C576CE0D-EC61-47CF-931A-33DC694F2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2C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3912CC"/>
    <w:pPr>
      <w:keepNext/>
      <w:tabs>
        <w:tab w:val="left" w:pos="480"/>
        <w:tab w:val="left" w:pos="960"/>
        <w:tab w:val="left" w:pos="6840"/>
      </w:tabs>
      <w:jc w:val="both"/>
      <w:outlineLvl w:val="0"/>
    </w:pPr>
    <w:rPr>
      <w:rFonts w:ascii="Arial" w:hAnsi="Arial"/>
      <w:b/>
      <w:bCs/>
      <w:spacing w:val="-3"/>
      <w:sz w:val="20"/>
      <w:szCs w:val="20"/>
      <w:u w:val="single"/>
    </w:rPr>
  </w:style>
  <w:style w:type="paragraph" w:styleId="Heading2">
    <w:name w:val="heading 2"/>
    <w:basedOn w:val="Normal"/>
    <w:next w:val="Normal"/>
    <w:link w:val="Heading2Char"/>
    <w:uiPriority w:val="99"/>
    <w:semiHidden/>
    <w:unhideWhenUsed/>
    <w:qFormat/>
    <w:rsid w:val="003912CC"/>
    <w:pPr>
      <w:keepNext/>
      <w:tabs>
        <w:tab w:val="left" w:pos="-1440"/>
        <w:tab w:val="left" w:leader="do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1"/>
    </w:pPr>
    <w:rPr>
      <w:rFonts w:ascii="Arial" w:hAnsi="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912CC"/>
    <w:rPr>
      <w:rFonts w:ascii="Arial" w:eastAsia="Times New Roman" w:hAnsi="Arial" w:cs="Times New Roman"/>
      <w:b/>
      <w:bCs/>
      <w:spacing w:val="-3"/>
      <w:sz w:val="20"/>
      <w:szCs w:val="20"/>
      <w:u w:val="single"/>
    </w:rPr>
  </w:style>
  <w:style w:type="character" w:customStyle="1" w:styleId="Heading2Char">
    <w:name w:val="Heading 2 Char"/>
    <w:basedOn w:val="DefaultParagraphFont"/>
    <w:link w:val="Heading2"/>
    <w:uiPriority w:val="99"/>
    <w:semiHidden/>
    <w:rsid w:val="003912CC"/>
    <w:rPr>
      <w:rFonts w:ascii="Arial" w:eastAsia="Times New Roman" w:hAnsi="Arial" w:cs="Times New Roman"/>
      <w:b/>
      <w:bCs/>
      <w:sz w:val="20"/>
      <w:szCs w:val="20"/>
      <w:u w:val="single"/>
    </w:rPr>
  </w:style>
  <w:style w:type="paragraph" w:styleId="HTMLPreformatted">
    <w:name w:val="HTML Preformatted"/>
    <w:basedOn w:val="Normal"/>
    <w:link w:val="HTMLPreformattedChar"/>
    <w:uiPriority w:val="99"/>
    <w:semiHidden/>
    <w:unhideWhenUsed/>
    <w:rsid w:val="00391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semiHidden/>
    <w:rsid w:val="003912CC"/>
    <w:rPr>
      <w:rFonts w:ascii="Courier New" w:eastAsia="Times New Roman" w:hAnsi="Courier New" w:cs="Times New Roman"/>
      <w:sz w:val="20"/>
      <w:szCs w:val="20"/>
    </w:rPr>
  </w:style>
  <w:style w:type="character" w:customStyle="1" w:styleId="FootnoteTextChar">
    <w:name w:val="Footnote Text Char"/>
    <w:basedOn w:val="DefaultParagraphFont"/>
    <w:link w:val="FootnoteText"/>
    <w:uiPriority w:val="99"/>
    <w:semiHidden/>
    <w:rsid w:val="003912CC"/>
    <w:rPr>
      <w:rFonts w:ascii="Univers Condensed" w:eastAsia="Times New Roman" w:hAnsi="Univers Condensed" w:cs="Times New Roman"/>
      <w:sz w:val="20"/>
      <w:szCs w:val="20"/>
    </w:rPr>
  </w:style>
  <w:style w:type="paragraph" w:styleId="FootnoteText">
    <w:name w:val="footnote text"/>
    <w:basedOn w:val="Normal"/>
    <w:link w:val="FootnoteTextChar"/>
    <w:uiPriority w:val="99"/>
    <w:semiHidden/>
    <w:unhideWhenUsed/>
    <w:rsid w:val="003912CC"/>
    <w:rPr>
      <w:rFonts w:ascii="Univers Condensed" w:hAnsi="Univers Condensed"/>
      <w:sz w:val="20"/>
      <w:szCs w:val="20"/>
    </w:rPr>
  </w:style>
  <w:style w:type="character" w:customStyle="1" w:styleId="CommentTextChar">
    <w:name w:val="Comment Text Char"/>
    <w:basedOn w:val="DefaultParagraphFont"/>
    <w:link w:val="CommentText"/>
    <w:uiPriority w:val="99"/>
    <w:semiHidden/>
    <w:rsid w:val="003912CC"/>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3912CC"/>
    <w:rPr>
      <w:sz w:val="20"/>
      <w:szCs w:val="20"/>
    </w:rPr>
  </w:style>
  <w:style w:type="character" w:customStyle="1" w:styleId="HeaderChar">
    <w:name w:val="Header Char"/>
    <w:basedOn w:val="DefaultParagraphFont"/>
    <w:link w:val="Header"/>
    <w:uiPriority w:val="99"/>
    <w:rsid w:val="003912CC"/>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3912CC"/>
    <w:pPr>
      <w:tabs>
        <w:tab w:val="center" w:pos="4680"/>
        <w:tab w:val="right" w:pos="9360"/>
      </w:tabs>
    </w:pPr>
    <w:rPr>
      <w:sz w:val="20"/>
      <w:szCs w:val="20"/>
    </w:rPr>
  </w:style>
  <w:style w:type="character" w:customStyle="1" w:styleId="FooterChar">
    <w:name w:val="Footer Char"/>
    <w:basedOn w:val="DefaultParagraphFont"/>
    <w:link w:val="Footer"/>
    <w:uiPriority w:val="99"/>
    <w:rsid w:val="003912C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912CC"/>
    <w:pPr>
      <w:tabs>
        <w:tab w:val="center" w:pos="4680"/>
        <w:tab w:val="right" w:pos="9360"/>
      </w:tabs>
    </w:pPr>
    <w:rPr>
      <w:sz w:val="20"/>
      <w:szCs w:val="20"/>
    </w:rPr>
  </w:style>
  <w:style w:type="paragraph" w:styleId="BodyText">
    <w:name w:val="Body Text"/>
    <w:basedOn w:val="Normal"/>
    <w:link w:val="BodyTextChar"/>
    <w:uiPriority w:val="99"/>
    <w:semiHidden/>
    <w:unhideWhenUsed/>
    <w:rsid w:val="003912CC"/>
    <w:pPr>
      <w:widowControl w:val="0"/>
      <w:spacing w:after="120"/>
    </w:pPr>
    <w:rPr>
      <w:rFonts w:ascii="Courier" w:hAnsi="Courier"/>
      <w:sz w:val="20"/>
      <w:szCs w:val="20"/>
    </w:rPr>
  </w:style>
  <w:style w:type="character" w:customStyle="1" w:styleId="BodyTextChar">
    <w:name w:val="Body Text Char"/>
    <w:basedOn w:val="DefaultParagraphFont"/>
    <w:link w:val="BodyText"/>
    <w:uiPriority w:val="99"/>
    <w:semiHidden/>
    <w:rsid w:val="003912CC"/>
    <w:rPr>
      <w:rFonts w:ascii="Courier" w:eastAsia="Times New Roman" w:hAnsi="Courier" w:cs="Times New Roman"/>
      <w:sz w:val="20"/>
      <w:szCs w:val="20"/>
    </w:rPr>
  </w:style>
  <w:style w:type="character" w:customStyle="1" w:styleId="PlainTextChar">
    <w:name w:val="Plain Text Char"/>
    <w:basedOn w:val="DefaultParagraphFont"/>
    <w:link w:val="PlainText"/>
    <w:uiPriority w:val="99"/>
    <w:semiHidden/>
    <w:rsid w:val="003912CC"/>
    <w:rPr>
      <w:rFonts w:ascii="Courier New" w:eastAsia="Times New Roman" w:hAnsi="Courier New" w:cs="Times New Roman"/>
      <w:sz w:val="20"/>
      <w:szCs w:val="20"/>
    </w:rPr>
  </w:style>
  <w:style w:type="paragraph" w:styleId="PlainText">
    <w:name w:val="Plain Text"/>
    <w:basedOn w:val="Normal"/>
    <w:link w:val="PlainTextChar"/>
    <w:uiPriority w:val="99"/>
    <w:semiHidden/>
    <w:unhideWhenUsed/>
    <w:rsid w:val="003912CC"/>
    <w:rPr>
      <w:rFonts w:ascii="Courier New" w:hAnsi="Courier New"/>
      <w:sz w:val="20"/>
      <w:szCs w:val="20"/>
    </w:rPr>
  </w:style>
  <w:style w:type="character" w:customStyle="1" w:styleId="CommentSubjectChar">
    <w:name w:val="Comment Subject Char"/>
    <w:basedOn w:val="CommentTextChar"/>
    <w:link w:val="CommentSubject"/>
    <w:uiPriority w:val="99"/>
    <w:semiHidden/>
    <w:rsid w:val="003912CC"/>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3912CC"/>
    <w:rPr>
      <w:b/>
      <w:bCs/>
    </w:rPr>
  </w:style>
  <w:style w:type="character" w:customStyle="1" w:styleId="BalloonTextChar">
    <w:name w:val="Balloon Text Char"/>
    <w:basedOn w:val="DefaultParagraphFont"/>
    <w:link w:val="BalloonText"/>
    <w:uiPriority w:val="99"/>
    <w:semiHidden/>
    <w:rsid w:val="003912CC"/>
    <w:rPr>
      <w:rFonts w:ascii="Tahoma" w:eastAsia="Times New Roman" w:hAnsi="Tahoma" w:cs="Times New Roman"/>
      <w:sz w:val="16"/>
      <w:szCs w:val="16"/>
    </w:rPr>
  </w:style>
  <w:style w:type="paragraph" w:styleId="BalloonText">
    <w:name w:val="Balloon Text"/>
    <w:basedOn w:val="Normal"/>
    <w:link w:val="BalloonTextChar"/>
    <w:uiPriority w:val="99"/>
    <w:semiHidden/>
    <w:unhideWhenUsed/>
    <w:rsid w:val="003912CC"/>
    <w:rPr>
      <w:rFonts w:ascii="Tahoma" w:hAnsi="Tahoma"/>
      <w:sz w:val="16"/>
      <w:szCs w:val="16"/>
    </w:rPr>
  </w:style>
  <w:style w:type="paragraph" w:styleId="ListParagraph">
    <w:name w:val="List Paragraph"/>
    <w:basedOn w:val="Normal"/>
    <w:uiPriority w:val="34"/>
    <w:qFormat/>
    <w:rsid w:val="003912CC"/>
    <w:pPr>
      <w:widowControl w:val="0"/>
      <w:ind w:left="720"/>
    </w:pPr>
    <w:rPr>
      <w:rFonts w:ascii="Courier" w:hAnsi="Courier" w:cs="Courier"/>
    </w:rPr>
  </w:style>
  <w:style w:type="character" w:customStyle="1" w:styleId="QuickFormat1Char">
    <w:name w:val="QuickFormat1 Char"/>
    <w:link w:val="QuickFormat1"/>
    <w:uiPriority w:val="99"/>
    <w:semiHidden/>
    <w:locked/>
    <w:rsid w:val="003912CC"/>
    <w:rPr>
      <w:rFonts w:ascii="Times New Roman" w:hAnsi="Times New Roman" w:cs="Times New Roman"/>
      <w:b/>
      <w:color w:val="000000"/>
      <w:lang w:val="x-none" w:eastAsia="x-none"/>
    </w:rPr>
  </w:style>
  <w:style w:type="paragraph" w:customStyle="1" w:styleId="QuickFormat1">
    <w:name w:val="QuickFormat1"/>
    <w:basedOn w:val="Normal"/>
    <w:link w:val="QuickFormat1Char"/>
    <w:uiPriority w:val="99"/>
    <w:semiHidden/>
    <w:rsid w:val="003912CC"/>
    <w:pPr>
      <w:widowControl w:val="0"/>
      <w:snapToGrid w:val="0"/>
      <w:jc w:val="center"/>
    </w:pPr>
    <w:rPr>
      <w:rFonts w:eastAsiaTheme="minorHAnsi"/>
      <w:b/>
      <w:color w:val="000000"/>
      <w:sz w:val="22"/>
      <w:szCs w:val="22"/>
      <w:lang w:val="x-none" w:eastAsia="x-none"/>
    </w:rPr>
  </w:style>
  <w:style w:type="paragraph" w:customStyle="1" w:styleId="Default">
    <w:name w:val="Default"/>
    <w:uiPriority w:val="99"/>
    <w:semiHidden/>
    <w:rsid w:val="003912C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EmptyCellLayoutStyle">
    <w:name w:val="EmptyCellLayoutStyle"/>
    <w:uiPriority w:val="99"/>
    <w:semiHidden/>
    <w:rsid w:val="003912CC"/>
    <w:pPr>
      <w:spacing w:line="256" w:lineRule="auto"/>
    </w:pPr>
    <w:rPr>
      <w:rFonts w:ascii="Times New Roman" w:eastAsia="Times New Roman" w:hAnsi="Times New Roman" w:cs="Times New Roman"/>
      <w:sz w:val="2"/>
      <w:szCs w:val="20"/>
    </w:rPr>
  </w:style>
  <w:style w:type="table" w:customStyle="1" w:styleId="TableGrid4">
    <w:name w:val="Table Grid4"/>
    <w:basedOn w:val="TableNormal"/>
    <w:next w:val="TableGrid"/>
    <w:rsid w:val="00A44C19"/>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99"/>
    <w:rsid w:val="00A44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3D4073"/>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411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47532">
      <w:bodyDiv w:val="1"/>
      <w:marLeft w:val="0"/>
      <w:marRight w:val="0"/>
      <w:marTop w:val="0"/>
      <w:marBottom w:val="0"/>
      <w:divBdr>
        <w:top w:val="none" w:sz="0" w:space="0" w:color="auto"/>
        <w:left w:val="none" w:sz="0" w:space="0" w:color="auto"/>
        <w:bottom w:val="none" w:sz="0" w:space="0" w:color="auto"/>
        <w:right w:val="none" w:sz="0" w:space="0" w:color="auto"/>
      </w:divBdr>
    </w:div>
    <w:div w:id="280646489">
      <w:bodyDiv w:val="1"/>
      <w:marLeft w:val="0"/>
      <w:marRight w:val="0"/>
      <w:marTop w:val="0"/>
      <w:marBottom w:val="0"/>
      <w:divBdr>
        <w:top w:val="none" w:sz="0" w:space="0" w:color="auto"/>
        <w:left w:val="none" w:sz="0" w:space="0" w:color="auto"/>
        <w:bottom w:val="none" w:sz="0" w:space="0" w:color="auto"/>
        <w:right w:val="none" w:sz="0" w:space="0" w:color="auto"/>
      </w:divBdr>
    </w:div>
    <w:div w:id="900561812">
      <w:bodyDiv w:val="1"/>
      <w:marLeft w:val="0"/>
      <w:marRight w:val="0"/>
      <w:marTop w:val="0"/>
      <w:marBottom w:val="0"/>
      <w:divBdr>
        <w:top w:val="none" w:sz="0" w:space="0" w:color="auto"/>
        <w:left w:val="none" w:sz="0" w:space="0" w:color="auto"/>
        <w:bottom w:val="none" w:sz="0" w:space="0" w:color="auto"/>
        <w:right w:val="none" w:sz="0" w:space="0" w:color="auto"/>
      </w:divBdr>
    </w:div>
    <w:div w:id="928928951">
      <w:bodyDiv w:val="1"/>
      <w:marLeft w:val="0"/>
      <w:marRight w:val="0"/>
      <w:marTop w:val="0"/>
      <w:marBottom w:val="0"/>
      <w:divBdr>
        <w:top w:val="none" w:sz="0" w:space="0" w:color="auto"/>
        <w:left w:val="none" w:sz="0" w:space="0" w:color="auto"/>
        <w:bottom w:val="none" w:sz="0" w:space="0" w:color="auto"/>
        <w:right w:val="none" w:sz="0" w:space="0" w:color="auto"/>
      </w:divBdr>
    </w:div>
    <w:div w:id="958490514">
      <w:bodyDiv w:val="1"/>
      <w:marLeft w:val="0"/>
      <w:marRight w:val="0"/>
      <w:marTop w:val="0"/>
      <w:marBottom w:val="0"/>
      <w:divBdr>
        <w:top w:val="none" w:sz="0" w:space="0" w:color="auto"/>
        <w:left w:val="none" w:sz="0" w:space="0" w:color="auto"/>
        <w:bottom w:val="none" w:sz="0" w:space="0" w:color="auto"/>
        <w:right w:val="none" w:sz="0" w:space="0" w:color="auto"/>
      </w:divBdr>
    </w:div>
    <w:div w:id="1015612236">
      <w:bodyDiv w:val="1"/>
      <w:marLeft w:val="0"/>
      <w:marRight w:val="0"/>
      <w:marTop w:val="0"/>
      <w:marBottom w:val="0"/>
      <w:divBdr>
        <w:top w:val="none" w:sz="0" w:space="0" w:color="auto"/>
        <w:left w:val="none" w:sz="0" w:space="0" w:color="auto"/>
        <w:bottom w:val="none" w:sz="0" w:space="0" w:color="auto"/>
        <w:right w:val="none" w:sz="0" w:space="0" w:color="auto"/>
      </w:divBdr>
    </w:div>
    <w:div w:id="1109084588">
      <w:bodyDiv w:val="1"/>
      <w:marLeft w:val="0"/>
      <w:marRight w:val="0"/>
      <w:marTop w:val="0"/>
      <w:marBottom w:val="0"/>
      <w:divBdr>
        <w:top w:val="none" w:sz="0" w:space="0" w:color="auto"/>
        <w:left w:val="none" w:sz="0" w:space="0" w:color="auto"/>
        <w:bottom w:val="none" w:sz="0" w:space="0" w:color="auto"/>
        <w:right w:val="none" w:sz="0" w:space="0" w:color="auto"/>
      </w:divBdr>
    </w:div>
    <w:div w:id="1191333003">
      <w:bodyDiv w:val="1"/>
      <w:marLeft w:val="0"/>
      <w:marRight w:val="0"/>
      <w:marTop w:val="0"/>
      <w:marBottom w:val="0"/>
      <w:divBdr>
        <w:top w:val="none" w:sz="0" w:space="0" w:color="auto"/>
        <w:left w:val="none" w:sz="0" w:space="0" w:color="auto"/>
        <w:bottom w:val="none" w:sz="0" w:space="0" w:color="auto"/>
        <w:right w:val="none" w:sz="0" w:space="0" w:color="auto"/>
      </w:divBdr>
    </w:div>
    <w:div w:id="1238975655">
      <w:bodyDiv w:val="1"/>
      <w:marLeft w:val="0"/>
      <w:marRight w:val="0"/>
      <w:marTop w:val="0"/>
      <w:marBottom w:val="0"/>
      <w:divBdr>
        <w:top w:val="none" w:sz="0" w:space="0" w:color="auto"/>
        <w:left w:val="none" w:sz="0" w:space="0" w:color="auto"/>
        <w:bottom w:val="none" w:sz="0" w:space="0" w:color="auto"/>
        <w:right w:val="none" w:sz="0" w:space="0" w:color="auto"/>
      </w:divBdr>
    </w:div>
    <w:div w:id="1279684466">
      <w:bodyDiv w:val="1"/>
      <w:marLeft w:val="0"/>
      <w:marRight w:val="0"/>
      <w:marTop w:val="0"/>
      <w:marBottom w:val="0"/>
      <w:divBdr>
        <w:top w:val="none" w:sz="0" w:space="0" w:color="auto"/>
        <w:left w:val="none" w:sz="0" w:space="0" w:color="auto"/>
        <w:bottom w:val="none" w:sz="0" w:space="0" w:color="auto"/>
        <w:right w:val="none" w:sz="0" w:space="0" w:color="auto"/>
      </w:divBdr>
    </w:div>
    <w:div w:id="1428770420">
      <w:bodyDiv w:val="1"/>
      <w:marLeft w:val="0"/>
      <w:marRight w:val="0"/>
      <w:marTop w:val="0"/>
      <w:marBottom w:val="0"/>
      <w:divBdr>
        <w:top w:val="none" w:sz="0" w:space="0" w:color="auto"/>
        <w:left w:val="none" w:sz="0" w:space="0" w:color="auto"/>
        <w:bottom w:val="none" w:sz="0" w:space="0" w:color="auto"/>
        <w:right w:val="none" w:sz="0" w:space="0" w:color="auto"/>
      </w:divBdr>
    </w:div>
    <w:div w:id="148173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8" ma:contentTypeDescription="Create a new document." ma:contentTypeScope="" ma:versionID="49074cf43e9d5da1ad6d7e5215747f37">
  <xsd:schema xmlns:xsd="http://www.w3.org/2001/XMLSchema" xmlns:xs="http://www.w3.org/2001/XMLSchema" xmlns:p="http://schemas.microsoft.com/office/2006/metadata/properties" xmlns:ns3="6d1ab2f6-91f9-4f14-952a-3f3eb0d68341" targetNamespace="http://schemas.microsoft.com/office/2006/metadata/properties" ma:root="true" ma:fieldsID="f7f0b0aad7d636f38a502a0713e29372" ns3:_="">
    <xsd:import namespace="6d1ab2f6-91f9-4f14-952a-3f3eb0d683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5DEB1-F5C7-435F-9A41-FB37EC2C9BC1}">
  <ds:schemaRefs>
    <ds:schemaRef ds:uri="http://schemas.microsoft.com/sharepoint/v3/contenttype/forms"/>
  </ds:schemaRefs>
</ds:datastoreItem>
</file>

<file path=customXml/itemProps2.xml><?xml version="1.0" encoding="utf-8"?>
<ds:datastoreItem xmlns:ds="http://schemas.openxmlformats.org/officeDocument/2006/customXml" ds:itemID="{B09C1C65-FC19-4799-A454-C35A25A79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83DC32-346C-42BB-86CF-3C7983C416AA}">
  <ds:schemaRefs>
    <ds:schemaRef ds:uri="http://purl.org/dc/elements/1.1/"/>
    <ds:schemaRef ds:uri="http://schemas.microsoft.com/office/2006/metadata/properties"/>
    <ds:schemaRef ds:uri="6d1ab2f6-91f9-4f14-952a-3f3eb0d68341"/>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18D131B-ADA0-40AF-BE20-C6BF38A13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11</Pages>
  <Words>2406</Words>
  <Characters>13716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Richard (DOB)</dc:creator>
  <cp:keywords/>
  <dc:description/>
  <cp:lastModifiedBy>Weydt, Irene (DOB)</cp:lastModifiedBy>
  <cp:revision>6</cp:revision>
  <dcterms:created xsi:type="dcterms:W3CDTF">2021-06-21T15:36:00Z</dcterms:created>
  <dcterms:modified xsi:type="dcterms:W3CDTF">2021-07-01T14:01:00Z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ies>
</file>