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14D" w:rsidRPr="0025516A" w:rsidRDefault="004C502F" w:rsidP="008E314D">
      <w:pPr>
        <w:tabs>
          <w:tab w:val="left" w:pos="360"/>
          <w:tab w:val="left" w:pos="720"/>
          <w:tab w:val="left" w:pos="1080"/>
          <w:tab w:val="left" w:pos="1440"/>
          <w:tab w:val="left" w:pos="1800"/>
          <w:tab w:val="left" w:pos="2160"/>
          <w:tab w:val="left" w:pos="2520"/>
          <w:tab w:val="left" w:pos="2880"/>
        </w:tabs>
        <w:ind w:right="3600"/>
        <w:rPr>
          <w:sz w:val="40"/>
          <w:szCs w:val="40"/>
        </w:rPr>
      </w:pPr>
      <w:r w:rsidRPr="0025516A">
        <w:rPr>
          <w:sz w:val="40"/>
          <w:szCs w:val="40"/>
        </w:rPr>
        <w:t xml:space="preserve">Comprehensive </w:t>
      </w:r>
      <w:r w:rsidR="008E314D" w:rsidRPr="0025516A">
        <w:rPr>
          <w:sz w:val="40"/>
          <w:szCs w:val="40"/>
        </w:rPr>
        <w:t xml:space="preserve">District Review Report </w:t>
      </w:r>
    </w:p>
    <w:p w:rsidR="008E314D" w:rsidRPr="0025516A" w:rsidRDefault="00DD1C30" w:rsidP="008E314D">
      <w:pPr>
        <w:tabs>
          <w:tab w:val="left" w:pos="360"/>
          <w:tab w:val="left" w:pos="720"/>
          <w:tab w:val="left" w:pos="1080"/>
          <w:tab w:val="left" w:pos="1440"/>
          <w:tab w:val="left" w:pos="1800"/>
          <w:tab w:val="left" w:pos="2160"/>
          <w:tab w:val="left" w:pos="2520"/>
          <w:tab w:val="left" w:pos="2880"/>
        </w:tabs>
        <w:ind w:right="3600"/>
        <w:rPr>
          <w:sz w:val="40"/>
          <w:szCs w:val="40"/>
        </w:rPr>
      </w:pPr>
      <w:r w:rsidRPr="0025516A">
        <w:rPr>
          <w:sz w:val="40"/>
          <w:szCs w:val="40"/>
        </w:rPr>
        <w:t>Worcester Public Schools</w:t>
      </w:r>
    </w:p>
    <w:p w:rsidR="008E314D" w:rsidRPr="0025516A" w:rsidRDefault="008E314D" w:rsidP="008E314D">
      <w:pPr>
        <w:pBdr>
          <w:bottom w:val="single" w:sz="4" w:space="1" w:color="auto"/>
        </w:pBdr>
        <w:tabs>
          <w:tab w:val="left" w:pos="360"/>
          <w:tab w:val="left" w:pos="720"/>
          <w:tab w:val="left" w:pos="1080"/>
          <w:tab w:val="left" w:pos="1440"/>
          <w:tab w:val="left" w:pos="1800"/>
          <w:tab w:val="left" w:pos="2160"/>
          <w:tab w:val="left" w:pos="2520"/>
          <w:tab w:val="left" w:pos="2880"/>
        </w:tabs>
        <w:ind w:right="3600"/>
        <w:rPr>
          <w:sz w:val="32"/>
          <w:szCs w:val="32"/>
        </w:rPr>
      </w:pPr>
      <w:r w:rsidRPr="0025516A">
        <w:rPr>
          <w:sz w:val="32"/>
          <w:szCs w:val="32"/>
        </w:rPr>
        <w:t xml:space="preserve">Review conducted </w:t>
      </w:r>
      <w:r w:rsidR="004B141C" w:rsidRPr="0025516A">
        <w:rPr>
          <w:sz w:val="32"/>
          <w:szCs w:val="32"/>
        </w:rPr>
        <w:t>January 23</w:t>
      </w:r>
      <w:r w:rsidR="00C3474D">
        <w:rPr>
          <w:sz w:val="32"/>
          <w:szCs w:val="32"/>
        </w:rPr>
        <w:t>–</w:t>
      </w:r>
      <w:r w:rsidR="004B141C" w:rsidRPr="0025516A">
        <w:rPr>
          <w:sz w:val="32"/>
          <w:szCs w:val="32"/>
        </w:rPr>
        <w:t>27</w:t>
      </w:r>
      <w:r w:rsidR="00DD1C30" w:rsidRPr="0025516A">
        <w:rPr>
          <w:sz w:val="32"/>
          <w:szCs w:val="32"/>
        </w:rPr>
        <w:t>, 2017</w:t>
      </w:r>
    </w:p>
    <w:p w:rsidR="0025516A" w:rsidRDefault="008E314D" w:rsidP="008E314D">
      <w:pPr>
        <w:tabs>
          <w:tab w:val="left" w:pos="360"/>
          <w:tab w:val="left" w:pos="720"/>
          <w:tab w:val="left" w:pos="1080"/>
          <w:tab w:val="left" w:pos="1440"/>
          <w:tab w:val="left" w:pos="1800"/>
          <w:tab w:val="left" w:pos="2160"/>
          <w:tab w:val="left" w:pos="2520"/>
          <w:tab w:val="left" w:pos="2880"/>
        </w:tabs>
        <w:ind w:right="3600"/>
        <w:rPr>
          <w:sz w:val="32"/>
          <w:szCs w:val="32"/>
        </w:rPr>
      </w:pPr>
      <w:r w:rsidRPr="00A9708E">
        <w:rPr>
          <w:sz w:val="32"/>
          <w:szCs w:val="32"/>
        </w:rPr>
        <w:t>Center for District and School Accountability</w:t>
      </w:r>
    </w:p>
    <w:p w:rsidR="008E314D" w:rsidRPr="00A9708E" w:rsidRDefault="008E314D" w:rsidP="008E314D">
      <w:pPr>
        <w:tabs>
          <w:tab w:val="left" w:pos="360"/>
          <w:tab w:val="left" w:pos="720"/>
          <w:tab w:val="left" w:pos="1080"/>
          <w:tab w:val="left" w:pos="1440"/>
          <w:tab w:val="left" w:pos="1800"/>
          <w:tab w:val="left" w:pos="2160"/>
          <w:tab w:val="left" w:pos="2520"/>
          <w:tab w:val="left" w:pos="2880"/>
        </w:tabs>
        <w:ind w:right="3600"/>
        <w:rPr>
          <w:sz w:val="28"/>
          <w:szCs w:val="28"/>
        </w:rPr>
      </w:pPr>
      <w:r w:rsidRPr="00A9708E">
        <w:rPr>
          <w:sz w:val="28"/>
          <w:szCs w:val="28"/>
        </w:rPr>
        <w:t>Massachusetts Department of Elementary and Secondary Education</w:t>
      </w:r>
    </w:p>
    <w:p w:rsidR="008E314D" w:rsidRPr="0025516A" w:rsidRDefault="008E314D" w:rsidP="008E314D">
      <w:pPr>
        <w:tabs>
          <w:tab w:val="left" w:pos="180"/>
          <w:tab w:val="left" w:pos="360"/>
          <w:tab w:val="left" w:pos="540"/>
          <w:tab w:val="left" w:pos="720"/>
          <w:tab w:val="left" w:pos="900"/>
          <w:tab w:val="left" w:pos="1080"/>
          <w:tab w:val="left" w:pos="1260"/>
          <w:tab w:val="left" w:pos="1440"/>
          <w:tab w:val="left" w:pos="1620"/>
          <w:tab w:val="left" w:pos="1800"/>
          <w:tab w:val="left" w:pos="2160"/>
          <w:tab w:val="left" w:pos="2520"/>
          <w:tab w:val="left" w:pos="2880"/>
        </w:tabs>
        <w:ind w:right="3600"/>
        <w:rPr>
          <w:b/>
        </w:rPr>
      </w:pPr>
      <w:r w:rsidRPr="0025516A">
        <w:rPr>
          <w:b/>
        </w:rPr>
        <w:t>Organization of this Report</w:t>
      </w:r>
    </w:p>
    <w:p w:rsidR="00735DD2" w:rsidRDefault="006D7039">
      <w:pPr>
        <w:pStyle w:val="TOC1"/>
        <w:rPr>
          <w:rFonts w:eastAsiaTheme="minorEastAsia"/>
        </w:rPr>
      </w:pPr>
      <w:r w:rsidRPr="00F04EDB">
        <w:fldChar w:fldCharType="begin"/>
      </w:r>
      <w:r w:rsidR="008E314D" w:rsidRPr="00F04EDB">
        <w:instrText xml:space="preserve"> TOC \h \z \t "Section,1" </w:instrText>
      </w:r>
      <w:r w:rsidRPr="00F04EDB">
        <w:fldChar w:fldCharType="separate"/>
      </w:r>
      <w:hyperlink w:anchor="_Toc484611570" w:history="1">
        <w:r w:rsidR="00735DD2" w:rsidRPr="00CB7850">
          <w:rPr>
            <w:rStyle w:val="Hyperlink"/>
          </w:rPr>
          <w:t>Executive Summary</w:t>
        </w:r>
        <w:r w:rsidR="00735DD2">
          <w:rPr>
            <w:webHidden/>
          </w:rPr>
          <w:tab/>
        </w:r>
        <w:r>
          <w:rPr>
            <w:webHidden/>
          </w:rPr>
          <w:fldChar w:fldCharType="begin"/>
        </w:r>
        <w:r w:rsidR="00735DD2">
          <w:rPr>
            <w:webHidden/>
          </w:rPr>
          <w:instrText xml:space="preserve"> PAGEREF _Toc484611570 \h </w:instrText>
        </w:r>
        <w:r>
          <w:rPr>
            <w:webHidden/>
          </w:rPr>
        </w:r>
        <w:r>
          <w:rPr>
            <w:webHidden/>
          </w:rPr>
          <w:fldChar w:fldCharType="separate"/>
        </w:r>
        <w:r w:rsidR="00735DD2">
          <w:rPr>
            <w:webHidden/>
          </w:rPr>
          <w:t>1</w:t>
        </w:r>
        <w:r>
          <w:rPr>
            <w:webHidden/>
          </w:rPr>
          <w:fldChar w:fldCharType="end"/>
        </w:r>
      </w:hyperlink>
    </w:p>
    <w:p w:rsidR="00735DD2" w:rsidRDefault="006D7039">
      <w:pPr>
        <w:pStyle w:val="TOC1"/>
        <w:rPr>
          <w:rFonts w:eastAsiaTheme="minorEastAsia"/>
        </w:rPr>
      </w:pPr>
      <w:hyperlink w:anchor="_Toc484611571" w:history="1">
        <w:r w:rsidR="00735DD2" w:rsidRPr="00CB7850">
          <w:rPr>
            <w:rStyle w:val="Hyperlink"/>
          </w:rPr>
          <w:t>Worcester Public Schools Comprehensive District Review Overview</w:t>
        </w:r>
        <w:r w:rsidR="00735DD2">
          <w:rPr>
            <w:webHidden/>
          </w:rPr>
          <w:tab/>
        </w:r>
        <w:r>
          <w:rPr>
            <w:webHidden/>
          </w:rPr>
          <w:fldChar w:fldCharType="begin"/>
        </w:r>
        <w:r w:rsidR="00735DD2">
          <w:rPr>
            <w:webHidden/>
          </w:rPr>
          <w:instrText xml:space="preserve"> PAGEREF _Toc484611571 \h </w:instrText>
        </w:r>
        <w:r>
          <w:rPr>
            <w:webHidden/>
          </w:rPr>
        </w:r>
        <w:r>
          <w:rPr>
            <w:webHidden/>
          </w:rPr>
          <w:fldChar w:fldCharType="separate"/>
        </w:r>
        <w:r w:rsidR="00735DD2">
          <w:rPr>
            <w:webHidden/>
          </w:rPr>
          <w:t>5</w:t>
        </w:r>
        <w:r>
          <w:rPr>
            <w:webHidden/>
          </w:rPr>
          <w:fldChar w:fldCharType="end"/>
        </w:r>
      </w:hyperlink>
    </w:p>
    <w:p w:rsidR="00735DD2" w:rsidRDefault="006D7039">
      <w:pPr>
        <w:pStyle w:val="TOC1"/>
        <w:rPr>
          <w:rFonts w:eastAsiaTheme="minorEastAsia"/>
        </w:rPr>
      </w:pPr>
      <w:hyperlink w:anchor="_Toc484611572" w:history="1">
        <w:r w:rsidR="00735DD2" w:rsidRPr="00CB7850">
          <w:rPr>
            <w:rStyle w:val="Hyperlink"/>
          </w:rPr>
          <w:t>Leadership and Governance</w:t>
        </w:r>
        <w:r w:rsidR="00735DD2">
          <w:rPr>
            <w:webHidden/>
          </w:rPr>
          <w:tab/>
        </w:r>
        <w:r>
          <w:rPr>
            <w:webHidden/>
          </w:rPr>
          <w:fldChar w:fldCharType="begin"/>
        </w:r>
        <w:r w:rsidR="00735DD2">
          <w:rPr>
            <w:webHidden/>
          </w:rPr>
          <w:instrText xml:space="preserve"> PAGEREF _Toc484611572 \h </w:instrText>
        </w:r>
        <w:r>
          <w:rPr>
            <w:webHidden/>
          </w:rPr>
        </w:r>
        <w:r>
          <w:rPr>
            <w:webHidden/>
          </w:rPr>
          <w:fldChar w:fldCharType="separate"/>
        </w:r>
        <w:r w:rsidR="00735DD2">
          <w:rPr>
            <w:webHidden/>
          </w:rPr>
          <w:t>22</w:t>
        </w:r>
        <w:r>
          <w:rPr>
            <w:webHidden/>
          </w:rPr>
          <w:fldChar w:fldCharType="end"/>
        </w:r>
      </w:hyperlink>
    </w:p>
    <w:p w:rsidR="00735DD2" w:rsidRDefault="006D7039">
      <w:pPr>
        <w:pStyle w:val="TOC1"/>
        <w:rPr>
          <w:rFonts w:eastAsiaTheme="minorEastAsia"/>
        </w:rPr>
      </w:pPr>
      <w:hyperlink w:anchor="_Toc484611573" w:history="1">
        <w:r w:rsidR="00735DD2" w:rsidRPr="00CB7850">
          <w:rPr>
            <w:rStyle w:val="Hyperlink"/>
          </w:rPr>
          <w:t>Curriculum and Instruction</w:t>
        </w:r>
        <w:r w:rsidR="00735DD2">
          <w:rPr>
            <w:webHidden/>
          </w:rPr>
          <w:tab/>
        </w:r>
        <w:r>
          <w:rPr>
            <w:webHidden/>
          </w:rPr>
          <w:fldChar w:fldCharType="begin"/>
        </w:r>
        <w:r w:rsidR="00735DD2">
          <w:rPr>
            <w:webHidden/>
          </w:rPr>
          <w:instrText xml:space="preserve"> PAGEREF _Toc484611573 \h </w:instrText>
        </w:r>
        <w:r>
          <w:rPr>
            <w:webHidden/>
          </w:rPr>
        </w:r>
        <w:r>
          <w:rPr>
            <w:webHidden/>
          </w:rPr>
          <w:fldChar w:fldCharType="separate"/>
        </w:r>
        <w:r w:rsidR="00735DD2">
          <w:rPr>
            <w:webHidden/>
          </w:rPr>
          <w:t>30</w:t>
        </w:r>
        <w:r>
          <w:rPr>
            <w:webHidden/>
          </w:rPr>
          <w:fldChar w:fldCharType="end"/>
        </w:r>
      </w:hyperlink>
    </w:p>
    <w:p w:rsidR="00735DD2" w:rsidRDefault="006D7039">
      <w:pPr>
        <w:pStyle w:val="TOC1"/>
        <w:rPr>
          <w:rFonts w:eastAsiaTheme="minorEastAsia"/>
        </w:rPr>
      </w:pPr>
      <w:hyperlink w:anchor="_Toc484611574" w:history="1">
        <w:r w:rsidR="00735DD2" w:rsidRPr="00CB7850">
          <w:rPr>
            <w:rStyle w:val="Hyperlink"/>
          </w:rPr>
          <w:t>Assessment</w:t>
        </w:r>
        <w:r w:rsidR="00735DD2">
          <w:rPr>
            <w:webHidden/>
          </w:rPr>
          <w:tab/>
        </w:r>
        <w:r>
          <w:rPr>
            <w:webHidden/>
          </w:rPr>
          <w:fldChar w:fldCharType="begin"/>
        </w:r>
        <w:r w:rsidR="00735DD2">
          <w:rPr>
            <w:webHidden/>
          </w:rPr>
          <w:instrText xml:space="preserve"> PAGEREF _Toc484611574 \h </w:instrText>
        </w:r>
        <w:r>
          <w:rPr>
            <w:webHidden/>
          </w:rPr>
        </w:r>
        <w:r>
          <w:rPr>
            <w:webHidden/>
          </w:rPr>
          <w:fldChar w:fldCharType="separate"/>
        </w:r>
        <w:r w:rsidR="00735DD2">
          <w:rPr>
            <w:webHidden/>
          </w:rPr>
          <w:t>44</w:t>
        </w:r>
        <w:r>
          <w:rPr>
            <w:webHidden/>
          </w:rPr>
          <w:fldChar w:fldCharType="end"/>
        </w:r>
      </w:hyperlink>
    </w:p>
    <w:p w:rsidR="00735DD2" w:rsidRDefault="006D7039">
      <w:pPr>
        <w:pStyle w:val="TOC1"/>
        <w:rPr>
          <w:rFonts w:eastAsiaTheme="minorEastAsia"/>
        </w:rPr>
      </w:pPr>
      <w:hyperlink w:anchor="_Toc484611575" w:history="1">
        <w:r w:rsidR="00735DD2" w:rsidRPr="00CB7850">
          <w:rPr>
            <w:rStyle w:val="Hyperlink"/>
          </w:rPr>
          <w:t>Human Resources and Professional Development</w:t>
        </w:r>
        <w:r w:rsidR="00735DD2">
          <w:rPr>
            <w:webHidden/>
          </w:rPr>
          <w:tab/>
        </w:r>
        <w:r>
          <w:rPr>
            <w:webHidden/>
          </w:rPr>
          <w:fldChar w:fldCharType="begin"/>
        </w:r>
        <w:r w:rsidR="00735DD2">
          <w:rPr>
            <w:webHidden/>
          </w:rPr>
          <w:instrText xml:space="preserve"> PAGEREF _Toc484611575 \h </w:instrText>
        </w:r>
        <w:r>
          <w:rPr>
            <w:webHidden/>
          </w:rPr>
        </w:r>
        <w:r>
          <w:rPr>
            <w:webHidden/>
          </w:rPr>
          <w:fldChar w:fldCharType="separate"/>
        </w:r>
        <w:r w:rsidR="00735DD2">
          <w:rPr>
            <w:webHidden/>
          </w:rPr>
          <w:t>52</w:t>
        </w:r>
        <w:r>
          <w:rPr>
            <w:webHidden/>
          </w:rPr>
          <w:fldChar w:fldCharType="end"/>
        </w:r>
      </w:hyperlink>
    </w:p>
    <w:p w:rsidR="00735DD2" w:rsidRDefault="006D7039">
      <w:pPr>
        <w:pStyle w:val="TOC1"/>
        <w:rPr>
          <w:rFonts w:eastAsiaTheme="minorEastAsia"/>
        </w:rPr>
      </w:pPr>
      <w:hyperlink w:anchor="_Toc484611576" w:history="1">
        <w:r w:rsidR="00735DD2" w:rsidRPr="00CB7850">
          <w:rPr>
            <w:rStyle w:val="Hyperlink"/>
          </w:rPr>
          <w:t>Student Support</w:t>
        </w:r>
        <w:r w:rsidR="00735DD2">
          <w:rPr>
            <w:webHidden/>
          </w:rPr>
          <w:tab/>
        </w:r>
        <w:r>
          <w:rPr>
            <w:webHidden/>
          </w:rPr>
          <w:fldChar w:fldCharType="begin"/>
        </w:r>
        <w:r w:rsidR="00735DD2">
          <w:rPr>
            <w:webHidden/>
          </w:rPr>
          <w:instrText xml:space="preserve"> PAGEREF _Toc484611576 \h </w:instrText>
        </w:r>
        <w:r>
          <w:rPr>
            <w:webHidden/>
          </w:rPr>
        </w:r>
        <w:r>
          <w:rPr>
            <w:webHidden/>
          </w:rPr>
          <w:fldChar w:fldCharType="separate"/>
        </w:r>
        <w:r w:rsidR="00735DD2">
          <w:rPr>
            <w:webHidden/>
          </w:rPr>
          <w:t>61</w:t>
        </w:r>
        <w:r>
          <w:rPr>
            <w:webHidden/>
          </w:rPr>
          <w:fldChar w:fldCharType="end"/>
        </w:r>
      </w:hyperlink>
    </w:p>
    <w:p w:rsidR="00735DD2" w:rsidRDefault="006D7039">
      <w:pPr>
        <w:pStyle w:val="TOC1"/>
        <w:rPr>
          <w:rFonts w:eastAsiaTheme="minorEastAsia"/>
        </w:rPr>
      </w:pPr>
      <w:hyperlink w:anchor="_Toc484611577" w:history="1">
        <w:r w:rsidR="00735DD2" w:rsidRPr="00CB7850">
          <w:rPr>
            <w:rStyle w:val="Hyperlink"/>
          </w:rPr>
          <w:t>Financial and Asset Management</w:t>
        </w:r>
        <w:r w:rsidR="00735DD2">
          <w:rPr>
            <w:webHidden/>
          </w:rPr>
          <w:tab/>
        </w:r>
        <w:r>
          <w:rPr>
            <w:webHidden/>
          </w:rPr>
          <w:fldChar w:fldCharType="begin"/>
        </w:r>
        <w:r w:rsidR="00735DD2">
          <w:rPr>
            <w:webHidden/>
          </w:rPr>
          <w:instrText xml:space="preserve"> PAGEREF _Toc484611577 \h </w:instrText>
        </w:r>
        <w:r>
          <w:rPr>
            <w:webHidden/>
          </w:rPr>
        </w:r>
        <w:r>
          <w:rPr>
            <w:webHidden/>
          </w:rPr>
          <w:fldChar w:fldCharType="separate"/>
        </w:r>
        <w:r w:rsidR="00735DD2">
          <w:rPr>
            <w:webHidden/>
          </w:rPr>
          <w:t>66</w:t>
        </w:r>
        <w:r>
          <w:rPr>
            <w:webHidden/>
          </w:rPr>
          <w:fldChar w:fldCharType="end"/>
        </w:r>
      </w:hyperlink>
    </w:p>
    <w:p w:rsidR="00735DD2" w:rsidRDefault="006D7039">
      <w:pPr>
        <w:pStyle w:val="TOC1"/>
        <w:rPr>
          <w:rFonts w:eastAsiaTheme="minorEastAsia"/>
        </w:rPr>
      </w:pPr>
      <w:hyperlink w:anchor="_Toc484611578" w:history="1">
        <w:r w:rsidR="00735DD2" w:rsidRPr="00CB7850">
          <w:rPr>
            <w:rStyle w:val="Hyperlink"/>
          </w:rPr>
          <w:t>Appendix A: Review Team, Activities, Schedule, Site Visit</w:t>
        </w:r>
        <w:r w:rsidR="00735DD2">
          <w:rPr>
            <w:webHidden/>
          </w:rPr>
          <w:tab/>
        </w:r>
        <w:r>
          <w:rPr>
            <w:webHidden/>
          </w:rPr>
          <w:fldChar w:fldCharType="begin"/>
        </w:r>
        <w:r w:rsidR="00735DD2">
          <w:rPr>
            <w:webHidden/>
          </w:rPr>
          <w:instrText xml:space="preserve"> PAGEREF _Toc484611578 \h </w:instrText>
        </w:r>
        <w:r>
          <w:rPr>
            <w:webHidden/>
          </w:rPr>
        </w:r>
        <w:r>
          <w:rPr>
            <w:webHidden/>
          </w:rPr>
          <w:fldChar w:fldCharType="separate"/>
        </w:r>
        <w:r w:rsidR="00735DD2">
          <w:rPr>
            <w:webHidden/>
          </w:rPr>
          <w:t>75</w:t>
        </w:r>
        <w:r>
          <w:rPr>
            <w:webHidden/>
          </w:rPr>
          <w:fldChar w:fldCharType="end"/>
        </w:r>
      </w:hyperlink>
    </w:p>
    <w:p w:rsidR="00735DD2" w:rsidRDefault="006D7039">
      <w:pPr>
        <w:pStyle w:val="TOC1"/>
        <w:rPr>
          <w:rFonts w:eastAsiaTheme="minorEastAsia"/>
        </w:rPr>
      </w:pPr>
      <w:hyperlink w:anchor="_Toc484611579" w:history="1">
        <w:r w:rsidR="00735DD2" w:rsidRPr="00CB7850">
          <w:rPr>
            <w:rStyle w:val="Hyperlink"/>
          </w:rPr>
          <w:t>Appendix B: Enrollment, Performance, Expenditures</w:t>
        </w:r>
        <w:r w:rsidR="00735DD2">
          <w:rPr>
            <w:webHidden/>
          </w:rPr>
          <w:tab/>
        </w:r>
        <w:r>
          <w:rPr>
            <w:webHidden/>
          </w:rPr>
          <w:fldChar w:fldCharType="begin"/>
        </w:r>
        <w:r w:rsidR="00735DD2">
          <w:rPr>
            <w:webHidden/>
          </w:rPr>
          <w:instrText xml:space="preserve"> PAGEREF _Toc484611579 \h </w:instrText>
        </w:r>
        <w:r>
          <w:rPr>
            <w:webHidden/>
          </w:rPr>
        </w:r>
        <w:r>
          <w:rPr>
            <w:webHidden/>
          </w:rPr>
          <w:fldChar w:fldCharType="separate"/>
        </w:r>
        <w:r w:rsidR="00735DD2">
          <w:rPr>
            <w:webHidden/>
          </w:rPr>
          <w:t>78</w:t>
        </w:r>
        <w:r>
          <w:rPr>
            <w:webHidden/>
          </w:rPr>
          <w:fldChar w:fldCharType="end"/>
        </w:r>
      </w:hyperlink>
    </w:p>
    <w:p w:rsidR="00735DD2" w:rsidRDefault="006D7039">
      <w:pPr>
        <w:pStyle w:val="TOC1"/>
        <w:rPr>
          <w:rFonts w:eastAsiaTheme="minorEastAsia"/>
        </w:rPr>
      </w:pPr>
      <w:hyperlink w:anchor="_Toc484611580" w:history="1">
        <w:r w:rsidR="00735DD2" w:rsidRPr="00CB7850">
          <w:rPr>
            <w:rStyle w:val="Hyperlink"/>
          </w:rPr>
          <w:t>Appendix C: Instructional Inventory</w:t>
        </w:r>
        <w:r w:rsidR="00735DD2">
          <w:rPr>
            <w:webHidden/>
          </w:rPr>
          <w:tab/>
        </w:r>
        <w:r>
          <w:rPr>
            <w:webHidden/>
          </w:rPr>
          <w:fldChar w:fldCharType="begin"/>
        </w:r>
        <w:r w:rsidR="00735DD2">
          <w:rPr>
            <w:webHidden/>
          </w:rPr>
          <w:instrText xml:space="preserve"> PAGEREF _Toc484611580 \h </w:instrText>
        </w:r>
        <w:r>
          <w:rPr>
            <w:webHidden/>
          </w:rPr>
        </w:r>
        <w:r>
          <w:rPr>
            <w:webHidden/>
          </w:rPr>
          <w:fldChar w:fldCharType="separate"/>
        </w:r>
        <w:r w:rsidR="00735DD2">
          <w:rPr>
            <w:webHidden/>
          </w:rPr>
          <w:t>109</w:t>
        </w:r>
        <w:r>
          <w:rPr>
            <w:webHidden/>
          </w:rPr>
          <w:fldChar w:fldCharType="end"/>
        </w:r>
      </w:hyperlink>
    </w:p>
    <w:p w:rsidR="00735DD2" w:rsidRDefault="006D7039">
      <w:pPr>
        <w:pStyle w:val="TOC1"/>
        <w:rPr>
          <w:rFonts w:eastAsiaTheme="minorEastAsia"/>
        </w:rPr>
      </w:pPr>
      <w:hyperlink w:anchor="_Toc484611581" w:history="1">
        <w:r w:rsidR="00735DD2" w:rsidRPr="00CB7850">
          <w:rPr>
            <w:rStyle w:val="Hyperlink"/>
          </w:rPr>
          <w:t>Appendix D: Worcester Public Schools Organizational Chart</w:t>
        </w:r>
        <w:r w:rsidR="00735DD2">
          <w:rPr>
            <w:webHidden/>
          </w:rPr>
          <w:tab/>
        </w:r>
        <w:r>
          <w:rPr>
            <w:webHidden/>
          </w:rPr>
          <w:fldChar w:fldCharType="begin"/>
        </w:r>
        <w:r w:rsidR="00735DD2">
          <w:rPr>
            <w:webHidden/>
          </w:rPr>
          <w:instrText xml:space="preserve"> PAGEREF _Toc484611581 \h </w:instrText>
        </w:r>
        <w:r>
          <w:rPr>
            <w:webHidden/>
          </w:rPr>
        </w:r>
        <w:r>
          <w:rPr>
            <w:webHidden/>
          </w:rPr>
          <w:fldChar w:fldCharType="separate"/>
        </w:r>
        <w:r w:rsidR="00735DD2">
          <w:rPr>
            <w:webHidden/>
          </w:rPr>
          <w:t>112</w:t>
        </w:r>
        <w:r>
          <w:rPr>
            <w:webHidden/>
          </w:rPr>
          <w:fldChar w:fldCharType="end"/>
        </w:r>
      </w:hyperlink>
    </w:p>
    <w:p w:rsidR="008E314D" w:rsidRPr="00F04EDB" w:rsidRDefault="006D7039" w:rsidP="00A9708E">
      <w:pPr>
        <w:pStyle w:val="TOC1"/>
        <w:rPr>
          <w:b/>
        </w:rPr>
      </w:pPr>
      <w:r w:rsidRPr="00F04EDB">
        <w:fldChar w:fldCharType="end"/>
      </w:r>
      <w:r w:rsidR="008E314D" w:rsidRPr="00F04EDB">
        <w:rPr>
          <w:b/>
        </w:rPr>
        <w:t>Massachusetts Department of Elementary and Secondary Education</w:t>
      </w:r>
    </w:p>
    <w:p w:rsidR="008E314D" w:rsidRPr="0025516A" w:rsidRDefault="008E314D" w:rsidP="008E314D">
      <w:pPr>
        <w:tabs>
          <w:tab w:val="left" w:pos="360"/>
          <w:tab w:val="left" w:pos="720"/>
          <w:tab w:val="left" w:pos="1080"/>
          <w:tab w:val="left" w:pos="1440"/>
          <w:tab w:val="left" w:pos="1800"/>
          <w:tab w:val="left" w:pos="2160"/>
          <w:tab w:val="left" w:pos="2520"/>
          <w:tab w:val="left" w:pos="2880"/>
        </w:tabs>
        <w:spacing w:after="0" w:line="240" w:lineRule="auto"/>
        <w:ind w:right="2160"/>
        <w:rPr>
          <w:sz w:val="20"/>
          <w:szCs w:val="20"/>
        </w:rPr>
      </w:pPr>
      <w:r w:rsidRPr="0025516A">
        <w:rPr>
          <w:sz w:val="20"/>
          <w:szCs w:val="20"/>
        </w:rPr>
        <w:t>75 Pleasant Street, Malden, MA 02148-4906</w:t>
      </w:r>
    </w:p>
    <w:p w:rsidR="008E314D" w:rsidRPr="0025516A" w:rsidRDefault="008E314D" w:rsidP="008E314D">
      <w:pPr>
        <w:tabs>
          <w:tab w:val="left" w:pos="360"/>
          <w:tab w:val="left" w:pos="720"/>
          <w:tab w:val="left" w:pos="1080"/>
          <w:tab w:val="left" w:pos="1440"/>
          <w:tab w:val="left" w:pos="1800"/>
          <w:tab w:val="left" w:pos="2160"/>
          <w:tab w:val="left" w:pos="2520"/>
          <w:tab w:val="left" w:pos="2880"/>
        </w:tabs>
        <w:spacing w:after="0" w:line="240" w:lineRule="auto"/>
        <w:ind w:right="2160"/>
        <w:rPr>
          <w:sz w:val="20"/>
          <w:szCs w:val="20"/>
        </w:rPr>
      </w:pPr>
      <w:r w:rsidRPr="0025516A">
        <w:rPr>
          <w:sz w:val="20"/>
          <w:szCs w:val="20"/>
        </w:rPr>
        <w:t>Phone 781-338-3000</w:t>
      </w:r>
      <w:r w:rsidRPr="0025516A">
        <w:rPr>
          <w:sz w:val="20"/>
          <w:szCs w:val="20"/>
        </w:rPr>
        <w:tab/>
        <w:t>TTY: N.E.T. Replay 800-439-2370</w:t>
      </w:r>
    </w:p>
    <w:p w:rsidR="008E314D" w:rsidRPr="00F04EDB" w:rsidRDefault="006D7039" w:rsidP="00161ED5">
      <w:pPr>
        <w:tabs>
          <w:tab w:val="left" w:pos="360"/>
          <w:tab w:val="left" w:pos="720"/>
          <w:tab w:val="left" w:pos="1080"/>
          <w:tab w:val="left" w:pos="1440"/>
          <w:tab w:val="left" w:pos="1800"/>
          <w:tab w:val="left" w:pos="2160"/>
          <w:tab w:val="left" w:pos="2520"/>
          <w:tab w:val="left" w:pos="2880"/>
        </w:tabs>
        <w:spacing w:after="0" w:line="240" w:lineRule="auto"/>
        <w:ind w:right="2160"/>
      </w:pPr>
      <w:hyperlink r:id="rId11" w:history="1">
        <w:r w:rsidR="008E314D" w:rsidRPr="0025516A">
          <w:rPr>
            <w:sz w:val="20"/>
            <w:szCs w:val="20"/>
          </w:rPr>
          <w:t>www.doe.mass.edu</w:t>
        </w:r>
      </w:hyperlink>
      <w:r w:rsidR="008E314D" w:rsidRPr="00F04EDB">
        <w:br w:type="page"/>
      </w:r>
    </w:p>
    <w:p w:rsidR="008E314D" w:rsidRPr="00F04EDB" w:rsidRDefault="008E314D" w:rsidP="008E314D">
      <w:pPr>
        <w:tabs>
          <w:tab w:val="left" w:pos="360"/>
          <w:tab w:val="left" w:pos="720"/>
          <w:tab w:val="left" w:pos="1080"/>
          <w:tab w:val="left" w:pos="1440"/>
          <w:tab w:val="left" w:pos="1800"/>
          <w:tab w:val="left" w:pos="2160"/>
          <w:tab w:val="left" w:pos="2520"/>
          <w:tab w:val="left" w:pos="2880"/>
        </w:tabs>
        <w:jc w:val="center"/>
      </w:pPr>
      <w:r w:rsidRPr="00F04EDB">
        <w:rPr>
          <w:noProof/>
        </w:rPr>
        <w:lastRenderedPageBreak/>
        <w:drawing>
          <wp:inline distT="0" distB="0" distL="0" distR="0">
            <wp:extent cx="2352366" cy="1138686"/>
            <wp:effectExtent l="0" t="0" r="0" b="0"/>
            <wp:docPr id="13" name="Picture 3" descr="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E logo"/>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56481" cy="1140678"/>
                    </a:xfrm>
                    <a:prstGeom prst="rect">
                      <a:avLst/>
                    </a:prstGeom>
                    <a:noFill/>
                    <a:ln>
                      <a:noFill/>
                    </a:ln>
                  </pic:spPr>
                </pic:pic>
              </a:graphicData>
            </a:graphic>
          </wp:inline>
        </w:drawing>
      </w:r>
    </w:p>
    <w:p w:rsidR="008E314D" w:rsidRPr="00F04EDB" w:rsidRDefault="008E314D" w:rsidP="008E314D">
      <w:pPr>
        <w:tabs>
          <w:tab w:val="left" w:pos="360"/>
          <w:tab w:val="left" w:pos="720"/>
          <w:tab w:val="left" w:pos="1080"/>
          <w:tab w:val="left" w:pos="1440"/>
          <w:tab w:val="left" w:pos="1800"/>
          <w:tab w:val="left" w:pos="2160"/>
          <w:tab w:val="left" w:pos="2520"/>
          <w:tab w:val="left" w:pos="2880"/>
        </w:tabs>
        <w:jc w:val="center"/>
      </w:pPr>
      <w:r w:rsidRPr="00F04EDB">
        <w:t xml:space="preserve">This document was prepared by the </w:t>
      </w:r>
      <w:r w:rsidRPr="00F04EDB">
        <w:br/>
        <w:t>Massachusetts Department of Elementary and Secondary Education</w:t>
      </w:r>
    </w:p>
    <w:p w:rsidR="008E314D" w:rsidRPr="00F04EDB"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r w:rsidRPr="00F04EDB">
        <w:t>Mitchell D. Chester, Ed.</w:t>
      </w:r>
      <w:r w:rsidR="00091B1A" w:rsidRPr="00F04EDB">
        <w:t xml:space="preserve"> </w:t>
      </w:r>
      <w:r w:rsidRPr="00F04EDB">
        <w:t>D.</w:t>
      </w:r>
    </w:p>
    <w:p w:rsidR="0047041E" w:rsidRDefault="00A425D3" w:rsidP="0047041E">
      <w:pPr>
        <w:tabs>
          <w:tab w:val="left" w:pos="360"/>
          <w:tab w:val="left" w:pos="720"/>
          <w:tab w:val="left" w:pos="1080"/>
          <w:tab w:val="left" w:pos="1440"/>
          <w:tab w:val="left" w:pos="1800"/>
          <w:tab w:val="left" w:pos="2160"/>
          <w:tab w:val="left" w:pos="2520"/>
          <w:tab w:val="left" w:pos="2880"/>
        </w:tabs>
        <w:spacing w:after="0" w:line="240" w:lineRule="auto"/>
        <w:jc w:val="center"/>
      </w:pPr>
      <w:r w:rsidRPr="00005DD4">
        <w:t>Commissioner</w:t>
      </w:r>
    </w:p>
    <w:p w:rsidR="0047041E" w:rsidRPr="0047041E" w:rsidRDefault="00227F98" w:rsidP="0047041E">
      <w:pPr>
        <w:tabs>
          <w:tab w:val="left" w:pos="360"/>
          <w:tab w:val="left" w:pos="720"/>
          <w:tab w:val="left" w:pos="1080"/>
          <w:tab w:val="left" w:pos="1440"/>
          <w:tab w:val="left" w:pos="1800"/>
          <w:tab w:val="left" w:pos="2160"/>
          <w:tab w:val="left" w:pos="2520"/>
          <w:tab w:val="left" w:pos="2880"/>
        </w:tabs>
        <w:spacing w:line="360" w:lineRule="auto"/>
        <w:jc w:val="center"/>
        <w:rPr>
          <w:b/>
        </w:rPr>
      </w:pPr>
      <w:r>
        <w:rPr>
          <w:b/>
        </w:rPr>
        <w:t xml:space="preserve">Published </w:t>
      </w:r>
      <w:r w:rsidR="00186264">
        <w:rPr>
          <w:b/>
        </w:rPr>
        <w:t xml:space="preserve">June </w:t>
      </w:r>
      <w:r w:rsidR="0047041E" w:rsidRPr="0047041E">
        <w:rPr>
          <w:b/>
        </w:rPr>
        <w:t>2017</w:t>
      </w:r>
    </w:p>
    <w:p w:rsidR="0047041E" w:rsidRDefault="008E314D" w:rsidP="0047041E">
      <w:pPr>
        <w:tabs>
          <w:tab w:val="left" w:pos="360"/>
          <w:tab w:val="left" w:pos="720"/>
          <w:tab w:val="left" w:pos="1080"/>
          <w:tab w:val="left" w:pos="1440"/>
          <w:tab w:val="left" w:pos="1800"/>
          <w:tab w:val="left" w:pos="2160"/>
          <w:tab w:val="left" w:pos="2520"/>
          <w:tab w:val="left" w:pos="2880"/>
        </w:tabs>
        <w:spacing w:line="360" w:lineRule="auto"/>
        <w:jc w:val="center"/>
      </w:pPr>
      <w:r w:rsidRPr="00F04EDB">
        <w:t xml:space="preserve">The Massachusetts Department of Elementary and Secondary Education, an affirmative action employer, is committed to ensuring that all of its programs and facilities are accessible to all members of the public. We do not discriminate on the basis of age, color, disability, national origin, race, religion, sex, gender identity, or sexual orientation. Inquiries regarding the Department’s compliance with Title IX and other civil rights laws may be directed to the Human Resources Director, </w:t>
      </w:r>
      <w:r w:rsidRPr="00F04EDB">
        <w:rPr>
          <w:snapToGrid w:val="0"/>
        </w:rPr>
        <w:t xml:space="preserve">75 Pleasant </w:t>
      </w:r>
      <w:r w:rsidRPr="00F04EDB">
        <w:t>St., Malden, MA 02148-4906. Phone: 781-338-6105.</w:t>
      </w:r>
    </w:p>
    <w:p w:rsidR="008E314D" w:rsidRPr="00F04EDB" w:rsidRDefault="0058397A" w:rsidP="008E314D">
      <w:pPr>
        <w:tabs>
          <w:tab w:val="left" w:pos="360"/>
          <w:tab w:val="left" w:pos="720"/>
          <w:tab w:val="left" w:pos="1080"/>
          <w:tab w:val="left" w:pos="1440"/>
          <w:tab w:val="left" w:pos="1800"/>
          <w:tab w:val="left" w:pos="2160"/>
          <w:tab w:val="left" w:pos="2520"/>
          <w:tab w:val="left" w:pos="2880"/>
        </w:tabs>
        <w:jc w:val="center"/>
      </w:pPr>
      <w:r w:rsidRPr="00F04EDB">
        <w:t xml:space="preserve">© </w:t>
      </w:r>
      <w:r w:rsidR="001F334D" w:rsidRPr="00F04EDB">
        <w:t>2017</w:t>
      </w:r>
      <w:r w:rsidR="00F75D73" w:rsidRPr="00F04EDB">
        <w:t xml:space="preserve"> </w:t>
      </w:r>
      <w:r w:rsidR="008E314D" w:rsidRPr="00F04EDB">
        <w:t>Massachusetts Department of Elementary and Secondary Education</w:t>
      </w:r>
    </w:p>
    <w:p w:rsidR="008E314D" w:rsidRPr="00F04EDB" w:rsidRDefault="008E314D" w:rsidP="008E314D">
      <w:pPr>
        <w:tabs>
          <w:tab w:val="left" w:pos="360"/>
          <w:tab w:val="left" w:pos="720"/>
          <w:tab w:val="left" w:pos="1080"/>
          <w:tab w:val="left" w:pos="1440"/>
          <w:tab w:val="left" w:pos="1800"/>
          <w:tab w:val="left" w:pos="2160"/>
          <w:tab w:val="left" w:pos="2520"/>
          <w:tab w:val="left" w:pos="2880"/>
        </w:tabs>
        <w:jc w:val="center"/>
        <w:rPr>
          <w:i/>
        </w:rPr>
      </w:pPr>
      <w:r w:rsidRPr="00F04EDB">
        <w:rPr>
          <w:i/>
        </w:rPr>
        <w:t>Permission is hereby granted to copy any or all parts of this document for non-commercial educational purposes. Please credit the “Massachusetts Department of Elementary and Secondary Education.”</w:t>
      </w:r>
    </w:p>
    <w:p w:rsidR="008E314D" w:rsidRPr="00F04EDB" w:rsidRDefault="008E314D" w:rsidP="008E314D">
      <w:pPr>
        <w:tabs>
          <w:tab w:val="left" w:pos="360"/>
          <w:tab w:val="left" w:pos="720"/>
          <w:tab w:val="left" w:pos="1080"/>
          <w:tab w:val="left" w:pos="1440"/>
          <w:tab w:val="left" w:pos="1800"/>
          <w:tab w:val="left" w:pos="2160"/>
          <w:tab w:val="left" w:pos="2520"/>
          <w:tab w:val="left" w:pos="2880"/>
        </w:tabs>
        <w:jc w:val="center"/>
      </w:pPr>
      <w:r w:rsidRPr="00F04EDB">
        <w:t>This document printed on recycled paper</w:t>
      </w:r>
    </w:p>
    <w:p w:rsidR="008E314D" w:rsidRPr="00F04EDB"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p>
    <w:p w:rsidR="008E314D" w:rsidRPr="00F04EDB"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p>
    <w:p w:rsidR="008E314D" w:rsidRPr="00F04EDB"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p>
    <w:p w:rsidR="008E314D" w:rsidRPr="00F04EDB"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r w:rsidRPr="00F04EDB">
        <w:t>Massachusetts Department of Elementary and Secondary Education</w:t>
      </w:r>
    </w:p>
    <w:p w:rsidR="008E314D" w:rsidRPr="00F04EDB"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r w:rsidRPr="00F04EDB">
        <w:rPr>
          <w:snapToGrid w:val="0"/>
        </w:rPr>
        <w:t xml:space="preserve">75 Pleasant </w:t>
      </w:r>
      <w:r w:rsidRPr="00F04EDB">
        <w:t>Street, Malden, MA 02148-4906</w:t>
      </w:r>
    </w:p>
    <w:p w:rsidR="008E314D" w:rsidRPr="00F04EDB"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r w:rsidRPr="00F04EDB">
        <w:t>Phone 781-338-3000</w:t>
      </w:r>
      <w:r w:rsidRPr="00F04EDB">
        <w:tab/>
        <w:t>TTY: N.E.T. Relay 800-439-2370</w:t>
      </w:r>
    </w:p>
    <w:p w:rsidR="008E314D" w:rsidRPr="00F04EDB" w:rsidRDefault="006D7039" w:rsidP="008E314D">
      <w:pPr>
        <w:tabs>
          <w:tab w:val="left" w:pos="360"/>
          <w:tab w:val="left" w:pos="720"/>
          <w:tab w:val="left" w:pos="1080"/>
          <w:tab w:val="left" w:pos="1440"/>
          <w:tab w:val="left" w:pos="1800"/>
          <w:tab w:val="left" w:pos="2160"/>
          <w:tab w:val="left" w:pos="2520"/>
          <w:tab w:val="left" w:pos="2880"/>
        </w:tabs>
        <w:spacing w:after="0" w:line="240" w:lineRule="auto"/>
        <w:jc w:val="center"/>
      </w:pPr>
      <w:hyperlink r:id="rId13" w:history="1">
        <w:r w:rsidR="008E314D" w:rsidRPr="00F04EDB">
          <w:rPr>
            <w:rStyle w:val="Hyperlink"/>
          </w:rPr>
          <w:t>www.doe.mass.edu</w:t>
        </w:r>
      </w:hyperlink>
    </w:p>
    <w:p w:rsidR="008E314D" w:rsidRPr="00F04EDB"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p>
    <w:p w:rsidR="008E314D" w:rsidRPr="00F04EDB" w:rsidRDefault="008E314D" w:rsidP="008E314D">
      <w:pPr>
        <w:tabs>
          <w:tab w:val="left" w:pos="360"/>
          <w:tab w:val="left" w:pos="720"/>
          <w:tab w:val="left" w:pos="1080"/>
          <w:tab w:val="left" w:pos="1440"/>
          <w:tab w:val="left" w:pos="1800"/>
          <w:tab w:val="left" w:pos="2160"/>
          <w:tab w:val="left" w:pos="2520"/>
          <w:tab w:val="left" w:pos="2880"/>
        </w:tabs>
        <w:jc w:val="center"/>
        <w:sectPr w:rsidR="008E314D" w:rsidRPr="00F04EDB" w:rsidSect="00350132">
          <w:headerReference w:type="default" r:id="rId14"/>
          <w:headerReference w:type="first" r:id="rId15"/>
          <w:endnotePr>
            <w:numFmt w:val="decimal"/>
          </w:endnotePr>
          <w:pgSz w:w="12240" w:h="15840"/>
          <w:pgMar w:top="1440" w:right="1440" w:bottom="1440" w:left="1440" w:header="1440" w:footer="720" w:gutter="0"/>
          <w:pgNumType w:start="1"/>
          <w:cols w:space="720"/>
          <w:noEndnote/>
          <w:titlePg/>
          <w:docGrid w:linePitch="326"/>
        </w:sectPr>
      </w:pPr>
      <w:r w:rsidRPr="00F04EDB">
        <w:rPr>
          <w:noProof/>
        </w:rPr>
        <w:drawing>
          <wp:inline distT="0" distB="0" distL="0" distR="0">
            <wp:extent cx="1026795" cy="1017905"/>
            <wp:effectExtent l="0" t="0" r="0" b="0"/>
            <wp:docPr id="14" name="Picture 1"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26795" cy="1017905"/>
                    </a:xfrm>
                    <a:prstGeom prst="rect">
                      <a:avLst/>
                    </a:prstGeom>
                    <a:noFill/>
                    <a:ln>
                      <a:noFill/>
                    </a:ln>
                  </pic:spPr>
                </pic:pic>
              </a:graphicData>
            </a:graphic>
          </wp:inline>
        </w:drawing>
      </w:r>
    </w:p>
    <w:p w:rsidR="007C01ED" w:rsidRPr="00A9708E" w:rsidRDefault="007C01ED" w:rsidP="008E314D">
      <w:pPr>
        <w:pStyle w:val="Section"/>
        <w:tabs>
          <w:tab w:val="left" w:pos="360"/>
          <w:tab w:val="left" w:pos="720"/>
          <w:tab w:val="left" w:pos="1080"/>
          <w:tab w:val="left" w:pos="1440"/>
          <w:tab w:val="left" w:pos="1800"/>
          <w:tab w:val="left" w:pos="2160"/>
          <w:tab w:val="left" w:pos="2520"/>
          <w:tab w:val="left" w:pos="2880"/>
        </w:tabs>
        <w:outlineLvl w:val="0"/>
        <w:rPr>
          <w:szCs w:val="36"/>
        </w:rPr>
      </w:pPr>
      <w:bookmarkStart w:id="0" w:name="_Toc484611570"/>
      <w:bookmarkStart w:id="1" w:name="_Toc350870260"/>
      <w:r w:rsidRPr="00A9708E">
        <w:rPr>
          <w:szCs w:val="36"/>
        </w:rPr>
        <w:lastRenderedPageBreak/>
        <w:t>Executive Summary</w:t>
      </w:r>
      <w:bookmarkEnd w:id="0"/>
    </w:p>
    <w:p w:rsidR="00C27B42" w:rsidRDefault="00036C47" w:rsidP="0096553B">
      <w:pPr>
        <w:pStyle w:val="CommentText"/>
        <w:spacing w:line="276" w:lineRule="auto"/>
        <w:rPr>
          <w:sz w:val="22"/>
          <w:szCs w:val="22"/>
        </w:rPr>
      </w:pPr>
      <w:r>
        <w:rPr>
          <w:sz w:val="22"/>
          <w:szCs w:val="22"/>
        </w:rPr>
        <w:t>Worcester</w:t>
      </w:r>
      <w:r w:rsidR="00B279B4">
        <w:rPr>
          <w:sz w:val="22"/>
          <w:szCs w:val="22"/>
        </w:rPr>
        <w:t xml:space="preserve">, </w:t>
      </w:r>
      <w:r w:rsidR="009F205A">
        <w:rPr>
          <w:sz w:val="22"/>
          <w:szCs w:val="22"/>
        </w:rPr>
        <w:t xml:space="preserve">the state’s second-largest </w:t>
      </w:r>
      <w:r w:rsidR="000B5DD7">
        <w:rPr>
          <w:sz w:val="22"/>
          <w:szCs w:val="22"/>
        </w:rPr>
        <w:t xml:space="preserve">public school </w:t>
      </w:r>
      <w:r w:rsidR="009F205A">
        <w:rPr>
          <w:sz w:val="22"/>
          <w:szCs w:val="22"/>
        </w:rPr>
        <w:t>district</w:t>
      </w:r>
      <w:r w:rsidR="00B279B4">
        <w:rPr>
          <w:sz w:val="22"/>
          <w:szCs w:val="22"/>
        </w:rPr>
        <w:t xml:space="preserve">, </w:t>
      </w:r>
      <w:r>
        <w:rPr>
          <w:sz w:val="22"/>
          <w:szCs w:val="22"/>
        </w:rPr>
        <w:t xml:space="preserve">is experiencing </w:t>
      </w:r>
      <w:r w:rsidR="00C27B42">
        <w:rPr>
          <w:sz w:val="22"/>
          <w:szCs w:val="22"/>
        </w:rPr>
        <w:t>a transitional period as revised</w:t>
      </w:r>
      <w:r w:rsidR="005104E6">
        <w:rPr>
          <w:sz w:val="22"/>
          <w:szCs w:val="22"/>
        </w:rPr>
        <w:t xml:space="preserve"> priorities and a </w:t>
      </w:r>
      <w:r w:rsidR="00C27B42">
        <w:rPr>
          <w:sz w:val="22"/>
          <w:szCs w:val="22"/>
        </w:rPr>
        <w:t>reorganization</w:t>
      </w:r>
      <w:r>
        <w:rPr>
          <w:sz w:val="22"/>
          <w:szCs w:val="22"/>
        </w:rPr>
        <w:t xml:space="preserve"> and redefinition</w:t>
      </w:r>
      <w:r w:rsidR="00C27B42">
        <w:rPr>
          <w:sz w:val="22"/>
          <w:szCs w:val="22"/>
        </w:rPr>
        <w:t xml:space="preserve"> of </w:t>
      </w:r>
      <w:r>
        <w:rPr>
          <w:sz w:val="22"/>
          <w:szCs w:val="22"/>
        </w:rPr>
        <w:t xml:space="preserve">several </w:t>
      </w:r>
      <w:r w:rsidR="00C27B42">
        <w:rPr>
          <w:sz w:val="22"/>
          <w:szCs w:val="22"/>
        </w:rPr>
        <w:t xml:space="preserve">key </w:t>
      </w:r>
      <w:r w:rsidR="005104E6">
        <w:rPr>
          <w:sz w:val="22"/>
          <w:szCs w:val="22"/>
        </w:rPr>
        <w:t>central office</w:t>
      </w:r>
      <w:r w:rsidR="00C27B42">
        <w:rPr>
          <w:sz w:val="22"/>
          <w:szCs w:val="22"/>
        </w:rPr>
        <w:t xml:space="preserve"> roles</w:t>
      </w:r>
      <w:r w:rsidR="005104E6">
        <w:rPr>
          <w:sz w:val="22"/>
          <w:szCs w:val="22"/>
        </w:rPr>
        <w:t xml:space="preserve"> take hold. </w:t>
      </w:r>
      <w:r w:rsidR="00C27B42">
        <w:rPr>
          <w:sz w:val="22"/>
          <w:szCs w:val="22"/>
        </w:rPr>
        <w:t xml:space="preserve"> </w:t>
      </w:r>
      <w:r w:rsidR="00D9590D">
        <w:rPr>
          <w:sz w:val="22"/>
          <w:szCs w:val="22"/>
        </w:rPr>
        <w:t xml:space="preserve">A 41-year veteran Worcester educator was named superintendent in May 2016. </w:t>
      </w:r>
      <w:r>
        <w:rPr>
          <w:sz w:val="22"/>
          <w:szCs w:val="22"/>
        </w:rPr>
        <w:t xml:space="preserve">In </w:t>
      </w:r>
      <w:r w:rsidR="003179F7">
        <w:rPr>
          <w:sz w:val="22"/>
          <w:szCs w:val="22"/>
        </w:rPr>
        <w:t xml:space="preserve">October 2016, the new superintendent presented </w:t>
      </w:r>
      <w:r>
        <w:rPr>
          <w:sz w:val="22"/>
          <w:szCs w:val="22"/>
        </w:rPr>
        <w:t>her “First 100 Days Report,”</w:t>
      </w:r>
      <w:r w:rsidR="0096191C">
        <w:rPr>
          <w:sz w:val="22"/>
          <w:szCs w:val="22"/>
        </w:rPr>
        <w:t xml:space="preserve"> </w:t>
      </w:r>
      <w:r w:rsidR="003179F7">
        <w:rPr>
          <w:sz w:val="22"/>
          <w:szCs w:val="22"/>
        </w:rPr>
        <w:t>in which she describe</w:t>
      </w:r>
      <w:r w:rsidR="00D9590D">
        <w:rPr>
          <w:sz w:val="22"/>
          <w:szCs w:val="22"/>
        </w:rPr>
        <w:t>d</w:t>
      </w:r>
      <w:r w:rsidR="003179F7">
        <w:rPr>
          <w:sz w:val="22"/>
          <w:szCs w:val="22"/>
        </w:rPr>
        <w:t xml:space="preserve"> </w:t>
      </w:r>
      <w:r>
        <w:rPr>
          <w:sz w:val="22"/>
          <w:szCs w:val="22"/>
        </w:rPr>
        <w:t>f</w:t>
      </w:r>
      <w:r w:rsidR="00C27B42">
        <w:rPr>
          <w:sz w:val="22"/>
          <w:szCs w:val="22"/>
        </w:rPr>
        <w:t xml:space="preserve">our goals </w:t>
      </w:r>
      <w:r>
        <w:rPr>
          <w:sz w:val="22"/>
          <w:szCs w:val="22"/>
        </w:rPr>
        <w:t xml:space="preserve">that now </w:t>
      </w:r>
      <w:r w:rsidR="00C27B42">
        <w:rPr>
          <w:sz w:val="22"/>
          <w:szCs w:val="22"/>
        </w:rPr>
        <w:t>focus the district’s efforts</w:t>
      </w:r>
      <w:r w:rsidR="003179F7">
        <w:rPr>
          <w:sz w:val="22"/>
          <w:szCs w:val="22"/>
        </w:rPr>
        <w:t xml:space="preserve">; the goals relate to curriculum and learning, </w:t>
      </w:r>
      <w:r w:rsidR="00C27B42">
        <w:rPr>
          <w:sz w:val="22"/>
          <w:szCs w:val="22"/>
        </w:rPr>
        <w:t>community partnerships to support students, school and district leadership and professional learning</w:t>
      </w:r>
      <w:r w:rsidR="003179F7">
        <w:rPr>
          <w:sz w:val="22"/>
          <w:szCs w:val="22"/>
        </w:rPr>
        <w:t>, and school safety</w:t>
      </w:r>
      <w:r w:rsidR="00C27B42">
        <w:rPr>
          <w:sz w:val="22"/>
          <w:szCs w:val="22"/>
        </w:rPr>
        <w:t xml:space="preserve">. In addition, the district is </w:t>
      </w:r>
      <w:r>
        <w:rPr>
          <w:sz w:val="22"/>
          <w:szCs w:val="22"/>
        </w:rPr>
        <w:t xml:space="preserve">engaging the entire </w:t>
      </w:r>
      <w:r w:rsidR="009F205A">
        <w:rPr>
          <w:sz w:val="22"/>
          <w:szCs w:val="22"/>
        </w:rPr>
        <w:t xml:space="preserve">Worcester </w:t>
      </w:r>
      <w:r>
        <w:rPr>
          <w:sz w:val="22"/>
          <w:szCs w:val="22"/>
        </w:rPr>
        <w:t>community to develop</w:t>
      </w:r>
      <w:r w:rsidR="00C27B42">
        <w:rPr>
          <w:sz w:val="22"/>
          <w:szCs w:val="22"/>
        </w:rPr>
        <w:t xml:space="preserve"> a new “visionary strategic plan” </w:t>
      </w:r>
      <w:r w:rsidR="003179F7">
        <w:rPr>
          <w:sz w:val="22"/>
          <w:szCs w:val="22"/>
        </w:rPr>
        <w:t xml:space="preserve">for transformation of the Worcester Public Schools </w:t>
      </w:r>
      <w:r w:rsidR="00C27B42">
        <w:rPr>
          <w:sz w:val="22"/>
          <w:szCs w:val="22"/>
        </w:rPr>
        <w:t xml:space="preserve">and </w:t>
      </w:r>
      <w:r w:rsidR="00871068">
        <w:rPr>
          <w:sz w:val="22"/>
          <w:szCs w:val="22"/>
        </w:rPr>
        <w:t>seeks</w:t>
      </w:r>
      <w:r w:rsidR="00C27B42">
        <w:rPr>
          <w:sz w:val="22"/>
          <w:szCs w:val="22"/>
        </w:rPr>
        <w:t xml:space="preserve"> to </w:t>
      </w:r>
      <w:r w:rsidR="003179F7">
        <w:rPr>
          <w:sz w:val="22"/>
          <w:szCs w:val="22"/>
        </w:rPr>
        <w:t xml:space="preserve">establish </w:t>
      </w:r>
      <w:r w:rsidR="00C27B42">
        <w:rPr>
          <w:sz w:val="22"/>
          <w:szCs w:val="22"/>
        </w:rPr>
        <w:t>the Worcester Public Schoo</w:t>
      </w:r>
      <w:r w:rsidR="00DC716E">
        <w:rPr>
          <w:sz w:val="22"/>
          <w:szCs w:val="22"/>
        </w:rPr>
        <w:t xml:space="preserve">ls </w:t>
      </w:r>
      <w:r w:rsidR="003179F7">
        <w:rPr>
          <w:sz w:val="22"/>
          <w:szCs w:val="22"/>
        </w:rPr>
        <w:t xml:space="preserve">as </w:t>
      </w:r>
      <w:r w:rsidR="00DC716E">
        <w:rPr>
          <w:sz w:val="22"/>
          <w:szCs w:val="22"/>
        </w:rPr>
        <w:t>a best-practice model for</w:t>
      </w:r>
      <w:r w:rsidR="00C27B42">
        <w:rPr>
          <w:sz w:val="22"/>
          <w:szCs w:val="22"/>
        </w:rPr>
        <w:t xml:space="preserve"> urban public education.</w:t>
      </w:r>
    </w:p>
    <w:p w:rsidR="00397D40" w:rsidRDefault="00C27B42" w:rsidP="0096553B">
      <w:pPr>
        <w:pStyle w:val="CommentText"/>
        <w:spacing w:line="276" w:lineRule="auto"/>
        <w:rPr>
          <w:sz w:val="22"/>
          <w:szCs w:val="22"/>
        </w:rPr>
      </w:pPr>
      <w:r>
        <w:rPr>
          <w:sz w:val="22"/>
          <w:szCs w:val="22"/>
        </w:rPr>
        <w:t xml:space="preserve">The </w:t>
      </w:r>
      <w:r w:rsidR="003737D5">
        <w:rPr>
          <w:sz w:val="22"/>
          <w:szCs w:val="22"/>
        </w:rPr>
        <w:t xml:space="preserve">44 </w:t>
      </w:r>
      <w:r>
        <w:rPr>
          <w:sz w:val="22"/>
          <w:szCs w:val="22"/>
        </w:rPr>
        <w:t>district</w:t>
      </w:r>
      <w:r w:rsidR="009F205A">
        <w:rPr>
          <w:sz w:val="22"/>
          <w:szCs w:val="22"/>
        </w:rPr>
        <w:t xml:space="preserve"> schools</w:t>
      </w:r>
      <w:r w:rsidR="00DC716E">
        <w:rPr>
          <w:sz w:val="22"/>
          <w:szCs w:val="22"/>
        </w:rPr>
        <w:t>, which enroll 25,</w:t>
      </w:r>
      <w:r w:rsidR="00B279B4">
        <w:rPr>
          <w:sz w:val="22"/>
          <w:szCs w:val="22"/>
        </w:rPr>
        <w:t xml:space="preserve">479 </w:t>
      </w:r>
      <w:r w:rsidR="00DC716E">
        <w:rPr>
          <w:sz w:val="22"/>
          <w:szCs w:val="22"/>
        </w:rPr>
        <w:t>students,</w:t>
      </w:r>
      <w:r w:rsidR="009F205A">
        <w:rPr>
          <w:sz w:val="22"/>
          <w:szCs w:val="22"/>
        </w:rPr>
        <w:t xml:space="preserve"> </w:t>
      </w:r>
      <w:r w:rsidR="001C7374">
        <w:rPr>
          <w:sz w:val="22"/>
          <w:szCs w:val="22"/>
        </w:rPr>
        <w:t>reflect a wide range</w:t>
      </w:r>
      <w:r w:rsidR="00036C47">
        <w:rPr>
          <w:sz w:val="22"/>
          <w:szCs w:val="22"/>
        </w:rPr>
        <w:t xml:space="preserve"> of progress</w:t>
      </w:r>
      <w:r w:rsidR="003125DB">
        <w:rPr>
          <w:sz w:val="22"/>
          <w:szCs w:val="22"/>
        </w:rPr>
        <w:t>,</w:t>
      </w:r>
      <w:r w:rsidR="00036C47">
        <w:rPr>
          <w:sz w:val="22"/>
          <w:szCs w:val="22"/>
        </w:rPr>
        <w:t xml:space="preserve"> </w:t>
      </w:r>
      <w:r w:rsidR="00DC716E">
        <w:rPr>
          <w:sz w:val="22"/>
          <w:szCs w:val="22"/>
        </w:rPr>
        <w:t xml:space="preserve">student </w:t>
      </w:r>
      <w:r w:rsidR="00036C47">
        <w:rPr>
          <w:sz w:val="22"/>
          <w:szCs w:val="22"/>
        </w:rPr>
        <w:t>ach</w:t>
      </w:r>
      <w:r w:rsidR="0096191C">
        <w:rPr>
          <w:sz w:val="22"/>
          <w:szCs w:val="22"/>
        </w:rPr>
        <w:t>ievement</w:t>
      </w:r>
      <w:r w:rsidR="001C7374">
        <w:rPr>
          <w:sz w:val="22"/>
          <w:szCs w:val="22"/>
        </w:rPr>
        <w:t xml:space="preserve"> results</w:t>
      </w:r>
      <w:r w:rsidR="00066645">
        <w:rPr>
          <w:sz w:val="22"/>
          <w:szCs w:val="22"/>
        </w:rPr>
        <w:t>, and teachers’ perceptions of teaching conditions and practice</w:t>
      </w:r>
      <w:r w:rsidR="0096191C">
        <w:rPr>
          <w:sz w:val="22"/>
          <w:szCs w:val="22"/>
        </w:rPr>
        <w:t xml:space="preserve">. </w:t>
      </w:r>
      <w:r w:rsidR="00B279B4">
        <w:rPr>
          <w:sz w:val="22"/>
          <w:szCs w:val="22"/>
        </w:rPr>
        <w:t>Worcester</w:t>
      </w:r>
      <w:r w:rsidR="00036C47">
        <w:rPr>
          <w:sz w:val="22"/>
          <w:szCs w:val="22"/>
        </w:rPr>
        <w:t xml:space="preserve"> is a</w:t>
      </w:r>
      <w:r>
        <w:rPr>
          <w:sz w:val="22"/>
          <w:szCs w:val="22"/>
        </w:rPr>
        <w:t xml:space="preserve"> Level 4 district because one elemen</w:t>
      </w:r>
      <w:r w:rsidR="00036C47">
        <w:rPr>
          <w:sz w:val="22"/>
          <w:szCs w:val="22"/>
        </w:rPr>
        <w:t>tary school is a Level 4 school</w:t>
      </w:r>
      <w:r w:rsidR="001D3EDC">
        <w:rPr>
          <w:sz w:val="22"/>
          <w:szCs w:val="22"/>
        </w:rPr>
        <w:t xml:space="preserve">. Of the district’s 33 elementary schools, </w:t>
      </w:r>
      <w:r w:rsidR="00B279B4">
        <w:rPr>
          <w:sz w:val="22"/>
          <w:szCs w:val="22"/>
        </w:rPr>
        <w:t xml:space="preserve">9 </w:t>
      </w:r>
      <w:r w:rsidR="00036C47">
        <w:rPr>
          <w:sz w:val="22"/>
          <w:szCs w:val="22"/>
        </w:rPr>
        <w:t>are</w:t>
      </w:r>
      <w:r w:rsidR="003737D5">
        <w:rPr>
          <w:sz w:val="22"/>
          <w:szCs w:val="22"/>
        </w:rPr>
        <w:t xml:space="preserve"> </w:t>
      </w:r>
      <w:r w:rsidR="00CD64C9">
        <w:rPr>
          <w:sz w:val="22"/>
          <w:szCs w:val="22"/>
        </w:rPr>
        <w:t xml:space="preserve">classified as </w:t>
      </w:r>
      <w:r w:rsidR="00036C47">
        <w:rPr>
          <w:sz w:val="22"/>
          <w:szCs w:val="22"/>
        </w:rPr>
        <w:t xml:space="preserve">Level 1 and </w:t>
      </w:r>
      <w:r w:rsidR="00B279B4">
        <w:rPr>
          <w:sz w:val="22"/>
          <w:szCs w:val="22"/>
        </w:rPr>
        <w:t xml:space="preserve">10 </w:t>
      </w:r>
      <w:r w:rsidR="001D3EDC">
        <w:rPr>
          <w:sz w:val="22"/>
          <w:szCs w:val="22"/>
        </w:rPr>
        <w:t xml:space="preserve">are classified </w:t>
      </w:r>
      <w:r w:rsidR="00CD64C9">
        <w:rPr>
          <w:sz w:val="22"/>
          <w:szCs w:val="22"/>
        </w:rPr>
        <w:t xml:space="preserve">as </w:t>
      </w:r>
      <w:r w:rsidR="00036C47">
        <w:rPr>
          <w:sz w:val="22"/>
          <w:szCs w:val="22"/>
        </w:rPr>
        <w:t xml:space="preserve">Level 2. </w:t>
      </w:r>
      <w:r w:rsidR="001D3EDC">
        <w:rPr>
          <w:sz w:val="22"/>
          <w:szCs w:val="22"/>
        </w:rPr>
        <w:t>T</w:t>
      </w:r>
      <w:r>
        <w:rPr>
          <w:sz w:val="22"/>
          <w:szCs w:val="22"/>
        </w:rPr>
        <w:t xml:space="preserve">he district also has 21 schools </w:t>
      </w:r>
      <w:r w:rsidR="00CD64C9">
        <w:rPr>
          <w:sz w:val="22"/>
          <w:szCs w:val="22"/>
        </w:rPr>
        <w:t xml:space="preserve">classified as </w:t>
      </w:r>
      <w:r>
        <w:rPr>
          <w:sz w:val="22"/>
          <w:szCs w:val="22"/>
        </w:rPr>
        <w:t xml:space="preserve">Level 3 for being among the lowest performing 20 percent of schools in their respective grade spans. </w:t>
      </w:r>
    </w:p>
    <w:p w:rsidR="005C7DC2" w:rsidRPr="00A93B41" w:rsidRDefault="005C7DC2" w:rsidP="005C7DC2">
      <w:pPr>
        <w:pStyle w:val="CommentText"/>
        <w:spacing w:after="60" w:line="276" w:lineRule="auto"/>
        <w:jc w:val="center"/>
        <w:rPr>
          <w:b/>
          <w:sz w:val="22"/>
          <w:szCs w:val="22"/>
        </w:rPr>
      </w:pPr>
      <w:r w:rsidRPr="00A93B41">
        <w:rPr>
          <w:b/>
          <w:sz w:val="22"/>
          <w:szCs w:val="22"/>
        </w:rPr>
        <w:t xml:space="preserve">Table 1: </w:t>
      </w:r>
      <w:r>
        <w:rPr>
          <w:b/>
          <w:sz w:val="22"/>
          <w:szCs w:val="22"/>
        </w:rPr>
        <w:t xml:space="preserve">Worcester Public </w:t>
      </w:r>
      <w:r w:rsidRPr="00A93B41">
        <w:rPr>
          <w:b/>
          <w:sz w:val="22"/>
          <w:szCs w:val="22"/>
        </w:rPr>
        <w:t xml:space="preserve">Schools by </w:t>
      </w:r>
      <w:r>
        <w:rPr>
          <w:b/>
          <w:sz w:val="22"/>
          <w:szCs w:val="22"/>
        </w:rPr>
        <w:t xml:space="preserve">Accountability </w:t>
      </w:r>
      <w:r w:rsidRPr="00A93B41">
        <w:rPr>
          <w:b/>
          <w:sz w:val="22"/>
          <w:szCs w:val="22"/>
        </w:rPr>
        <w:t>Level</w:t>
      </w:r>
      <w:r>
        <w:rPr>
          <w:b/>
          <w:sz w:val="22"/>
          <w:szCs w:val="22"/>
        </w:rPr>
        <w:t>, 2016–2017</w:t>
      </w:r>
    </w:p>
    <w:tbl>
      <w:tblPr>
        <w:tblStyle w:val="TableGrid"/>
        <w:tblW w:w="0" w:type="auto"/>
        <w:jc w:val="center"/>
        <w:tblLook w:val="04A0"/>
      </w:tblPr>
      <w:tblGrid>
        <w:gridCol w:w="2056"/>
        <w:gridCol w:w="2717"/>
        <w:gridCol w:w="3058"/>
      </w:tblGrid>
      <w:tr w:rsidR="005C7DC2" w:rsidTr="006F40C4">
        <w:trPr>
          <w:trHeight w:val="245"/>
          <w:jc w:val="center"/>
        </w:trPr>
        <w:tc>
          <w:tcPr>
            <w:tcW w:w="0" w:type="auto"/>
            <w:vAlign w:val="center"/>
          </w:tcPr>
          <w:p w:rsidR="007B6FCD" w:rsidRDefault="005C7DC2" w:rsidP="006F40C4">
            <w:pPr>
              <w:pStyle w:val="CommentText"/>
              <w:spacing w:after="0" w:line="276" w:lineRule="auto"/>
              <w:jc w:val="center"/>
              <w:rPr>
                <w:b/>
                <w:bCs/>
                <w:i/>
                <w:iCs/>
                <w:color w:val="4F81BD" w:themeColor="accent1"/>
                <w:sz w:val="22"/>
                <w:szCs w:val="22"/>
              </w:rPr>
            </w:pPr>
            <w:r w:rsidRPr="005375AE">
              <w:rPr>
                <w:b/>
                <w:sz w:val="22"/>
                <w:szCs w:val="22"/>
              </w:rPr>
              <w:t>Accountability Level</w:t>
            </w:r>
          </w:p>
        </w:tc>
        <w:tc>
          <w:tcPr>
            <w:tcW w:w="2717" w:type="dxa"/>
            <w:vAlign w:val="center"/>
          </w:tcPr>
          <w:p w:rsidR="007B6FCD" w:rsidRDefault="005C7DC2" w:rsidP="006F40C4">
            <w:pPr>
              <w:pStyle w:val="CommentText"/>
              <w:spacing w:after="0" w:line="276" w:lineRule="auto"/>
              <w:jc w:val="center"/>
              <w:rPr>
                <w:b/>
                <w:bCs/>
                <w:i/>
                <w:iCs/>
                <w:color w:val="4F81BD" w:themeColor="accent1"/>
                <w:sz w:val="22"/>
                <w:szCs w:val="22"/>
              </w:rPr>
            </w:pPr>
            <w:r w:rsidRPr="005375AE">
              <w:rPr>
                <w:b/>
                <w:sz w:val="22"/>
                <w:szCs w:val="22"/>
              </w:rPr>
              <w:t>Number of District Schools</w:t>
            </w:r>
            <w:r w:rsidR="00186264">
              <w:rPr>
                <w:b/>
                <w:sz w:val="22"/>
                <w:szCs w:val="22"/>
              </w:rPr>
              <w:t xml:space="preserve"> Classified in Each Level</w:t>
            </w:r>
          </w:p>
        </w:tc>
        <w:tc>
          <w:tcPr>
            <w:tcW w:w="3058" w:type="dxa"/>
            <w:vAlign w:val="center"/>
          </w:tcPr>
          <w:p w:rsidR="007B6FCD" w:rsidRDefault="005C7DC2" w:rsidP="006F40C4">
            <w:pPr>
              <w:pStyle w:val="CommentText"/>
              <w:spacing w:after="0" w:line="276" w:lineRule="auto"/>
              <w:jc w:val="center"/>
              <w:rPr>
                <w:b/>
                <w:bCs/>
                <w:i/>
                <w:iCs/>
                <w:color w:val="4F81BD" w:themeColor="accent1"/>
                <w:sz w:val="22"/>
                <w:szCs w:val="22"/>
              </w:rPr>
            </w:pPr>
            <w:r w:rsidRPr="005375AE">
              <w:rPr>
                <w:b/>
                <w:sz w:val="22"/>
                <w:szCs w:val="22"/>
              </w:rPr>
              <w:t>Number of Elementary Schools</w:t>
            </w:r>
            <w:r w:rsidR="00186264">
              <w:rPr>
                <w:b/>
                <w:sz w:val="22"/>
                <w:szCs w:val="22"/>
              </w:rPr>
              <w:t xml:space="preserve"> Classified in Each Level</w:t>
            </w:r>
          </w:p>
        </w:tc>
      </w:tr>
      <w:tr w:rsidR="005C7DC2" w:rsidTr="006F40C4">
        <w:trPr>
          <w:trHeight w:val="245"/>
          <w:jc w:val="center"/>
        </w:trPr>
        <w:tc>
          <w:tcPr>
            <w:tcW w:w="0" w:type="auto"/>
            <w:vAlign w:val="center"/>
          </w:tcPr>
          <w:p w:rsidR="007B6FCD" w:rsidRDefault="005C7DC2" w:rsidP="006F40C4">
            <w:pPr>
              <w:pStyle w:val="CommentText"/>
              <w:spacing w:after="0" w:line="276" w:lineRule="auto"/>
              <w:jc w:val="center"/>
              <w:rPr>
                <w:sz w:val="22"/>
                <w:szCs w:val="22"/>
              </w:rPr>
            </w:pPr>
            <w:r>
              <w:rPr>
                <w:sz w:val="22"/>
                <w:szCs w:val="22"/>
              </w:rPr>
              <w:t>1</w:t>
            </w:r>
          </w:p>
        </w:tc>
        <w:tc>
          <w:tcPr>
            <w:tcW w:w="2717" w:type="dxa"/>
            <w:vAlign w:val="center"/>
          </w:tcPr>
          <w:p w:rsidR="007B6FCD" w:rsidRDefault="005C7DC2" w:rsidP="006F40C4">
            <w:pPr>
              <w:pStyle w:val="CommentText"/>
              <w:spacing w:after="0" w:line="276" w:lineRule="auto"/>
              <w:jc w:val="center"/>
              <w:rPr>
                <w:sz w:val="22"/>
                <w:szCs w:val="22"/>
              </w:rPr>
            </w:pPr>
            <w:r>
              <w:rPr>
                <w:sz w:val="22"/>
                <w:szCs w:val="22"/>
              </w:rPr>
              <w:t>10</w:t>
            </w:r>
          </w:p>
        </w:tc>
        <w:tc>
          <w:tcPr>
            <w:tcW w:w="3058" w:type="dxa"/>
            <w:vAlign w:val="center"/>
          </w:tcPr>
          <w:p w:rsidR="007B6FCD" w:rsidRDefault="005C7DC2" w:rsidP="006F40C4">
            <w:pPr>
              <w:pStyle w:val="CommentText"/>
              <w:spacing w:after="0" w:line="276" w:lineRule="auto"/>
              <w:jc w:val="center"/>
              <w:rPr>
                <w:sz w:val="22"/>
                <w:szCs w:val="22"/>
              </w:rPr>
            </w:pPr>
            <w:r>
              <w:rPr>
                <w:sz w:val="22"/>
                <w:szCs w:val="22"/>
              </w:rPr>
              <w:t>9</w:t>
            </w:r>
          </w:p>
        </w:tc>
      </w:tr>
      <w:tr w:rsidR="005C7DC2" w:rsidTr="006F40C4">
        <w:trPr>
          <w:trHeight w:val="245"/>
          <w:jc w:val="center"/>
        </w:trPr>
        <w:tc>
          <w:tcPr>
            <w:tcW w:w="0" w:type="auto"/>
            <w:vAlign w:val="center"/>
          </w:tcPr>
          <w:p w:rsidR="007B6FCD" w:rsidRDefault="005C7DC2" w:rsidP="006F40C4">
            <w:pPr>
              <w:pStyle w:val="CommentText"/>
              <w:spacing w:after="0" w:line="276" w:lineRule="auto"/>
              <w:jc w:val="center"/>
              <w:rPr>
                <w:sz w:val="22"/>
                <w:szCs w:val="22"/>
              </w:rPr>
            </w:pPr>
            <w:r>
              <w:rPr>
                <w:sz w:val="22"/>
                <w:szCs w:val="22"/>
              </w:rPr>
              <w:t>2</w:t>
            </w:r>
          </w:p>
        </w:tc>
        <w:tc>
          <w:tcPr>
            <w:tcW w:w="2717" w:type="dxa"/>
            <w:vAlign w:val="center"/>
          </w:tcPr>
          <w:p w:rsidR="007B6FCD" w:rsidRDefault="005C7DC2" w:rsidP="006F40C4">
            <w:pPr>
              <w:pStyle w:val="CommentText"/>
              <w:spacing w:after="0" w:line="276" w:lineRule="auto"/>
              <w:jc w:val="center"/>
              <w:rPr>
                <w:sz w:val="22"/>
                <w:szCs w:val="22"/>
              </w:rPr>
            </w:pPr>
            <w:r>
              <w:rPr>
                <w:sz w:val="22"/>
                <w:szCs w:val="22"/>
              </w:rPr>
              <w:t>12</w:t>
            </w:r>
          </w:p>
        </w:tc>
        <w:tc>
          <w:tcPr>
            <w:tcW w:w="3058" w:type="dxa"/>
            <w:vAlign w:val="center"/>
          </w:tcPr>
          <w:p w:rsidR="007B6FCD" w:rsidRDefault="005C7DC2" w:rsidP="006F40C4">
            <w:pPr>
              <w:pStyle w:val="CommentText"/>
              <w:spacing w:after="0" w:line="276" w:lineRule="auto"/>
              <w:jc w:val="center"/>
              <w:rPr>
                <w:sz w:val="22"/>
                <w:szCs w:val="22"/>
              </w:rPr>
            </w:pPr>
            <w:r>
              <w:rPr>
                <w:sz w:val="22"/>
                <w:szCs w:val="22"/>
              </w:rPr>
              <w:t>10</w:t>
            </w:r>
          </w:p>
        </w:tc>
      </w:tr>
      <w:tr w:rsidR="005C7DC2" w:rsidTr="006F40C4">
        <w:trPr>
          <w:trHeight w:val="245"/>
          <w:jc w:val="center"/>
        </w:trPr>
        <w:tc>
          <w:tcPr>
            <w:tcW w:w="0" w:type="auto"/>
            <w:vAlign w:val="center"/>
          </w:tcPr>
          <w:p w:rsidR="007B6FCD" w:rsidRDefault="005C7DC2" w:rsidP="006F40C4">
            <w:pPr>
              <w:pStyle w:val="CommentText"/>
              <w:spacing w:after="0" w:line="276" w:lineRule="auto"/>
              <w:jc w:val="center"/>
              <w:rPr>
                <w:sz w:val="22"/>
                <w:szCs w:val="22"/>
              </w:rPr>
            </w:pPr>
            <w:r>
              <w:rPr>
                <w:sz w:val="22"/>
                <w:szCs w:val="22"/>
              </w:rPr>
              <w:t>3</w:t>
            </w:r>
          </w:p>
        </w:tc>
        <w:tc>
          <w:tcPr>
            <w:tcW w:w="2717" w:type="dxa"/>
            <w:vAlign w:val="center"/>
          </w:tcPr>
          <w:p w:rsidR="007B6FCD" w:rsidRDefault="005C7DC2" w:rsidP="006F40C4">
            <w:pPr>
              <w:pStyle w:val="CommentText"/>
              <w:spacing w:after="0" w:line="276" w:lineRule="auto"/>
              <w:jc w:val="center"/>
              <w:rPr>
                <w:sz w:val="22"/>
                <w:szCs w:val="22"/>
              </w:rPr>
            </w:pPr>
            <w:r>
              <w:rPr>
                <w:sz w:val="22"/>
                <w:szCs w:val="22"/>
              </w:rPr>
              <w:t>21</w:t>
            </w:r>
          </w:p>
        </w:tc>
        <w:tc>
          <w:tcPr>
            <w:tcW w:w="3058" w:type="dxa"/>
            <w:vAlign w:val="center"/>
          </w:tcPr>
          <w:p w:rsidR="007B6FCD" w:rsidRDefault="005C7DC2" w:rsidP="006F40C4">
            <w:pPr>
              <w:pStyle w:val="CommentText"/>
              <w:spacing w:after="0" w:line="276" w:lineRule="auto"/>
              <w:jc w:val="center"/>
              <w:rPr>
                <w:sz w:val="22"/>
                <w:szCs w:val="22"/>
              </w:rPr>
            </w:pPr>
            <w:r>
              <w:rPr>
                <w:sz w:val="22"/>
                <w:szCs w:val="22"/>
              </w:rPr>
              <w:t>13</w:t>
            </w:r>
          </w:p>
        </w:tc>
      </w:tr>
      <w:tr w:rsidR="005C7DC2" w:rsidTr="006F40C4">
        <w:trPr>
          <w:trHeight w:val="245"/>
          <w:jc w:val="center"/>
        </w:trPr>
        <w:tc>
          <w:tcPr>
            <w:tcW w:w="0" w:type="auto"/>
            <w:vAlign w:val="center"/>
          </w:tcPr>
          <w:p w:rsidR="007B6FCD" w:rsidRDefault="005C7DC2" w:rsidP="006F40C4">
            <w:pPr>
              <w:pStyle w:val="CommentText"/>
              <w:spacing w:after="0" w:line="276" w:lineRule="auto"/>
              <w:jc w:val="center"/>
              <w:rPr>
                <w:sz w:val="22"/>
                <w:szCs w:val="22"/>
              </w:rPr>
            </w:pPr>
            <w:r>
              <w:rPr>
                <w:sz w:val="22"/>
                <w:szCs w:val="22"/>
              </w:rPr>
              <w:t>4</w:t>
            </w:r>
          </w:p>
        </w:tc>
        <w:tc>
          <w:tcPr>
            <w:tcW w:w="2717" w:type="dxa"/>
            <w:vAlign w:val="center"/>
          </w:tcPr>
          <w:p w:rsidR="007B6FCD" w:rsidRDefault="005C7DC2" w:rsidP="006F40C4">
            <w:pPr>
              <w:pStyle w:val="CommentText"/>
              <w:spacing w:after="0" w:line="276" w:lineRule="auto"/>
              <w:jc w:val="center"/>
              <w:rPr>
                <w:sz w:val="22"/>
                <w:szCs w:val="22"/>
              </w:rPr>
            </w:pPr>
            <w:r>
              <w:rPr>
                <w:sz w:val="22"/>
                <w:szCs w:val="22"/>
              </w:rPr>
              <w:t>1</w:t>
            </w:r>
          </w:p>
        </w:tc>
        <w:tc>
          <w:tcPr>
            <w:tcW w:w="3058" w:type="dxa"/>
            <w:vAlign w:val="center"/>
          </w:tcPr>
          <w:p w:rsidR="007B6FCD" w:rsidRDefault="005C7DC2" w:rsidP="006F40C4">
            <w:pPr>
              <w:pStyle w:val="CommentText"/>
              <w:spacing w:after="0" w:line="276" w:lineRule="auto"/>
              <w:jc w:val="center"/>
              <w:rPr>
                <w:sz w:val="22"/>
                <w:szCs w:val="22"/>
              </w:rPr>
            </w:pPr>
            <w:r>
              <w:rPr>
                <w:sz w:val="22"/>
                <w:szCs w:val="22"/>
              </w:rPr>
              <w:t>1</w:t>
            </w:r>
          </w:p>
        </w:tc>
      </w:tr>
    </w:tbl>
    <w:p w:rsidR="00397D40" w:rsidRDefault="00397D40" w:rsidP="0096553B">
      <w:pPr>
        <w:pStyle w:val="CommentText"/>
        <w:spacing w:line="276" w:lineRule="auto"/>
        <w:rPr>
          <w:sz w:val="22"/>
          <w:szCs w:val="22"/>
        </w:rPr>
      </w:pPr>
    </w:p>
    <w:p w:rsidR="00C27B42" w:rsidRDefault="00066645" w:rsidP="0096553B">
      <w:pPr>
        <w:pStyle w:val="CommentText"/>
        <w:spacing w:line="276" w:lineRule="auto"/>
        <w:rPr>
          <w:sz w:val="22"/>
          <w:szCs w:val="22"/>
        </w:rPr>
      </w:pPr>
      <w:r>
        <w:rPr>
          <w:sz w:val="22"/>
          <w:szCs w:val="22"/>
        </w:rPr>
        <w:t xml:space="preserve">A 2015 </w:t>
      </w:r>
      <w:r w:rsidR="003125DB">
        <w:rPr>
          <w:sz w:val="22"/>
          <w:szCs w:val="22"/>
        </w:rPr>
        <w:t xml:space="preserve">internal </w:t>
      </w:r>
      <w:r>
        <w:rPr>
          <w:sz w:val="22"/>
          <w:szCs w:val="22"/>
        </w:rPr>
        <w:t>survey of teachers’ perceptions of conditions supporting effective teaching practice indicated wide differe</w:t>
      </w:r>
      <w:r w:rsidR="003125DB">
        <w:rPr>
          <w:sz w:val="22"/>
          <w:szCs w:val="22"/>
        </w:rPr>
        <w:t>nces. In those Worcester schools where at</w:t>
      </w:r>
      <w:r>
        <w:rPr>
          <w:sz w:val="22"/>
          <w:szCs w:val="22"/>
        </w:rPr>
        <w:t xml:space="preserve"> least </w:t>
      </w:r>
      <w:r w:rsidR="003125DB">
        <w:rPr>
          <w:sz w:val="22"/>
          <w:szCs w:val="22"/>
        </w:rPr>
        <w:t>ha</w:t>
      </w:r>
      <w:r>
        <w:rPr>
          <w:sz w:val="22"/>
          <w:szCs w:val="22"/>
        </w:rPr>
        <w:t>lf the teachers completed the survey, the percentage of teachers</w:t>
      </w:r>
      <w:r w:rsidR="003125DB">
        <w:rPr>
          <w:sz w:val="22"/>
          <w:szCs w:val="22"/>
        </w:rPr>
        <w:t xml:space="preserve"> agreeing that six conditions for effective teaching within the general control of principals were present ranged from 22 percent to 97 percent.</w:t>
      </w:r>
    </w:p>
    <w:p w:rsidR="0047041E" w:rsidRDefault="00FE697E" w:rsidP="0047041E">
      <w:pPr>
        <w:pStyle w:val="CommentText"/>
        <w:spacing w:line="276" w:lineRule="auto"/>
      </w:pPr>
      <w:r w:rsidRPr="0096553B">
        <w:rPr>
          <w:sz w:val="22"/>
          <w:szCs w:val="22"/>
        </w:rPr>
        <w:t xml:space="preserve">The </w:t>
      </w:r>
      <w:r w:rsidR="00904A38">
        <w:rPr>
          <w:sz w:val="22"/>
          <w:szCs w:val="22"/>
        </w:rPr>
        <w:t xml:space="preserve">review </w:t>
      </w:r>
      <w:r w:rsidRPr="0096553B">
        <w:rPr>
          <w:sz w:val="22"/>
          <w:szCs w:val="22"/>
        </w:rPr>
        <w:t>team observed 249 classes</w:t>
      </w:r>
      <w:r w:rsidR="00904A38">
        <w:rPr>
          <w:sz w:val="22"/>
          <w:szCs w:val="22"/>
        </w:rPr>
        <w:t xml:space="preserve"> in </w:t>
      </w:r>
      <w:r w:rsidR="00B74CBA">
        <w:rPr>
          <w:sz w:val="22"/>
          <w:szCs w:val="22"/>
        </w:rPr>
        <w:t>35</w:t>
      </w:r>
      <w:r w:rsidR="00B74CBA" w:rsidRPr="0096553B">
        <w:rPr>
          <w:sz w:val="22"/>
          <w:szCs w:val="22"/>
        </w:rPr>
        <w:t xml:space="preserve"> </w:t>
      </w:r>
      <w:r w:rsidR="006E10DD" w:rsidRPr="0096553B">
        <w:rPr>
          <w:sz w:val="22"/>
          <w:szCs w:val="22"/>
        </w:rPr>
        <w:t xml:space="preserve">of the 44 </w:t>
      </w:r>
      <w:r w:rsidR="00DC716E">
        <w:rPr>
          <w:sz w:val="22"/>
          <w:szCs w:val="22"/>
        </w:rPr>
        <w:t xml:space="preserve">district </w:t>
      </w:r>
      <w:r w:rsidR="006E10DD" w:rsidRPr="0096553B">
        <w:rPr>
          <w:sz w:val="22"/>
          <w:szCs w:val="22"/>
        </w:rPr>
        <w:t>schools:</w:t>
      </w:r>
      <w:r w:rsidR="00944778">
        <w:rPr>
          <w:sz w:val="22"/>
          <w:szCs w:val="22"/>
        </w:rPr>
        <w:t xml:space="preserve"> </w:t>
      </w:r>
      <w:r w:rsidR="006E10DD" w:rsidRPr="0096553B">
        <w:rPr>
          <w:sz w:val="22"/>
          <w:szCs w:val="22"/>
        </w:rPr>
        <w:t xml:space="preserve"> </w:t>
      </w:r>
      <w:r w:rsidRPr="0096553B">
        <w:rPr>
          <w:sz w:val="22"/>
          <w:szCs w:val="22"/>
        </w:rPr>
        <w:t>48</w:t>
      </w:r>
      <w:r w:rsidR="00186F8F" w:rsidRPr="0096553B">
        <w:rPr>
          <w:sz w:val="22"/>
          <w:szCs w:val="22"/>
        </w:rPr>
        <w:t xml:space="preserve"> classes in grades 9</w:t>
      </w:r>
      <w:r w:rsidR="008A206A">
        <w:rPr>
          <w:sz w:val="22"/>
          <w:szCs w:val="22"/>
        </w:rPr>
        <w:t>–</w:t>
      </w:r>
      <w:r w:rsidR="00186F8F" w:rsidRPr="0096553B">
        <w:rPr>
          <w:sz w:val="22"/>
          <w:szCs w:val="22"/>
        </w:rPr>
        <w:t>12</w:t>
      </w:r>
      <w:r w:rsidRPr="0096553B">
        <w:rPr>
          <w:sz w:val="22"/>
          <w:szCs w:val="22"/>
        </w:rPr>
        <w:t>, 31</w:t>
      </w:r>
      <w:r w:rsidR="00186F8F" w:rsidRPr="0096553B">
        <w:rPr>
          <w:sz w:val="22"/>
          <w:szCs w:val="22"/>
        </w:rPr>
        <w:t xml:space="preserve"> classes in grades 7</w:t>
      </w:r>
      <w:r w:rsidR="008A206A">
        <w:rPr>
          <w:sz w:val="22"/>
          <w:szCs w:val="22"/>
        </w:rPr>
        <w:t>–</w:t>
      </w:r>
      <w:r w:rsidR="00186F8F" w:rsidRPr="0096553B">
        <w:rPr>
          <w:sz w:val="22"/>
          <w:szCs w:val="22"/>
        </w:rPr>
        <w:t>8,</w:t>
      </w:r>
      <w:r w:rsidRPr="0096553B">
        <w:rPr>
          <w:sz w:val="22"/>
          <w:szCs w:val="22"/>
        </w:rPr>
        <w:t xml:space="preserve"> and 170</w:t>
      </w:r>
      <w:r w:rsidR="00186F8F" w:rsidRPr="0096553B">
        <w:rPr>
          <w:sz w:val="22"/>
          <w:szCs w:val="22"/>
        </w:rPr>
        <w:t xml:space="preserve"> classes in </w:t>
      </w:r>
      <w:r w:rsidR="00CD64C9">
        <w:rPr>
          <w:sz w:val="22"/>
          <w:szCs w:val="22"/>
        </w:rPr>
        <w:t xml:space="preserve">kindergarten through </w:t>
      </w:r>
      <w:r w:rsidR="00CD64C9" w:rsidRPr="003439D2">
        <w:rPr>
          <w:sz w:val="22"/>
          <w:szCs w:val="22"/>
        </w:rPr>
        <w:t xml:space="preserve">grade </w:t>
      </w:r>
      <w:r w:rsidR="00186F8F" w:rsidRPr="003439D2">
        <w:rPr>
          <w:sz w:val="22"/>
          <w:szCs w:val="22"/>
        </w:rPr>
        <w:t>6</w:t>
      </w:r>
      <w:r w:rsidRPr="003439D2">
        <w:rPr>
          <w:sz w:val="22"/>
          <w:szCs w:val="22"/>
        </w:rPr>
        <w:t>.</w:t>
      </w:r>
      <w:r w:rsidR="00DC716E" w:rsidRPr="003439D2">
        <w:rPr>
          <w:rStyle w:val="FootnoteReference"/>
          <w:sz w:val="22"/>
          <w:szCs w:val="22"/>
        </w:rPr>
        <w:footnoteReference w:id="1"/>
      </w:r>
      <w:r w:rsidRPr="003439D2">
        <w:rPr>
          <w:sz w:val="22"/>
          <w:szCs w:val="22"/>
        </w:rPr>
        <w:t xml:space="preserve"> </w:t>
      </w:r>
      <w:r w:rsidR="0047041E" w:rsidRPr="0047041E">
        <w:rPr>
          <w:sz w:val="22"/>
          <w:szCs w:val="22"/>
        </w:rPr>
        <w:t xml:space="preserve">Observed lessons showed a wide variation in the quality of instruction across the district.  Some observed lessons engaged students in rigorous curriculum that provided learning opportunities rich in critical thinking, collaboration, active learning, and a high-level application of knowledge, skills, and understandings. In contrast, other observed lessons fell short of the district’s instructional expectations described in its Framework for High Quality Teaching and Learning. In those classrooms, observed lessons did not provide differentiated instructional approaches to meet students’ diverse learning needs, low expectations for </w:t>
      </w:r>
      <w:r w:rsidR="0047041E" w:rsidRPr="0047041E">
        <w:rPr>
          <w:sz w:val="22"/>
          <w:szCs w:val="22"/>
        </w:rPr>
        <w:lastRenderedPageBreak/>
        <w:t xml:space="preserve">thinking and learning characterized lesson objectives and strategies, classroom management issues distracted teachers from teaching and students from learning, students had few opportunities to be responsible for doing the thinking in the classroom, and teachers’ voices dominated the class.  Overall, in contrast with teaching K–8, observers found that instruction in grades 9–12 was less rigorous, less engaging to students, less likely to encourage and develop students’ higher-order thinking skills, and less likely to meet students’ learning styles or needs either individually or in groups. There were, </w:t>
      </w:r>
      <w:r w:rsidR="00FD01CA">
        <w:rPr>
          <w:sz w:val="22"/>
          <w:szCs w:val="22"/>
        </w:rPr>
        <w:t>however</w:t>
      </w:r>
      <w:r w:rsidR="0047041E" w:rsidRPr="0047041E">
        <w:rPr>
          <w:sz w:val="22"/>
          <w:szCs w:val="22"/>
        </w:rPr>
        <w:t>, notable exceptions to this characterization of observed high-school lessons.</w:t>
      </w:r>
    </w:p>
    <w:p w:rsidR="00BB44E6" w:rsidRDefault="00BB44E6" w:rsidP="00BB44E6">
      <w:r>
        <w:t xml:space="preserve">For the most part, the review team found a vibrant and informed leadership team in place in the </w:t>
      </w:r>
      <w:r w:rsidR="0079470A">
        <w:t>district</w:t>
      </w:r>
      <w:r>
        <w:t xml:space="preserve">, one with the knowledge and training to effect meaningful improvement to </w:t>
      </w:r>
      <w:r w:rsidR="008E33C7">
        <w:t xml:space="preserve">professional practice and </w:t>
      </w:r>
      <w:r>
        <w:t>student achievement. The teacher force appeared committed and eager to support students to learn at high levels and to prepare them well to meet the challenges of life after high school. With adequate time, sufficient resources, appropriate support</w:t>
      </w:r>
      <w:r w:rsidR="0079470A">
        <w:t>,</w:t>
      </w:r>
      <w:r>
        <w:t xml:space="preserve"> and sustained efforts, the district can </w:t>
      </w:r>
      <w:r w:rsidR="003179F7">
        <w:t xml:space="preserve">likely </w:t>
      </w:r>
      <w:r>
        <w:t xml:space="preserve">meet its goal of becoming a model of urban education in Massachusetts. </w:t>
      </w:r>
    </w:p>
    <w:p w:rsidR="007C01ED" w:rsidRPr="00253405" w:rsidRDefault="0047041E" w:rsidP="007C01ED">
      <w:pPr>
        <w:rPr>
          <w:b/>
          <w:sz w:val="28"/>
          <w:szCs w:val="28"/>
        </w:rPr>
      </w:pPr>
      <w:r w:rsidRPr="0047041E">
        <w:rPr>
          <w:b/>
          <w:sz w:val="28"/>
          <w:szCs w:val="28"/>
        </w:rPr>
        <w:t>Strengths</w:t>
      </w:r>
    </w:p>
    <w:p w:rsidR="00DC21C1" w:rsidRDefault="00BB6030" w:rsidP="007C01ED">
      <w:r>
        <w:t>New s</w:t>
      </w:r>
      <w:r w:rsidR="00D579DB">
        <w:t xml:space="preserve">ystems and practices in </w:t>
      </w:r>
      <w:r>
        <w:t xml:space="preserve">the areas of </w:t>
      </w:r>
      <w:r w:rsidR="00D579DB">
        <w:t>curriculum, instruction</w:t>
      </w:r>
      <w:r w:rsidR="00D511FA">
        <w:t>,</w:t>
      </w:r>
      <w:r w:rsidR="00D579DB">
        <w:t xml:space="preserve"> and assessment</w:t>
      </w:r>
      <w:r>
        <w:t>,</w:t>
      </w:r>
      <w:r w:rsidR="00371404">
        <w:t xml:space="preserve"> </w:t>
      </w:r>
      <w:r>
        <w:t xml:space="preserve">along with </w:t>
      </w:r>
      <w:r w:rsidR="00576A9E">
        <w:t>a</w:t>
      </w:r>
      <w:r w:rsidR="00DC21C1">
        <w:t xml:space="preserve"> restructured c</w:t>
      </w:r>
      <w:r w:rsidR="00603489">
        <w:t xml:space="preserve">entral office </w:t>
      </w:r>
      <w:r w:rsidR="002B34A5">
        <w:t xml:space="preserve">leadership </w:t>
      </w:r>
      <w:r w:rsidR="00603489">
        <w:t>staff</w:t>
      </w:r>
      <w:r>
        <w:t>,</w:t>
      </w:r>
      <w:r w:rsidR="00603489">
        <w:t xml:space="preserve"> </w:t>
      </w:r>
      <w:r>
        <w:t>have the potential</w:t>
      </w:r>
      <w:r w:rsidR="00DC21C1">
        <w:t xml:space="preserve"> to provide </w:t>
      </w:r>
      <w:r>
        <w:t xml:space="preserve">improved </w:t>
      </w:r>
      <w:r w:rsidR="00DC21C1">
        <w:t>support for teaching and learning</w:t>
      </w:r>
      <w:r w:rsidR="00D579DB">
        <w:t>.  Newly defined positions for three managers</w:t>
      </w:r>
      <w:r w:rsidR="002B34A5">
        <w:t xml:space="preserve"> for curriculum and learning </w:t>
      </w:r>
      <w:r w:rsidR="002F4466">
        <w:t>are designed to</w:t>
      </w:r>
      <w:r w:rsidR="002B34A5">
        <w:t xml:space="preserve"> support</w:t>
      </w:r>
      <w:r w:rsidR="00DC21C1">
        <w:t xml:space="preserve"> principals</w:t>
      </w:r>
      <w:r w:rsidR="00D579DB">
        <w:t>, teachers</w:t>
      </w:r>
      <w:r w:rsidR="00D511FA">
        <w:t>,</w:t>
      </w:r>
      <w:r w:rsidR="00D579DB">
        <w:t xml:space="preserve"> and content specialists</w:t>
      </w:r>
      <w:r w:rsidR="00DC21C1">
        <w:t xml:space="preserve"> to</w:t>
      </w:r>
      <w:r w:rsidR="00D579DB">
        <w:t xml:space="preserve"> help</w:t>
      </w:r>
      <w:r w:rsidR="00DC21C1">
        <w:t xml:space="preserve"> close the wide gap</w:t>
      </w:r>
      <w:r w:rsidR="002B34A5">
        <w:t>s</w:t>
      </w:r>
      <w:r w:rsidR="00DC21C1">
        <w:t xml:space="preserve"> in school practices and student performance.</w:t>
      </w:r>
      <w:r w:rsidR="00576A9E">
        <w:t xml:space="preserve"> </w:t>
      </w:r>
      <w:r w:rsidR="00DC7B12">
        <w:t>The district has implemented a new three-year curricu</w:t>
      </w:r>
      <w:r w:rsidR="00D579DB">
        <w:t>lum review process and has developed a</w:t>
      </w:r>
      <w:r w:rsidR="009F205A">
        <w:t xml:space="preserve"> </w:t>
      </w:r>
      <w:r w:rsidR="00D511FA">
        <w:t xml:space="preserve">Framework for High-Quality Teaching and Learning to </w:t>
      </w:r>
      <w:r w:rsidR="00D579DB">
        <w:t>set expectations</w:t>
      </w:r>
      <w:r w:rsidR="009F205A">
        <w:t xml:space="preserve"> for excellence in teaching and learning</w:t>
      </w:r>
      <w:r w:rsidR="00D579DB">
        <w:t>.</w:t>
      </w:r>
      <w:r w:rsidR="00DC7B12">
        <w:t xml:space="preserve"> The student assessment system is well developed, thoughtful, and strategic.  </w:t>
      </w:r>
      <w:r w:rsidR="002F4466">
        <w:t>L</w:t>
      </w:r>
      <w:r w:rsidR="002B34A5">
        <w:t>eaders and</w:t>
      </w:r>
      <w:r w:rsidR="00DC7B12">
        <w:t xml:space="preserve"> teachers have access to useful data reports</w:t>
      </w:r>
      <w:r w:rsidR="00D579DB">
        <w:t xml:space="preserve"> to guide decision making</w:t>
      </w:r>
      <w:r w:rsidR="00371404">
        <w:t xml:space="preserve">. </w:t>
      </w:r>
      <w:r w:rsidR="002B34A5">
        <w:t>T</w:t>
      </w:r>
      <w:r w:rsidR="00D579DB">
        <w:t xml:space="preserve">he use of data </w:t>
      </w:r>
      <w:r w:rsidR="00DC7B12">
        <w:t>inform</w:t>
      </w:r>
      <w:r w:rsidR="00D579DB">
        <w:t>s multiple facets of leaders’ work, such as setting and monit</w:t>
      </w:r>
      <w:r w:rsidR="0088671C">
        <w:t xml:space="preserve">oring improvement goals and </w:t>
      </w:r>
      <w:r w:rsidR="00D579DB">
        <w:t xml:space="preserve">analyzing and developing the </w:t>
      </w:r>
      <w:r w:rsidR="0088671C">
        <w:t xml:space="preserve">district’s </w:t>
      </w:r>
      <w:r w:rsidR="00D579DB">
        <w:t>budget</w:t>
      </w:r>
      <w:r w:rsidR="0088671C">
        <w:t xml:space="preserve"> and it</w:t>
      </w:r>
      <w:r w:rsidR="00D511FA">
        <w:t>s</w:t>
      </w:r>
      <w:r w:rsidR="0088671C">
        <w:t xml:space="preserve"> </w:t>
      </w:r>
      <w:r w:rsidR="00D511FA">
        <w:t xml:space="preserve">allocation of </w:t>
      </w:r>
      <w:r w:rsidR="0088671C">
        <w:t>resources</w:t>
      </w:r>
      <w:r w:rsidR="00D579DB">
        <w:t>.</w:t>
      </w:r>
    </w:p>
    <w:p w:rsidR="007C01ED" w:rsidRDefault="0088671C" w:rsidP="007C01ED">
      <w:r>
        <w:t>Under the newly established office of curriculum and learning, professional learning opportunities are more targeted, collaborative</w:t>
      </w:r>
      <w:r w:rsidR="00D511FA">
        <w:t>,</w:t>
      </w:r>
      <w:r>
        <w:t xml:space="preserve"> and timely. </w:t>
      </w:r>
      <w:r w:rsidR="00D511FA">
        <w:t>T</w:t>
      </w:r>
      <w:r>
        <w:t>he district</w:t>
      </w:r>
      <w:r w:rsidR="00755ABA">
        <w:t xml:space="preserve"> </w:t>
      </w:r>
      <w:r w:rsidR="003A1E39">
        <w:t xml:space="preserve">offers a wide range of programs and services that address </w:t>
      </w:r>
      <w:r w:rsidR="00D72039">
        <w:t>students’ academic and social-emotional</w:t>
      </w:r>
      <w:r w:rsidR="003A1E39">
        <w:t xml:space="preserve"> needs.</w:t>
      </w:r>
      <w:r w:rsidR="005948E0">
        <w:t xml:space="preserve"> The district has taken a number of steps to improve graduation rates, and while four- and five-year graduation rates remain below state averages, they have improved in recent years. </w:t>
      </w:r>
      <w:r w:rsidR="00F76B10">
        <w:t xml:space="preserve">Both the Massachusetts Association of School Business Administrators (MASBO) and the American Association of School Business Administrators (AASBO) have recognized the </w:t>
      </w:r>
      <w:r w:rsidR="003A1E39">
        <w:t xml:space="preserve">Worcester </w:t>
      </w:r>
      <w:r w:rsidR="00F76B10">
        <w:t xml:space="preserve">budget with awards for comprehensiveness.  </w:t>
      </w:r>
    </w:p>
    <w:p w:rsidR="008F51E5" w:rsidRDefault="008F51E5" w:rsidP="007C01ED"/>
    <w:p w:rsidR="008F51E5" w:rsidRDefault="008F51E5" w:rsidP="007C01ED">
      <w:pPr>
        <w:rPr>
          <w:highlight w:val="yellow"/>
        </w:rPr>
      </w:pPr>
    </w:p>
    <w:p w:rsidR="007C01ED" w:rsidRPr="00253405" w:rsidRDefault="0047041E" w:rsidP="007C01ED">
      <w:pPr>
        <w:rPr>
          <w:b/>
          <w:sz w:val="28"/>
          <w:szCs w:val="28"/>
        </w:rPr>
      </w:pPr>
      <w:r w:rsidRPr="0047041E">
        <w:rPr>
          <w:b/>
          <w:sz w:val="28"/>
          <w:szCs w:val="28"/>
        </w:rPr>
        <w:t>Challenges and Areas for Growth</w:t>
      </w:r>
    </w:p>
    <w:p w:rsidR="00327D2D" w:rsidRDefault="009E709C" w:rsidP="007C01ED">
      <w:r>
        <w:t>The review team identified a number of challenges to leadership and governance. For example,</w:t>
      </w:r>
      <w:r w:rsidR="009F205A">
        <w:t xml:space="preserve"> the time required for</w:t>
      </w:r>
      <w:r w:rsidR="002B34A5">
        <w:t xml:space="preserve"> district and school leaders to</w:t>
      </w:r>
      <w:r w:rsidR="009F205A">
        <w:t xml:space="preserve"> </w:t>
      </w:r>
      <w:r>
        <w:t xml:space="preserve">respond to school committee members’ </w:t>
      </w:r>
      <w:r w:rsidR="00D163E6">
        <w:t>moti</w:t>
      </w:r>
      <w:r>
        <w:t>ons</w:t>
      </w:r>
      <w:r w:rsidR="009F205A">
        <w:t xml:space="preserve"> requesting</w:t>
      </w:r>
      <w:r w:rsidR="00D163E6">
        <w:t xml:space="preserve"> </w:t>
      </w:r>
      <w:r w:rsidR="00D163E6">
        <w:lastRenderedPageBreak/>
        <w:t>information, background</w:t>
      </w:r>
      <w:r w:rsidR="00D511FA">
        <w:t>,</w:t>
      </w:r>
      <w:r>
        <w:t xml:space="preserve"> and data</w:t>
      </w:r>
      <w:r w:rsidR="00D163E6">
        <w:t xml:space="preserve"> has</w:t>
      </w:r>
      <w:r w:rsidR="00F76B10">
        <w:t xml:space="preserve"> distracted</w:t>
      </w:r>
      <w:r w:rsidR="00603489">
        <w:t xml:space="preserve"> </w:t>
      </w:r>
      <w:r w:rsidR="00D511FA">
        <w:t xml:space="preserve">administrators </w:t>
      </w:r>
      <w:r w:rsidR="00D163E6">
        <w:t xml:space="preserve">from the day-to-day work of school improvement. </w:t>
      </w:r>
      <w:r>
        <w:t xml:space="preserve">Also, the district has </w:t>
      </w:r>
      <w:r w:rsidR="00CB60CF">
        <w:t>not provide</w:t>
      </w:r>
      <w:r w:rsidR="008E33C7">
        <w:t>d</w:t>
      </w:r>
      <w:r w:rsidR="00CB60CF">
        <w:t xml:space="preserve"> </w:t>
      </w:r>
      <w:r>
        <w:t>common planning t</w:t>
      </w:r>
      <w:r w:rsidR="00CB60CF">
        <w:t>ime at all schools to</w:t>
      </w:r>
      <w:r>
        <w:t xml:space="preserve"> maximize teachers’ ability to collaborate to improve teaching and learning. K</w:t>
      </w:r>
      <w:r w:rsidR="005C3D97">
        <w:t>–</w:t>
      </w:r>
      <w:r>
        <w:t xml:space="preserve">12 curriculum documents in ELA/English, math, and science are incomplete and </w:t>
      </w:r>
      <w:r w:rsidR="00CB60CF">
        <w:t xml:space="preserve">not </w:t>
      </w:r>
      <w:r>
        <w:t>fully aligned to the 2011 Massachusetts Frameworks and the 2016 Massachusetts S</w:t>
      </w:r>
      <w:r w:rsidR="00535C21">
        <w:t xml:space="preserve">cience and </w:t>
      </w:r>
      <w:r>
        <w:t>T</w:t>
      </w:r>
      <w:r w:rsidR="00535C21">
        <w:t>echnology/</w:t>
      </w:r>
      <w:r>
        <w:t>E</w:t>
      </w:r>
      <w:r w:rsidR="00535C21">
        <w:t>ngineering</w:t>
      </w:r>
      <w:r>
        <w:t xml:space="preserve"> Framework. Furthermore, there is uneven implementation of the district’s </w:t>
      </w:r>
      <w:r w:rsidR="00D511FA">
        <w:t>F</w:t>
      </w:r>
      <w:r>
        <w:t xml:space="preserve">ramework </w:t>
      </w:r>
      <w:r w:rsidR="00D511FA">
        <w:t xml:space="preserve">of High-Quality Teaching and Learning </w:t>
      </w:r>
      <w:r>
        <w:t>across schools</w:t>
      </w:r>
      <w:r w:rsidR="00327D2D">
        <w:t xml:space="preserve"> of the same level</w:t>
      </w:r>
      <w:r>
        <w:t xml:space="preserve"> and </w:t>
      </w:r>
      <w:r w:rsidR="00327D2D">
        <w:t xml:space="preserve">across different </w:t>
      </w:r>
      <w:r>
        <w:t>school levels</w:t>
      </w:r>
      <w:r w:rsidR="00327D2D">
        <w:t xml:space="preserve">. In </w:t>
      </w:r>
      <w:r w:rsidR="00993BE7">
        <w:t>observed classrooms</w:t>
      </w:r>
      <w:r w:rsidR="00327D2D">
        <w:t xml:space="preserve">, the quality of teaching </w:t>
      </w:r>
      <w:r w:rsidR="00993BE7">
        <w:t xml:space="preserve">varied </w:t>
      </w:r>
      <w:r w:rsidR="00327D2D">
        <w:t>widely within and across schools</w:t>
      </w:r>
      <w:r w:rsidR="00DC52FB">
        <w:t>, with stronger teaching taking place K–8</w:t>
      </w:r>
      <w:r w:rsidR="00327D2D">
        <w:t xml:space="preserve">.  Most </w:t>
      </w:r>
      <w:r w:rsidR="00993BE7">
        <w:t xml:space="preserve">notably, team members observed </w:t>
      </w:r>
      <w:r w:rsidR="00327D2D">
        <w:t>variations in expectations</w:t>
      </w:r>
      <w:r w:rsidR="00CB60CF">
        <w:t xml:space="preserve"> </w:t>
      </w:r>
      <w:r w:rsidR="005948E0">
        <w:t xml:space="preserve">for student work </w:t>
      </w:r>
      <w:r w:rsidR="00CB60CF">
        <w:t xml:space="preserve">and in students’ opportunities to develop and use </w:t>
      </w:r>
      <w:r w:rsidR="00DC52FB">
        <w:t>higher-</w:t>
      </w:r>
      <w:r w:rsidR="00CB60CF">
        <w:t xml:space="preserve">order thinking skills. Other </w:t>
      </w:r>
      <w:r w:rsidR="00DC52FB">
        <w:t xml:space="preserve">challenges </w:t>
      </w:r>
      <w:r w:rsidR="00CB60CF">
        <w:t>include</w:t>
      </w:r>
      <w:r w:rsidR="00993BE7">
        <w:t>d</w:t>
      </w:r>
      <w:r w:rsidR="00CB60CF">
        <w:t xml:space="preserve"> an </w:t>
      </w:r>
      <w:r w:rsidR="00DC52FB">
        <w:t xml:space="preserve">inconsistent use </w:t>
      </w:r>
      <w:r w:rsidR="00CB60CF">
        <w:t>of differentiated instruction to address students</w:t>
      </w:r>
      <w:r w:rsidR="00993BE7">
        <w:t>’</w:t>
      </w:r>
      <w:r w:rsidR="00CB60CF">
        <w:t xml:space="preserve"> learning needs and </w:t>
      </w:r>
      <w:r w:rsidR="00327D2D">
        <w:t xml:space="preserve">of appropriate resources for learning. And while district leaders </w:t>
      </w:r>
      <w:r w:rsidR="00F371CB">
        <w:t xml:space="preserve">strategically </w:t>
      </w:r>
      <w:r w:rsidR="00B000B1">
        <w:t>use data for decision-</w:t>
      </w:r>
      <w:r w:rsidR="00327D2D">
        <w:t xml:space="preserve">making, classroom teachers </w:t>
      </w:r>
      <w:r w:rsidR="00DC52FB">
        <w:t xml:space="preserve">do not </w:t>
      </w:r>
      <w:r w:rsidR="00F371CB">
        <w:t xml:space="preserve">consistently </w:t>
      </w:r>
      <w:r w:rsidR="00327D2D">
        <w:t>demonstrate expertise in routinely analyzing and using data to make decisions about instruction, differentiation, and curriculum.</w:t>
      </w:r>
    </w:p>
    <w:p w:rsidR="00F76B10" w:rsidRDefault="005948E0" w:rsidP="007C01ED">
      <w:r>
        <w:t>T</w:t>
      </w:r>
      <w:r w:rsidR="00DC52FB">
        <w:t xml:space="preserve">he </w:t>
      </w:r>
      <w:r w:rsidR="00327D2D">
        <w:t>implemen</w:t>
      </w:r>
      <w:r w:rsidR="00603489">
        <w:t xml:space="preserve">tation of </w:t>
      </w:r>
      <w:r w:rsidR="00DC52FB">
        <w:t xml:space="preserve">the </w:t>
      </w:r>
      <w:r>
        <w:t xml:space="preserve">district’s </w:t>
      </w:r>
      <w:r w:rsidR="00603489">
        <w:t xml:space="preserve">educator evaluation </w:t>
      </w:r>
      <w:r w:rsidR="00DC52FB">
        <w:t xml:space="preserve">system </w:t>
      </w:r>
      <w:r w:rsidR="00993BE7">
        <w:t xml:space="preserve">has been </w:t>
      </w:r>
      <w:r w:rsidR="00327D2D">
        <w:t xml:space="preserve">inconsistent and uneven. </w:t>
      </w:r>
      <w:r w:rsidR="00982DFB">
        <w:t>T</w:t>
      </w:r>
      <w:r w:rsidR="00327D2D">
        <w:t xml:space="preserve">he </w:t>
      </w:r>
      <w:r w:rsidR="00776463">
        <w:t xml:space="preserve">district </w:t>
      </w:r>
      <w:r w:rsidR="00327D2D">
        <w:t>has no</w:t>
      </w:r>
      <w:r w:rsidR="00776463">
        <w:t>t</w:t>
      </w:r>
      <w:r w:rsidR="00327D2D">
        <w:t xml:space="preserve"> </w:t>
      </w:r>
      <w:r w:rsidR="00776463">
        <w:t xml:space="preserve">made </w:t>
      </w:r>
      <w:r w:rsidR="00327D2D">
        <w:t xml:space="preserve">progress in using multiple measures of </w:t>
      </w:r>
      <w:r w:rsidR="00327D2D" w:rsidRPr="008C59A4">
        <w:t xml:space="preserve">evidence </w:t>
      </w:r>
      <w:r w:rsidR="0047041E" w:rsidRPr="0047041E">
        <w:t>to inform educators’ evaluations. The</w:t>
      </w:r>
      <w:r w:rsidR="00CB60CF" w:rsidRPr="008C59A4">
        <w:t xml:space="preserve"> district has not </w:t>
      </w:r>
      <w:r w:rsidR="003A1E39" w:rsidRPr="008C59A4">
        <w:t xml:space="preserve">completed its initiative to develop and </w:t>
      </w:r>
      <w:r w:rsidR="00CB60CF" w:rsidRPr="008C59A4">
        <w:t>implement</w:t>
      </w:r>
      <w:r w:rsidR="00CB60CF">
        <w:t xml:space="preserve"> </w:t>
      </w:r>
      <w:r w:rsidR="00327D2D">
        <w:t xml:space="preserve">a </w:t>
      </w:r>
      <w:r w:rsidR="003A1E39">
        <w:t xml:space="preserve">more </w:t>
      </w:r>
      <w:r w:rsidR="00327D2D">
        <w:t xml:space="preserve">cohesive </w:t>
      </w:r>
      <w:r w:rsidR="003A1E39">
        <w:t>multi</w:t>
      </w:r>
      <w:r w:rsidR="00327D2D">
        <w:t xml:space="preserve">-tiered </w:t>
      </w:r>
      <w:r w:rsidR="003A1E39">
        <w:t xml:space="preserve">system </w:t>
      </w:r>
      <w:r w:rsidR="00327D2D">
        <w:t xml:space="preserve">of </w:t>
      </w:r>
      <w:r w:rsidR="003A1E39">
        <w:t xml:space="preserve">supports </w:t>
      </w:r>
      <w:r w:rsidR="00DE70D9">
        <w:t>to meet the needs of all</w:t>
      </w:r>
      <w:r w:rsidR="00327D2D">
        <w:t xml:space="preserve"> students</w:t>
      </w:r>
      <w:r w:rsidR="00DE70D9">
        <w:t>.</w:t>
      </w:r>
      <w:r w:rsidR="00327D2D">
        <w:t xml:space="preserve"> </w:t>
      </w:r>
      <w:r w:rsidR="00776463">
        <w:t>Finally</w:t>
      </w:r>
      <w:r w:rsidR="00DE70D9">
        <w:t>, many school buildings are old, outdated</w:t>
      </w:r>
      <w:r w:rsidR="00776463">
        <w:t>,</w:t>
      </w:r>
      <w:r w:rsidR="00DE70D9">
        <w:t xml:space="preserve"> and overcrowded. </w:t>
      </w:r>
      <w:r w:rsidR="00993BE7">
        <w:t>P</w:t>
      </w:r>
      <w:r w:rsidR="00DE70D9">
        <w:t>lanning and resource</w:t>
      </w:r>
      <w:r w:rsidR="00993BE7">
        <w:t>s</w:t>
      </w:r>
      <w:r w:rsidR="00DE70D9">
        <w:t xml:space="preserve"> </w:t>
      </w:r>
      <w:r w:rsidR="00993BE7">
        <w:t>have been</w:t>
      </w:r>
      <w:r w:rsidR="00DE70D9">
        <w:t xml:space="preserve"> inadequate to </w:t>
      </w:r>
      <w:r w:rsidR="00993BE7">
        <w:t xml:space="preserve">keep up with </w:t>
      </w:r>
      <w:r w:rsidR="00DE70D9">
        <w:t>needed renovations, repairs</w:t>
      </w:r>
      <w:r w:rsidR="00993BE7">
        <w:t>,</w:t>
      </w:r>
      <w:r w:rsidR="00DE70D9">
        <w:t xml:space="preserve"> and upgrades to the schools.</w:t>
      </w:r>
    </w:p>
    <w:p w:rsidR="007C01ED" w:rsidRPr="00253405" w:rsidRDefault="0047041E" w:rsidP="007C01ED">
      <w:pPr>
        <w:rPr>
          <w:b/>
          <w:sz w:val="28"/>
          <w:szCs w:val="28"/>
        </w:rPr>
      </w:pPr>
      <w:r w:rsidRPr="0047041E">
        <w:rPr>
          <w:b/>
          <w:sz w:val="28"/>
          <w:szCs w:val="28"/>
        </w:rPr>
        <w:t>Recommendations</w:t>
      </w:r>
    </w:p>
    <w:p w:rsidR="00DE70D9" w:rsidRDefault="00DE70D9" w:rsidP="007C01ED">
      <w:r>
        <w:t>To address the challenges highlighted above, the review team has made a number of key recommendations:</w:t>
      </w:r>
    </w:p>
    <w:p w:rsidR="0047041E" w:rsidRDefault="0072387D" w:rsidP="0047041E">
      <w:pPr>
        <w:pStyle w:val="ListParagraph"/>
        <w:numPr>
          <w:ilvl w:val="0"/>
          <w:numId w:val="50"/>
        </w:numPr>
        <w:ind w:left="360"/>
        <w:contextualSpacing w:val="0"/>
      </w:pPr>
      <w:r>
        <w:t>S</w:t>
      </w:r>
      <w:r w:rsidR="00DE70D9">
        <w:t xml:space="preserve">chool committee </w:t>
      </w:r>
      <w:r>
        <w:t xml:space="preserve">members </w:t>
      </w:r>
      <w:r w:rsidR="00DE70D9">
        <w:t xml:space="preserve">should act with restraint </w:t>
      </w:r>
      <w:r w:rsidR="008A206A">
        <w:t xml:space="preserve">with </w:t>
      </w:r>
      <w:r w:rsidR="00DE70D9">
        <w:t xml:space="preserve">regard </w:t>
      </w:r>
      <w:r w:rsidR="008A206A">
        <w:t xml:space="preserve">to </w:t>
      </w:r>
      <w:r w:rsidR="00DE70D9">
        <w:t>the number and complexity of motion</w:t>
      </w:r>
      <w:r w:rsidR="00B000B1">
        <w:t>s requesting information</w:t>
      </w:r>
      <w:r w:rsidR="00DE70D9">
        <w:t xml:space="preserve"> </w:t>
      </w:r>
      <w:r>
        <w:t xml:space="preserve">from </w:t>
      </w:r>
      <w:r w:rsidR="00DE70D9">
        <w:t>school and district leaders.</w:t>
      </w:r>
    </w:p>
    <w:p w:rsidR="0047041E" w:rsidRDefault="00DE70D9" w:rsidP="0047041E">
      <w:pPr>
        <w:pStyle w:val="ListParagraph"/>
        <w:numPr>
          <w:ilvl w:val="0"/>
          <w:numId w:val="50"/>
        </w:numPr>
        <w:ind w:left="360"/>
        <w:contextualSpacing w:val="0"/>
      </w:pPr>
      <w:r>
        <w:t xml:space="preserve">The district should </w:t>
      </w:r>
      <w:r w:rsidR="00B000B1">
        <w:t>ensure that at all schools and school levels teachers have</w:t>
      </w:r>
      <w:r>
        <w:t xml:space="preserve"> </w:t>
      </w:r>
      <w:r w:rsidR="0072387D">
        <w:t xml:space="preserve">adequate, </w:t>
      </w:r>
      <w:r>
        <w:t xml:space="preserve">frequent common planning time for </w:t>
      </w:r>
      <w:r w:rsidR="00B000B1">
        <w:t>collaboration.</w:t>
      </w:r>
    </w:p>
    <w:p w:rsidR="0047041E" w:rsidRDefault="00DE70D9" w:rsidP="0047041E">
      <w:pPr>
        <w:pStyle w:val="ListParagraph"/>
        <w:numPr>
          <w:ilvl w:val="0"/>
          <w:numId w:val="50"/>
        </w:numPr>
        <w:ind w:left="360"/>
        <w:contextualSpacing w:val="0"/>
      </w:pPr>
      <w:r>
        <w:t xml:space="preserve">Teachers and leaders </w:t>
      </w:r>
      <w:r w:rsidR="0072387D">
        <w:t xml:space="preserve">should </w:t>
      </w:r>
      <w:r>
        <w:t>finish aligning all ELA/English, math</w:t>
      </w:r>
      <w:r w:rsidR="008A206A">
        <w:t>,</w:t>
      </w:r>
      <w:r>
        <w:t xml:space="preserve"> and science curriculum documents to</w:t>
      </w:r>
      <w:r w:rsidR="00E30975">
        <w:t xml:space="preserve"> current</w:t>
      </w:r>
      <w:r>
        <w:t xml:space="preserve"> state standards.</w:t>
      </w:r>
    </w:p>
    <w:p w:rsidR="0047041E" w:rsidRDefault="00DE70D9" w:rsidP="0047041E">
      <w:pPr>
        <w:pStyle w:val="ListParagraph"/>
        <w:numPr>
          <w:ilvl w:val="0"/>
          <w:numId w:val="50"/>
        </w:numPr>
        <w:ind w:left="360"/>
        <w:contextualSpacing w:val="0"/>
      </w:pPr>
      <w:r>
        <w:t xml:space="preserve">The district should </w:t>
      </w:r>
      <w:r w:rsidR="0072387D">
        <w:t xml:space="preserve">further articulate </w:t>
      </w:r>
      <w:r>
        <w:t xml:space="preserve">the </w:t>
      </w:r>
      <w:r w:rsidR="0072387D">
        <w:t>F</w:t>
      </w:r>
      <w:r>
        <w:t xml:space="preserve">ramework </w:t>
      </w:r>
      <w:r w:rsidR="0072387D">
        <w:t xml:space="preserve">for High-Quality Teaching and Learning </w:t>
      </w:r>
      <w:r>
        <w:t xml:space="preserve">with the goal of prioritizing </w:t>
      </w:r>
      <w:r w:rsidR="0072387D">
        <w:t xml:space="preserve">key instructional practices, communicating these </w:t>
      </w:r>
      <w:r w:rsidR="007C6724">
        <w:t>key strategies</w:t>
      </w:r>
      <w:r w:rsidR="0072387D">
        <w:t xml:space="preserve"> to the full educational community, </w:t>
      </w:r>
      <w:r>
        <w:t xml:space="preserve">and </w:t>
      </w:r>
      <w:r w:rsidR="0072387D">
        <w:t>support</w:t>
      </w:r>
      <w:r w:rsidR="007C6724">
        <w:t>ing</w:t>
      </w:r>
      <w:r w:rsidR="0072387D">
        <w:t xml:space="preserve"> teachers in their implementation</w:t>
      </w:r>
      <w:r>
        <w:t>.</w:t>
      </w:r>
    </w:p>
    <w:p w:rsidR="0047041E" w:rsidRDefault="00DE70D9" w:rsidP="0047041E">
      <w:pPr>
        <w:pStyle w:val="ListParagraph"/>
        <w:numPr>
          <w:ilvl w:val="0"/>
          <w:numId w:val="50"/>
        </w:numPr>
        <w:ind w:left="360"/>
        <w:contextualSpacing w:val="0"/>
      </w:pPr>
      <w:r>
        <w:t xml:space="preserve">The </w:t>
      </w:r>
      <w:r w:rsidR="0072387D">
        <w:t xml:space="preserve">district </w:t>
      </w:r>
      <w:r>
        <w:t xml:space="preserve">should </w:t>
      </w:r>
      <w:r w:rsidR="0072387D">
        <w:t xml:space="preserve">provide </w:t>
      </w:r>
      <w:r>
        <w:t>systematic</w:t>
      </w:r>
      <w:r w:rsidR="007C6724">
        <w:t>, ongoing</w:t>
      </w:r>
      <w:r>
        <w:t xml:space="preserve"> professional learning opportunities to build </w:t>
      </w:r>
      <w:r w:rsidR="00CB24CA">
        <w:t xml:space="preserve">educators’ ability </w:t>
      </w:r>
      <w:r>
        <w:t>to analyze and use data for improve</w:t>
      </w:r>
      <w:r w:rsidR="00CB24CA">
        <w:t>ment</w:t>
      </w:r>
      <w:r w:rsidR="0059741D">
        <w:t>,</w:t>
      </w:r>
      <w:r w:rsidR="00E31EBA">
        <w:t xml:space="preserve"> a</w:t>
      </w:r>
      <w:r w:rsidR="008A206A">
        <w:t>nd to promote critical thinking and</w:t>
      </w:r>
      <w:r w:rsidR="00E31EBA">
        <w:t xml:space="preserve"> promote high levels of student engagement, differentiate instruction, and use appropriate resources to meet students’ diverse learning needs</w:t>
      </w:r>
      <w:r>
        <w:t>.</w:t>
      </w:r>
    </w:p>
    <w:p w:rsidR="0047041E" w:rsidRDefault="000E0F04" w:rsidP="0047041E">
      <w:pPr>
        <w:pStyle w:val="ListParagraph"/>
        <w:numPr>
          <w:ilvl w:val="0"/>
          <w:numId w:val="50"/>
        </w:numPr>
        <w:ind w:left="360"/>
        <w:contextualSpacing w:val="0"/>
      </w:pPr>
      <w:r>
        <w:lastRenderedPageBreak/>
        <w:t>The district should fully implement its educator evaluation system.</w:t>
      </w:r>
    </w:p>
    <w:p w:rsidR="0047041E" w:rsidRDefault="00E31EBA" w:rsidP="0047041E">
      <w:pPr>
        <w:pStyle w:val="ListParagraph"/>
        <w:numPr>
          <w:ilvl w:val="0"/>
          <w:numId w:val="50"/>
        </w:numPr>
        <w:ind w:left="360"/>
        <w:contextualSpacing w:val="0"/>
      </w:pPr>
      <w:r>
        <w:t>T</w:t>
      </w:r>
      <w:r w:rsidR="000E0F04">
        <w:t xml:space="preserve">he district </w:t>
      </w:r>
      <w:r>
        <w:t>should complete</w:t>
      </w:r>
      <w:r w:rsidR="000E0F04">
        <w:t xml:space="preserve"> </w:t>
      </w:r>
      <w:r>
        <w:t>the development</w:t>
      </w:r>
      <w:r w:rsidR="000E0F04">
        <w:t xml:space="preserve"> </w:t>
      </w:r>
      <w:r>
        <w:t>and implementation</w:t>
      </w:r>
      <w:r w:rsidR="000E0F04">
        <w:t xml:space="preserve"> </w:t>
      </w:r>
      <w:r>
        <w:t>of</w:t>
      </w:r>
      <w:r w:rsidR="000E0F04">
        <w:t xml:space="preserve"> </w:t>
      </w:r>
      <w:r>
        <w:t xml:space="preserve">its </w:t>
      </w:r>
      <w:r w:rsidR="000E0F04">
        <w:t xml:space="preserve">multi-tiered system of supports for </w:t>
      </w:r>
      <w:r w:rsidR="005811BE">
        <w:t xml:space="preserve">all </w:t>
      </w:r>
      <w:r w:rsidR="000E0F04">
        <w:t xml:space="preserve">students.  </w:t>
      </w:r>
    </w:p>
    <w:p w:rsidR="0047041E" w:rsidRDefault="005811BE" w:rsidP="0047041E">
      <w:pPr>
        <w:pStyle w:val="ListParagraph"/>
        <w:numPr>
          <w:ilvl w:val="0"/>
          <w:numId w:val="50"/>
        </w:numPr>
        <w:ind w:left="360"/>
        <w:contextualSpacing w:val="0"/>
      </w:pPr>
      <w:r>
        <w:t>T</w:t>
      </w:r>
      <w:r w:rsidR="000E0F04">
        <w:t xml:space="preserve">he district </w:t>
      </w:r>
      <w:r>
        <w:t>should</w:t>
      </w:r>
      <w:r w:rsidR="000E0F04">
        <w:t xml:space="preserve"> develop a long-range plan to upgrade and renovate its schools and</w:t>
      </w:r>
      <w:r>
        <w:t>---</w:t>
      </w:r>
      <w:r w:rsidR="000E0F04">
        <w:t>equally critical</w:t>
      </w:r>
      <w:r>
        <w:t>---</w:t>
      </w:r>
      <w:r w:rsidR="000E0F04">
        <w:t xml:space="preserve">it </w:t>
      </w:r>
      <w:r>
        <w:t xml:space="preserve">should </w:t>
      </w:r>
      <w:r w:rsidR="000E0F04">
        <w:t xml:space="preserve">develop a </w:t>
      </w:r>
      <w:r w:rsidR="007C6724">
        <w:t xml:space="preserve">long-range </w:t>
      </w:r>
      <w:r w:rsidR="000E0F04">
        <w:t>plan to fund these efforts.</w:t>
      </w:r>
    </w:p>
    <w:p w:rsidR="008E314D" w:rsidRPr="00A9708E" w:rsidRDefault="007610D6" w:rsidP="008E314D">
      <w:pPr>
        <w:pStyle w:val="Section"/>
        <w:tabs>
          <w:tab w:val="left" w:pos="360"/>
          <w:tab w:val="left" w:pos="720"/>
          <w:tab w:val="left" w:pos="1080"/>
          <w:tab w:val="left" w:pos="1440"/>
          <w:tab w:val="left" w:pos="1800"/>
          <w:tab w:val="left" w:pos="2160"/>
          <w:tab w:val="left" w:pos="2520"/>
          <w:tab w:val="left" w:pos="2880"/>
        </w:tabs>
        <w:outlineLvl w:val="0"/>
        <w:rPr>
          <w:szCs w:val="36"/>
        </w:rPr>
      </w:pPr>
      <w:bookmarkStart w:id="2" w:name="_Toc484611571"/>
      <w:r w:rsidRPr="00A9708E">
        <w:rPr>
          <w:szCs w:val="36"/>
        </w:rPr>
        <w:lastRenderedPageBreak/>
        <w:t>Worcester Public Schools</w:t>
      </w:r>
      <w:r w:rsidR="008E314D" w:rsidRPr="00A9708E">
        <w:rPr>
          <w:szCs w:val="36"/>
        </w:rPr>
        <w:t xml:space="preserve"> </w:t>
      </w:r>
      <w:r w:rsidR="005868E4" w:rsidRPr="00A9708E">
        <w:rPr>
          <w:szCs w:val="36"/>
        </w:rPr>
        <w:t xml:space="preserve">Comprehensive </w:t>
      </w:r>
      <w:r w:rsidR="008E314D" w:rsidRPr="00A9708E">
        <w:rPr>
          <w:szCs w:val="36"/>
        </w:rPr>
        <w:t>District Review Overview</w:t>
      </w:r>
      <w:bookmarkEnd w:id="1"/>
      <w:bookmarkEnd w:id="2"/>
    </w:p>
    <w:p w:rsidR="008E314D" w:rsidRPr="00AE5530" w:rsidRDefault="0047041E" w:rsidP="008E314D">
      <w:pPr>
        <w:pStyle w:val="Subsection"/>
        <w:tabs>
          <w:tab w:val="left" w:pos="360"/>
          <w:tab w:val="left" w:pos="720"/>
          <w:tab w:val="left" w:pos="1080"/>
          <w:tab w:val="left" w:pos="1440"/>
          <w:tab w:val="left" w:pos="1800"/>
          <w:tab w:val="left" w:pos="2160"/>
          <w:tab w:val="left" w:pos="2520"/>
          <w:tab w:val="left" w:pos="2880"/>
        </w:tabs>
        <w:spacing w:before="0"/>
        <w:rPr>
          <w:color w:val="C00000"/>
          <w:szCs w:val="28"/>
        </w:rPr>
      </w:pPr>
      <w:bookmarkStart w:id="3" w:name="_Toc273777149"/>
      <w:bookmarkStart w:id="4" w:name="_Toc277066412"/>
      <w:bookmarkStart w:id="5" w:name="_Toc338665638"/>
      <w:r w:rsidRPr="0047041E">
        <w:rPr>
          <w:szCs w:val="28"/>
        </w:rPr>
        <w:t>Purpose</w:t>
      </w:r>
      <w:bookmarkEnd w:id="3"/>
      <w:bookmarkEnd w:id="4"/>
      <w:bookmarkEnd w:id="5"/>
    </w:p>
    <w:p w:rsidR="008E314D" w:rsidRPr="00F04EDB" w:rsidRDefault="008E314D" w:rsidP="008E314D">
      <w:pPr>
        <w:tabs>
          <w:tab w:val="left" w:pos="360"/>
          <w:tab w:val="left" w:pos="720"/>
          <w:tab w:val="left" w:pos="1080"/>
          <w:tab w:val="left" w:pos="1440"/>
          <w:tab w:val="left" w:pos="1800"/>
          <w:tab w:val="left" w:pos="2160"/>
          <w:tab w:val="left" w:pos="2520"/>
          <w:tab w:val="left" w:pos="2880"/>
        </w:tabs>
        <w:rPr>
          <w:color w:val="C00000"/>
        </w:rPr>
      </w:pPr>
      <w:r w:rsidRPr="00F04EDB">
        <w:t xml:space="preserve">Conducted under Chapter 15, Section 55A of the Massachusetts General Laws, </w:t>
      </w:r>
      <w:r w:rsidR="005868E4" w:rsidRPr="00F04EDB">
        <w:t xml:space="preserve">comprehensive </w:t>
      </w:r>
      <w:r w:rsidRPr="00F04EDB">
        <w:t xml:space="preserve">district reviews support local school districts in establishing or strengthening a cycle of continuous improvement. Reviews consider carefully the effectiveness of systemwide </w:t>
      </w:r>
      <w:r w:rsidR="0036533B" w:rsidRPr="00F04EDB">
        <w:t>functions, with</w:t>
      </w:r>
      <w:r w:rsidRPr="00F04EDB">
        <w:t xml:space="preserve"> reference </w:t>
      </w:r>
      <w:r w:rsidR="0036533B" w:rsidRPr="00F04EDB">
        <w:t>to the</w:t>
      </w:r>
      <w:r w:rsidRPr="00F04EDB">
        <w:t xml:space="preserve"> six district standards used by the Department of Elementary and Secondary Education (ESE):</w:t>
      </w:r>
      <w:r w:rsidR="00575C46" w:rsidRPr="00F04EDB">
        <w:t xml:space="preserve"> </w:t>
      </w:r>
      <w:r w:rsidRPr="00F04EDB">
        <w:t xml:space="preserve">leadership and governance, curriculum and instruction, assessment, human resources and professional development, student support, and financial and asset </w:t>
      </w:r>
      <w:r w:rsidR="0036533B" w:rsidRPr="00F04EDB">
        <w:t>management. Reviews</w:t>
      </w:r>
      <w:r w:rsidRPr="00F04EDB">
        <w:t xml:space="preserve"> identify systems and practices that may be impeding improvement as well as those most likely to be contributing to positive results.</w:t>
      </w:r>
    </w:p>
    <w:p w:rsidR="008E314D" w:rsidRPr="00F04EDB" w:rsidRDefault="008E314D" w:rsidP="008E314D">
      <w:pPr>
        <w:tabs>
          <w:tab w:val="left" w:pos="360"/>
          <w:tab w:val="left" w:pos="720"/>
          <w:tab w:val="left" w:pos="1080"/>
          <w:tab w:val="left" w:pos="1440"/>
          <w:tab w:val="left" w:pos="1800"/>
          <w:tab w:val="left" w:pos="2160"/>
          <w:tab w:val="left" w:pos="2520"/>
          <w:tab w:val="left" w:pos="2880"/>
        </w:tabs>
      </w:pPr>
      <w:r w:rsidRPr="00F04EDB">
        <w:t xml:space="preserve">Districts reviewed in the </w:t>
      </w:r>
      <w:r w:rsidR="0036742F" w:rsidRPr="00F04EDB">
        <w:t>2016</w:t>
      </w:r>
      <w:r w:rsidR="0016586A">
        <w:t>–</w:t>
      </w:r>
      <w:r w:rsidR="0036742F" w:rsidRPr="00F04EDB">
        <w:t>2017</w:t>
      </w:r>
      <w:r w:rsidRPr="00F04EDB">
        <w:t xml:space="preserve"> school year include districts classified into Level 2</w:t>
      </w:r>
      <w:r w:rsidR="0058397A" w:rsidRPr="00F04EDB">
        <w:t>,</w:t>
      </w:r>
      <w:r w:rsidRPr="00F04EDB">
        <w:t xml:space="preserve"> Level 3</w:t>
      </w:r>
      <w:r w:rsidR="0058397A" w:rsidRPr="00F04EDB">
        <w:t>, or Level 4</w:t>
      </w:r>
      <w:r w:rsidR="001A64E3" w:rsidRPr="00F04EDB">
        <w:t xml:space="preserve"> </w:t>
      </w:r>
      <w:r w:rsidRPr="00F04EDB">
        <w:t xml:space="preserve">of ESE’s framework for district accountability and assistance. Review reports may be used by ESE and the district to establish priority for assistance and make resource allocation decisions. </w:t>
      </w:r>
    </w:p>
    <w:p w:rsidR="008E314D" w:rsidRPr="00AE5530" w:rsidRDefault="0047041E" w:rsidP="008E314D">
      <w:pPr>
        <w:pStyle w:val="Subsection"/>
        <w:tabs>
          <w:tab w:val="left" w:pos="360"/>
          <w:tab w:val="left" w:pos="720"/>
          <w:tab w:val="left" w:pos="1080"/>
          <w:tab w:val="left" w:pos="1440"/>
          <w:tab w:val="left" w:pos="1800"/>
          <w:tab w:val="left" w:pos="2160"/>
          <w:tab w:val="left" w:pos="2520"/>
          <w:tab w:val="left" w:pos="2880"/>
        </w:tabs>
        <w:spacing w:before="0"/>
        <w:rPr>
          <w:szCs w:val="28"/>
        </w:rPr>
      </w:pPr>
      <w:bookmarkStart w:id="6" w:name="_Toc273777151"/>
      <w:bookmarkStart w:id="7" w:name="_Toc277066413"/>
      <w:bookmarkStart w:id="8" w:name="_Toc338665639"/>
      <w:r w:rsidRPr="0047041E">
        <w:rPr>
          <w:szCs w:val="28"/>
        </w:rPr>
        <w:t>Methodology</w:t>
      </w:r>
      <w:bookmarkEnd w:id="6"/>
      <w:bookmarkEnd w:id="7"/>
      <w:bookmarkEnd w:id="8"/>
    </w:p>
    <w:p w:rsidR="00F75D73" w:rsidRPr="00F04EDB" w:rsidRDefault="008E314D" w:rsidP="008E314D">
      <w:pPr>
        <w:tabs>
          <w:tab w:val="left" w:pos="360"/>
          <w:tab w:val="left" w:pos="720"/>
          <w:tab w:val="left" w:pos="1080"/>
          <w:tab w:val="left" w:pos="1440"/>
          <w:tab w:val="left" w:pos="1800"/>
          <w:tab w:val="left" w:pos="2160"/>
          <w:tab w:val="left" w:pos="2520"/>
          <w:tab w:val="left" w:pos="2880"/>
        </w:tabs>
        <w:rPr>
          <w:color w:val="000080"/>
        </w:rPr>
      </w:pPr>
      <w:r w:rsidRPr="00F04EDB">
        <w:t xml:space="preserve">Reviews collect evidence for each of the six district standards </w:t>
      </w:r>
      <w:r w:rsidR="0036533B" w:rsidRPr="00F04EDB">
        <w:t>above. A</w:t>
      </w:r>
      <w:r w:rsidRPr="00F04EDB">
        <w:t xml:space="preserve"> district review team consisting of independent consultants with expertise in each of the district standards </w:t>
      </w:r>
      <w:r w:rsidR="0036533B" w:rsidRPr="00F04EDB">
        <w:t>reviews documentation</w:t>
      </w:r>
      <w:r w:rsidRPr="00F04EDB">
        <w:t>, data, and reports for two days before conducting a four-day district visit that includes visits to individual schools. The team conducts interviews and focus group sessions with such stakeholders as school committee members, teachers’ association representatives, administrators, teachers, parents, and students. Team members also observe classroom instructional practice. Subsequent to the onsite review, the team meets for two days to develop findings and recommendations before submitting a draft report to ESE</w:t>
      </w:r>
      <w:r w:rsidRPr="00F04EDB">
        <w:rPr>
          <w:color w:val="000080"/>
        </w:rPr>
        <w:t>.</w:t>
      </w:r>
    </w:p>
    <w:p w:rsidR="008E314D" w:rsidRPr="00AE5530" w:rsidRDefault="0047041E" w:rsidP="008E314D">
      <w:pPr>
        <w:pStyle w:val="Subsection"/>
        <w:tabs>
          <w:tab w:val="left" w:pos="360"/>
          <w:tab w:val="left" w:pos="720"/>
          <w:tab w:val="left" w:pos="1080"/>
          <w:tab w:val="left" w:pos="1440"/>
          <w:tab w:val="left" w:pos="1800"/>
          <w:tab w:val="left" w:pos="2160"/>
          <w:tab w:val="left" w:pos="2520"/>
          <w:tab w:val="left" w:pos="2880"/>
        </w:tabs>
        <w:spacing w:before="0"/>
        <w:rPr>
          <w:szCs w:val="28"/>
        </w:rPr>
      </w:pPr>
      <w:r w:rsidRPr="0047041E">
        <w:rPr>
          <w:szCs w:val="28"/>
        </w:rPr>
        <w:t>Site Visit</w:t>
      </w:r>
    </w:p>
    <w:p w:rsidR="008E314D" w:rsidRPr="00F04EDB" w:rsidRDefault="008E314D" w:rsidP="008E314D">
      <w:pPr>
        <w:tabs>
          <w:tab w:val="left" w:pos="360"/>
          <w:tab w:val="left" w:pos="720"/>
          <w:tab w:val="left" w:pos="1080"/>
          <w:tab w:val="left" w:pos="1440"/>
          <w:tab w:val="left" w:pos="1800"/>
          <w:tab w:val="left" w:pos="2160"/>
          <w:tab w:val="left" w:pos="2520"/>
          <w:tab w:val="left" w:pos="2880"/>
        </w:tabs>
        <w:rPr>
          <w:color w:val="FF0000"/>
        </w:rPr>
      </w:pPr>
      <w:r w:rsidRPr="00F04EDB">
        <w:t xml:space="preserve">The site visit to the </w:t>
      </w:r>
      <w:r w:rsidR="00091B1A" w:rsidRPr="008E5267">
        <w:t xml:space="preserve">Worcester Public Schools </w:t>
      </w:r>
      <w:r w:rsidRPr="008E5267">
        <w:t xml:space="preserve">was conducted from </w:t>
      </w:r>
      <w:r w:rsidR="00091B1A" w:rsidRPr="008E5267">
        <w:t>January 23</w:t>
      </w:r>
      <w:r w:rsidR="0016586A">
        <w:t>–</w:t>
      </w:r>
      <w:r w:rsidR="00091B1A" w:rsidRPr="008E5267">
        <w:t xml:space="preserve">27, 2017. </w:t>
      </w:r>
      <w:r w:rsidRPr="008E5267">
        <w:t xml:space="preserve">The site visit included </w:t>
      </w:r>
      <w:r w:rsidR="008973CD" w:rsidRPr="008E5267">
        <w:t xml:space="preserve">42 </w:t>
      </w:r>
      <w:r w:rsidRPr="008E5267">
        <w:t>hours of interviews and focus groups with approximately</w:t>
      </w:r>
      <w:r w:rsidR="008973CD" w:rsidRPr="008E5267">
        <w:t xml:space="preserve"> </w:t>
      </w:r>
      <w:r w:rsidR="008E5267" w:rsidRPr="008E5267">
        <w:t>131</w:t>
      </w:r>
      <w:r w:rsidR="00F411A2" w:rsidRPr="008E5267">
        <w:t xml:space="preserve"> </w:t>
      </w:r>
      <w:r w:rsidRPr="008E5267">
        <w:t>stakeholders, including school committee members, district administrators, school staff,</w:t>
      </w:r>
      <w:r w:rsidR="00091B1A" w:rsidRPr="008E5267">
        <w:t xml:space="preserve"> students,</w:t>
      </w:r>
      <w:r w:rsidRPr="008E5267">
        <w:t xml:space="preserve"> and teachers’ association representatives. The review team conducted </w:t>
      </w:r>
      <w:r w:rsidR="00091B1A" w:rsidRPr="008E5267">
        <w:t xml:space="preserve">4 </w:t>
      </w:r>
      <w:r w:rsidR="00A9708E" w:rsidRPr="008E5267">
        <w:t>focus groups</w:t>
      </w:r>
      <w:r w:rsidRPr="008E5267">
        <w:t xml:space="preserve"> with </w:t>
      </w:r>
      <w:r w:rsidR="008E5267" w:rsidRPr="008E5267">
        <w:t xml:space="preserve">15 </w:t>
      </w:r>
      <w:r w:rsidR="00B439E0" w:rsidRPr="008E5267">
        <w:t>elementary-</w:t>
      </w:r>
      <w:r w:rsidRPr="008E5267">
        <w:t xml:space="preserve">school teachers, </w:t>
      </w:r>
      <w:r w:rsidR="008E5267" w:rsidRPr="008E5267">
        <w:t>6</w:t>
      </w:r>
      <w:r w:rsidRPr="008E5267">
        <w:t xml:space="preserve"> </w:t>
      </w:r>
      <w:r w:rsidR="00B439E0" w:rsidRPr="008E5267">
        <w:t>middle-</w:t>
      </w:r>
      <w:r w:rsidRPr="008E5267">
        <w:t xml:space="preserve">school teachers, and </w:t>
      </w:r>
      <w:r w:rsidR="008E5267" w:rsidRPr="008E5267">
        <w:t>18</w:t>
      </w:r>
      <w:r w:rsidRPr="008E5267">
        <w:t xml:space="preserve"> </w:t>
      </w:r>
      <w:r w:rsidR="00B439E0" w:rsidRPr="008E5267">
        <w:t>high-</w:t>
      </w:r>
      <w:r w:rsidRPr="008E5267">
        <w:t>school teachers.</w:t>
      </w:r>
      <w:r w:rsidRPr="00F04EDB">
        <w:t xml:space="preserve"> </w:t>
      </w:r>
    </w:p>
    <w:p w:rsidR="008E314D" w:rsidRPr="00F04EDB" w:rsidRDefault="008E314D" w:rsidP="008E314D">
      <w:pPr>
        <w:tabs>
          <w:tab w:val="left" w:pos="360"/>
          <w:tab w:val="left" w:pos="720"/>
          <w:tab w:val="left" w:pos="1080"/>
          <w:tab w:val="left" w:pos="1440"/>
          <w:tab w:val="left" w:pos="1800"/>
          <w:tab w:val="left" w:pos="2160"/>
          <w:tab w:val="left" w:pos="2520"/>
          <w:tab w:val="left" w:pos="2880"/>
        </w:tabs>
      </w:pPr>
      <w:r w:rsidRPr="00F04EDB">
        <w:t xml:space="preserve">A list of review team members, information about review activities, and the </w:t>
      </w:r>
      <w:r w:rsidR="00A9708E">
        <w:t xml:space="preserve">site visit </w:t>
      </w:r>
      <w:r w:rsidR="00B000B1">
        <w:t xml:space="preserve">schedule </w:t>
      </w:r>
      <w:r w:rsidR="00B000B1" w:rsidRPr="00F04EDB">
        <w:t>is</w:t>
      </w:r>
      <w:r w:rsidRPr="00F04EDB">
        <w:t xml:space="preserve"> in Appendix A, and Appendix B provides information about enrollment, student performance, and expenditures. The team observed classroom instructional practice in</w:t>
      </w:r>
      <w:r w:rsidR="00F75D73" w:rsidRPr="00F04EDB">
        <w:t xml:space="preserve"> </w:t>
      </w:r>
      <w:r w:rsidR="00091B1A" w:rsidRPr="00F04EDB">
        <w:t>249</w:t>
      </w:r>
      <w:r w:rsidR="00BD3620" w:rsidRPr="00F04EDB">
        <w:t xml:space="preserve"> </w:t>
      </w:r>
      <w:r w:rsidRPr="00F04EDB">
        <w:t xml:space="preserve">classrooms in </w:t>
      </w:r>
      <w:r w:rsidR="00091B1A" w:rsidRPr="00F04EDB">
        <w:t>35 of the 44 schools in the district.</w:t>
      </w:r>
      <w:r w:rsidRPr="00F04EDB">
        <w:t xml:space="preserve"> The team collected data using </w:t>
      </w:r>
      <w:r w:rsidR="00253405">
        <w:t>ESE’s</w:t>
      </w:r>
      <w:r w:rsidR="00253405" w:rsidRPr="00F04EDB">
        <w:t xml:space="preserve"> </w:t>
      </w:r>
      <w:r w:rsidR="00253405">
        <w:t>I</w:t>
      </w:r>
      <w:r w:rsidR="00253405" w:rsidRPr="00F04EDB">
        <w:t xml:space="preserve">nstructional </w:t>
      </w:r>
      <w:r w:rsidR="00253405">
        <w:t>I</w:t>
      </w:r>
      <w:r w:rsidR="00253405" w:rsidRPr="00F04EDB">
        <w:t>nventory</w:t>
      </w:r>
      <w:r w:rsidRPr="00F04EDB">
        <w:t>, a tool for recording observed characteristics of standards-based teaching. This data is contained in Appendix C.</w:t>
      </w:r>
    </w:p>
    <w:p w:rsidR="008E314D" w:rsidRPr="00AE5530" w:rsidRDefault="0047041E" w:rsidP="008E314D">
      <w:pPr>
        <w:tabs>
          <w:tab w:val="left" w:pos="360"/>
          <w:tab w:val="left" w:pos="720"/>
          <w:tab w:val="left" w:pos="1080"/>
          <w:tab w:val="left" w:pos="1440"/>
          <w:tab w:val="left" w:pos="1800"/>
          <w:tab w:val="left" w:pos="2160"/>
          <w:tab w:val="left" w:pos="2520"/>
          <w:tab w:val="left" w:pos="2880"/>
        </w:tabs>
        <w:rPr>
          <w:b/>
          <w:sz w:val="28"/>
          <w:szCs w:val="28"/>
        </w:rPr>
      </w:pPr>
      <w:r w:rsidRPr="0047041E">
        <w:rPr>
          <w:b/>
          <w:sz w:val="28"/>
          <w:szCs w:val="28"/>
        </w:rPr>
        <w:lastRenderedPageBreak/>
        <w:t>District Profile</w:t>
      </w:r>
    </w:p>
    <w:p w:rsidR="008E314D" w:rsidRDefault="00091B1A" w:rsidP="008E314D">
      <w:pPr>
        <w:tabs>
          <w:tab w:val="left" w:pos="360"/>
          <w:tab w:val="left" w:pos="720"/>
          <w:tab w:val="left" w:pos="1080"/>
          <w:tab w:val="left" w:pos="1440"/>
          <w:tab w:val="left" w:pos="1800"/>
          <w:tab w:val="left" w:pos="2160"/>
          <w:tab w:val="left" w:pos="2520"/>
          <w:tab w:val="left" w:pos="2880"/>
        </w:tabs>
      </w:pPr>
      <w:r w:rsidRPr="00F04EDB">
        <w:t xml:space="preserve">Worcester </w:t>
      </w:r>
      <w:r w:rsidR="008E314D" w:rsidRPr="00F04EDB">
        <w:t>has a mayor</w:t>
      </w:r>
      <w:r w:rsidR="00253405">
        <w:t xml:space="preserve">/city </w:t>
      </w:r>
      <w:r w:rsidR="008E314D" w:rsidRPr="00F04EDB">
        <w:t>council form of government</w:t>
      </w:r>
      <w:r w:rsidR="00253405">
        <w:t>,</w:t>
      </w:r>
      <w:r w:rsidR="008E314D" w:rsidRPr="00F04EDB">
        <w:t xml:space="preserve"> </w:t>
      </w:r>
      <w:r w:rsidR="00253405">
        <w:t>with the mayor serving as</w:t>
      </w:r>
      <w:r w:rsidR="00253405" w:rsidRPr="00F04EDB">
        <w:t xml:space="preserve"> </w:t>
      </w:r>
      <w:r w:rsidR="008E314D" w:rsidRPr="00F04EDB">
        <w:t>the chair of the school committee</w:t>
      </w:r>
      <w:r w:rsidR="00736C15">
        <w:t xml:space="preserve"> and the city council</w:t>
      </w:r>
      <w:r w:rsidR="008E314D" w:rsidRPr="00F04EDB">
        <w:t>.</w:t>
      </w:r>
      <w:r w:rsidRPr="00F04EDB">
        <w:t xml:space="preserve"> The</w:t>
      </w:r>
      <w:r w:rsidR="00253405">
        <w:t xml:space="preserve"> </w:t>
      </w:r>
      <w:r w:rsidRPr="00F04EDB">
        <w:t xml:space="preserve">seven </w:t>
      </w:r>
      <w:r w:rsidR="008E314D" w:rsidRPr="00F04EDB">
        <w:t>members of the school committee meet</w:t>
      </w:r>
      <w:r w:rsidRPr="00F04EDB">
        <w:t xml:space="preserve"> every other week</w:t>
      </w:r>
      <w:r w:rsidR="008E314D" w:rsidRPr="00F04EDB">
        <w:t xml:space="preserve">. </w:t>
      </w:r>
    </w:p>
    <w:p w:rsidR="003F5E50" w:rsidRPr="00F04EDB" w:rsidRDefault="003F5E50" w:rsidP="003F5E50">
      <w:pPr>
        <w:rPr>
          <w:rFonts w:cs="Arial"/>
        </w:rPr>
      </w:pPr>
      <w:r>
        <w:rPr>
          <w:rFonts w:cs="Arial"/>
        </w:rPr>
        <w:t>The m</w:t>
      </w:r>
      <w:r w:rsidRPr="00F04EDB">
        <w:rPr>
          <w:rFonts w:cs="Arial"/>
        </w:rPr>
        <w:t>ayor chairs the s</w:t>
      </w:r>
      <w:r>
        <w:rPr>
          <w:rFonts w:cs="Arial"/>
        </w:rPr>
        <w:t>chool committee as well as the city council. The six members of the council</w:t>
      </w:r>
      <w:r w:rsidRPr="00F04EDB">
        <w:rPr>
          <w:rFonts w:cs="Arial"/>
        </w:rPr>
        <w:t xml:space="preserve"> are elected at large and serve two-year terms. Most are long-time members of the committee.  </w:t>
      </w:r>
      <w:r>
        <w:rPr>
          <w:rFonts w:cs="Arial"/>
        </w:rPr>
        <w:t>The school c</w:t>
      </w:r>
      <w:r w:rsidRPr="00F04EDB">
        <w:rPr>
          <w:rFonts w:cs="Arial"/>
        </w:rPr>
        <w:t>ommittee has four standing committees: accountability and student achievement</w:t>
      </w:r>
      <w:r>
        <w:rPr>
          <w:rFonts w:cs="Arial"/>
        </w:rPr>
        <w:t>;</w:t>
      </w:r>
      <w:r w:rsidRPr="00F04EDB">
        <w:rPr>
          <w:rFonts w:cs="Arial"/>
        </w:rPr>
        <w:t xml:space="preserve"> finance and operations</w:t>
      </w:r>
      <w:r>
        <w:rPr>
          <w:rFonts w:cs="Arial"/>
        </w:rPr>
        <w:t>;</w:t>
      </w:r>
      <w:r w:rsidRPr="00F04EDB">
        <w:rPr>
          <w:rFonts w:cs="Arial"/>
        </w:rPr>
        <w:t xml:space="preserve"> governance and employee issues</w:t>
      </w:r>
      <w:r>
        <w:rPr>
          <w:rFonts w:cs="Arial"/>
        </w:rPr>
        <w:t>;</w:t>
      </w:r>
      <w:r w:rsidRPr="00F04EDB">
        <w:rPr>
          <w:rFonts w:cs="Arial"/>
        </w:rPr>
        <w:t xml:space="preserve"> and teaching, learning</w:t>
      </w:r>
      <w:r>
        <w:rPr>
          <w:rFonts w:cs="Arial"/>
        </w:rPr>
        <w:t>,</w:t>
      </w:r>
      <w:r w:rsidRPr="00F04EDB">
        <w:rPr>
          <w:rFonts w:cs="Arial"/>
        </w:rPr>
        <w:t xml:space="preserve"> and student supports. The </w:t>
      </w:r>
      <w:r>
        <w:rPr>
          <w:rFonts w:cs="Arial"/>
        </w:rPr>
        <w:t>school c</w:t>
      </w:r>
      <w:r w:rsidRPr="00F04EDB">
        <w:rPr>
          <w:rFonts w:cs="Arial"/>
        </w:rPr>
        <w:t>ommittee is served by a clerk</w:t>
      </w:r>
      <w:r>
        <w:rPr>
          <w:rFonts w:cs="Arial"/>
        </w:rPr>
        <w:t>,</w:t>
      </w:r>
      <w:r w:rsidRPr="00F04EDB">
        <w:rPr>
          <w:rFonts w:cs="Arial"/>
        </w:rPr>
        <w:t xml:space="preserve"> who is supported, in turn, by two clerks. </w:t>
      </w:r>
    </w:p>
    <w:p w:rsidR="002B39EC" w:rsidRDefault="008E314D" w:rsidP="008E314D">
      <w:pPr>
        <w:tabs>
          <w:tab w:val="left" w:pos="360"/>
          <w:tab w:val="left" w:pos="720"/>
          <w:tab w:val="left" w:pos="1080"/>
          <w:tab w:val="left" w:pos="1440"/>
          <w:tab w:val="left" w:pos="1800"/>
          <w:tab w:val="left" w:pos="2160"/>
          <w:tab w:val="left" w:pos="2520"/>
          <w:tab w:val="left" w:pos="2880"/>
        </w:tabs>
      </w:pPr>
      <w:r w:rsidRPr="00F04EDB">
        <w:t xml:space="preserve">The </w:t>
      </w:r>
      <w:r w:rsidRPr="00664B0F">
        <w:t xml:space="preserve">superintendent has been in the position since </w:t>
      </w:r>
      <w:r w:rsidR="00091B1A" w:rsidRPr="00664B0F">
        <w:t>May 2016</w:t>
      </w:r>
      <w:r w:rsidRPr="00664B0F">
        <w:t>. The district leadership team</w:t>
      </w:r>
      <w:r w:rsidR="00603D98">
        <w:t xml:space="preserve"> reporting directly to the superintendent</w:t>
      </w:r>
      <w:r w:rsidRPr="00664B0F">
        <w:t xml:space="preserve"> includes</w:t>
      </w:r>
      <w:r w:rsidR="00F75D73" w:rsidRPr="00664B0F">
        <w:t xml:space="preserve"> </w:t>
      </w:r>
      <w:r w:rsidR="00664B0F">
        <w:t xml:space="preserve">the </w:t>
      </w:r>
      <w:r w:rsidR="000F4C7F" w:rsidRPr="00664B0F">
        <w:t xml:space="preserve">chief academic officer, </w:t>
      </w:r>
      <w:r w:rsidR="00253405">
        <w:t xml:space="preserve">the </w:t>
      </w:r>
      <w:r w:rsidR="000F4C7F" w:rsidRPr="00664B0F">
        <w:t xml:space="preserve">chief financial and operations officer, </w:t>
      </w:r>
      <w:r w:rsidR="00253405">
        <w:t xml:space="preserve">the </w:t>
      </w:r>
      <w:r w:rsidR="000F4C7F" w:rsidRPr="00664B0F">
        <w:t>chief human resources officer</w:t>
      </w:r>
      <w:r w:rsidR="00664B0F">
        <w:t xml:space="preserve">, </w:t>
      </w:r>
      <w:r w:rsidR="00253405">
        <w:t xml:space="preserve">the </w:t>
      </w:r>
      <w:r w:rsidR="00664B0F" w:rsidRPr="00664B0F">
        <w:t xml:space="preserve">chief research and accountability officer, </w:t>
      </w:r>
      <w:r w:rsidR="000F4C7F" w:rsidRPr="00664B0F">
        <w:t xml:space="preserve">and the school safety director. </w:t>
      </w:r>
      <w:r w:rsidR="000F27EE">
        <w:t xml:space="preserve">The assistant to the superintendent/clerk of the school committee reports to the superintendent and </w:t>
      </w:r>
      <w:r w:rsidR="00253405">
        <w:t xml:space="preserve">to </w:t>
      </w:r>
      <w:r w:rsidR="000F27EE">
        <w:t>the sch</w:t>
      </w:r>
      <w:r w:rsidR="00A25BCB">
        <w:t xml:space="preserve">ool committee, although her principal duties are in </w:t>
      </w:r>
      <w:r w:rsidR="000F27EE">
        <w:t>s</w:t>
      </w:r>
      <w:r w:rsidR="00A25BCB">
        <w:t>upport of</w:t>
      </w:r>
      <w:r w:rsidR="000F27EE">
        <w:t xml:space="preserve"> the school committee. </w:t>
      </w:r>
      <w:r w:rsidR="00253405">
        <w:t xml:space="preserve">The </w:t>
      </w:r>
      <w:r w:rsidR="00A93828">
        <w:t>number of</w:t>
      </w:r>
      <w:r w:rsidR="00603D98">
        <w:t xml:space="preserve"> c</w:t>
      </w:r>
      <w:r w:rsidRPr="00664B0F">
        <w:t>entral office positions</w:t>
      </w:r>
      <w:r w:rsidR="00A25BCB">
        <w:t xml:space="preserve"> had</w:t>
      </w:r>
      <w:r w:rsidRPr="00664B0F">
        <w:t xml:space="preserve"> been</w:t>
      </w:r>
      <w:r w:rsidR="00A93828">
        <w:t xml:space="preserve"> reduced</w:t>
      </w:r>
      <w:r w:rsidR="00F75D73" w:rsidRPr="00664B0F">
        <w:t xml:space="preserve"> </w:t>
      </w:r>
      <w:r w:rsidRPr="00664B0F">
        <w:t xml:space="preserve">in </w:t>
      </w:r>
      <w:r w:rsidR="00664B0F">
        <w:t>recent years</w:t>
      </w:r>
      <w:r w:rsidRPr="00664B0F">
        <w:t>,</w:t>
      </w:r>
      <w:r w:rsidR="000F4C7F" w:rsidRPr="00664B0F">
        <w:t xml:space="preserve"> but</w:t>
      </w:r>
      <w:r w:rsidR="00A51A6B">
        <w:t xml:space="preserve"> </w:t>
      </w:r>
      <w:r w:rsidR="002F6B99">
        <w:t xml:space="preserve">at the end of </w:t>
      </w:r>
      <w:r w:rsidR="00A51A6B">
        <w:t xml:space="preserve">the </w:t>
      </w:r>
      <w:r w:rsidR="00253405">
        <w:t>2015</w:t>
      </w:r>
      <w:r w:rsidR="0016586A">
        <w:t>–</w:t>
      </w:r>
      <w:r w:rsidR="00253405">
        <w:t xml:space="preserve">2016 school </w:t>
      </w:r>
      <w:r w:rsidR="00A51A6B">
        <w:t>year,</w:t>
      </w:r>
      <w:r w:rsidR="000F4C7F" w:rsidRPr="00664B0F">
        <w:t xml:space="preserve"> </w:t>
      </w:r>
      <w:r w:rsidR="00A93828">
        <w:t xml:space="preserve">the superintendent reallocated resources to restore and reorganize a number of positions </w:t>
      </w:r>
      <w:r w:rsidR="00253405">
        <w:t>key</w:t>
      </w:r>
      <w:r w:rsidR="00A93828">
        <w:t xml:space="preserve"> for improving teaching and learning in the district. </w:t>
      </w:r>
    </w:p>
    <w:p w:rsidR="00A51A6B" w:rsidRDefault="00A25BCB" w:rsidP="008E314D">
      <w:pPr>
        <w:tabs>
          <w:tab w:val="left" w:pos="360"/>
          <w:tab w:val="left" w:pos="720"/>
          <w:tab w:val="left" w:pos="1080"/>
          <w:tab w:val="left" w:pos="1440"/>
          <w:tab w:val="left" w:pos="1800"/>
          <w:tab w:val="left" w:pos="2160"/>
          <w:tab w:val="left" w:pos="2520"/>
          <w:tab w:val="left" w:pos="2880"/>
        </w:tabs>
      </w:pPr>
      <w:r>
        <w:t xml:space="preserve">The </w:t>
      </w:r>
      <w:r w:rsidR="00F20D5C">
        <w:t xml:space="preserve">organization </w:t>
      </w:r>
      <w:r>
        <w:t>of the district’s staff is complex and reflects the many spheres of responsibility and influence needed to sustain a large, diversely populated urban district</w:t>
      </w:r>
      <w:r w:rsidR="001720EC">
        <w:t xml:space="preserve"> (see Appendix E</w:t>
      </w:r>
      <w:r w:rsidR="00CA3BB2">
        <w:t>: Worcester Public Schools Organizational Chart</w:t>
      </w:r>
      <w:r w:rsidR="001720EC">
        <w:t>)</w:t>
      </w:r>
      <w:r w:rsidR="00CA3BB2">
        <w:t xml:space="preserve">. </w:t>
      </w:r>
      <w:r w:rsidR="001225B4">
        <w:t xml:space="preserve">The chief academic officer is responsible for a staff of approximately 137 people. </w:t>
      </w:r>
      <w:r w:rsidR="00A51A6B">
        <w:t xml:space="preserve">Key central office </w:t>
      </w:r>
      <w:r w:rsidR="001225B4">
        <w:t>leaders reporting to the chief academic o</w:t>
      </w:r>
      <w:r w:rsidR="00A51A6B">
        <w:t>fficer include the manager of c</w:t>
      </w:r>
      <w:r w:rsidR="004E530E">
        <w:t>urriculum and learning, three</w:t>
      </w:r>
      <w:r w:rsidR="00A51A6B">
        <w:t xml:space="preserve"> managers for instruction and school lead</w:t>
      </w:r>
      <w:r w:rsidR="00C651E5">
        <w:t>ership</w:t>
      </w:r>
      <w:r w:rsidR="004E530E">
        <w:t xml:space="preserve"> (two for</w:t>
      </w:r>
      <w:r w:rsidR="00C651E5">
        <w:t xml:space="preserve"> </w:t>
      </w:r>
      <w:r w:rsidR="004E530E">
        <w:t xml:space="preserve">the </w:t>
      </w:r>
      <w:r w:rsidR="00C651E5">
        <w:t>elementary</w:t>
      </w:r>
      <w:r w:rsidR="004E530E">
        <w:t xml:space="preserve"> schools</w:t>
      </w:r>
      <w:r w:rsidR="00A51A6B">
        <w:t xml:space="preserve"> and one for </w:t>
      </w:r>
      <w:r w:rsidR="004E530E">
        <w:t>the secondary schools)</w:t>
      </w:r>
      <w:r w:rsidR="00C651E5">
        <w:t xml:space="preserve">, </w:t>
      </w:r>
      <w:r w:rsidR="00253405">
        <w:t xml:space="preserve">the </w:t>
      </w:r>
      <w:r w:rsidR="00C651E5">
        <w:t xml:space="preserve">manager of social emotional learning, </w:t>
      </w:r>
      <w:r w:rsidR="00253405">
        <w:t xml:space="preserve">the </w:t>
      </w:r>
      <w:r w:rsidR="00C651E5">
        <w:t xml:space="preserve">manager of English language learners and supplemental support services, and </w:t>
      </w:r>
      <w:r w:rsidR="00253405">
        <w:t xml:space="preserve">the </w:t>
      </w:r>
      <w:r w:rsidR="00C651E5">
        <w:t xml:space="preserve">manager of special education and intervention services. </w:t>
      </w:r>
      <w:r w:rsidR="008138B4">
        <w:t>Other leadership positions</w:t>
      </w:r>
      <w:r w:rsidR="004F1303">
        <w:t xml:space="preserve"> </w:t>
      </w:r>
      <w:r w:rsidR="00253405">
        <w:t>include</w:t>
      </w:r>
      <w:r w:rsidR="000F27EE">
        <w:t xml:space="preserve"> </w:t>
      </w:r>
      <w:r w:rsidR="00253405">
        <w:t xml:space="preserve">the </w:t>
      </w:r>
      <w:r w:rsidR="000F27EE">
        <w:t xml:space="preserve">director of career and vocational technical education, </w:t>
      </w:r>
      <w:r w:rsidR="00253405">
        <w:t xml:space="preserve">the </w:t>
      </w:r>
      <w:r w:rsidR="000F27EE">
        <w:t xml:space="preserve">director of early childhood programs, </w:t>
      </w:r>
      <w:r w:rsidR="00253405">
        <w:t xml:space="preserve">the </w:t>
      </w:r>
      <w:r w:rsidR="000F27EE">
        <w:t>community and family engagement</w:t>
      </w:r>
      <w:r w:rsidR="00513DA2">
        <w:t xml:space="preserve"> facilitator</w:t>
      </w:r>
      <w:r w:rsidR="000F27EE">
        <w:t xml:space="preserve">, and </w:t>
      </w:r>
      <w:r w:rsidR="00253405">
        <w:t xml:space="preserve">the </w:t>
      </w:r>
      <w:r w:rsidR="00513DA2">
        <w:t>early childhood facilitator</w:t>
      </w:r>
      <w:r w:rsidR="000F27EE">
        <w:t xml:space="preserve">. </w:t>
      </w:r>
      <w:r w:rsidR="005A539B">
        <w:t>T</w:t>
      </w:r>
      <w:r w:rsidR="00983ADD">
        <w:t xml:space="preserve">he 44 school principals report to the managers for instruction and school leadership. The manager of curriculum and learning oversees the work of </w:t>
      </w:r>
      <w:r w:rsidR="000F27EE">
        <w:t xml:space="preserve">11 </w:t>
      </w:r>
      <w:r w:rsidR="009A345F">
        <w:t>academic liaisons</w:t>
      </w:r>
      <w:r>
        <w:t xml:space="preserve"> who specialize</w:t>
      </w:r>
      <w:r w:rsidR="000F27EE">
        <w:t xml:space="preserve"> in </w:t>
      </w:r>
      <w:r w:rsidR="001225B4">
        <w:t>content areas (</w:t>
      </w:r>
      <w:r w:rsidR="009A345F">
        <w:t>including the arts and guidance</w:t>
      </w:r>
      <w:r w:rsidR="001225B4">
        <w:t>)</w:t>
      </w:r>
      <w:r w:rsidR="000F27EE">
        <w:t>, 34 guidance counsel</w:t>
      </w:r>
      <w:r>
        <w:t xml:space="preserve">ors, 49 </w:t>
      </w:r>
      <w:r w:rsidR="00983ADD">
        <w:t xml:space="preserve">instructional </w:t>
      </w:r>
      <w:r>
        <w:t xml:space="preserve">coaches, and </w:t>
      </w:r>
      <w:r w:rsidR="005A539B">
        <w:t xml:space="preserve">3 </w:t>
      </w:r>
      <w:r>
        <w:t>te</w:t>
      </w:r>
      <w:r w:rsidR="000F27EE">
        <w:t>ch</w:t>
      </w:r>
      <w:r w:rsidR="008138B4">
        <w:t>nology</w:t>
      </w:r>
      <w:r w:rsidR="000F27EE">
        <w:t>/media specialists</w:t>
      </w:r>
      <w:r w:rsidR="009A345F">
        <w:t xml:space="preserve">. </w:t>
      </w:r>
      <w:r w:rsidR="004719AF">
        <w:t>In the 201</w:t>
      </w:r>
      <w:r w:rsidR="00692966">
        <w:t>5</w:t>
      </w:r>
      <w:r w:rsidR="00E81B65">
        <w:t>–</w:t>
      </w:r>
      <w:r w:rsidR="004719AF">
        <w:t>201</w:t>
      </w:r>
      <w:r w:rsidR="00692966">
        <w:t>6</w:t>
      </w:r>
      <w:r w:rsidR="004719AF">
        <w:t xml:space="preserve"> school year, there were </w:t>
      </w:r>
      <w:r w:rsidR="00692966">
        <w:t>1,763 teachers in the district.</w:t>
      </w:r>
    </w:p>
    <w:p w:rsidR="000F27EE" w:rsidRDefault="009A345F" w:rsidP="008E314D">
      <w:pPr>
        <w:tabs>
          <w:tab w:val="left" w:pos="360"/>
          <w:tab w:val="left" w:pos="720"/>
          <w:tab w:val="left" w:pos="1080"/>
          <w:tab w:val="left" w:pos="1440"/>
          <w:tab w:val="left" w:pos="1800"/>
          <w:tab w:val="left" w:pos="2160"/>
          <w:tab w:val="left" w:pos="2520"/>
          <w:tab w:val="left" w:pos="2880"/>
        </w:tabs>
      </w:pPr>
      <w:r>
        <w:t>Key leadership personnel</w:t>
      </w:r>
      <w:r w:rsidR="002B39EC">
        <w:t xml:space="preserve"> reporting to </w:t>
      </w:r>
      <w:r>
        <w:t xml:space="preserve">the </w:t>
      </w:r>
      <w:r w:rsidR="002B39EC">
        <w:t xml:space="preserve">chief financial and operations officer include the director of transportation, the budget director, the director of materials management, </w:t>
      </w:r>
      <w:r w:rsidR="00A86164">
        <w:t xml:space="preserve">the </w:t>
      </w:r>
      <w:r w:rsidR="002B39EC">
        <w:t xml:space="preserve">facilities director, </w:t>
      </w:r>
      <w:r w:rsidR="00A86164">
        <w:t xml:space="preserve">the </w:t>
      </w:r>
      <w:r w:rsidR="002B39EC">
        <w:t>director of school nutrition</w:t>
      </w:r>
      <w:r w:rsidR="00FB19D8">
        <w:t xml:space="preserve">, </w:t>
      </w:r>
      <w:r w:rsidR="002B39EC">
        <w:t xml:space="preserve">and </w:t>
      </w:r>
      <w:r w:rsidR="00A86164">
        <w:t xml:space="preserve">the </w:t>
      </w:r>
      <w:r w:rsidR="002B39EC">
        <w:t>manager of grant resources</w:t>
      </w:r>
      <w:r w:rsidR="00A86164">
        <w:t>.</w:t>
      </w:r>
      <w:r w:rsidR="000F27EE">
        <w:t xml:space="preserve"> </w:t>
      </w:r>
      <w:r w:rsidR="00A86164">
        <w:t xml:space="preserve">And </w:t>
      </w:r>
      <w:r w:rsidR="000F27EE">
        <w:t>each</w:t>
      </w:r>
      <w:r w:rsidR="001225B4">
        <w:t xml:space="preserve"> of these mana</w:t>
      </w:r>
      <w:r w:rsidR="00603489">
        <w:t>gers has</w:t>
      </w:r>
      <w:r w:rsidR="000F27EE">
        <w:t xml:space="preserve"> staff reporting to them</w:t>
      </w:r>
      <w:r w:rsidR="002B39EC">
        <w:t>.</w:t>
      </w:r>
      <w:r w:rsidR="00A25BCB">
        <w:t xml:space="preserve"> The </w:t>
      </w:r>
      <w:r w:rsidR="000F27EE">
        <w:t xml:space="preserve">human resources </w:t>
      </w:r>
      <w:r w:rsidR="00513DA2">
        <w:t xml:space="preserve">officer </w:t>
      </w:r>
      <w:r w:rsidR="000F27EE">
        <w:t xml:space="preserve">and </w:t>
      </w:r>
      <w:r w:rsidR="00513DA2">
        <w:t xml:space="preserve">the chief </w:t>
      </w:r>
      <w:r w:rsidR="000F27EE">
        <w:t xml:space="preserve">research and accountability </w:t>
      </w:r>
      <w:r w:rsidR="00513DA2">
        <w:t xml:space="preserve">officer </w:t>
      </w:r>
      <w:r w:rsidR="000F27EE">
        <w:t>also lead</w:t>
      </w:r>
      <w:r w:rsidR="00603489">
        <w:t xml:space="preserve"> teams of</w:t>
      </w:r>
      <w:r w:rsidR="000F27EE">
        <w:t xml:space="preserve"> </w:t>
      </w:r>
      <w:r w:rsidR="00A25BCB">
        <w:t xml:space="preserve">specialized </w:t>
      </w:r>
      <w:r w:rsidR="000F27EE">
        <w:t>profession</w:t>
      </w:r>
      <w:r w:rsidR="00A25BCB">
        <w:t>al</w:t>
      </w:r>
      <w:r w:rsidR="000F27EE">
        <w:t xml:space="preserve"> staff</w:t>
      </w:r>
      <w:r w:rsidR="001225B4">
        <w:t xml:space="preserve"> member</w:t>
      </w:r>
      <w:r w:rsidR="000F27EE">
        <w:t>s</w:t>
      </w:r>
      <w:r w:rsidR="00A25BCB">
        <w:t xml:space="preserve"> responsible for managing the day-to-day operations of their departments.</w:t>
      </w:r>
    </w:p>
    <w:p w:rsidR="008E314D" w:rsidRPr="00F04EDB" w:rsidRDefault="0058168A" w:rsidP="008E314D">
      <w:pPr>
        <w:tabs>
          <w:tab w:val="left" w:pos="360"/>
          <w:tab w:val="left" w:pos="720"/>
          <w:tab w:val="left" w:pos="1080"/>
          <w:tab w:val="left" w:pos="1440"/>
          <w:tab w:val="left" w:pos="1800"/>
          <w:tab w:val="left" w:pos="2160"/>
          <w:tab w:val="left" w:pos="2520"/>
          <w:tab w:val="left" w:pos="2880"/>
        </w:tabs>
      </w:pPr>
      <w:r w:rsidRPr="00F04EDB">
        <w:lastRenderedPageBreak/>
        <w:t xml:space="preserve">In the </w:t>
      </w:r>
      <w:r w:rsidR="00F75D73" w:rsidRPr="00F04EDB">
        <w:t>2016</w:t>
      </w:r>
      <w:r w:rsidR="00FE192D">
        <w:t>–</w:t>
      </w:r>
      <w:r w:rsidR="00F75D73" w:rsidRPr="00F04EDB">
        <w:t>2017</w:t>
      </w:r>
      <w:r w:rsidR="003105EE" w:rsidRPr="00F04EDB">
        <w:t xml:space="preserve"> </w:t>
      </w:r>
      <w:r w:rsidRPr="00F04EDB">
        <w:t xml:space="preserve">school </w:t>
      </w:r>
      <w:r w:rsidRPr="00286028">
        <w:t>year,</w:t>
      </w:r>
      <w:r w:rsidR="0060543B" w:rsidRPr="00286028">
        <w:t xml:space="preserve"> </w:t>
      </w:r>
      <w:r w:rsidR="00286028" w:rsidRPr="00286028">
        <w:t>25,479</w:t>
      </w:r>
      <w:r w:rsidR="008E314D" w:rsidRPr="00286028">
        <w:t xml:space="preserve"> students</w:t>
      </w:r>
      <w:r w:rsidR="00CC4C53" w:rsidRPr="00F04EDB">
        <w:t xml:space="preserve"> </w:t>
      </w:r>
      <w:r w:rsidR="008E314D" w:rsidRPr="00F04EDB">
        <w:t xml:space="preserve">were enrolled in the district’s </w:t>
      </w:r>
      <w:r w:rsidR="00570F72">
        <w:t>44</w:t>
      </w:r>
      <w:r w:rsidR="009928D0">
        <w:rPr>
          <w:rStyle w:val="FootnoteReference"/>
        </w:rPr>
        <w:footnoteReference w:id="2"/>
      </w:r>
      <w:r w:rsidR="00570F72">
        <w:t xml:space="preserve"> </w:t>
      </w:r>
      <w:r w:rsidR="008E314D" w:rsidRPr="00F04EDB">
        <w:t>schools:</w:t>
      </w:r>
    </w:p>
    <w:p w:rsidR="008E314D" w:rsidRPr="00712331" w:rsidRDefault="008E314D" w:rsidP="00E1561A">
      <w:pPr>
        <w:tabs>
          <w:tab w:val="left" w:pos="360"/>
          <w:tab w:val="left" w:pos="720"/>
          <w:tab w:val="left" w:pos="1080"/>
          <w:tab w:val="left" w:pos="1440"/>
          <w:tab w:val="left" w:pos="1800"/>
          <w:tab w:val="left" w:pos="2160"/>
          <w:tab w:val="left" w:pos="2520"/>
          <w:tab w:val="left" w:pos="2880"/>
        </w:tabs>
        <w:spacing w:after="0" w:line="240" w:lineRule="auto"/>
        <w:jc w:val="center"/>
        <w:rPr>
          <w:rFonts w:eastAsia="Calibri" w:cs="Times New Roman"/>
          <w:b/>
          <w:sz w:val="20"/>
          <w:szCs w:val="20"/>
        </w:rPr>
      </w:pPr>
      <w:r w:rsidRPr="00712331">
        <w:rPr>
          <w:rFonts w:eastAsia="Calibri" w:cs="Times New Roman"/>
          <w:b/>
          <w:sz w:val="20"/>
          <w:szCs w:val="20"/>
        </w:rPr>
        <w:t xml:space="preserve">Table </w:t>
      </w:r>
      <w:r w:rsidR="005C7DC2">
        <w:rPr>
          <w:rFonts w:eastAsia="Calibri" w:cs="Times New Roman"/>
          <w:b/>
          <w:sz w:val="20"/>
          <w:szCs w:val="20"/>
        </w:rPr>
        <w:t>2</w:t>
      </w:r>
      <w:r w:rsidRPr="00712331">
        <w:rPr>
          <w:rFonts w:eastAsia="Calibri" w:cs="Times New Roman"/>
          <w:b/>
          <w:sz w:val="20"/>
          <w:szCs w:val="20"/>
        </w:rPr>
        <w:t xml:space="preserve">: </w:t>
      </w:r>
      <w:r w:rsidR="00320DFB" w:rsidRPr="00712331">
        <w:rPr>
          <w:rFonts w:eastAsia="Calibri" w:cs="Times New Roman"/>
          <w:b/>
          <w:sz w:val="20"/>
          <w:szCs w:val="20"/>
        </w:rPr>
        <w:t>Worcester Public Schools</w:t>
      </w:r>
    </w:p>
    <w:p w:rsidR="008E314D" w:rsidRPr="00712331" w:rsidRDefault="008E314D" w:rsidP="00E1561A">
      <w:pPr>
        <w:tabs>
          <w:tab w:val="left" w:pos="360"/>
          <w:tab w:val="left" w:pos="720"/>
          <w:tab w:val="left" w:pos="1080"/>
          <w:tab w:val="left" w:pos="1440"/>
          <w:tab w:val="left" w:pos="1800"/>
          <w:tab w:val="left" w:pos="2160"/>
          <w:tab w:val="left" w:pos="2520"/>
          <w:tab w:val="left" w:pos="2880"/>
        </w:tabs>
        <w:spacing w:after="0" w:line="240" w:lineRule="auto"/>
        <w:jc w:val="center"/>
        <w:rPr>
          <w:rFonts w:eastAsia="Calibri" w:cs="Times New Roman"/>
          <w:b/>
          <w:sz w:val="20"/>
          <w:szCs w:val="20"/>
        </w:rPr>
      </w:pPr>
      <w:r w:rsidRPr="00712331">
        <w:rPr>
          <w:rFonts w:eastAsia="Calibri" w:cs="Times New Roman"/>
          <w:b/>
          <w:sz w:val="20"/>
          <w:szCs w:val="20"/>
        </w:rPr>
        <w:t>Schools, Type, Grades Served, and Enrollment</w:t>
      </w:r>
      <w:r w:rsidR="00C96E5A" w:rsidRPr="00712331">
        <w:rPr>
          <w:rFonts w:eastAsia="Calibri" w:cs="Times New Roman"/>
          <w:b/>
          <w:sz w:val="20"/>
          <w:szCs w:val="20"/>
        </w:rPr>
        <w:t xml:space="preserve">*, </w:t>
      </w:r>
      <w:r w:rsidR="00F75D73" w:rsidRPr="00712331">
        <w:rPr>
          <w:rFonts w:eastAsia="Calibri" w:cs="Times New Roman"/>
          <w:b/>
          <w:sz w:val="20"/>
          <w:szCs w:val="20"/>
        </w:rPr>
        <w:t>2016</w:t>
      </w:r>
      <w:r w:rsidR="00482488" w:rsidRPr="00712331">
        <w:rPr>
          <w:rFonts w:eastAsia="Calibri" w:cs="Times New Roman"/>
          <w:b/>
          <w:sz w:val="20"/>
          <w:szCs w:val="20"/>
        </w:rPr>
        <w:t>–</w:t>
      </w:r>
      <w:r w:rsidR="00F75D73" w:rsidRPr="00712331">
        <w:rPr>
          <w:rFonts w:eastAsia="Calibri" w:cs="Times New Roman"/>
          <w:b/>
          <w:sz w:val="20"/>
          <w:szCs w:val="20"/>
        </w:rPr>
        <w:t>2017</w:t>
      </w:r>
    </w:p>
    <w:tbl>
      <w:tblPr>
        <w:tblW w:w="0" w:type="auto"/>
        <w:jc w:val="center"/>
        <w:tblCellMar>
          <w:left w:w="0" w:type="dxa"/>
          <w:right w:w="0" w:type="dxa"/>
        </w:tblCellMar>
        <w:tblLook w:val="04A0"/>
      </w:tblPr>
      <w:tblGrid>
        <w:gridCol w:w="3618"/>
        <w:gridCol w:w="1890"/>
        <w:gridCol w:w="1530"/>
        <w:gridCol w:w="1818"/>
      </w:tblGrid>
      <w:tr w:rsidR="008E314D" w:rsidRPr="00712331" w:rsidTr="00350132">
        <w:trPr>
          <w:tblHeader/>
          <w:jc w:val="center"/>
        </w:trPr>
        <w:tc>
          <w:tcPr>
            <w:tcW w:w="3618" w:type="dxa"/>
            <w:tcBorders>
              <w:top w:val="single" w:sz="8" w:space="0" w:color="auto"/>
              <w:left w:val="single" w:sz="8" w:space="0" w:color="auto"/>
              <w:bottom w:val="single" w:sz="12" w:space="0" w:color="auto"/>
              <w:right w:val="single" w:sz="8" w:space="0" w:color="auto"/>
            </w:tcBorders>
            <w:tcMar>
              <w:top w:w="0" w:type="dxa"/>
              <w:left w:w="115" w:type="dxa"/>
              <w:bottom w:w="0" w:type="dxa"/>
              <w:right w:w="115" w:type="dxa"/>
            </w:tcMar>
            <w:vAlign w:val="center"/>
            <w:hideMark/>
          </w:tcPr>
          <w:p w:rsidR="008E314D" w:rsidRPr="00712331" w:rsidRDefault="008E314D" w:rsidP="00E1561A">
            <w:pPr>
              <w:tabs>
                <w:tab w:val="left" w:pos="360"/>
                <w:tab w:val="left" w:pos="720"/>
                <w:tab w:val="left" w:pos="1080"/>
                <w:tab w:val="left" w:pos="1440"/>
                <w:tab w:val="left" w:pos="1800"/>
                <w:tab w:val="left" w:pos="2160"/>
                <w:tab w:val="left" w:pos="2520"/>
                <w:tab w:val="left" w:pos="2880"/>
              </w:tabs>
              <w:spacing w:after="0" w:line="240" w:lineRule="auto"/>
              <w:rPr>
                <w:b/>
                <w:bCs/>
                <w:color w:val="000000"/>
                <w:sz w:val="20"/>
                <w:szCs w:val="20"/>
              </w:rPr>
            </w:pPr>
            <w:r w:rsidRPr="00712331">
              <w:rPr>
                <w:b/>
                <w:bCs/>
                <w:color w:val="000000"/>
                <w:sz w:val="20"/>
                <w:szCs w:val="20"/>
              </w:rPr>
              <w:t>School Name</w:t>
            </w:r>
          </w:p>
        </w:tc>
        <w:tc>
          <w:tcPr>
            <w:tcW w:w="1890" w:type="dxa"/>
            <w:tcBorders>
              <w:top w:val="single" w:sz="8" w:space="0" w:color="auto"/>
              <w:left w:val="nil"/>
              <w:bottom w:val="single" w:sz="12" w:space="0" w:color="auto"/>
              <w:right w:val="single" w:sz="8" w:space="0" w:color="auto"/>
            </w:tcBorders>
            <w:tcMar>
              <w:top w:w="0" w:type="dxa"/>
              <w:left w:w="115" w:type="dxa"/>
              <w:bottom w:w="0" w:type="dxa"/>
              <w:right w:w="115" w:type="dxa"/>
            </w:tcMar>
            <w:vAlign w:val="center"/>
            <w:hideMark/>
          </w:tcPr>
          <w:p w:rsidR="008E314D" w:rsidRPr="00712331" w:rsidRDefault="008E314D" w:rsidP="00E1561A">
            <w:pPr>
              <w:tabs>
                <w:tab w:val="left" w:pos="360"/>
                <w:tab w:val="left" w:pos="720"/>
                <w:tab w:val="left" w:pos="1080"/>
                <w:tab w:val="left" w:pos="1440"/>
                <w:tab w:val="left" w:pos="1800"/>
                <w:tab w:val="left" w:pos="2160"/>
                <w:tab w:val="left" w:pos="2520"/>
                <w:tab w:val="left" w:pos="2880"/>
              </w:tabs>
              <w:spacing w:after="0" w:line="240" w:lineRule="auto"/>
              <w:jc w:val="center"/>
              <w:rPr>
                <w:b/>
                <w:bCs/>
                <w:color w:val="000000"/>
                <w:sz w:val="20"/>
                <w:szCs w:val="20"/>
              </w:rPr>
            </w:pPr>
            <w:r w:rsidRPr="00712331">
              <w:rPr>
                <w:b/>
                <w:bCs/>
                <w:color w:val="000000"/>
                <w:sz w:val="20"/>
                <w:szCs w:val="20"/>
              </w:rPr>
              <w:t>School Type</w:t>
            </w:r>
          </w:p>
        </w:tc>
        <w:tc>
          <w:tcPr>
            <w:tcW w:w="1530" w:type="dxa"/>
            <w:tcBorders>
              <w:top w:val="single" w:sz="8" w:space="0" w:color="auto"/>
              <w:left w:val="nil"/>
              <w:bottom w:val="single" w:sz="12" w:space="0" w:color="auto"/>
              <w:right w:val="single" w:sz="8" w:space="0" w:color="auto"/>
            </w:tcBorders>
            <w:shd w:val="clear" w:color="auto" w:fill="FFFFFF" w:themeFill="background1"/>
            <w:tcMar>
              <w:top w:w="0" w:type="dxa"/>
              <w:left w:w="115" w:type="dxa"/>
              <w:bottom w:w="0" w:type="dxa"/>
              <w:right w:w="115" w:type="dxa"/>
            </w:tcMar>
            <w:vAlign w:val="center"/>
            <w:hideMark/>
          </w:tcPr>
          <w:p w:rsidR="008E314D" w:rsidRPr="00712331" w:rsidRDefault="008E314D" w:rsidP="00E1561A">
            <w:pPr>
              <w:tabs>
                <w:tab w:val="left" w:pos="360"/>
                <w:tab w:val="left" w:pos="720"/>
                <w:tab w:val="left" w:pos="1080"/>
                <w:tab w:val="left" w:pos="1440"/>
                <w:tab w:val="left" w:pos="1800"/>
                <w:tab w:val="left" w:pos="2160"/>
                <w:tab w:val="left" w:pos="2520"/>
                <w:tab w:val="left" w:pos="2880"/>
              </w:tabs>
              <w:spacing w:after="0" w:line="240" w:lineRule="auto"/>
              <w:jc w:val="center"/>
              <w:rPr>
                <w:b/>
                <w:bCs/>
                <w:color w:val="000000"/>
                <w:sz w:val="20"/>
                <w:szCs w:val="20"/>
              </w:rPr>
            </w:pPr>
            <w:r w:rsidRPr="00712331">
              <w:rPr>
                <w:b/>
                <w:bCs/>
                <w:color w:val="000000"/>
                <w:sz w:val="20"/>
                <w:szCs w:val="20"/>
              </w:rPr>
              <w:t>Grades Served</w:t>
            </w:r>
          </w:p>
        </w:tc>
        <w:tc>
          <w:tcPr>
            <w:tcW w:w="1818" w:type="dxa"/>
            <w:tcBorders>
              <w:top w:val="single" w:sz="8" w:space="0" w:color="auto"/>
              <w:left w:val="nil"/>
              <w:bottom w:val="single" w:sz="12"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8E314D" w:rsidRPr="00712331" w:rsidRDefault="008E314D" w:rsidP="00E1561A">
            <w:pPr>
              <w:tabs>
                <w:tab w:val="left" w:pos="360"/>
                <w:tab w:val="left" w:pos="720"/>
                <w:tab w:val="left" w:pos="1080"/>
                <w:tab w:val="left" w:pos="1440"/>
                <w:tab w:val="left" w:pos="1800"/>
                <w:tab w:val="left" w:pos="2160"/>
                <w:tab w:val="left" w:pos="2520"/>
                <w:tab w:val="left" w:pos="2880"/>
              </w:tabs>
              <w:spacing w:after="0" w:line="240" w:lineRule="auto"/>
              <w:jc w:val="center"/>
              <w:rPr>
                <w:b/>
                <w:bCs/>
                <w:color w:val="000000"/>
                <w:sz w:val="20"/>
                <w:szCs w:val="20"/>
              </w:rPr>
            </w:pPr>
            <w:r w:rsidRPr="00712331">
              <w:rPr>
                <w:b/>
                <w:bCs/>
                <w:color w:val="000000"/>
                <w:sz w:val="20"/>
                <w:szCs w:val="20"/>
              </w:rPr>
              <w:t>Enrollment</w:t>
            </w:r>
          </w:p>
        </w:tc>
      </w:tr>
      <w:tr w:rsidR="00091B1A" w:rsidRPr="00712331"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091B1A" w:rsidRPr="00712331" w:rsidRDefault="00F444E4" w:rsidP="00E1561A">
            <w:pPr>
              <w:tabs>
                <w:tab w:val="left" w:pos="360"/>
                <w:tab w:val="left" w:pos="720"/>
                <w:tab w:val="left" w:pos="1080"/>
                <w:tab w:val="left" w:pos="1440"/>
                <w:tab w:val="left" w:pos="1800"/>
                <w:tab w:val="left" w:pos="2160"/>
                <w:tab w:val="left" w:pos="2520"/>
                <w:tab w:val="left" w:pos="2880"/>
              </w:tabs>
              <w:spacing w:after="0" w:line="240" w:lineRule="auto"/>
              <w:rPr>
                <w:color w:val="000000"/>
                <w:sz w:val="20"/>
                <w:szCs w:val="20"/>
              </w:rPr>
            </w:pPr>
            <w:r w:rsidRPr="00712331">
              <w:rPr>
                <w:color w:val="000000"/>
                <w:sz w:val="20"/>
                <w:szCs w:val="20"/>
              </w:rPr>
              <w:t xml:space="preserve">Belmont Street Community </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091B1A" w:rsidRPr="00712331" w:rsidRDefault="00F444E4"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091B1A" w:rsidRPr="00712331" w:rsidRDefault="00F444E4"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P</w:t>
            </w:r>
            <w:r w:rsidR="00AE5530" w:rsidRPr="00712331">
              <w:rPr>
                <w:color w:val="000000"/>
                <w:sz w:val="20"/>
                <w:szCs w:val="20"/>
              </w:rPr>
              <w:t>re-</w:t>
            </w:r>
            <w:r w:rsidRPr="00712331">
              <w:rPr>
                <w:color w:val="000000"/>
                <w:sz w:val="20"/>
                <w:szCs w:val="20"/>
              </w:rPr>
              <w:t>K</w:t>
            </w:r>
            <w:r w:rsidR="00C17D98" w:rsidRPr="00712331">
              <w:rPr>
                <w:color w:val="000000"/>
                <w:sz w:val="20"/>
                <w:szCs w:val="20"/>
              </w:rPr>
              <w:t>–</w:t>
            </w:r>
            <w:r w:rsidRPr="00712331">
              <w:rPr>
                <w:color w:val="000000"/>
                <w:sz w:val="20"/>
                <w:szCs w:val="20"/>
              </w:rPr>
              <w:t>6</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091B1A" w:rsidRPr="00712331" w:rsidRDefault="00F444E4"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558</w:t>
            </w:r>
          </w:p>
        </w:tc>
      </w:tr>
      <w:tr w:rsidR="00091B1A" w:rsidRPr="00712331"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091B1A" w:rsidRPr="00712331" w:rsidRDefault="00F444E4" w:rsidP="00E1561A">
            <w:pPr>
              <w:tabs>
                <w:tab w:val="left" w:pos="360"/>
                <w:tab w:val="left" w:pos="720"/>
                <w:tab w:val="left" w:pos="1080"/>
                <w:tab w:val="left" w:pos="1440"/>
                <w:tab w:val="left" w:pos="1800"/>
                <w:tab w:val="left" w:pos="2160"/>
                <w:tab w:val="left" w:pos="2520"/>
                <w:tab w:val="left" w:pos="2880"/>
              </w:tabs>
              <w:spacing w:after="0" w:line="240" w:lineRule="auto"/>
              <w:rPr>
                <w:color w:val="000000"/>
                <w:sz w:val="20"/>
                <w:szCs w:val="20"/>
              </w:rPr>
            </w:pPr>
            <w:r w:rsidRPr="00712331">
              <w:rPr>
                <w:color w:val="000000"/>
                <w:sz w:val="20"/>
                <w:szCs w:val="20"/>
              </w:rPr>
              <w:t xml:space="preserve">Burncoat Street </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091B1A" w:rsidRPr="00712331" w:rsidRDefault="00F444E4"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091B1A" w:rsidRPr="00712331" w:rsidRDefault="00F444E4"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K</w:t>
            </w:r>
            <w:r w:rsidR="00C17D98" w:rsidRPr="00712331">
              <w:rPr>
                <w:color w:val="000000"/>
                <w:sz w:val="20"/>
                <w:szCs w:val="20"/>
              </w:rPr>
              <w:t>–</w:t>
            </w:r>
            <w:r w:rsidRPr="00712331">
              <w:rPr>
                <w:color w:val="000000"/>
                <w:sz w:val="20"/>
                <w:szCs w:val="20"/>
              </w:rPr>
              <w:t>6</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091B1A" w:rsidRPr="00712331" w:rsidRDefault="00F444E4"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259</w:t>
            </w:r>
          </w:p>
        </w:tc>
      </w:tr>
      <w:tr w:rsidR="00091B1A" w:rsidRPr="00712331"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091B1A" w:rsidRPr="00712331" w:rsidRDefault="000A1A88" w:rsidP="00E1561A">
            <w:pPr>
              <w:tabs>
                <w:tab w:val="left" w:pos="360"/>
                <w:tab w:val="left" w:pos="720"/>
                <w:tab w:val="left" w:pos="1080"/>
                <w:tab w:val="left" w:pos="1440"/>
                <w:tab w:val="left" w:pos="1800"/>
                <w:tab w:val="left" w:pos="2160"/>
                <w:tab w:val="left" w:pos="2520"/>
                <w:tab w:val="left" w:pos="2880"/>
              </w:tabs>
              <w:spacing w:after="0" w:line="240" w:lineRule="auto"/>
              <w:rPr>
                <w:color w:val="000000"/>
                <w:sz w:val="20"/>
                <w:szCs w:val="20"/>
              </w:rPr>
            </w:pPr>
            <w:r w:rsidRPr="00712331">
              <w:rPr>
                <w:color w:val="000000"/>
                <w:sz w:val="20"/>
                <w:szCs w:val="20"/>
              </w:rPr>
              <w:t xml:space="preserve">Canterbury Magnet </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091B1A" w:rsidRPr="00712331" w:rsidRDefault="00F444E4"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091B1A" w:rsidRPr="00712331" w:rsidRDefault="00F444E4"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P</w:t>
            </w:r>
            <w:r w:rsidR="00AE5530" w:rsidRPr="00712331">
              <w:rPr>
                <w:color w:val="000000"/>
                <w:sz w:val="20"/>
                <w:szCs w:val="20"/>
              </w:rPr>
              <w:t>re-</w:t>
            </w:r>
            <w:r w:rsidRPr="00712331">
              <w:rPr>
                <w:color w:val="000000"/>
                <w:sz w:val="20"/>
                <w:szCs w:val="20"/>
              </w:rPr>
              <w:t>K</w:t>
            </w:r>
            <w:r w:rsidR="00C17D98" w:rsidRPr="00712331">
              <w:rPr>
                <w:color w:val="000000"/>
                <w:sz w:val="20"/>
                <w:szCs w:val="20"/>
              </w:rPr>
              <w:t>–</w:t>
            </w:r>
            <w:r w:rsidRPr="00712331">
              <w:rPr>
                <w:color w:val="000000"/>
                <w:sz w:val="20"/>
                <w:szCs w:val="20"/>
              </w:rPr>
              <w:t>6</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091B1A" w:rsidRPr="00712331" w:rsidRDefault="00F444E4"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376</w:t>
            </w:r>
          </w:p>
        </w:tc>
      </w:tr>
      <w:tr w:rsidR="00091B1A" w:rsidRPr="00712331"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091B1A" w:rsidRPr="00712331" w:rsidRDefault="00F444E4" w:rsidP="00E1561A">
            <w:pPr>
              <w:tabs>
                <w:tab w:val="left" w:pos="360"/>
                <w:tab w:val="left" w:pos="720"/>
                <w:tab w:val="left" w:pos="1080"/>
                <w:tab w:val="left" w:pos="1440"/>
                <w:tab w:val="left" w:pos="1800"/>
                <w:tab w:val="left" w:pos="2160"/>
                <w:tab w:val="left" w:pos="2520"/>
                <w:tab w:val="left" w:pos="2880"/>
              </w:tabs>
              <w:spacing w:after="0" w:line="240" w:lineRule="auto"/>
              <w:rPr>
                <w:color w:val="000000"/>
                <w:sz w:val="20"/>
                <w:szCs w:val="20"/>
              </w:rPr>
            </w:pPr>
            <w:r w:rsidRPr="00712331">
              <w:rPr>
                <w:color w:val="000000"/>
                <w:sz w:val="20"/>
                <w:szCs w:val="20"/>
              </w:rPr>
              <w:t>Cha</w:t>
            </w:r>
            <w:r w:rsidR="000A1A88" w:rsidRPr="00712331">
              <w:rPr>
                <w:color w:val="000000"/>
                <w:sz w:val="20"/>
                <w:szCs w:val="20"/>
              </w:rPr>
              <w:t xml:space="preserve">ndler Elementary Community </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091B1A" w:rsidRPr="00712331" w:rsidRDefault="00F444E4"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091B1A" w:rsidRPr="00712331" w:rsidRDefault="00F444E4"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K</w:t>
            </w:r>
            <w:r w:rsidR="00C17D98" w:rsidRPr="00712331">
              <w:rPr>
                <w:color w:val="000000"/>
                <w:sz w:val="20"/>
                <w:szCs w:val="20"/>
              </w:rPr>
              <w:t>–</w:t>
            </w:r>
            <w:r w:rsidRPr="00712331">
              <w:rPr>
                <w:color w:val="000000"/>
                <w:sz w:val="20"/>
                <w:szCs w:val="20"/>
              </w:rPr>
              <w:t>6</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091B1A" w:rsidRPr="00712331" w:rsidRDefault="00F444E4"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514</w:t>
            </w:r>
          </w:p>
        </w:tc>
      </w:tr>
      <w:tr w:rsidR="00091B1A" w:rsidRPr="00712331"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091B1A" w:rsidRPr="00712331" w:rsidRDefault="00F444E4" w:rsidP="00E1561A">
            <w:pPr>
              <w:tabs>
                <w:tab w:val="left" w:pos="360"/>
                <w:tab w:val="left" w:pos="720"/>
                <w:tab w:val="left" w:pos="1080"/>
                <w:tab w:val="left" w:pos="1440"/>
                <w:tab w:val="left" w:pos="1800"/>
                <w:tab w:val="left" w:pos="2160"/>
                <w:tab w:val="left" w:pos="2520"/>
                <w:tab w:val="left" w:pos="2880"/>
              </w:tabs>
              <w:spacing w:after="0" w:line="240" w:lineRule="auto"/>
              <w:rPr>
                <w:color w:val="000000"/>
                <w:sz w:val="20"/>
                <w:szCs w:val="20"/>
              </w:rPr>
            </w:pPr>
            <w:r w:rsidRPr="00712331">
              <w:rPr>
                <w:color w:val="000000"/>
                <w:sz w:val="20"/>
                <w:szCs w:val="20"/>
              </w:rPr>
              <w:t xml:space="preserve">Chandler Magnet </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091B1A" w:rsidRPr="00712331" w:rsidRDefault="00F444E4"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091B1A" w:rsidRPr="00712331" w:rsidRDefault="00F444E4"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P</w:t>
            </w:r>
            <w:r w:rsidR="00AE5530" w:rsidRPr="00712331">
              <w:rPr>
                <w:color w:val="000000"/>
                <w:sz w:val="20"/>
                <w:szCs w:val="20"/>
              </w:rPr>
              <w:t>re-</w:t>
            </w:r>
            <w:r w:rsidRPr="00712331">
              <w:rPr>
                <w:color w:val="000000"/>
                <w:sz w:val="20"/>
                <w:szCs w:val="20"/>
              </w:rPr>
              <w:t>K</w:t>
            </w:r>
            <w:r w:rsidR="00C17D98" w:rsidRPr="00712331">
              <w:rPr>
                <w:color w:val="000000"/>
                <w:sz w:val="20"/>
                <w:szCs w:val="20"/>
              </w:rPr>
              <w:t>–</w:t>
            </w:r>
            <w:r w:rsidRPr="00712331">
              <w:rPr>
                <w:color w:val="000000"/>
                <w:sz w:val="20"/>
                <w:szCs w:val="20"/>
              </w:rPr>
              <w:t>6</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091B1A" w:rsidRPr="00712331" w:rsidRDefault="00F444E4"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464</w:t>
            </w:r>
          </w:p>
        </w:tc>
      </w:tr>
      <w:tr w:rsidR="00091B1A" w:rsidRPr="00712331"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091B1A" w:rsidRPr="00712331" w:rsidRDefault="00F444E4" w:rsidP="00E1561A">
            <w:pPr>
              <w:tabs>
                <w:tab w:val="left" w:pos="360"/>
                <w:tab w:val="left" w:pos="720"/>
                <w:tab w:val="left" w:pos="1080"/>
                <w:tab w:val="left" w:pos="1440"/>
                <w:tab w:val="left" w:pos="1800"/>
                <w:tab w:val="left" w:pos="2160"/>
                <w:tab w:val="left" w:pos="2520"/>
                <w:tab w:val="left" w:pos="2880"/>
              </w:tabs>
              <w:spacing w:after="0" w:line="240" w:lineRule="auto"/>
              <w:rPr>
                <w:color w:val="000000"/>
                <w:sz w:val="20"/>
                <w:szCs w:val="20"/>
              </w:rPr>
            </w:pPr>
            <w:r w:rsidRPr="00712331">
              <w:rPr>
                <w:color w:val="000000"/>
                <w:sz w:val="20"/>
                <w:szCs w:val="20"/>
              </w:rPr>
              <w:t>Cit</w:t>
            </w:r>
            <w:r w:rsidR="007C59D2" w:rsidRPr="00712331">
              <w:rPr>
                <w:color w:val="000000"/>
                <w:sz w:val="20"/>
                <w:szCs w:val="20"/>
              </w:rPr>
              <w:t xml:space="preserve">y View </w:t>
            </w:r>
            <w:r w:rsidRPr="00712331">
              <w:rPr>
                <w:color w:val="000000"/>
                <w:sz w:val="20"/>
                <w:szCs w:val="20"/>
              </w:rPr>
              <w:t xml:space="preserve"> </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091B1A" w:rsidRPr="00712331" w:rsidRDefault="00F444E4"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091B1A" w:rsidRPr="00712331" w:rsidRDefault="00F444E4"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P</w:t>
            </w:r>
            <w:r w:rsidR="00AE5530" w:rsidRPr="00712331">
              <w:rPr>
                <w:color w:val="000000"/>
                <w:sz w:val="20"/>
                <w:szCs w:val="20"/>
              </w:rPr>
              <w:t>re</w:t>
            </w:r>
            <w:r w:rsidR="00C44640" w:rsidRPr="00712331">
              <w:rPr>
                <w:color w:val="000000"/>
                <w:sz w:val="20"/>
                <w:szCs w:val="20"/>
              </w:rPr>
              <w:t>-</w:t>
            </w:r>
            <w:r w:rsidRPr="00712331">
              <w:rPr>
                <w:color w:val="000000"/>
                <w:sz w:val="20"/>
                <w:szCs w:val="20"/>
              </w:rPr>
              <w:t>K</w:t>
            </w:r>
            <w:r w:rsidR="00C17D98" w:rsidRPr="00712331">
              <w:rPr>
                <w:color w:val="000000"/>
                <w:sz w:val="20"/>
                <w:szCs w:val="20"/>
              </w:rPr>
              <w:t>–</w:t>
            </w:r>
            <w:r w:rsidRPr="00712331">
              <w:rPr>
                <w:color w:val="000000"/>
                <w:sz w:val="20"/>
                <w:szCs w:val="20"/>
              </w:rPr>
              <w:t>6</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091B1A" w:rsidRPr="00712331" w:rsidRDefault="00F444E4"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497</w:t>
            </w:r>
          </w:p>
        </w:tc>
      </w:tr>
      <w:tr w:rsidR="00091B1A" w:rsidRPr="00712331"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091B1A" w:rsidRPr="00712331" w:rsidRDefault="007C59D2" w:rsidP="00E1561A">
            <w:pPr>
              <w:tabs>
                <w:tab w:val="left" w:pos="360"/>
                <w:tab w:val="left" w:pos="720"/>
                <w:tab w:val="left" w:pos="1080"/>
                <w:tab w:val="left" w:pos="1440"/>
                <w:tab w:val="left" w:pos="1800"/>
                <w:tab w:val="left" w:pos="2160"/>
                <w:tab w:val="left" w:pos="2520"/>
                <w:tab w:val="left" w:pos="2880"/>
              </w:tabs>
              <w:spacing w:after="0" w:line="240" w:lineRule="auto"/>
              <w:rPr>
                <w:color w:val="000000"/>
                <w:sz w:val="20"/>
                <w:szCs w:val="20"/>
              </w:rPr>
            </w:pPr>
            <w:r w:rsidRPr="00712331">
              <w:rPr>
                <w:color w:val="000000"/>
                <w:sz w:val="20"/>
                <w:szCs w:val="20"/>
              </w:rPr>
              <w:t>Clark Street Community</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091B1A" w:rsidRPr="00712331" w:rsidRDefault="00F444E4"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091B1A" w:rsidRPr="00712331" w:rsidRDefault="00F444E4"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K</w:t>
            </w:r>
            <w:r w:rsidR="00C17D98" w:rsidRPr="00712331">
              <w:rPr>
                <w:color w:val="000000"/>
                <w:sz w:val="20"/>
                <w:szCs w:val="20"/>
              </w:rPr>
              <w:t>–</w:t>
            </w:r>
            <w:r w:rsidRPr="00712331">
              <w:rPr>
                <w:color w:val="000000"/>
                <w:sz w:val="20"/>
                <w:szCs w:val="20"/>
              </w:rPr>
              <w:t>6</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091B1A" w:rsidRPr="00712331" w:rsidRDefault="00F444E4"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203</w:t>
            </w:r>
          </w:p>
        </w:tc>
      </w:tr>
      <w:tr w:rsidR="00091B1A" w:rsidRPr="00712331"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091B1A" w:rsidRPr="00712331" w:rsidRDefault="007C59D2" w:rsidP="00E1561A">
            <w:pPr>
              <w:tabs>
                <w:tab w:val="left" w:pos="360"/>
                <w:tab w:val="left" w:pos="720"/>
                <w:tab w:val="left" w:pos="1080"/>
                <w:tab w:val="left" w:pos="1440"/>
                <w:tab w:val="left" w:pos="1800"/>
                <w:tab w:val="left" w:pos="2160"/>
                <w:tab w:val="left" w:pos="2520"/>
                <w:tab w:val="left" w:pos="2880"/>
              </w:tabs>
              <w:spacing w:after="0" w:line="240" w:lineRule="auto"/>
              <w:rPr>
                <w:color w:val="000000"/>
                <w:sz w:val="20"/>
                <w:szCs w:val="20"/>
              </w:rPr>
            </w:pPr>
            <w:r w:rsidRPr="00712331">
              <w:rPr>
                <w:color w:val="000000"/>
                <w:sz w:val="20"/>
                <w:szCs w:val="20"/>
              </w:rPr>
              <w:t>Columbus Park</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091B1A" w:rsidRPr="00712331" w:rsidRDefault="00F444E4"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091B1A" w:rsidRPr="00712331" w:rsidRDefault="00F444E4"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P</w:t>
            </w:r>
            <w:r w:rsidR="00AE5530" w:rsidRPr="00712331">
              <w:rPr>
                <w:color w:val="000000"/>
                <w:sz w:val="20"/>
                <w:szCs w:val="20"/>
              </w:rPr>
              <w:t>re</w:t>
            </w:r>
            <w:r w:rsidR="00C44640" w:rsidRPr="00712331">
              <w:rPr>
                <w:color w:val="000000"/>
                <w:sz w:val="20"/>
                <w:szCs w:val="20"/>
              </w:rPr>
              <w:t>-</w:t>
            </w:r>
            <w:r w:rsidRPr="00712331">
              <w:rPr>
                <w:color w:val="000000"/>
                <w:sz w:val="20"/>
                <w:szCs w:val="20"/>
              </w:rPr>
              <w:t>K</w:t>
            </w:r>
            <w:r w:rsidR="00C17D98" w:rsidRPr="00712331">
              <w:rPr>
                <w:color w:val="000000"/>
                <w:sz w:val="20"/>
                <w:szCs w:val="20"/>
              </w:rPr>
              <w:t>–</w:t>
            </w:r>
            <w:r w:rsidRPr="00712331">
              <w:rPr>
                <w:color w:val="000000"/>
                <w:sz w:val="20"/>
                <w:szCs w:val="20"/>
              </w:rPr>
              <w:t>6</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091B1A" w:rsidRPr="00712331" w:rsidRDefault="00F444E4"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476</w:t>
            </w:r>
          </w:p>
        </w:tc>
      </w:tr>
      <w:tr w:rsidR="00091B1A" w:rsidRPr="00712331"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091B1A" w:rsidRPr="00712331" w:rsidRDefault="007C59D2" w:rsidP="00E1561A">
            <w:pPr>
              <w:tabs>
                <w:tab w:val="left" w:pos="360"/>
                <w:tab w:val="left" w:pos="720"/>
                <w:tab w:val="left" w:pos="1080"/>
                <w:tab w:val="left" w:pos="1440"/>
                <w:tab w:val="left" w:pos="1800"/>
                <w:tab w:val="left" w:pos="2160"/>
                <w:tab w:val="left" w:pos="2520"/>
                <w:tab w:val="left" w:pos="2880"/>
              </w:tabs>
              <w:spacing w:after="0" w:line="240" w:lineRule="auto"/>
              <w:rPr>
                <w:color w:val="000000"/>
                <w:sz w:val="20"/>
                <w:szCs w:val="20"/>
              </w:rPr>
            </w:pPr>
            <w:r w:rsidRPr="00712331">
              <w:rPr>
                <w:color w:val="000000"/>
                <w:sz w:val="20"/>
                <w:szCs w:val="20"/>
              </w:rPr>
              <w:t>Elm Park Community</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091B1A" w:rsidRPr="00712331" w:rsidRDefault="00F444E4"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091B1A" w:rsidRPr="00712331" w:rsidRDefault="00F444E4"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P</w:t>
            </w:r>
            <w:r w:rsidR="00C17D98" w:rsidRPr="00712331">
              <w:rPr>
                <w:color w:val="000000"/>
                <w:sz w:val="20"/>
                <w:szCs w:val="20"/>
              </w:rPr>
              <w:t>re-</w:t>
            </w:r>
            <w:r w:rsidRPr="00712331">
              <w:rPr>
                <w:color w:val="000000"/>
                <w:sz w:val="20"/>
                <w:szCs w:val="20"/>
              </w:rPr>
              <w:t>K</w:t>
            </w:r>
            <w:r w:rsidR="00C17D98" w:rsidRPr="00712331">
              <w:rPr>
                <w:color w:val="000000"/>
                <w:sz w:val="20"/>
                <w:szCs w:val="20"/>
              </w:rPr>
              <w:t>–</w:t>
            </w:r>
            <w:r w:rsidRPr="00712331">
              <w:rPr>
                <w:color w:val="000000"/>
                <w:sz w:val="20"/>
                <w:szCs w:val="20"/>
              </w:rPr>
              <w:t>6</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091B1A" w:rsidRPr="00712331" w:rsidRDefault="00F444E4"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499</w:t>
            </w:r>
          </w:p>
        </w:tc>
      </w:tr>
      <w:tr w:rsidR="00091B1A" w:rsidRPr="00F04EDB"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091B1A" w:rsidRPr="0050391E" w:rsidRDefault="0047041E" w:rsidP="00E1561A">
            <w:pPr>
              <w:tabs>
                <w:tab w:val="left" w:pos="360"/>
                <w:tab w:val="left" w:pos="720"/>
                <w:tab w:val="left" w:pos="1080"/>
                <w:tab w:val="left" w:pos="1440"/>
                <w:tab w:val="left" w:pos="1800"/>
                <w:tab w:val="left" w:pos="2160"/>
                <w:tab w:val="left" w:pos="2520"/>
                <w:tab w:val="left" w:pos="2880"/>
              </w:tabs>
              <w:spacing w:after="0" w:line="240" w:lineRule="auto"/>
              <w:rPr>
                <w:color w:val="000000"/>
                <w:sz w:val="20"/>
                <w:szCs w:val="20"/>
              </w:rPr>
            </w:pPr>
            <w:r w:rsidRPr="0047041E">
              <w:rPr>
                <w:color w:val="000000"/>
                <w:sz w:val="20"/>
                <w:szCs w:val="20"/>
              </w:rPr>
              <w:t xml:space="preserve">Flagg Street </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47041E" w:rsidRPr="0047041E" w:rsidRDefault="0047041E" w:rsidP="007071F8">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47041E">
              <w:rPr>
                <w:color w:val="000000"/>
                <w:sz w:val="20"/>
                <w:szCs w:val="20"/>
              </w:rPr>
              <w:t>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47041E" w:rsidRPr="0047041E" w:rsidRDefault="0047041E" w:rsidP="007071F8">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47041E">
              <w:rPr>
                <w:color w:val="000000"/>
                <w:sz w:val="20"/>
                <w:szCs w:val="20"/>
              </w:rPr>
              <w:t>K–6</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47041E" w:rsidRPr="0047041E" w:rsidRDefault="0047041E" w:rsidP="007071F8">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47041E">
              <w:rPr>
                <w:color w:val="000000"/>
                <w:sz w:val="20"/>
                <w:szCs w:val="20"/>
              </w:rPr>
              <w:t>404</w:t>
            </w:r>
          </w:p>
        </w:tc>
      </w:tr>
      <w:tr w:rsidR="00091B1A" w:rsidRPr="00F04EDB"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091B1A" w:rsidRPr="00712331" w:rsidRDefault="00B44212" w:rsidP="00E1561A">
            <w:pPr>
              <w:tabs>
                <w:tab w:val="left" w:pos="360"/>
                <w:tab w:val="left" w:pos="720"/>
                <w:tab w:val="left" w:pos="1080"/>
                <w:tab w:val="left" w:pos="1440"/>
                <w:tab w:val="left" w:pos="1800"/>
                <w:tab w:val="left" w:pos="2160"/>
                <w:tab w:val="left" w:pos="2520"/>
                <w:tab w:val="left" w:pos="2880"/>
              </w:tabs>
              <w:spacing w:after="0" w:line="240" w:lineRule="auto"/>
              <w:rPr>
                <w:color w:val="000000"/>
                <w:sz w:val="20"/>
                <w:szCs w:val="20"/>
              </w:rPr>
            </w:pPr>
            <w:r w:rsidRPr="00712331">
              <w:rPr>
                <w:color w:val="000000"/>
                <w:sz w:val="20"/>
                <w:szCs w:val="20"/>
              </w:rPr>
              <w:t>Fra</w:t>
            </w:r>
            <w:r w:rsidR="007C59D2" w:rsidRPr="00712331">
              <w:rPr>
                <w:color w:val="000000"/>
                <w:sz w:val="20"/>
                <w:szCs w:val="20"/>
              </w:rPr>
              <w:t>ncis J. McGrath Elementary</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091B1A" w:rsidRPr="00712331" w:rsidRDefault="00B44212"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091B1A" w:rsidRPr="00712331" w:rsidRDefault="00B44212"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P</w:t>
            </w:r>
            <w:r w:rsidR="00AE5530" w:rsidRPr="00712331">
              <w:rPr>
                <w:color w:val="000000"/>
                <w:sz w:val="20"/>
                <w:szCs w:val="20"/>
              </w:rPr>
              <w:t>re</w:t>
            </w:r>
            <w:r w:rsidR="00C44640" w:rsidRPr="00712331">
              <w:rPr>
                <w:color w:val="000000"/>
                <w:sz w:val="20"/>
                <w:szCs w:val="20"/>
              </w:rPr>
              <w:t>-</w:t>
            </w:r>
            <w:r w:rsidRPr="00712331">
              <w:rPr>
                <w:color w:val="000000"/>
                <w:sz w:val="20"/>
                <w:szCs w:val="20"/>
              </w:rPr>
              <w:t>K</w:t>
            </w:r>
            <w:r w:rsidR="00C17D98" w:rsidRPr="00712331">
              <w:rPr>
                <w:color w:val="000000"/>
                <w:sz w:val="20"/>
                <w:szCs w:val="20"/>
              </w:rPr>
              <w:t>–</w:t>
            </w:r>
            <w:r w:rsidRPr="00712331">
              <w:rPr>
                <w:color w:val="000000"/>
                <w:sz w:val="20"/>
                <w:szCs w:val="20"/>
              </w:rPr>
              <w:t>6</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091B1A" w:rsidRPr="00712331" w:rsidRDefault="00B44212"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299</w:t>
            </w:r>
          </w:p>
        </w:tc>
      </w:tr>
      <w:tr w:rsidR="00091B1A" w:rsidRPr="00F04EDB"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091B1A" w:rsidRPr="00712331" w:rsidRDefault="007C59D2" w:rsidP="00E1561A">
            <w:pPr>
              <w:tabs>
                <w:tab w:val="left" w:pos="360"/>
                <w:tab w:val="left" w:pos="720"/>
                <w:tab w:val="left" w:pos="1080"/>
                <w:tab w:val="left" w:pos="1440"/>
                <w:tab w:val="left" w:pos="1800"/>
                <w:tab w:val="left" w:pos="2160"/>
                <w:tab w:val="left" w:pos="2520"/>
                <w:tab w:val="left" w:pos="2880"/>
              </w:tabs>
              <w:spacing w:after="0" w:line="240" w:lineRule="auto"/>
              <w:rPr>
                <w:color w:val="000000"/>
                <w:sz w:val="20"/>
                <w:szCs w:val="20"/>
              </w:rPr>
            </w:pPr>
            <w:r w:rsidRPr="00712331">
              <w:rPr>
                <w:color w:val="000000"/>
                <w:sz w:val="20"/>
                <w:szCs w:val="20"/>
              </w:rPr>
              <w:t xml:space="preserve">Gates Lane </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091B1A" w:rsidRPr="00712331" w:rsidRDefault="00B44212"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091B1A" w:rsidRPr="00712331" w:rsidRDefault="00B44212"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P</w:t>
            </w:r>
            <w:r w:rsidR="00AE5530" w:rsidRPr="00712331">
              <w:rPr>
                <w:color w:val="000000"/>
                <w:sz w:val="20"/>
                <w:szCs w:val="20"/>
              </w:rPr>
              <w:t>re</w:t>
            </w:r>
            <w:r w:rsidR="00C44640" w:rsidRPr="00712331">
              <w:rPr>
                <w:color w:val="000000"/>
                <w:sz w:val="20"/>
                <w:szCs w:val="20"/>
              </w:rPr>
              <w:t>-</w:t>
            </w:r>
            <w:r w:rsidRPr="00712331">
              <w:rPr>
                <w:color w:val="000000"/>
                <w:sz w:val="20"/>
                <w:szCs w:val="20"/>
              </w:rPr>
              <w:t>K</w:t>
            </w:r>
            <w:r w:rsidR="00C17D98" w:rsidRPr="00712331">
              <w:rPr>
                <w:color w:val="000000"/>
                <w:sz w:val="20"/>
                <w:szCs w:val="20"/>
              </w:rPr>
              <w:t>–</w:t>
            </w:r>
            <w:r w:rsidRPr="00712331">
              <w:rPr>
                <w:color w:val="000000"/>
                <w:sz w:val="20"/>
                <w:szCs w:val="20"/>
              </w:rPr>
              <w:t>6</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091B1A" w:rsidRPr="00712331" w:rsidRDefault="00B44212"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596</w:t>
            </w:r>
          </w:p>
        </w:tc>
      </w:tr>
      <w:tr w:rsidR="00091B1A" w:rsidRPr="00F04EDB"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091B1A" w:rsidRPr="00712331" w:rsidRDefault="0047041E" w:rsidP="00E1561A">
            <w:pPr>
              <w:tabs>
                <w:tab w:val="left" w:pos="360"/>
                <w:tab w:val="left" w:pos="720"/>
                <w:tab w:val="left" w:pos="1080"/>
                <w:tab w:val="left" w:pos="1440"/>
                <w:tab w:val="left" w:pos="1800"/>
                <w:tab w:val="left" w:pos="2160"/>
                <w:tab w:val="left" w:pos="2520"/>
                <w:tab w:val="left" w:pos="2880"/>
              </w:tabs>
              <w:spacing w:after="0" w:line="240" w:lineRule="auto"/>
              <w:rPr>
                <w:color w:val="000000"/>
                <w:sz w:val="20"/>
                <w:szCs w:val="20"/>
              </w:rPr>
            </w:pPr>
            <w:r w:rsidRPr="0047041E">
              <w:rPr>
                <w:color w:val="000000"/>
                <w:sz w:val="20"/>
                <w:szCs w:val="20"/>
              </w:rPr>
              <w:t>Goddard School of Science and Technology</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091B1A" w:rsidRPr="00712331" w:rsidRDefault="00B44212"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091B1A" w:rsidRPr="00712331" w:rsidRDefault="00B44212"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P</w:t>
            </w:r>
            <w:r w:rsidR="00AE5530" w:rsidRPr="00712331">
              <w:rPr>
                <w:color w:val="000000"/>
                <w:sz w:val="20"/>
                <w:szCs w:val="20"/>
              </w:rPr>
              <w:t>re</w:t>
            </w:r>
            <w:r w:rsidR="00C44640" w:rsidRPr="00712331">
              <w:rPr>
                <w:color w:val="000000"/>
                <w:sz w:val="20"/>
                <w:szCs w:val="20"/>
              </w:rPr>
              <w:t>-</w:t>
            </w:r>
            <w:r w:rsidRPr="00712331">
              <w:rPr>
                <w:color w:val="000000"/>
                <w:sz w:val="20"/>
                <w:szCs w:val="20"/>
              </w:rPr>
              <w:t>K</w:t>
            </w:r>
            <w:r w:rsidR="00C17D98" w:rsidRPr="00712331">
              <w:rPr>
                <w:color w:val="000000"/>
                <w:sz w:val="20"/>
                <w:szCs w:val="20"/>
              </w:rPr>
              <w:t>–</w:t>
            </w:r>
            <w:r w:rsidRPr="00712331">
              <w:rPr>
                <w:color w:val="000000"/>
                <w:sz w:val="20"/>
                <w:szCs w:val="20"/>
              </w:rPr>
              <w:t>6</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091B1A" w:rsidRPr="00712331" w:rsidRDefault="00B44212"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517</w:t>
            </w:r>
          </w:p>
        </w:tc>
      </w:tr>
      <w:tr w:rsidR="00091B1A" w:rsidRPr="00F04EDB"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091B1A" w:rsidRPr="00712331" w:rsidRDefault="007C59D2" w:rsidP="00E1561A">
            <w:pPr>
              <w:tabs>
                <w:tab w:val="left" w:pos="360"/>
                <w:tab w:val="left" w:pos="720"/>
                <w:tab w:val="left" w:pos="1080"/>
                <w:tab w:val="left" w:pos="1440"/>
                <w:tab w:val="left" w:pos="1800"/>
                <w:tab w:val="left" w:pos="2160"/>
                <w:tab w:val="left" w:pos="2520"/>
                <w:tab w:val="left" w:pos="2880"/>
              </w:tabs>
              <w:spacing w:after="0" w:line="240" w:lineRule="auto"/>
              <w:rPr>
                <w:color w:val="000000"/>
                <w:sz w:val="20"/>
                <w:szCs w:val="20"/>
              </w:rPr>
            </w:pPr>
            <w:r w:rsidRPr="00712331">
              <w:rPr>
                <w:color w:val="000000"/>
                <w:sz w:val="20"/>
                <w:szCs w:val="20"/>
              </w:rPr>
              <w:t>Grafton Street</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091B1A" w:rsidRPr="00712331" w:rsidRDefault="00B44212"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091B1A" w:rsidRPr="00712331" w:rsidRDefault="00B44212"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P</w:t>
            </w:r>
            <w:r w:rsidR="00AE5530" w:rsidRPr="00712331">
              <w:rPr>
                <w:color w:val="000000"/>
                <w:sz w:val="20"/>
                <w:szCs w:val="20"/>
              </w:rPr>
              <w:t>re</w:t>
            </w:r>
            <w:r w:rsidR="00C17D98" w:rsidRPr="00712331">
              <w:rPr>
                <w:color w:val="000000"/>
                <w:sz w:val="20"/>
                <w:szCs w:val="20"/>
              </w:rPr>
              <w:t>-</w:t>
            </w:r>
            <w:r w:rsidRPr="00712331">
              <w:rPr>
                <w:color w:val="000000"/>
                <w:sz w:val="20"/>
                <w:szCs w:val="20"/>
              </w:rPr>
              <w:t>K</w:t>
            </w:r>
            <w:r w:rsidR="00C17D98" w:rsidRPr="00712331">
              <w:rPr>
                <w:color w:val="000000"/>
                <w:sz w:val="20"/>
                <w:szCs w:val="20"/>
              </w:rPr>
              <w:t>–</w:t>
            </w:r>
            <w:r w:rsidRPr="00712331">
              <w:rPr>
                <w:color w:val="000000"/>
                <w:sz w:val="20"/>
                <w:szCs w:val="20"/>
              </w:rPr>
              <w:t>6</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091B1A" w:rsidRPr="00712331" w:rsidRDefault="00B44212"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409</w:t>
            </w:r>
          </w:p>
        </w:tc>
      </w:tr>
      <w:tr w:rsidR="00091B1A" w:rsidRPr="00F04EDB"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091B1A" w:rsidRPr="00712331" w:rsidRDefault="007C59D2" w:rsidP="00E1561A">
            <w:pPr>
              <w:tabs>
                <w:tab w:val="left" w:pos="360"/>
                <w:tab w:val="left" w:pos="720"/>
                <w:tab w:val="left" w:pos="1080"/>
                <w:tab w:val="left" w:pos="1440"/>
                <w:tab w:val="left" w:pos="1800"/>
                <w:tab w:val="left" w:pos="2160"/>
                <w:tab w:val="left" w:pos="2520"/>
                <w:tab w:val="left" w:pos="2880"/>
              </w:tabs>
              <w:spacing w:after="0" w:line="240" w:lineRule="auto"/>
              <w:rPr>
                <w:color w:val="000000"/>
                <w:sz w:val="20"/>
                <w:szCs w:val="20"/>
              </w:rPr>
            </w:pPr>
            <w:r w:rsidRPr="00712331">
              <w:rPr>
                <w:color w:val="000000"/>
                <w:sz w:val="20"/>
                <w:szCs w:val="20"/>
              </w:rPr>
              <w:t>Head Start</w:t>
            </w:r>
            <w:r w:rsidR="00770BE9">
              <w:rPr>
                <w:rStyle w:val="FootnoteReference"/>
                <w:color w:val="000000"/>
                <w:sz w:val="20"/>
                <w:szCs w:val="20"/>
              </w:rPr>
              <w:footnoteReference w:id="3"/>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091B1A" w:rsidRPr="00712331" w:rsidRDefault="00B44212"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P</w:t>
            </w:r>
            <w:r w:rsidR="00B74CBA" w:rsidRPr="00712331">
              <w:rPr>
                <w:color w:val="000000"/>
                <w:sz w:val="20"/>
                <w:szCs w:val="20"/>
              </w:rPr>
              <w:t>re-</w:t>
            </w:r>
            <w:r w:rsidRPr="00712331">
              <w:rPr>
                <w:color w:val="000000"/>
                <w:sz w:val="20"/>
                <w:szCs w:val="20"/>
              </w:rPr>
              <w:t>K</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091B1A" w:rsidRPr="00712331" w:rsidRDefault="00B44212"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P</w:t>
            </w:r>
            <w:r w:rsidR="00AE5530" w:rsidRPr="00712331">
              <w:rPr>
                <w:color w:val="000000"/>
                <w:sz w:val="20"/>
                <w:szCs w:val="20"/>
              </w:rPr>
              <w:t>re</w:t>
            </w:r>
            <w:r w:rsidR="00C44640" w:rsidRPr="00712331">
              <w:rPr>
                <w:color w:val="000000"/>
                <w:sz w:val="20"/>
                <w:szCs w:val="20"/>
              </w:rPr>
              <w:t>-</w:t>
            </w:r>
            <w:r w:rsidRPr="00712331">
              <w:rPr>
                <w:color w:val="000000"/>
                <w:sz w:val="20"/>
                <w:szCs w:val="20"/>
              </w:rPr>
              <w:t>K</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091B1A" w:rsidRPr="00712331" w:rsidRDefault="00B44212"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560</w:t>
            </w:r>
          </w:p>
        </w:tc>
      </w:tr>
      <w:tr w:rsidR="00091B1A" w:rsidRPr="00F04EDB"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091B1A" w:rsidRPr="00712331" w:rsidRDefault="007C59D2" w:rsidP="00E1561A">
            <w:pPr>
              <w:tabs>
                <w:tab w:val="left" w:pos="360"/>
                <w:tab w:val="left" w:pos="720"/>
                <w:tab w:val="left" w:pos="1080"/>
                <w:tab w:val="left" w:pos="1440"/>
                <w:tab w:val="left" w:pos="1800"/>
                <w:tab w:val="left" w:pos="2160"/>
                <w:tab w:val="left" w:pos="2520"/>
                <w:tab w:val="left" w:pos="2880"/>
              </w:tabs>
              <w:spacing w:after="0" w:line="240" w:lineRule="auto"/>
              <w:rPr>
                <w:color w:val="000000"/>
                <w:sz w:val="20"/>
                <w:szCs w:val="20"/>
              </w:rPr>
            </w:pPr>
            <w:r w:rsidRPr="00712331">
              <w:rPr>
                <w:color w:val="000000"/>
                <w:sz w:val="20"/>
                <w:szCs w:val="20"/>
              </w:rPr>
              <w:t xml:space="preserve">Heard Street </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091B1A" w:rsidRPr="00712331" w:rsidRDefault="000F3DB8"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091B1A" w:rsidRPr="00712331" w:rsidRDefault="000F3DB8"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K</w:t>
            </w:r>
            <w:r w:rsidR="00C17D98" w:rsidRPr="00712331">
              <w:rPr>
                <w:color w:val="000000"/>
                <w:sz w:val="20"/>
                <w:szCs w:val="20"/>
              </w:rPr>
              <w:t>–</w:t>
            </w:r>
            <w:r w:rsidRPr="00712331">
              <w:rPr>
                <w:color w:val="000000"/>
                <w:sz w:val="20"/>
                <w:szCs w:val="20"/>
              </w:rPr>
              <w:t>6</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091B1A" w:rsidRPr="00712331" w:rsidRDefault="000F3DB8"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269</w:t>
            </w:r>
          </w:p>
        </w:tc>
      </w:tr>
      <w:tr w:rsidR="00091B1A" w:rsidRPr="00F04EDB"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091B1A" w:rsidRPr="00712331" w:rsidRDefault="000F3DB8" w:rsidP="00E1561A">
            <w:pPr>
              <w:tabs>
                <w:tab w:val="left" w:pos="360"/>
                <w:tab w:val="left" w:pos="720"/>
                <w:tab w:val="left" w:pos="1080"/>
                <w:tab w:val="left" w:pos="1440"/>
                <w:tab w:val="left" w:pos="1800"/>
                <w:tab w:val="left" w:pos="2160"/>
                <w:tab w:val="left" w:pos="2520"/>
                <w:tab w:val="left" w:pos="2880"/>
              </w:tabs>
              <w:spacing w:after="0" w:line="240" w:lineRule="auto"/>
              <w:rPr>
                <w:color w:val="000000"/>
                <w:sz w:val="20"/>
                <w:szCs w:val="20"/>
              </w:rPr>
            </w:pPr>
            <w:r w:rsidRPr="00712331">
              <w:rPr>
                <w:color w:val="000000"/>
                <w:sz w:val="20"/>
                <w:szCs w:val="20"/>
              </w:rPr>
              <w:t xml:space="preserve">Jacob Hiatt Magnet </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091B1A" w:rsidRPr="00712331" w:rsidRDefault="000F3DB8"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091B1A" w:rsidRPr="00712331" w:rsidRDefault="000F3DB8"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P</w:t>
            </w:r>
            <w:r w:rsidR="00AE5530" w:rsidRPr="00712331">
              <w:rPr>
                <w:color w:val="000000"/>
                <w:sz w:val="20"/>
                <w:szCs w:val="20"/>
              </w:rPr>
              <w:t>re</w:t>
            </w:r>
            <w:r w:rsidR="00C44640" w:rsidRPr="00712331">
              <w:rPr>
                <w:color w:val="000000"/>
                <w:sz w:val="20"/>
                <w:szCs w:val="20"/>
              </w:rPr>
              <w:t>-</w:t>
            </w:r>
            <w:r w:rsidRPr="00712331">
              <w:rPr>
                <w:color w:val="000000"/>
                <w:sz w:val="20"/>
                <w:szCs w:val="20"/>
              </w:rPr>
              <w:t>K</w:t>
            </w:r>
            <w:r w:rsidR="00C17D98" w:rsidRPr="00712331">
              <w:rPr>
                <w:color w:val="000000"/>
                <w:sz w:val="20"/>
                <w:szCs w:val="20"/>
              </w:rPr>
              <w:t>–</w:t>
            </w:r>
            <w:r w:rsidRPr="00712331">
              <w:rPr>
                <w:color w:val="000000"/>
                <w:sz w:val="20"/>
                <w:szCs w:val="20"/>
              </w:rPr>
              <w:t>6</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091B1A" w:rsidRPr="00712331" w:rsidRDefault="000F3DB8"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442</w:t>
            </w:r>
          </w:p>
        </w:tc>
      </w:tr>
      <w:tr w:rsidR="00091B1A" w:rsidRPr="00F04EDB"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091B1A" w:rsidRPr="00712331" w:rsidRDefault="000F3DB8" w:rsidP="00E1561A">
            <w:pPr>
              <w:tabs>
                <w:tab w:val="left" w:pos="360"/>
                <w:tab w:val="left" w:pos="720"/>
                <w:tab w:val="left" w:pos="1080"/>
                <w:tab w:val="left" w:pos="1440"/>
                <w:tab w:val="left" w:pos="1800"/>
                <w:tab w:val="left" w:pos="2160"/>
                <w:tab w:val="left" w:pos="2520"/>
                <w:tab w:val="left" w:pos="2880"/>
              </w:tabs>
              <w:spacing w:after="0" w:line="240" w:lineRule="auto"/>
              <w:rPr>
                <w:color w:val="000000"/>
                <w:sz w:val="20"/>
                <w:szCs w:val="20"/>
              </w:rPr>
            </w:pPr>
            <w:r w:rsidRPr="00712331">
              <w:rPr>
                <w:color w:val="000000"/>
                <w:sz w:val="20"/>
                <w:szCs w:val="20"/>
              </w:rPr>
              <w:t xml:space="preserve">Lake View </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091B1A" w:rsidRPr="00712331" w:rsidRDefault="000F3DB8"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091B1A" w:rsidRPr="00712331" w:rsidRDefault="000F3DB8"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K</w:t>
            </w:r>
            <w:r w:rsidR="00540164" w:rsidRPr="00712331">
              <w:rPr>
                <w:color w:val="000000"/>
                <w:sz w:val="20"/>
                <w:szCs w:val="20"/>
              </w:rPr>
              <w:t>–</w:t>
            </w:r>
            <w:r w:rsidRPr="00712331">
              <w:rPr>
                <w:color w:val="000000"/>
                <w:sz w:val="20"/>
                <w:szCs w:val="20"/>
              </w:rPr>
              <w:t>6</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091B1A" w:rsidRPr="00712331" w:rsidRDefault="000F3DB8"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299</w:t>
            </w:r>
          </w:p>
        </w:tc>
      </w:tr>
      <w:tr w:rsidR="00091B1A" w:rsidRPr="00F04EDB"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091B1A" w:rsidRPr="00712331" w:rsidRDefault="000F3DB8" w:rsidP="00E1561A">
            <w:pPr>
              <w:tabs>
                <w:tab w:val="left" w:pos="360"/>
                <w:tab w:val="left" w:pos="720"/>
                <w:tab w:val="left" w:pos="1080"/>
                <w:tab w:val="left" w:pos="1440"/>
                <w:tab w:val="left" w:pos="1800"/>
                <w:tab w:val="left" w:pos="2160"/>
                <w:tab w:val="left" w:pos="2520"/>
                <w:tab w:val="left" w:pos="2880"/>
              </w:tabs>
              <w:spacing w:after="0" w:line="240" w:lineRule="auto"/>
              <w:rPr>
                <w:color w:val="000000"/>
                <w:sz w:val="20"/>
                <w:szCs w:val="20"/>
              </w:rPr>
            </w:pPr>
            <w:r w:rsidRPr="00712331">
              <w:rPr>
                <w:color w:val="000000"/>
                <w:sz w:val="20"/>
                <w:szCs w:val="20"/>
              </w:rPr>
              <w:t xml:space="preserve">Lincoln Street </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091B1A" w:rsidRPr="00712331" w:rsidRDefault="000F3DB8"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091B1A" w:rsidRPr="00712331" w:rsidRDefault="000F3DB8"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P</w:t>
            </w:r>
            <w:r w:rsidR="00AE5530" w:rsidRPr="00712331">
              <w:rPr>
                <w:color w:val="000000"/>
                <w:sz w:val="20"/>
                <w:szCs w:val="20"/>
              </w:rPr>
              <w:t>re</w:t>
            </w:r>
            <w:r w:rsidR="00C44640" w:rsidRPr="00712331">
              <w:rPr>
                <w:color w:val="000000"/>
                <w:sz w:val="20"/>
                <w:szCs w:val="20"/>
              </w:rPr>
              <w:t>-</w:t>
            </w:r>
            <w:r w:rsidRPr="00712331">
              <w:rPr>
                <w:color w:val="000000"/>
                <w:sz w:val="20"/>
                <w:szCs w:val="20"/>
              </w:rPr>
              <w:t>K</w:t>
            </w:r>
            <w:r w:rsidR="00540164" w:rsidRPr="00712331">
              <w:rPr>
                <w:color w:val="000000"/>
                <w:sz w:val="20"/>
                <w:szCs w:val="20"/>
              </w:rPr>
              <w:t>–</w:t>
            </w:r>
            <w:r w:rsidRPr="00712331">
              <w:rPr>
                <w:color w:val="000000"/>
                <w:sz w:val="20"/>
                <w:szCs w:val="20"/>
              </w:rPr>
              <w:t>6</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091B1A" w:rsidRPr="00712331" w:rsidRDefault="000F3DB8"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285</w:t>
            </w:r>
          </w:p>
        </w:tc>
      </w:tr>
      <w:tr w:rsidR="00091B1A" w:rsidRPr="00F04EDB"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091B1A" w:rsidRPr="00712331" w:rsidRDefault="000F3DB8" w:rsidP="00E1561A">
            <w:pPr>
              <w:tabs>
                <w:tab w:val="left" w:pos="360"/>
                <w:tab w:val="left" w:pos="720"/>
                <w:tab w:val="left" w:pos="1080"/>
                <w:tab w:val="left" w:pos="1440"/>
                <w:tab w:val="left" w:pos="1800"/>
                <w:tab w:val="left" w:pos="2160"/>
                <w:tab w:val="left" w:pos="2520"/>
                <w:tab w:val="left" w:pos="2880"/>
              </w:tabs>
              <w:spacing w:after="0" w:line="240" w:lineRule="auto"/>
              <w:rPr>
                <w:color w:val="000000"/>
                <w:sz w:val="20"/>
                <w:szCs w:val="20"/>
              </w:rPr>
            </w:pPr>
            <w:r w:rsidRPr="00712331">
              <w:rPr>
                <w:color w:val="000000"/>
                <w:sz w:val="20"/>
                <w:szCs w:val="20"/>
              </w:rPr>
              <w:t xml:space="preserve">May Street </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091B1A" w:rsidRPr="00712331" w:rsidRDefault="000F3DB8"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091B1A" w:rsidRPr="00712331" w:rsidRDefault="000F3DB8"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K</w:t>
            </w:r>
            <w:r w:rsidR="00540164" w:rsidRPr="00712331">
              <w:rPr>
                <w:color w:val="000000"/>
                <w:sz w:val="20"/>
                <w:szCs w:val="20"/>
              </w:rPr>
              <w:t>–</w:t>
            </w:r>
            <w:r w:rsidRPr="00712331">
              <w:rPr>
                <w:color w:val="000000"/>
                <w:sz w:val="20"/>
                <w:szCs w:val="20"/>
              </w:rPr>
              <w:t>6</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091B1A" w:rsidRPr="00712331" w:rsidRDefault="000F3DB8"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337</w:t>
            </w:r>
          </w:p>
        </w:tc>
      </w:tr>
      <w:tr w:rsidR="00091B1A" w:rsidRPr="00F04EDB"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091B1A" w:rsidRPr="00712331" w:rsidRDefault="000F3DB8" w:rsidP="00E1561A">
            <w:pPr>
              <w:tabs>
                <w:tab w:val="left" w:pos="360"/>
                <w:tab w:val="left" w:pos="720"/>
                <w:tab w:val="left" w:pos="1080"/>
                <w:tab w:val="left" w:pos="1440"/>
                <w:tab w:val="left" w:pos="1800"/>
                <w:tab w:val="left" w:pos="2160"/>
                <w:tab w:val="left" w:pos="2520"/>
                <w:tab w:val="left" w:pos="2880"/>
              </w:tabs>
              <w:spacing w:after="0" w:line="240" w:lineRule="auto"/>
              <w:rPr>
                <w:color w:val="000000"/>
                <w:sz w:val="20"/>
                <w:szCs w:val="20"/>
              </w:rPr>
            </w:pPr>
            <w:r w:rsidRPr="00712331">
              <w:rPr>
                <w:color w:val="000000"/>
                <w:sz w:val="20"/>
                <w:szCs w:val="20"/>
              </w:rPr>
              <w:t xml:space="preserve">Midland Street </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091B1A" w:rsidRPr="00712331" w:rsidRDefault="000F3DB8"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091B1A" w:rsidRPr="00712331" w:rsidRDefault="000F3DB8"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K</w:t>
            </w:r>
            <w:r w:rsidR="00540164" w:rsidRPr="00712331">
              <w:rPr>
                <w:color w:val="000000"/>
                <w:sz w:val="20"/>
                <w:szCs w:val="20"/>
              </w:rPr>
              <w:t>–</w:t>
            </w:r>
            <w:r w:rsidRPr="00712331">
              <w:rPr>
                <w:color w:val="000000"/>
                <w:sz w:val="20"/>
                <w:szCs w:val="20"/>
              </w:rPr>
              <w:t>6</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091B1A" w:rsidRPr="00712331" w:rsidRDefault="000F3DB8"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242</w:t>
            </w:r>
          </w:p>
        </w:tc>
      </w:tr>
      <w:tr w:rsidR="00091B1A" w:rsidRPr="00F04EDB"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091B1A" w:rsidRPr="00712331" w:rsidRDefault="000F3DB8" w:rsidP="00E1561A">
            <w:pPr>
              <w:tabs>
                <w:tab w:val="left" w:pos="360"/>
                <w:tab w:val="left" w:pos="720"/>
                <w:tab w:val="left" w:pos="1080"/>
                <w:tab w:val="left" w:pos="1440"/>
                <w:tab w:val="left" w:pos="1800"/>
                <w:tab w:val="left" w:pos="2160"/>
                <w:tab w:val="left" w:pos="2520"/>
                <w:tab w:val="left" w:pos="2880"/>
              </w:tabs>
              <w:spacing w:after="0" w:line="240" w:lineRule="auto"/>
              <w:rPr>
                <w:color w:val="000000"/>
                <w:sz w:val="20"/>
                <w:szCs w:val="20"/>
              </w:rPr>
            </w:pPr>
            <w:r w:rsidRPr="00712331">
              <w:rPr>
                <w:color w:val="000000"/>
                <w:sz w:val="20"/>
                <w:szCs w:val="20"/>
              </w:rPr>
              <w:t xml:space="preserve">Nelson </w:t>
            </w:r>
            <w:r w:rsidR="00172FE2" w:rsidRPr="00712331">
              <w:rPr>
                <w:color w:val="000000"/>
                <w:sz w:val="20"/>
                <w:szCs w:val="20"/>
              </w:rPr>
              <w:t>P</w:t>
            </w:r>
            <w:r w:rsidRPr="00712331">
              <w:rPr>
                <w:color w:val="000000"/>
                <w:sz w:val="20"/>
                <w:szCs w:val="20"/>
              </w:rPr>
              <w:t xml:space="preserve">lace </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091B1A" w:rsidRPr="00712331" w:rsidRDefault="000F3DB8"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091B1A" w:rsidRPr="00712331" w:rsidRDefault="000F3DB8"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K</w:t>
            </w:r>
            <w:r w:rsidR="00540164" w:rsidRPr="00712331">
              <w:rPr>
                <w:color w:val="000000"/>
                <w:sz w:val="20"/>
                <w:szCs w:val="20"/>
              </w:rPr>
              <w:t>–</w:t>
            </w:r>
            <w:r w:rsidRPr="00712331">
              <w:rPr>
                <w:color w:val="000000"/>
                <w:sz w:val="20"/>
                <w:szCs w:val="20"/>
              </w:rPr>
              <w:t>6</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091B1A" w:rsidRPr="00712331" w:rsidRDefault="000F3DB8"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454</w:t>
            </w:r>
          </w:p>
        </w:tc>
      </w:tr>
      <w:tr w:rsidR="00091B1A" w:rsidRPr="00F04EDB"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091B1A" w:rsidRPr="00712331" w:rsidRDefault="00172FE2" w:rsidP="00E1561A">
            <w:pPr>
              <w:tabs>
                <w:tab w:val="left" w:pos="360"/>
                <w:tab w:val="left" w:pos="720"/>
                <w:tab w:val="left" w:pos="1080"/>
                <w:tab w:val="left" w:pos="1440"/>
                <w:tab w:val="left" w:pos="1800"/>
                <w:tab w:val="left" w:pos="2160"/>
                <w:tab w:val="left" w:pos="2520"/>
                <w:tab w:val="left" w:pos="2880"/>
              </w:tabs>
              <w:spacing w:after="0" w:line="240" w:lineRule="auto"/>
              <w:rPr>
                <w:color w:val="000000"/>
                <w:sz w:val="20"/>
                <w:szCs w:val="20"/>
              </w:rPr>
            </w:pPr>
            <w:r w:rsidRPr="00712331">
              <w:rPr>
                <w:color w:val="000000"/>
                <w:sz w:val="20"/>
                <w:szCs w:val="20"/>
              </w:rPr>
              <w:t xml:space="preserve">Norrback Avenue </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091B1A" w:rsidRPr="00712331" w:rsidRDefault="00172FE2"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091B1A" w:rsidRPr="00712331" w:rsidRDefault="00172FE2"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P</w:t>
            </w:r>
            <w:r w:rsidR="00AE5530" w:rsidRPr="00712331">
              <w:rPr>
                <w:color w:val="000000"/>
                <w:sz w:val="20"/>
                <w:szCs w:val="20"/>
              </w:rPr>
              <w:t>re</w:t>
            </w:r>
            <w:r w:rsidR="00C44640" w:rsidRPr="00712331">
              <w:rPr>
                <w:color w:val="000000"/>
                <w:sz w:val="20"/>
                <w:szCs w:val="20"/>
              </w:rPr>
              <w:t>-</w:t>
            </w:r>
            <w:r w:rsidRPr="00712331">
              <w:rPr>
                <w:color w:val="000000"/>
                <w:sz w:val="20"/>
                <w:szCs w:val="20"/>
              </w:rPr>
              <w:t>K</w:t>
            </w:r>
            <w:r w:rsidR="00540164" w:rsidRPr="00712331">
              <w:rPr>
                <w:color w:val="000000"/>
                <w:sz w:val="20"/>
                <w:szCs w:val="20"/>
              </w:rPr>
              <w:t>–</w:t>
            </w:r>
            <w:r w:rsidRPr="00712331">
              <w:rPr>
                <w:color w:val="000000"/>
                <w:sz w:val="20"/>
                <w:szCs w:val="20"/>
              </w:rPr>
              <w:t>6</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091B1A" w:rsidRPr="00712331" w:rsidRDefault="00172FE2"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566</w:t>
            </w:r>
          </w:p>
        </w:tc>
      </w:tr>
      <w:tr w:rsidR="00091B1A" w:rsidRPr="00F04EDB"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091B1A" w:rsidRPr="00712331" w:rsidRDefault="00172FE2" w:rsidP="00E1561A">
            <w:pPr>
              <w:tabs>
                <w:tab w:val="left" w:pos="360"/>
                <w:tab w:val="left" w:pos="720"/>
                <w:tab w:val="left" w:pos="1080"/>
                <w:tab w:val="left" w:pos="1440"/>
                <w:tab w:val="left" w:pos="1800"/>
                <w:tab w:val="left" w:pos="2160"/>
                <w:tab w:val="left" w:pos="2520"/>
                <w:tab w:val="left" w:pos="2880"/>
              </w:tabs>
              <w:spacing w:after="0" w:line="240" w:lineRule="auto"/>
              <w:rPr>
                <w:color w:val="000000"/>
                <w:sz w:val="20"/>
                <w:szCs w:val="20"/>
              </w:rPr>
            </w:pPr>
            <w:r w:rsidRPr="00712331">
              <w:rPr>
                <w:color w:val="000000"/>
                <w:sz w:val="20"/>
                <w:szCs w:val="20"/>
              </w:rPr>
              <w:t xml:space="preserve">Quinsigamond </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091B1A" w:rsidRPr="00712331" w:rsidRDefault="00172FE2"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091B1A" w:rsidRPr="00712331" w:rsidRDefault="00172FE2"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P</w:t>
            </w:r>
            <w:r w:rsidR="00AE5530" w:rsidRPr="00712331">
              <w:rPr>
                <w:color w:val="000000"/>
                <w:sz w:val="20"/>
                <w:szCs w:val="20"/>
              </w:rPr>
              <w:t>re</w:t>
            </w:r>
            <w:r w:rsidR="00C44640" w:rsidRPr="00712331">
              <w:rPr>
                <w:color w:val="000000"/>
                <w:sz w:val="20"/>
                <w:szCs w:val="20"/>
              </w:rPr>
              <w:t>-</w:t>
            </w:r>
            <w:r w:rsidRPr="00712331">
              <w:rPr>
                <w:color w:val="000000"/>
                <w:sz w:val="20"/>
                <w:szCs w:val="20"/>
              </w:rPr>
              <w:t>K</w:t>
            </w:r>
            <w:r w:rsidR="00540164" w:rsidRPr="00712331">
              <w:rPr>
                <w:color w:val="000000"/>
                <w:sz w:val="20"/>
                <w:szCs w:val="20"/>
              </w:rPr>
              <w:t>–</w:t>
            </w:r>
            <w:r w:rsidRPr="00712331">
              <w:rPr>
                <w:color w:val="000000"/>
                <w:sz w:val="20"/>
                <w:szCs w:val="20"/>
              </w:rPr>
              <w:t>6</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091B1A" w:rsidRPr="00712331" w:rsidRDefault="00172FE2"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805</w:t>
            </w:r>
          </w:p>
        </w:tc>
      </w:tr>
      <w:tr w:rsidR="00091B1A" w:rsidRPr="00F04EDB"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091B1A" w:rsidRPr="00712331" w:rsidRDefault="00172FE2" w:rsidP="00E1561A">
            <w:pPr>
              <w:tabs>
                <w:tab w:val="left" w:pos="360"/>
                <w:tab w:val="left" w:pos="720"/>
                <w:tab w:val="left" w:pos="1080"/>
                <w:tab w:val="left" w:pos="1440"/>
                <w:tab w:val="left" w:pos="1800"/>
                <w:tab w:val="left" w:pos="2160"/>
                <w:tab w:val="left" w:pos="2520"/>
                <w:tab w:val="left" w:pos="2880"/>
              </w:tabs>
              <w:spacing w:after="0" w:line="240" w:lineRule="auto"/>
              <w:rPr>
                <w:color w:val="000000"/>
                <w:sz w:val="20"/>
                <w:szCs w:val="20"/>
              </w:rPr>
            </w:pPr>
            <w:r w:rsidRPr="00712331">
              <w:rPr>
                <w:color w:val="000000"/>
                <w:sz w:val="20"/>
                <w:szCs w:val="20"/>
              </w:rPr>
              <w:t xml:space="preserve">Rice Square </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091B1A" w:rsidRPr="00712331" w:rsidRDefault="00172FE2"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091B1A" w:rsidRPr="00712331" w:rsidRDefault="00172FE2"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K</w:t>
            </w:r>
            <w:r w:rsidR="00540164" w:rsidRPr="00712331">
              <w:rPr>
                <w:color w:val="000000"/>
                <w:sz w:val="20"/>
                <w:szCs w:val="20"/>
              </w:rPr>
              <w:t>–</w:t>
            </w:r>
            <w:r w:rsidRPr="00712331">
              <w:rPr>
                <w:color w:val="000000"/>
                <w:sz w:val="20"/>
                <w:szCs w:val="20"/>
              </w:rPr>
              <w:t>6</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091B1A" w:rsidRPr="00712331" w:rsidRDefault="00172FE2"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412</w:t>
            </w:r>
          </w:p>
        </w:tc>
      </w:tr>
      <w:tr w:rsidR="00091B1A" w:rsidRPr="00F04EDB"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091B1A" w:rsidRPr="00712331" w:rsidRDefault="00172FE2" w:rsidP="00E1561A">
            <w:pPr>
              <w:tabs>
                <w:tab w:val="left" w:pos="360"/>
                <w:tab w:val="left" w:pos="720"/>
                <w:tab w:val="left" w:pos="1080"/>
                <w:tab w:val="left" w:pos="1440"/>
                <w:tab w:val="left" w:pos="1800"/>
                <w:tab w:val="left" w:pos="2160"/>
                <w:tab w:val="left" w:pos="2520"/>
                <w:tab w:val="left" w:pos="2880"/>
              </w:tabs>
              <w:spacing w:after="0" w:line="240" w:lineRule="auto"/>
              <w:rPr>
                <w:color w:val="000000"/>
                <w:sz w:val="20"/>
                <w:szCs w:val="20"/>
              </w:rPr>
            </w:pPr>
            <w:r w:rsidRPr="00712331">
              <w:rPr>
                <w:color w:val="000000"/>
                <w:sz w:val="20"/>
                <w:szCs w:val="20"/>
              </w:rPr>
              <w:t xml:space="preserve">Roosevelt </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091B1A" w:rsidRPr="00712331" w:rsidRDefault="00172FE2"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091B1A" w:rsidRPr="00712331" w:rsidRDefault="00172FE2"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P</w:t>
            </w:r>
            <w:r w:rsidR="00AE5530" w:rsidRPr="00712331">
              <w:rPr>
                <w:color w:val="000000"/>
                <w:sz w:val="20"/>
                <w:szCs w:val="20"/>
              </w:rPr>
              <w:t>re</w:t>
            </w:r>
            <w:r w:rsidR="00C44640" w:rsidRPr="00712331">
              <w:rPr>
                <w:color w:val="000000"/>
                <w:sz w:val="20"/>
                <w:szCs w:val="20"/>
              </w:rPr>
              <w:t>-</w:t>
            </w:r>
            <w:r w:rsidRPr="00712331">
              <w:rPr>
                <w:color w:val="000000"/>
                <w:sz w:val="20"/>
                <w:szCs w:val="20"/>
              </w:rPr>
              <w:t>K</w:t>
            </w:r>
            <w:r w:rsidR="00540164" w:rsidRPr="00712331">
              <w:rPr>
                <w:color w:val="000000"/>
                <w:sz w:val="20"/>
                <w:szCs w:val="20"/>
              </w:rPr>
              <w:t>–</w:t>
            </w:r>
            <w:r w:rsidRPr="00712331">
              <w:rPr>
                <w:color w:val="000000"/>
                <w:sz w:val="20"/>
                <w:szCs w:val="20"/>
              </w:rPr>
              <w:t>6</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091B1A" w:rsidRPr="00712331" w:rsidRDefault="00172FE2"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654</w:t>
            </w:r>
          </w:p>
        </w:tc>
      </w:tr>
      <w:tr w:rsidR="00091B1A" w:rsidRPr="00F04EDB"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091B1A" w:rsidRPr="00712331" w:rsidRDefault="000A1A88" w:rsidP="00E1561A">
            <w:pPr>
              <w:tabs>
                <w:tab w:val="left" w:pos="360"/>
                <w:tab w:val="left" w:pos="720"/>
                <w:tab w:val="left" w:pos="1080"/>
                <w:tab w:val="left" w:pos="1440"/>
                <w:tab w:val="left" w:pos="1800"/>
                <w:tab w:val="left" w:pos="2160"/>
                <w:tab w:val="left" w:pos="2520"/>
                <w:tab w:val="left" w:pos="2880"/>
              </w:tabs>
              <w:spacing w:after="0" w:line="240" w:lineRule="auto"/>
              <w:rPr>
                <w:color w:val="000000"/>
                <w:sz w:val="20"/>
                <w:szCs w:val="20"/>
              </w:rPr>
            </w:pPr>
            <w:r w:rsidRPr="00712331">
              <w:rPr>
                <w:color w:val="000000"/>
                <w:sz w:val="20"/>
                <w:szCs w:val="20"/>
              </w:rPr>
              <w:t xml:space="preserve">Tatnuck </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091B1A" w:rsidRPr="00712331" w:rsidRDefault="000A1A88"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091B1A" w:rsidRPr="00712331" w:rsidRDefault="000A1A88"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P</w:t>
            </w:r>
            <w:r w:rsidR="00AE5530" w:rsidRPr="00712331">
              <w:rPr>
                <w:color w:val="000000"/>
                <w:sz w:val="20"/>
                <w:szCs w:val="20"/>
              </w:rPr>
              <w:t>re</w:t>
            </w:r>
            <w:r w:rsidR="00C44640" w:rsidRPr="00712331">
              <w:rPr>
                <w:color w:val="000000"/>
                <w:sz w:val="20"/>
                <w:szCs w:val="20"/>
              </w:rPr>
              <w:t>-</w:t>
            </w:r>
            <w:r w:rsidRPr="00712331">
              <w:rPr>
                <w:color w:val="000000"/>
                <w:sz w:val="20"/>
                <w:szCs w:val="20"/>
              </w:rPr>
              <w:t>K</w:t>
            </w:r>
            <w:r w:rsidR="00540164" w:rsidRPr="00712331">
              <w:rPr>
                <w:color w:val="000000"/>
                <w:sz w:val="20"/>
                <w:szCs w:val="20"/>
              </w:rPr>
              <w:t>–</w:t>
            </w:r>
            <w:r w:rsidRPr="00712331">
              <w:rPr>
                <w:color w:val="000000"/>
                <w:sz w:val="20"/>
                <w:szCs w:val="20"/>
              </w:rPr>
              <w:t>6</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091B1A" w:rsidRPr="00712331" w:rsidRDefault="003F4DDC"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385</w:t>
            </w:r>
          </w:p>
        </w:tc>
      </w:tr>
      <w:tr w:rsidR="00091B1A" w:rsidRPr="00F04EDB"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091B1A" w:rsidRPr="00712331" w:rsidRDefault="000A1A88" w:rsidP="00E1561A">
            <w:pPr>
              <w:tabs>
                <w:tab w:val="left" w:pos="360"/>
                <w:tab w:val="left" w:pos="720"/>
                <w:tab w:val="left" w:pos="1080"/>
                <w:tab w:val="left" w:pos="1440"/>
                <w:tab w:val="left" w:pos="1800"/>
                <w:tab w:val="left" w:pos="2160"/>
                <w:tab w:val="left" w:pos="2520"/>
                <w:tab w:val="left" w:pos="2880"/>
              </w:tabs>
              <w:spacing w:after="0" w:line="240" w:lineRule="auto"/>
              <w:rPr>
                <w:color w:val="000000"/>
                <w:sz w:val="20"/>
                <w:szCs w:val="20"/>
              </w:rPr>
            </w:pPr>
            <w:r w:rsidRPr="00712331">
              <w:rPr>
                <w:color w:val="000000"/>
                <w:sz w:val="20"/>
                <w:szCs w:val="20"/>
              </w:rPr>
              <w:t xml:space="preserve">Thorndyke Road </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091B1A" w:rsidRPr="00712331" w:rsidRDefault="000A1A88"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091B1A" w:rsidRPr="00712331" w:rsidRDefault="000A1A88"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K</w:t>
            </w:r>
            <w:r w:rsidR="00540164" w:rsidRPr="00712331">
              <w:rPr>
                <w:color w:val="000000"/>
                <w:sz w:val="20"/>
                <w:szCs w:val="20"/>
              </w:rPr>
              <w:t>–</w:t>
            </w:r>
            <w:r w:rsidRPr="00712331">
              <w:rPr>
                <w:color w:val="000000"/>
                <w:sz w:val="20"/>
                <w:szCs w:val="20"/>
              </w:rPr>
              <w:t>6</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091B1A" w:rsidRPr="00712331" w:rsidRDefault="000A1A88"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376</w:t>
            </w:r>
          </w:p>
        </w:tc>
      </w:tr>
      <w:tr w:rsidR="00091B1A" w:rsidRPr="00F04EDB"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091B1A" w:rsidRPr="00712331" w:rsidRDefault="000A1A88" w:rsidP="00E1561A">
            <w:pPr>
              <w:tabs>
                <w:tab w:val="left" w:pos="360"/>
                <w:tab w:val="left" w:pos="720"/>
                <w:tab w:val="left" w:pos="1080"/>
                <w:tab w:val="left" w:pos="1440"/>
                <w:tab w:val="left" w:pos="1800"/>
                <w:tab w:val="left" w:pos="2160"/>
                <w:tab w:val="left" w:pos="2520"/>
                <w:tab w:val="left" w:pos="2880"/>
              </w:tabs>
              <w:spacing w:after="0" w:line="240" w:lineRule="auto"/>
              <w:rPr>
                <w:color w:val="000000"/>
                <w:sz w:val="20"/>
                <w:szCs w:val="20"/>
              </w:rPr>
            </w:pPr>
            <w:r w:rsidRPr="00712331">
              <w:rPr>
                <w:color w:val="000000"/>
                <w:sz w:val="20"/>
                <w:szCs w:val="20"/>
              </w:rPr>
              <w:t>Union Hill School</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091B1A" w:rsidRPr="00712331" w:rsidRDefault="000A1A88"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091B1A" w:rsidRPr="00712331" w:rsidRDefault="000A1A88"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K</w:t>
            </w:r>
            <w:r w:rsidR="00540164" w:rsidRPr="00712331">
              <w:rPr>
                <w:color w:val="000000"/>
                <w:sz w:val="20"/>
                <w:szCs w:val="20"/>
              </w:rPr>
              <w:t>–</w:t>
            </w:r>
            <w:r w:rsidRPr="00712331">
              <w:rPr>
                <w:color w:val="000000"/>
                <w:sz w:val="20"/>
                <w:szCs w:val="20"/>
              </w:rPr>
              <w:t>6</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091B1A" w:rsidRPr="00712331" w:rsidRDefault="000A1A88"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521</w:t>
            </w:r>
          </w:p>
        </w:tc>
      </w:tr>
      <w:tr w:rsidR="00091B1A" w:rsidRPr="00F04EDB"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091B1A" w:rsidRPr="00712331" w:rsidRDefault="000A1A88" w:rsidP="00E1561A">
            <w:pPr>
              <w:tabs>
                <w:tab w:val="left" w:pos="360"/>
                <w:tab w:val="left" w:pos="720"/>
                <w:tab w:val="left" w:pos="1080"/>
                <w:tab w:val="left" w:pos="1440"/>
                <w:tab w:val="left" w:pos="1800"/>
                <w:tab w:val="left" w:pos="2160"/>
                <w:tab w:val="left" w:pos="2520"/>
                <w:tab w:val="left" w:pos="2880"/>
              </w:tabs>
              <w:spacing w:after="0" w:line="240" w:lineRule="auto"/>
              <w:rPr>
                <w:color w:val="000000"/>
                <w:sz w:val="20"/>
                <w:szCs w:val="20"/>
              </w:rPr>
            </w:pPr>
            <w:r w:rsidRPr="00712331">
              <w:rPr>
                <w:color w:val="000000"/>
                <w:sz w:val="20"/>
                <w:szCs w:val="20"/>
              </w:rPr>
              <w:t>Vernon Hill School</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091B1A" w:rsidRPr="00712331" w:rsidRDefault="000A1A88"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091B1A" w:rsidRPr="00712331" w:rsidRDefault="000A1A88"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P</w:t>
            </w:r>
            <w:r w:rsidR="00AE5530" w:rsidRPr="00712331">
              <w:rPr>
                <w:color w:val="000000"/>
                <w:sz w:val="20"/>
                <w:szCs w:val="20"/>
              </w:rPr>
              <w:t>re</w:t>
            </w:r>
            <w:r w:rsidR="00C44640" w:rsidRPr="00712331">
              <w:rPr>
                <w:color w:val="000000"/>
                <w:sz w:val="20"/>
                <w:szCs w:val="20"/>
              </w:rPr>
              <w:t>-</w:t>
            </w:r>
            <w:r w:rsidRPr="00712331">
              <w:rPr>
                <w:color w:val="000000"/>
                <w:sz w:val="20"/>
                <w:szCs w:val="20"/>
              </w:rPr>
              <w:t>K</w:t>
            </w:r>
            <w:r w:rsidR="00540164" w:rsidRPr="00712331">
              <w:rPr>
                <w:color w:val="000000"/>
                <w:sz w:val="20"/>
                <w:szCs w:val="20"/>
              </w:rPr>
              <w:t>–</w:t>
            </w:r>
            <w:r w:rsidRPr="00712331">
              <w:rPr>
                <w:color w:val="000000"/>
                <w:sz w:val="20"/>
                <w:szCs w:val="20"/>
              </w:rPr>
              <w:t>6</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091B1A" w:rsidRPr="00712331" w:rsidRDefault="000A1A88"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561</w:t>
            </w:r>
          </w:p>
        </w:tc>
      </w:tr>
      <w:tr w:rsidR="00091B1A" w:rsidRPr="00F04EDB"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091B1A" w:rsidRPr="00712331" w:rsidRDefault="000A1A88" w:rsidP="00E1561A">
            <w:pPr>
              <w:tabs>
                <w:tab w:val="left" w:pos="360"/>
                <w:tab w:val="left" w:pos="720"/>
                <w:tab w:val="left" w:pos="1080"/>
                <w:tab w:val="left" w:pos="1440"/>
                <w:tab w:val="left" w:pos="1800"/>
                <w:tab w:val="left" w:pos="2160"/>
                <w:tab w:val="left" w:pos="2520"/>
                <w:tab w:val="left" w:pos="2880"/>
              </w:tabs>
              <w:spacing w:after="0" w:line="240" w:lineRule="auto"/>
              <w:rPr>
                <w:color w:val="000000"/>
                <w:sz w:val="20"/>
                <w:szCs w:val="20"/>
              </w:rPr>
            </w:pPr>
            <w:r w:rsidRPr="00712331">
              <w:rPr>
                <w:color w:val="000000"/>
                <w:sz w:val="20"/>
                <w:szCs w:val="20"/>
              </w:rPr>
              <w:t>Wawecus Road School</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091B1A" w:rsidRPr="00712331" w:rsidRDefault="000A1A88"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091B1A" w:rsidRPr="00712331" w:rsidRDefault="000A1A88"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K</w:t>
            </w:r>
            <w:r w:rsidR="00540164" w:rsidRPr="00712331">
              <w:rPr>
                <w:color w:val="000000"/>
                <w:sz w:val="20"/>
                <w:szCs w:val="20"/>
              </w:rPr>
              <w:t>–</w:t>
            </w:r>
            <w:r w:rsidRPr="00712331">
              <w:rPr>
                <w:color w:val="000000"/>
                <w:sz w:val="20"/>
                <w:szCs w:val="20"/>
              </w:rPr>
              <w:t>6</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091B1A" w:rsidRPr="00712331" w:rsidRDefault="000A1A88"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147</w:t>
            </w:r>
          </w:p>
        </w:tc>
      </w:tr>
      <w:tr w:rsidR="00091B1A" w:rsidRPr="00F04EDB"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091B1A" w:rsidRPr="00712331" w:rsidRDefault="000A1A88" w:rsidP="00E1561A">
            <w:pPr>
              <w:tabs>
                <w:tab w:val="left" w:pos="360"/>
                <w:tab w:val="left" w:pos="720"/>
                <w:tab w:val="left" w:pos="1080"/>
                <w:tab w:val="left" w:pos="1440"/>
                <w:tab w:val="left" w:pos="1800"/>
                <w:tab w:val="left" w:pos="2160"/>
                <w:tab w:val="left" w:pos="2520"/>
                <w:tab w:val="left" w:pos="2880"/>
              </w:tabs>
              <w:spacing w:after="0" w:line="240" w:lineRule="auto"/>
              <w:rPr>
                <w:color w:val="000000"/>
                <w:sz w:val="20"/>
                <w:szCs w:val="20"/>
              </w:rPr>
            </w:pPr>
            <w:r w:rsidRPr="00712331">
              <w:rPr>
                <w:color w:val="000000"/>
                <w:sz w:val="20"/>
                <w:szCs w:val="20"/>
              </w:rPr>
              <w:t xml:space="preserve">West Tatnuck </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091B1A" w:rsidRPr="00712331" w:rsidRDefault="000A1A88"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091B1A" w:rsidRPr="00712331" w:rsidRDefault="000A1A88"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P</w:t>
            </w:r>
            <w:r w:rsidR="00AE5530" w:rsidRPr="00712331">
              <w:rPr>
                <w:color w:val="000000"/>
                <w:sz w:val="20"/>
                <w:szCs w:val="20"/>
              </w:rPr>
              <w:t>re</w:t>
            </w:r>
            <w:r w:rsidR="00B74CBA" w:rsidRPr="00712331">
              <w:rPr>
                <w:color w:val="000000"/>
                <w:sz w:val="20"/>
                <w:szCs w:val="20"/>
              </w:rPr>
              <w:t>-</w:t>
            </w:r>
            <w:r w:rsidRPr="00712331">
              <w:rPr>
                <w:color w:val="000000"/>
                <w:sz w:val="20"/>
                <w:szCs w:val="20"/>
              </w:rPr>
              <w:t>K</w:t>
            </w:r>
            <w:r w:rsidR="00540164" w:rsidRPr="00712331">
              <w:rPr>
                <w:color w:val="000000"/>
                <w:sz w:val="20"/>
                <w:szCs w:val="20"/>
              </w:rPr>
              <w:t>–</w:t>
            </w:r>
            <w:r w:rsidRPr="00712331">
              <w:rPr>
                <w:color w:val="000000"/>
                <w:sz w:val="20"/>
                <w:szCs w:val="20"/>
              </w:rPr>
              <w:t>6</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091B1A" w:rsidRPr="00712331" w:rsidRDefault="000A1A88"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341</w:t>
            </w:r>
          </w:p>
        </w:tc>
      </w:tr>
      <w:tr w:rsidR="00A14613" w:rsidRPr="00F04EDB"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A14613" w:rsidRPr="00E90ED4" w:rsidRDefault="0047041E" w:rsidP="00E1561A">
            <w:pPr>
              <w:tabs>
                <w:tab w:val="left" w:pos="360"/>
                <w:tab w:val="left" w:pos="720"/>
                <w:tab w:val="left" w:pos="1080"/>
                <w:tab w:val="left" w:pos="1440"/>
                <w:tab w:val="left" w:pos="1800"/>
                <w:tab w:val="left" w:pos="2160"/>
                <w:tab w:val="left" w:pos="2520"/>
                <w:tab w:val="left" w:pos="2880"/>
              </w:tabs>
              <w:spacing w:after="0" w:line="240" w:lineRule="auto"/>
              <w:rPr>
                <w:color w:val="000000"/>
                <w:sz w:val="20"/>
                <w:szCs w:val="20"/>
              </w:rPr>
            </w:pPr>
            <w:r w:rsidRPr="0047041E">
              <w:rPr>
                <w:color w:val="000000"/>
                <w:sz w:val="20"/>
                <w:szCs w:val="20"/>
              </w:rPr>
              <w:t>Woodland Academy</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47041E" w:rsidRPr="0047041E" w:rsidRDefault="0047041E" w:rsidP="007071F8">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47041E">
              <w:rPr>
                <w:color w:val="000000"/>
                <w:sz w:val="20"/>
                <w:szCs w:val="20"/>
              </w:rPr>
              <w:t>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47041E" w:rsidRPr="0047041E" w:rsidRDefault="0047041E" w:rsidP="007071F8">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47041E">
              <w:rPr>
                <w:color w:val="000000"/>
                <w:sz w:val="20"/>
                <w:szCs w:val="20"/>
              </w:rPr>
              <w:t>Pre-K–6</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47041E" w:rsidRPr="0047041E" w:rsidRDefault="0047041E" w:rsidP="007071F8">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47041E">
              <w:rPr>
                <w:color w:val="000000"/>
                <w:sz w:val="20"/>
                <w:szCs w:val="20"/>
              </w:rPr>
              <w:t>627</w:t>
            </w:r>
          </w:p>
        </w:tc>
      </w:tr>
      <w:tr w:rsidR="00A14613" w:rsidRPr="00F04EDB"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A14613" w:rsidRPr="00E90ED4" w:rsidRDefault="0047041E" w:rsidP="00E1561A">
            <w:pPr>
              <w:tabs>
                <w:tab w:val="left" w:pos="360"/>
                <w:tab w:val="left" w:pos="720"/>
                <w:tab w:val="left" w:pos="1080"/>
                <w:tab w:val="left" w:pos="1440"/>
                <w:tab w:val="left" w:pos="1800"/>
                <w:tab w:val="left" w:pos="2160"/>
                <w:tab w:val="left" w:pos="2520"/>
                <w:tab w:val="left" w:pos="2880"/>
              </w:tabs>
              <w:spacing w:after="0" w:line="240" w:lineRule="auto"/>
              <w:rPr>
                <w:color w:val="000000"/>
                <w:sz w:val="20"/>
                <w:szCs w:val="20"/>
              </w:rPr>
            </w:pPr>
            <w:r w:rsidRPr="0047041E">
              <w:rPr>
                <w:color w:val="000000"/>
                <w:sz w:val="20"/>
                <w:szCs w:val="20"/>
              </w:rPr>
              <w:t>Worcester Arts Magnet School</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47041E" w:rsidRPr="0047041E" w:rsidRDefault="0047041E" w:rsidP="007071F8">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47041E">
              <w:rPr>
                <w:color w:val="000000"/>
                <w:sz w:val="20"/>
                <w:szCs w:val="20"/>
              </w:rPr>
              <w:t>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47041E" w:rsidRPr="0047041E" w:rsidRDefault="0047041E" w:rsidP="007071F8">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47041E">
              <w:rPr>
                <w:color w:val="000000"/>
                <w:sz w:val="20"/>
                <w:szCs w:val="20"/>
              </w:rPr>
              <w:t>Pre-K–6</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47041E" w:rsidRPr="0047041E" w:rsidRDefault="0047041E" w:rsidP="007071F8">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47041E">
              <w:rPr>
                <w:color w:val="000000"/>
                <w:sz w:val="20"/>
                <w:szCs w:val="20"/>
              </w:rPr>
              <w:t>405</w:t>
            </w:r>
          </w:p>
        </w:tc>
      </w:tr>
      <w:tr w:rsidR="00A14613" w:rsidRPr="00F04EDB"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A14613" w:rsidRPr="00712331" w:rsidRDefault="007C59D2" w:rsidP="00E1561A">
            <w:pPr>
              <w:tabs>
                <w:tab w:val="left" w:pos="360"/>
                <w:tab w:val="left" w:pos="720"/>
                <w:tab w:val="left" w:pos="1080"/>
                <w:tab w:val="left" w:pos="1440"/>
                <w:tab w:val="left" w:pos="1800"/>
                <w:tab w:val="left" w:pos="2160"/>
                <w:tab w:val="left" w:pos="2520"/>
                <w:tab w:val="left" w:pos="2880"/>
              </w:tabs>
              <w:spacing w:after="0" w:line="240" w:lineRule="auto"/>
              <w:rPr>
                <w:color w:val="000000"/>
                <w:sz w:val="20"/>
                <w:szCs w:val="20"/>
              </w:rPr>
            </w:pPr>
            <w:r w:rsidRPr="00712331">
              <w:rPr>
                <w:color w:val="000000"/>
                <w:sz w:val="20"/>
                <w:szCs w:val="20"/>
              </w:rPr>
              <w:t>Burncoat Middle</w:t>
            </w:r>
            <w:r w:rsidR="005979ED" w:rsidRPr="00712331">
              <w:rPr>
                <w:color w:val="000000"/>
                <w:sz w:val="20"/>
                <w:szCs w:val="20"/>
              </w:rPr>
              <w:t xml:space="preserve"> School</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A14613" w:rsidRPr="00712331" w:rsidRDefault="007C59D2"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MS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A14613" w:rsidRPr="00712331" w:rsidRDefault="007C59D2"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7</w:t>
            </w:r>
            <w:r w:rsidR="00BD25DB" w:rsidRPr="00712331">
              <w:rPr>
                <w:color w:val="000000"/>
                <w:sz w:val="20"/>
                <w:szCs w:val="20"/>
              </w:rPr>
              <w:t>–</w:t>
            </w:r>
            <w:r w:rsidRPr="00712331">
              <w:rPr>
                <w:color w:val="000000"/>
                <w:sz w:val="20"/>
                <w:szCs w:val="20"/>
              </w:rPr>
              <w:t>8</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A14613" w:rsidRPr="00712331" w:rsidRDefault="007C59D2"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563</w:t>
            </w:r>
          </w:p>
        </w:tc>
      </w:tr>
      <w:tr w:rsidR="00A14613" w:rsidRPr="00F04EDB"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A14613" w:rsidRPr="00712331" w:rsidRDefault="007C59D2" w:rsidP="00E1561A">
            <w:pPr>
              <w:tabs>
                <w:tab w:val="left" w:pos="360"/>
                <w:tab w:val="left" w:pos="720"/>
                <w:tab w:val="left" w:pos="1080"/>
                <w:tab w:val="left" w:pos="1440"/>
                <w:tab w:val="left" w:pos="1800"/>
                <w:tab w:val="left" w:pos="2160"/>
                <w:tab w:val="left" w:pos="2520"/>
                <w:tab w:val="left" w:pos="2880"/>
              </w:tabs>
              <w:spacing w:after="0" w:line="240" w:lineRule="auto"/>
              <w:rPr>
                <w:color w:val="000000"/>
                <w:sz w:val="20"/>
                <w:szCs w:val="20"/>
              </w:rPr>
            </w:pPr>
            <w:r w:rsidRPr="00712331">
              <w:rPr>
                <w:color w:val="000000"/>
                <w:sz w:val="20"/>
                <w:szCs w:val="20"/>
              </w:rPr>
              <w:t>Forest Grove Middle</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A14613" w:rsidRPr="00712331" w:rsidRDefault="007C59D2"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MS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A14613" w:rsidRPr="00712331" w:rsidRDefault="007C59D2"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7</w:t>
            </w:r>
            <w:r w:rsidR="00BD25DB" w:rsidRPr="00712331">
              <w:rPr>
                <w:color w:val="000000"/>
                <w:sz w:val="20"/>
                <w:szCs w:val="20"/>
              </w:rPr>
              <w:t>–</w:t>
            </w:r>
            <w:r w:rsidRPr="00712331">
              <w:rPr>
                <w:color w:val="000000"/>
                <w:sz w:val="20"/>
                <w:szCs w:val="20"/>
              </w:rPr>
              <w:t>8</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A14613" w:rsidRPr="00712331" w:rsidRDefault="007C59D2"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997</w:t>
            </w:r>
          </w:p>
        </w:tc>
      </w:tr>
      <w:tr w:rsidR="00A14613" w:rsidRPr="00F04EDB"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A14613" w:rsidRPr="00712331" w:rsidRDefault="007C59D2" w:rsidP="00E1561A">
            <w:pPr>
              <w:tabs>
                <w:tab w:val="left" w:pos="360"/>
                <w:tab w:val="left" w:pos="720"/>
                <w:tab w:val="left" w:pos="1080"/>
                <w:tab w:val="left" w:pos="1440"/>
                <w:tab w:val="left" w:pos="1800"/>
                <w:tab w:val="left" w:pos="2160"/>
                <w:tab w:val="left" w:pos="2520"/>
                <w:tab w:val="left" w:pos="2880"/>
              </w:tabs>
              <w:spacing w:after="0" w:line="240" w:lineRule="auto"/>
              <w:rPr>
                <w:color w:val="000000"/>
                <w:sz w:val="20"/>
                <w:szCs w:val="20"/>
              </w:rPr>
            </w:pPr>
            <w:r w:rsidRPr="00712331">
              <w:rPr>
                <w:color w:val="000000"/>
                <w:sz w:val="20"/>
                <w:szCs w:val="20"/>
              </w:rPr>
              <w:t>Sullivan Middle</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A14613" w:rsidRPr="00712331" w:rsidRDefault="007C59D2"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MS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A14613" w:rsidRPr="00712331" w:rsidRDefault="007C59D2"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6</w:t>
            </w:r>
            <w:r w:rsidR="00BD25DB" w:rsidRPr="00712331">
              <w:rPr>
                <w:color w:val="000000"/>
                <w:sz w:val="20"/>
                <w:szCs w:val="20"/>
              </w:rPr>
              <w:t>–</w:t>
            </w:r>
            <w:r w:rsidRPr="00712331">
              <w:rPr>
                <w:color w:val="000000"/>
                <w:sz w:val="20"/>
                <w:szCs w:val="20"/>
              </w:rPr>
              <w:t>8</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A14613" w:rsidRPr="00712331" w:rsidRDefault="007C59D2"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863</w:t>
            </w:r>
          </w:p>
        </w:tc>
      </w:tr>
      <w:tr w:rsidR="00091B1A" w:rsidRPr="00F04EDB"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091B1A" w:rsidRPr="00712331" w:rsidRDefault="00B43A0E" w:rsidP="00E1561A">
            <w:pPr>
              <w:tabs>
                <w:tab w:val="left" w:pos="360"/>
                <w:tab w:val="left" w:pos="720"/>
                <w:tab w:val="left" w:pos="1080"/>
                <w:tab w:val="left" w:pos="1440"/>
                <w:tab w:val="left" w:pos="1800"/>
                <w:tab w:val="left" w:pos="2160"/>
                <w:tab w:val="left" w:pos="2520"/>
                <w:tab w:val="left" w:pos="2880"/>
              </w:tabs>
              <w:spacing w:after="0" w:line="240" w:lineRule="auto"/>
              <w:rPr>
                <w:color w:val="000000"/>
                <w:sz w:val="20"/>
                <w:szCs w:val="20"/>
              </w:rPr>
            </w:pPr>
            <w:r w:rsidRPr="00712331">
              <w:rPr>
                <w:color w:val="000000"/>
                <w:sz w:val="20"/>
                <w:szCs w:val="20"/>
              </w:rPr>
              <w:lastRenderedPageBreak/>
              <w:t xml:space="preserve">Worcester East Middle </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091B1A" w:rsidRPr="00712331" w:rsidRDefault="00B43A0E"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MS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091B1A" w:rsidRPr="00712331" w:rsidRDefault="00B43A0E"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6</w:t>
            </w:r>
            <w:r w:rsidR="00BD25DB" w:rsidRPr="00712331">
              <w:rPr>
                <w:color w:val="000000"/>
                <w:sz w:val="20"/>
                <w:szCs w:val="20"/>
              </w:rPr>
              <w:t>–</w:t>
            </w:r>
            <w:r w:rsidRPr="00712331">
              <w:rPr>
                <w:color w:val="000000"/>
                <w:sz w:val="20"/>
                <w:szCs w:val="20"/>
              </w:rPr>
              <w:t>8</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091B1A" w:rsidRPr="00712331" w:rsidRDefault="00B43A0E"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816</w:t>
            </w:r>
          </w:p>
        </w:tc>
      </w:tr>
      <w:tr w:rsidR="00091B1A" w:rsidRPr="00F04EDB"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091B1A" w:rsidRPr="00712331" w:rsidRDefault="00B43A0E" w:rsidP="00E1561A">
            <w:pPr>
              <w:tabs>
                <w:tab w:val="left" w:pos="360"/>
                <w:tab w:val="left" w:pos="720"/>
                <w:tab w:val="left" w:pos="1080"/>
                <w:tab w:val="left" w:pos="1440"/>
                <w:tab w:val="left" w:pos="1800"/>
                <w:tab w:val="left" w:pos="2160"/>
                <w:tab w:val="left" w:pos="2520"/>
                <w:tab w:val="left" w:pos="2880"/>
              </w:tabs>
              <w:spacing w:after="0" w:line="240" w:lineRule="auto"/>
              <w:rPr>
                <w:color w:val="000000"/>
                <w:sz w:val="20"/>
                <w:szCs w:val="20"/>
              </w:rPr>
            </w:pPr>
            <w:r w:rsidRPr="00712331">
              <w:rPr>
                <w:color w:val="000000"/>
                <w:sz w:val="20"/>
                <w:szCs w:val="20"/>
              </w:rPr>
              <w:t>Burncoat Senior High</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091B1A" w:rsidRPr="00712331" w:rsidRDefault="00B43A0E"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HS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091B1A" w:rsidRPr="00712331" w:rsidRDefault="00B43A0E"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9</w:t>
            </w:r>
            <w:r w:rsidR="00BD25DB" w:rsidRPr="00712331">
              <w:rPr>
                <w:color w:val="000000"/>
                <w:sz w:val="20"/>
                <w:szCs w:val="20"/>
              </w:rPr>
              <w:t>–</w:t>
            </w:r>
            <w:r w:rsidRPr="00712331">
              <w:rPr>
                <w:color w:val="000000"/>
                <w:sz w:val="20"/>
                <w:szCs w:val="20"/>
              </w:rPr>
              <w:t>12</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091B1A" w:rsidRPr="00712331" w:rsidRDefault="00B43A0E"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1</w:t>
            </w:r>
            <w:r w:rsidR="00BF2307" w:rsidRPr="00712331">
              <w:rPr>
                <w:color w:val="000000"/>
                <w:sz w:val="20"/>
                <w:szCs w:val="20"/>
              </w:rPr>
              <w:t>,</w:t>
            </w:r>
            <w:r w:rsidRPr="00712331">
              <w:rPr>
                <w:color w:val="000000"/>
                <w:sz w:val="20"/>
                <w:szCs w:val="20"/>
              </w:rPr>
              <w:t>023</w:t>
            </w:r>
          </w:p>
        </w:tc>
      </w:tr>
      <w:tr w:rsidR="00091B1A" w:rsidRPr="00F04EDB"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091B1A" w:rsidRPr="00712331" w:rsidRDefault="00B43A0E" w:rsidP="00E1561A">
            <w:pPr>
              <w:tabs>
                <w:tab w:val="left" w:pos="360"/>
                <w:tab w:val="left" w:pos="720"/>
                <w:tab w:val="left" w:pos="1080"/>
                <w:tab w:val="left" w:pos="1440"/>
                <w:tab w:val="left" w:pos="1800"/>
                <w:tab w:val="left" w:pos="2160"/>
                <w:tab w:val="left" w:pos="2520"/>
                <w:tab w:val="left" w:pos="2880"/>
              </w:tabs>
              <w:spacing w:after="0" w:line="240" w:lineRule="auto"/>
              <w:rPr>
                <w:color w:val="000000"/>
                <w:sz w:val="20"/>
                <w:szCs w:val="20"/>
              </w:rPr>
            </w:pPr>
            <w:r w:rsidRPr="00712331">
              <w:rPr>
                <w:color w:val="000000"/>
                <w:sz w:val="20"/>
                <w:szCs w:val="20"/>
              </w:rPr>
              <w:t>Claremont Academy</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091B1A" w:rsidRPr="00712331" w:rsidRDefault="00B43A0E"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MSHS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091B1A" w:rsidRPr="00712331" w:rsidRDefault="00B43A0E"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7</w:t>
            </w:r>
            <w:r w:rsidR="00BD25DB" w:rsidRPr="00712331">
              <w:rPr>
                <w:color w:val="000000"/>
                <w:sz w:val="20"/>
                <w:szCs w:val="20"/>
              </w:rPr>
              <w:t>–</w:t>
            </w:r>
            <w:r w:rsidRPr="00712331">
              <w:rPr>
                <w:color w:val="000000"/>
                <w:sz w:val="20"/>
                <w:szCs w:val="20"/>
              </w:rPr>
              <w:t>12</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091B1A" w:rsidRPr="00712331" w:rsidRDefault="00B43A0E"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532</w:t>
            </w:r>
          </w:p>
        </w:tc>
      </w:tr>
      <w:tr w:rsidR="008E314D" w:rsidRPr="00F04EDB"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8E314D" w:rsidRPr="00712331" w:rsidRDefault="00B43A0E" w:rsidP="00E1561A">
            <w:pPr>
              <w:tabs>
                <w:tab w:val="left" w:pos="360"/>
                <w:tab w:val="left" w:pos="720"/>
                <w:tab w:val="left" w:pos="1080"/>
                <w:tab w:val="left" w:pos="1440"/>
                <w:tab w:val="left" w:pos="1800"/>
                <w:tab w:val="left" w:pos="2160"/>
                <w:tab w:val="left" w:pos="2520"/>
                <w:tab w:val="left" w:pos="2880"/>
              </w:tabs>
              <w:spacing w:after="0" w:line="240" w:lineRule="auto"/>
              <w:rPr>
                <w:color w:val="000000"/>
                <w:sz w:val="20"/>
                <w:szCs w:val="20"/>
              </w:rPr>
            </w:pPr>
            <w:r w:rsidRPr="00712331">
              <w:rPr>
                <w:color w:val="000000"/>
                <w:sz w:val="20"/>
                <w:szCs w:val="20"/>
              </w:rPr>
              <w:t xml:space="preserve">Doherty Memorial High </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8E314D" w:rsidRPr="00712331" w:rsidRDefault="00B43A0E"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HS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8E314D" w:rsidRPr="00712331" w:rsidRDefault="00B43A0E"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9</w:t>
            </w:r>
            <w:r w:rsidR="00BD25DB" w:rsidRPr="00712331">
              <w:rPr>
                <w:color w:val="000000"/>
                <w:sz w:val="20"/>
                <w:szCs w:val="20"/>
              </w:rPr>
              <w:t>–</w:t>
            </w:r>
            <w:r w:rsidRPr="00712331">
              <w:rPr>
                <w:color w:val="000000"/>
                <w:sz w:val="20"/>
                <w:szCs w:val="20"/>
              </w:rPr>
              <w:t>12, SP</w:t>
            </w:r>
            <w:r w:rsidR="00AE5530" w:rsidRPr="00712331">
              <w:rPr>
                <w:color w:val="000000"/>
                <w:sz w:val="20"/>
                <w:szCs w:val="20"/>
              </w:rPr>
              <w:t>**</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8E314D" w:rsidRPr="00712331" w:rsidRDefault="00B43A0E"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1,555</w:t>
            </w:r>
          </w:p>
        </w:tc>
      </w:tr>
      <w:tr w:rsidR="008E314D" w:rsidRPr="00F04EDB"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8E314D" w:rsidRPr="00712331" w:rsidRDefault="00B43A0E" w:rsidP="00E1561A">
            <w:pPr>
              <w:tabs>
                <w:tab w:val="left" w:pos="360"/>
                <w:tab w:val="left" w:pos="720"/>
                <w:tab w:val="left" w:pos="1080"/>
                <w:tab w:val="left" w:pos="1440"/>
                <w:tab w:val="left" w:pos="1800"/>
                <w:tab w:val="left" w:pos="2160"/>
                <w:tab w:val="left" w:pos="2520"/>
                <w:tab w:val="left" w:pos="2880"/>
              </w:tabs>
              <w:spacing w:after="0" w:line="240" w:lineRule="auto"/>
              <w:rPr>
                <w:color w:val="000000"/>
                <w:sz w:val="20"/>
                <w:szCs w:val="20"/>
              </w:rPr>
            </w:pPr>
            <w:r w:rsidRPr="00712331">
              <w:rPr>
                <w:color w:val="000000"/>
                <w:sz w:val="20"/>
                <w:szCs w:val="20"/>
              </w:rPr>
              <w:t xml:space="preserve">North High </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8E314D" w:rsidRPr="00712331" w:rsidRDefault="00B43A0E"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HS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8E314D" w:rsidRPr="00712331" w:rsidRDefault="00B43A0E"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9</w:t>
            </w:r>
            <w:r w:rsidR="00BD25DB" w:rsidRPr="00712331">
              <w:rPr>
                <w:color w:val="000000"/>
                <w:sz w:val="20"/>
                <w:szCs w:val="20"/>
              </w:rPr>
              <w:t>–</w:t>
            </w:r>
            <w:r w:rsidRPr="00712331">
              <w:rPr>
                <w:color w:val="000000"/>
                <w:sz w:val="20"/>
                <w:szCs w:val="20"/>
              </w:rPr>
              <w:t>12</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8E314D" w:rsidRPr="00712331" w:rsidRDefault="00B43A0E"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1,307</w:t>
            </w:r>
          </w:p>
        </w:tc>
      </w:tr>
      <w:tr w:rsidR="008E314D" w:rsidRPr="00F04EDB"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8E314D" w:rsidRPr="00712331" w:rsidRDefault="00B43A0E" w:rsidP="00E1561A">
            <w:pPr>
              <w:tabs>
                <w:tab w:val="left" w:pos="360"/>
                <w:tab w:val="left" w:pos="720"/>
                <w:tab w:val="left" w:pos="1080"/>
                <w:tab w:val="left" w:pos="1440"/>
                <w:tab w:val="left" w:pos="1800"/>
                <w:tab w:val="left" w:pos="2160"/>
                <w:tab w:val="left" w:pos="2520"/>
                <w:tab w:val="left" w:pos="2880"/>
              </w:tabs>
              <w:spacing w:after="0" w:line="240" w:lineRule="auto"/>
              <w:rPr>
                <w:color w:val="000000"/>
                <w:sz w:val="20"/>
                <w:szCs w:val="20"/>
              </w:rPr>
            </w:pPr>
            <w:r w:rsidRPr="00712331">
              <w:rPr>
                <w:color w:val="000000"/>
                <w:sz w:val="20"/>
                <w:szCs w:val="20"/>
              </w:rPr>
              <w:t>South High Community</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8E314D" w:rsidRPr="00712331" w:rsidRDefault="00B43A0E"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HS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8E314D" w:rsidRPr="00712331" w:rsidRDefault="00B43A0E"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9</w:t>
            </w:r>
            <w:r w:rsidR="00BD25DB" w:rsidRPr="00712331">
              <w:rPr>
                <w:color w:val="000000"/>
                <w:sz w:val="20"/>
                <w:szCs w:val="20"/>
              </w:rPr>
              <w:t>–</w:t>
            </w:r>
            <w:r w:rsidRPr="00712331">
              <w:rPr>
                <w:color w:val="000000"/>
                <w:sz w:val="20"/>
                <w:szCs w:val="20"/>
              </w:rPr>
              <w:t>12, SP</w:t>
            </w:r>
            <w:r w:rsidR="00AE5530" w:rsidRPr="00712331">
              <w:rPr>
                <w:color w:val="000000"/>
                <w:sz w:val="20"/>
                <w:szCs w:val="20"/>
              </w:rPr>
              <w:t>**</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8E314D" w:rsidRPr="00712331" w:rsidRDefault="00B43A0E"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1,421</w:t>
            </w:r>
          </w:p>
        </w:tc>
      </w:tr>
      <w:tr w:rsidR="008E314D" w:rsidRPr="00F04EDB"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8E314D" w:rsidRPr="00712331" w:rsidRDefault="00B43A0E" w:rsidP="00E1561A">
            <w:pPr>
              <w:tabs>
                <w:tab w:val="left" w:pos="360"/>
                <w:tab w:val="left" w:pos="720"/>
                <w:tab w:val="left" w:pos="1080"/>
                <w:tab w:val="left" w:pos="1440"/>
                <w:tab w:val="left" w:pos="1800"/>
                <w:tab w:val="left" w:pos="2160"/>
                <w:tab w:val="left" w:pos="2520"/>
                <w:tab w:val="left" w:pos="2880"/>
              </w:tabs>
              <w:spacing w:after="0" w:line="240" w:lineRule="auto"/>
              <w:rPr>
                <w:color w:val="000000"/>
                <w:sz w:val="20"/>
                <w:szCs w:val="20"/>
              </w:rPr>
            </w:pPr>
            <w:r w:rsidRPr="00712331">
              <w:rPr>
                <w:color w:val="000000"/>
                <w:sz w:val="20"/>
                <w:szCs w:val="20"/>
              </w:rPr>
              <w:t xml:space="preserve">University Park </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8E314D" w:rsidRPr="00712331" w:rsidRDefault="00B43A0E"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MSHS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8E314D" w:rsidRPr="00712331" w:rsidRDefault="00B43A0E"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7</w:t>
            </w:r>
            <w:r w:rsidR="00BD25DB" w:rsidRPr="00712331">
              <w:rPr>
                <w:color w:val="000000"/>
                <w:sz w:val="20"/>
                <w:szCs w:val="20"/>
              </w:rPr>
              <w:t>–</w:t>
            </w:r>
            <w:r w:rsidRPr="00712331">
              <w:rPr>
                <w:color w:val="000000"/>
                <w:sz w:val="20"/>
                <w:szCs w:val="20"/>
              </w:rPr>
              <w:t>12</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8E314D" w:rsidRPr="00712331" w:rsidRDefault="00B43A0E"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254</w:t>
            </w:r>
          </w:p>
        </w:tc>
      </w:tr>
      <w:tr w:rsidR="008E314D" w:rsidRPr="00F04EDB" w:rsidTr="00350132">
        <w:trPr>
          <w:trHeight w:val="71"/>
          <w:jc w:val="center"/>
        </w:trPr>
        <w:tc>
          <w:tcPr>
            <w:tcW w:w="3618" w:type="dxa"/>
            <w:tcBorders>
              <w:top w:val="nil"/>
              <w:left w:val="single" w:sz="8" w:space="0" w:color="auto"/>
              <w:bottom w:val="single" w:sz="12" w:space="0" w:color="auto"/>
              <w:right w:val="single" w:sz="8" w:space="0" w:color="auto"/>
            </w:tcBorders>
            <w:tcMar>
              <w:top w:w="0" w:type="dxa"/>
              <w:left w:w="115" w:type="dxa"/>
              <w:bottom w:w="0" w:type="dxa"/>
              <w:right w:w="115" w:type="dxa"/>
            </w:tcMar>
            <w:vAlign w:val="center"/>
          </w:tcPr>
          <w:p w:rsidR="008E314D" w:rsidRPr="00712331" w:rsidRDefault="00B43A0E" w:rsidP="00E1561A">
            <w:pPr>
              <w:tabs>
                <w:tab w:val="left" w:pos="360"/>
                <w:tab w:val="left" w:pos="720"/>
                <w:tab w:val="left" w:pos="1080"/>
                <w:tab w:val="left" w:pos="1440"/>
                <w:tab w:val="left" w:pos="1800"/>
                <w:tab w:val="left" w:pos="2160"/>
                <w:tab w:val="left" w:pos="2520"/>
                <w:tab w:val="left" w:pos="2880"/>
              </w:tabs>
              <w:spacing w:after="0" w:line="240" w:lineRule="auto"/>
              <w:rPr>
                <w:color w:val="000000"/>
                <w:sz w:val="20"/>
                <w:szCs w:val="20"/>
              </w:rPr>
            </w:pPr>
            <w:r w:rsidRPr="00712331">
              <w:rPr>
                <w:color w:val="000000"/>
                <w:sz w:val="20"/>
                <w:szCs w:val="20"/>
              </w:rPr>
              <w:t>Worcester Technical High</w:t>
            </w:r>
          </w:p>
        </w:tc>
        <w:tc>
          <w:tcPr>
            <w:tcW w:w="1890" w:type="dxa"/>
            <w:tcBorders>
              <w:top w:val="nil"/>
              <w:left w:val="nil"/>
              <w:bottom w:val="single" w:sz="12" w:space="0" w:color="auto"/>
              <w:right w:val="single" w:sz="8" w:space="0" w:color="auto"/>
            </w:tcBorders>
            <w:tcMar>
              <w:top w:w="0" w:type="dxa"/>
              <w:left w:w="115" w:type="dxa"/>
              <w:bottom w:w="0" w:type="dxa"/>
              <w:right w:w="115" w:type="dxa"/>
            </w:tcMar>
            <w:vAlign w:val="center"/>
          </w:tcPr>
          <w:p w:rsidR="008E314D" w:rsidRPr="00712331" w:rsidRDefault="005A197A"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HS</w:t>
            </w:r>
          </w:p>
        </w:tc>
        <w:tc>
          <w:tcPr>
            <w:tcW w:w="1530" w:type="dxa"/>
            <w:tcBorders>
              <w:top w:val="nil"/>
              <w:left w:val="nil"/>
              <w:bottom w:val="single" w:sz="12" w:space="0" w:color="auto"/>
              <w:right w:val="single" w:sz="8" w:space="0" w:color="auto"/>
            </w:tcBorders>
            <w:shd w:val="clear" w:color="auto" w:fill="FFFFFF" w:themeFill="background1"/>
            <w:tcMar>
              <w:top w:w="0" w:type="dxa"/>
              <w:left w:w="115" w:type="dxa"/>
              <w:bottom w:w="0" w:type="dxa"/>
              <w:right w:w="115" w:type="dxa"/>
            </w:tcMar>
            <w:vAlign w:val="center"/>
          </w:tcPr>
          <w:p w:rsidR="008E314D" w:rsidRPr="00712331" w:rsidRDefault="005A197A"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9</w:t>
            </w:r>
            <w:r w:rsidR="00BD25DB" w:rsidRPr="00712331">
              <w:rPr>
                <w:color w:val="000000"/>
                <w:sz w:val="20"/>
                <w:szCs w:val="20"/>
              </w:rPr>
              <w:t>–</w:t>
            </w:r>
            <w:r w:rsidRPr="00712331">
              <w:rPr>
                <w:color w:val="000000"/>
                <w:sz w:val="20"/>
                <w:szCs w:val="20"/>
              </w:rPr>
              <w:t>12</w:t>
            </w:r>
          </w:p>
        </w:tc>
        <w:tc>
          <w:tcPr>
            <w:tcW w:w="1818" w:type="dxa"/>
            <w:tcBorders>
              <w:top w:val="nil"/>
              <w:left w:val="nil"/>
              <w:bottom w:val="single" w:sz="12"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8E314D" w:rsidRPr="00712331" w:rsidRDefault="005A197A" w:rsidP="00E1561A">
            <w:pPr>
              <w:tabs>
                <w:tab w:val="left" w:pos="360"/>
                <w:tab w:val="left" w:pos="720"/>
                <w:tab w:val="left" w:pos="1080"/>
                <w:tab w:val="left" w:pos="1440"/>
                <w:tab w:val="left" w:pos="1800"/>
                <w:tab w:val="left" w:pos="2160"/>
                <w:tab w:val="left" w:pos="2520"/>
                <w:tab w:val="left" w:pos="2880"/>
              </w:tabs>
              <w:spacing w:after="0" w:line="240" w:lineRule="auto"/>
              <w:ind w:firstLine="200"/>
              <w:jc w:val="center"/>
              <w:rPr>
                <w:color w:val="000000"/>
                <w:sz w:val="20"/>
                <w:szCs w:val="20"/>
              </w:rPr>
            </w:pPr>
            <w:r w:rsidRPr="00712331">
              <w:rPr>
                <w:color w:val="000000"/>
                <w:sz w:val="20"/>
                <w:szCs w:val="20"/>
              </w:rPr>
              <w:t>1,389</w:t>
            </w:r>
          </w:p>
        </w:tc>
      </w:tr>
      <w:tr w:rsidR="008E314D" w:rsidRPr="00F04EDB" w:rsidTr="00350132">
        <w:trPr>
          <w:trHeight w:val="44"/>
          <w:jc w:val="center"/>
        </w:trPr>
        <w:tc>
          <w:tcPr>
            <w:tcW w:w="3618" w:type="dxa"/>
            <w:tcBorders>
              <w:top w:val="nil"/>
              <w:left w:val="single" w:sz="8" w:space="0" w:color="auto"/>
              <w:bottom w:val="single" w:sz="12" w:space="0" w:color="auto"/>
              <w:right w:val="single" w:sz="8" w:space="0" w:color="auto"/>
            </w:tcBorders>
            <w:tcMar>
              <w:top w:w="0" w:type="dxa"/>
              <w:left w:w="115" w:type="dxa"/>
              <w:bottom w:w="0" w:type="dxa"/>
              <w:right w:w="115" w:type="dxa"/>
            </w:tcMar>
            <w:vAlign w:val="center"/>
            <w:hideMark/>
          </w:tcPr>
          <w:p w:rsidR="008E314D" w:rsidRPr="00712331" w:rsidRDefault="008E314D" w:rsidP="00E1561A">
            <w:pPr>
              <w:tabs>
                <w:tab w:val="left" w:pos="360"/>
                <w:tab w:val="left" w:pos="720"/>
                <w:tab w:val="left" w:pos="1080"/>
                <w:tab w:val="left" w:pos="1440"/>
                <w:tab w:val="left" w:pos="1800"/>
                <w:tab w:val="left" w:pos="2160"/>
                <w:tab w:val="left" w:pos="2520"/>
                <w:tab w:val="left" w:pos="2880"/>
              </w:tabs>
              <w:spacing w:after="0" w:line="240" w:lineRule="auto"/>
              <w:rPr>
                <w:b/>
                <w:bCs/>
                <w:sz w:val="20"/>
                <w:szCs w:val="20"/>
              </w:rPr>
            </w:pPr>
            <w:r w:rsidRPr="00712331">
              <w:rPr>
                <w:b/>
                <w:bCs/>
                <w:color w:val="000000"/>
                <w:sz w:val="20"/>
                <w:szCs w:val="20"/>
              </w:rPr>
              <w:t>Totals</w:t>
            </w:r>
          </w:p>
        </w:tc>
        <w:tc>
          <w:tcPr>
            <w:tcW w:w="1890" w:type="dxa"/>
            <w:tcBorders>
              <w:top w:val="nil"/>
              <w:left w:val="nil"/>
              <w:bottom w:val="single" w:sz="12" w:space="0" w:color="auto"/>
              <w:right w:val="single" w:sz="8" w:space="0" w:color="auto"/>
            </w:tcBorders>
            <w:tcMar>
              <w:top w:w="0" w:type="dxa"/>
              <w:left w:w="115" w:type="dxa"/>
              <w:bottom w:w="0" w:type="dxa"/>
              <w:right w:w="115" w:type="dxa"/>
            </w:tcMar>
            <w:vAlign w:val="center"/>
          </w:tcPr>
          <w:p w:rsidR="008E314D" w:rsidRPr="00712331" w:rsidRDefault="00570F72" w:rsidP="00E1561A">
            <w:pPr>
              <w:tabs>
                <w:tab w:val="left" w:pos="360"/>
                <w:tab w:val="left" w:pos="720"/>
                <w:tab w:val="left" w:pos="1080"/>
                <w:tab w:val="left" w:pos="1440"/>
                <w:tab w:val="left" w:pos="1800"/>
                <w:tab w:val="left" w:pos="2160"/>
                <w:tab w:val="left" w:pos="2520"/>
                <w:tab w:val="left" w:pos="2880"/>
              </w:tabs>
              <w:spacing w:after="0" w:line="240" w:lineRule="auto"/>
              <w:ind w:firstLine="201"/>
              <w:jc w:val="center"/>
              <w:rPr>
                <w:b/>
                <w:bCs/>
                <w:color w:val="000000"/>
                <w:sz w:val="20"/>
                <w:szCs w:val="20"/>
              </w:rPr>
            </w:pPr>
            <w:r w:rsidRPr="00712331">
              <w:rPr>
                <w:b/>
                <w:bCs/>
                <w:color w:val="000000"/>
                <w:sz w:val="20"/>
                <w:szCs w:val="20"/>
              </w:rPr>
              <w:t xml:space="preserve">44 </w:t>
            </w:r>
            <w:r w:rsidR="008E314D" w:rsidRPr="00712331">
              <w:rPr>
                <w:b/>
                <w:bCs/>
                <w:color w:val="000000"/>
                <w:sz w:val="20"/>
                <w:szCs w:val="20"/>
              </w:rPr>
              <w:t>schools</w:t>
            </w:r>
          </w:p>
        </w:tc>
        <w:tc>
          <w:tcPr>
            <w:tcW w:w="1530" w:type="dxa"/>
            <w:tcBorders>
              <w:top w:val="nil"/>
              <w:left w:val="nil"/>
              <w:bottom w:val="single" w:sz="12" w:space="0" w:color="auto"/>
              <w:right w:val="single" w:sz="8" w:space="0" w:color="auto"/>
            </w:tcBorders>
            <w:shd w:val="clear" w:color="auto" w:fill="FFFFFF" w:themeFill="background1"/>
            <w:tcMar>
              <w:top w:w="0" w:type="dxa"/>
              <w:left w:w="115" w:type="dxa"/>
              <w:bottom w:w="0" w:type="dxa"/>
              <w:right w:w="115" w:type="dxa"/>
            </w:tcMar>
            <w:vAlign w:val="center"/>
          </w:tcPr>
          <w:p w:rsidR="008E314D" w:rsidRPr="00712331" w:rsidRDefault="007A561D" w:rsidP="00E1561A">
            <w:pPr>
              <w:tabs>
                <w:tab w:val="left" w:pos="360"/>
                <w:tab w:val="left" w:pos="720"/>
                <w:tab w:val="left" w:pos="1080"/>
                <w:tab w:val="left" w:pos="1440"/>
                <w:tab w:val="left" w:pos="1800"/>
                <w:tab w:val="left" w:pos="2160"/>
                <w:tab w:val="left" w:pos="2520"/>
                <w:tab w:val="left" w:pos="2880"/>
              </w:tabs>
              <w:spacing w:after="0" w:line="240" w:lineRule="auto"/>
              <w:ind w:firstLine="201"/>
              <w:jc w:val="center"/>
              <w:rPr>
                <w:b/>
                <w:bCs/>
                <w:color w:val="000000"/>
                <w:sz w:val="20"/>
                <w:szCs w:val="20"/>
              </w:rPr>
            </w:pPr>
            <w:r w:rsidRPr="00712331">
              <w:rPr>
                <w:b/>
                <w:bCs/>
                <w:color w:val="000000"/>
                <w:sz w:val="20"/>
                <w:szCs w:val="20"/>
              </w:rPr>
              <w:t>P</w:t>
            </w:r>
            <w:r w:rsidR="0047041E" w:rsidRPr="0047041E">
              <w:rPr>
                <w:b/>
                <w:color w:val="000000"/>
                <w:sz w:val="20"/>
                <w:szCs w:val="20"/>
              </w:rPr>
              <w:t>re-</w:t>
            </w:r>
            <w:r w:rsidRPr="00712331">
              <w:rPr>
                <w:b/>
                <w:bCs/>
                <w:color w:val="000000"/>
                <w:sz w:val="20"/>
                <w:szCs w:val="20"/>
              </w:rPr>
              <w:t>K</w:t>
            </w:r>
            <w:r w:rsidR="00DD31F3" w:rsidRPr="00712331">
              <w:rPr>
                <w:b/>
                <w:bCs/>
                <w:color w:val="000000"/>
                <w:sz w:val="20"/>
                <w:szCs w:val="20"/>
              </w:rPr>
              <w:t>–</w:t>
            </w:r>
            <w:r w:rsidRPr="00712331">
              <w:rPr>
                <w:b/>
                <w:bCs/>
                <w:color w:val="000000"/>
                <w:sz w:val="20"/>
                <w:szCs w:val="20"/>
              </w:rPr>
              <w:t>12</w:t>
            </w:r>
          </w:p>
        </w:tc>
        <w:tc>
          <w:tcPr>
            <w:tcW w:w="1818" w:type="dxa"/>
            <w:tcBorders>
              <w:top w:val="nil"/>
              <w:left w:val="nil"/>
              <w:bottom w:val="single" w:sz="12"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8E314D" w:rsidRPr="00712331" w:rsidRDefault="00570F72" w:rsidP="00E1561A">
            <w:pPr>
              <w:tabs>
                <w:tab w:val="left" w:pos="360"/>
                <w:tab w:val="left" w:pos="720"/>
                <w:tab w:val="left" w:pos="1080"/>
                <w:tab w:val="left" w:pos="1440"/>
                <w:tab w:val="left" w:pos="1800"/>
                <w:tab w:val="left" w:pos="2160"/>
                <w:tab w:val="left" w:pos="2520"/>
                <w:tab w:val="left" w:pos="2880"/>
              </w:tabs>
              <w:spacing w:after="0" w:line="240" w:lineRule="auto"/>
              <w:ind w:firstLine="201"/>
              <w:jc w:val="center"/>
              <w:rPr>
                <w:b/>
                <w:bCs/>
                <w:color w:val="000000"/>
                <w:sz w:val="20"/>
                <w:szCs w:val="20"/>
              </w:rPr>
            </w:pPr>
            <w:r w:rsidRPr="00712331">
              <w:rPr>
                <w:b/>
                <w:bCs/>
                <w:color w:val="000000"/>
                <w:sz w:val="20"/>
                <w:szCs w:val="20"/>
              </w:rPr>
              <w:t>25,479</w:t>
            </w:r>
          </w:p>
        </w:tc>
      </w:tr>
      <w:tr w:rsidR="008E314D" w:rsidRPr="00F04EDB" w:rsidTr="00350132">
        <w:trPr>
          <w:trHeight w:val="44"/>
          <w:jc w:val="center"/>
        </w:trPr>
        <w:tc>
          <w:tcPr>
            <w:tcW w:w="8856" w:type="dxa"/>
            <w:gridSpan w:val="4"/>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AE5530" w:rsidRPr="00712331" w:rsidRDefault="008E314D" w:rsidP="00E1561A">
            <w:pPr>
              <w:tabs>
                <w:tab w:val="left" w:pos="360"/>
                <w:tab w:val="left" w:pos="720"/>
                <w:tab w:val="left" w:pos="1080"/>
                <w:tab w:val="left" w:pos="1440"/>
                <w:tab w:val="left" w:pos="1800"/>
                <w:tab w:val="left" w:pos="2160"/>
                <w:tab w:val="left" w:pos="2520"/>
                <w:tab w:val="left" w:pos="2880"/>
              </w:tabs>
              <w:spacing w:after="0" w:line="240" w:lineRule="auto"/>
              <w:rPr>
                <w:color w:val="000000"/>
                <w:sz w:val="20"/>
                <w:szCs w:val="20"/>
              </w:rPr>
            </w:pPr>
            <w:r w:rsidRPr="00712331">
              <w:rPr>
                <w:color w:val="000000"/>
                <w:sz w:val="20"/>
                <w:szCs w:val="20"/>
              </w:rPr>
              <w:t xml:space="preserve">*As of </w:t>
            </w:r>
            <w:r w:rsidR="00C85CD0" w:rsidRPr="00712331">
              <w:rPr>
                <w:color w:val="000000"/>
                <w:sz w:val="20"/>
                <w:szCs w:val="20"/>
              </w:rPr>
              <w:t xml:space="preserve">October 1, </w:t>
            </w:r>
            <w:r w:rsidR="00F75D73" w:rsidRPr="00712331">
              <w:rPr>
                <w:color w:val="000000"/>
                <w:sz w:val="20"/>
                <w:szCs w:val="20"/>
              </w:rPr>
              <w:t>2016</w:t>
            </w:r>
          </w:p>
          <w:p w:rsidR="00AE5530" w:rsidRPr="00F04EDB" w:rsidRDefault="00AE5530" w:rsidP="00E1561A">
            <w:pPr>
              <w:tabs>
                <w:tab w:val="left" w:pos="360"/>
                <w:tab w:val="left" w:pos="720"/>
                <w:tab w:val="left" w:pos="1080"/>
                <w:tab w:val="left" w:pos="1440"/>
                <w:tab w:val="left" w:pos="1800"/>
                <w:tab w:val="left" w:pos="2160"/>
                <w:tab w:val="left" w:pos="2520"/>
                <w:tab w:val="left" w:pos="2880"/>
              </w:tabs>
              <w:spacing w:after="0" w:line="240" w:lineRule="auto"/>
              <w:rPr>
                <w:color w:val="000000"/>
              </w:rPr>
            </w:pPr>
            <w:r w:rsidRPr="00712331">
              <w:rPr>
                <w:color w:val="000000"/>
                <w:sz w:val="20"/>
                <w:szCs w:val="20"/>
              </w:rPr>
              <w:t>** Special Program</w:t>
            </w:r>
          </w:p>
        </w:tc>
      </w:tr>
    </w:tbl>
    <w:p w:rsidR="008E314D" w:rsidRPr="00F04EDB" w:rsidRDefault="008E314D" w:rsidP="008E314D">
      <w:pPr>
        <w:tabs>
          <w:tab w:val="left" w:pos="360"/>
          <w:tab w:val="left" w:pos="720"/>
          <w:tab w:val="left" w:pos="1080"/>
          <w:tab w:val="left" w:pos="1440"/>
          <w:tab w:val="left" w:pos="1800"/>
          <w:tab w:val="left" w:pos="2160"/>
          <w:tab w:val="left" w:pos="2520"/>
          <w:tab w:val="left" w:pos="2880"/>
        </w:tabs>
      </w:pPr>
    </w:p>
    <w:p w:rsidR="008E314D" w:rsidRPr="00F04EDB" w:rsidRDefault="0058168A" w:rsidP="008E314D">
      <w:pPr>
        <w:tabs>
          <w:tab w:val="left" w:pos="360"/>
          <w:tab w:val="left" w:pos="720"/>
          <w:tab w:val="left" w:pos="1080"/>
          <w:tab w:val="left" w:pos="1440"/>
          <w:tab w:val="left" w:pos="1800"/>
          <w:tab w:val="left" w:pos="2160"/>
          <w:tab w:val="left" w:pos="2520"/>
          <w:tab w:val="left" w:pos="2880"/>
        </w:tabs>
      </w:pPr>
      <w:r w:rsidRPr="00F04EDB">
        <w:t xml:space="preserve">Between </w:t>
      </w:r>
      <w:r w:rsidR="00865C7B">
        <w:t>2013</w:t>
      </w:r>
      <w:r w:rsidR="00D474B9" w:rsidRPr="00F04EDB">
        <w:t xml:space="preserve"> </w:t>
      </w:r>
      <w:r w:rsidR="00235976" w:rsidRPr="00F04EDB">
        <w:t xml:space="preserve">and </w:t>
      </w:r>
      <w:r w:rsidR="00865C7B">
        <w:t>2017</w:t>
      </w:r>
      <w:r w:rsidR="0088427A" w:rsidRPr="00F04EDB">
        <w:t xml:space="preserve"> </w:t>
      </w:r>
      <w:r w:rsidR="008E314D" w:rsidRPr="00F04EDB">
        <w:t xml:space="preserve">overall student </w:t>
      </w:r>
      <w:r w:rsidR="00286028">
        <w:t xml:space="preserve">enrollment increased by 3 </w:t>
      </w:r>
      <w:r w:rsidR="00865C7B" w:rsidRPr="00865C7B">
        <w:t>percent</w:t>
      </w:r>
      <w:r w:rsidR="008E314D" w:rsidRPr="00865C7B">
        <w:t>. Enrollment</w:t>
      </w:r>
      <w:r w:rsidR="008E314D" w:rsidRPr="00F04EDB">
        <w:t xml:space="preserve"> figures by race/ethnicity and high needs populations (i.e., students with disabilities, </w:t>
      </w:r>
      <w:r w:rsidR="00BC074D" w:rsidRPr="00F04EDB">
        <w:t xml:space="preserve">economically disadvantaged </w:t>
      </w:r>
      <w:r w:rsidR="008E314D" w:rsidRPr="00F04EDB">
        <w:t xml:space="preserve">students, and English language learners (ELLs) and former ELLs) as compared </w:t>
      </w:r>
      <w:r w:rsidR="00931979" w:rsidRPr="00F04EDB">
        <w:t>with</w:t>
      </w:r>
      <w:r w:rsidR="008E314D" w:rsidRPr="00F04EDB">
        <w:t xml:space="preserve"> the state are provided in Tables B1a and B1b in Appendix B.</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F04EDB">
        <w:t>Total in-district per-pupil expenditures wer</w:t>
      </w:r>
      <w:r w:rsidRPr="00865C7B">
        <w:t>e lower than</w:t>
      </w:r>
      <w:r w:rsidR="00865C7B" w:rsidRPr="00865C7B">
        <w:t xml:space="preserve"> </w:t>
      </w:r>
      <w:r w:rsidRPr="00865C7B">
        <w:t xml:space="preserve">the median in-district per pupil expenditures for </w:t>
      </w:r>
      <w:r w:rsidR="00D3573A">
        <w:t xml:space="preserve">11 </w:t>
      </w:r>
      <w:r w:rsidR="00865C7B" w:rsidRPr="00865C7B">
        <w:t xml:space="preserve">urban districts </w:t>
      </w:r>
      <w:r w:rsidRPr="00865C7B">
        <w:t xml:space="preserve">of similar size </w:t>
      </w:r>
      <w:r w:rsidR="00D3573A">
        <w:t>(8,000</w:t>
      </w:r>
      <w:r w:rsidR="008C1BC0">
        <w:t>–</w:t>
      </w:r>
      <w:r w:rsidR="00D3573A">
        <w:t xml:space="preserve">26,000 students) </w:t>
      </w:r>
      <w:r w:rsidRPr="00865C7B">
        <w:t xml:space="preserve">in fiscal year </w:t>
      </w:r>
      <w:r w:rsidR="00865C7B" w:rsidRPr="00865C7B">
        <w:t>2015</w:t>
      </w:r>
      <w:r w:rsidRPr="00865C7B">
        <w:t>:  $</w:t>
      </w:r>
      <w:r w:rsidR="00865C7B" w:rsidRPr="00865C7B">
        <w:t>13, 588</w:t>
      </w:r>
      <w:r w:rsidRPr="00865C7B">
        <w:t xml:space="preserve"> as compared with </w:t>
      </w:r>
      <w:r w:rsidR="00865C7B" w:rsidRPr="00865C7B">
        <w:t>$13,881</w:t>
      </w:r>
      <w:r w:rsidRPr="00F04EDB">
        <w:t xml:space="preserve"> (see </w:t>
      </w:r>
      <w:hyperlink r:id="rId17" w:history="1">
        <w:r w:rsidRPr="00F04EDB">
          <w:rPr>
            <w:rStyle w:val="Hyperlink"/>
          </w:rPr>
          <w:t>District Analysis and Review Tool Detail: Staffing &amp; Finance</w:t>
        </w:r>
      </w:hyperlink>
      <w:r w:rsidRPr="00F04EDB">
        <w:t xml:space="preserve">). Actual net school spending has </w:t>
      </w:r>
      <w:r w:rsidRPr="00D50BAC">
        <w:t>been below</w:t>
      </w:r>
      <w:r w:rsidR="00D50BAC">
        <w:t xml:space="preserve"> </w:t>
      </w:r>
      <w:r w:rsidRPr="00F04EDB">
        <w:t xml:space="preserve">what is required </w:t>
      </w:r>
      <w:r w:rsidR="00C96E5A" w:rsidRPr="00F04EDB">
        <w:t>by the Chapter 70 state education aid program</w:t>
      </w:r>
      <w:r w:rsidRPr="00F04EDB">
        <w:t xml:space="preserve">, as shown in Table </w:t>
      </w:r>
      <w:r w:rsidR="00923109" w:rsidRPr="00F04EDB">
        <w:t>B</w:t>
      </w:r>
      <w:r w:rsidR="00923109">
        <w:t>10</w:t>
      </w:r>
      <w:r w:rsidR="00923109" w:rsidRPr="00F04EDB">
        <w:t xml:space="preserve"> </w:t>
      </w:r>
      <w:r w:rsidRPr="00F04EDB">
        <w:t>in Appendix B</w:t>
      </w:r>
      <w:r w:rsidR="0047041E" w:rsidRPr="0047041E">
        <w:t xml:space="preserve">. </w:t>
      </w:r>
    </w:p>
    <w:p w:rsidR="008E314D" w:rsidRDefault="008E314D" w:rsidP="008E314D">
      <w:pPr>
        <w:pStyle w:val="Subsection"/>
        <w:tabs>
          <w:tab w:val="left" w:pos="360"/>
          <w:tab w:val="left" w:pos="720"/>
          <w:tab w:val="left" w:pos="1080"/>
          <w:tab w:val="left" w:pos="1440"/>
          <w:tab w:val="left" w:pos="1800"/>
          <w:tab w:val="left" w:pos="2160"/>
          <w:tab w:val="left" w:pos="2520"/>
          <w:tab w:val="left" w:pos="2880"/>
        </w:tabs>
        <w:spacing w:before="0"/>
        <w:rPr>
          <w:szCs w:val="28"/>
        </w:rPr>
      </w:pPr>
      <w:r w:rsidRPr="00676B5A">
        <w:rPr>
          <w:szCs w:val="28"/>
        </w:rPr>
        <w:t>Student Performance</w:t>
      </w:r>
    </w:p>
    <w:p w:rsidR="00764408" w:rsidRDefault="00764408" w:rsidP="00764408">
      <w:pPr>
        <w:spacing w:after="0" w:line="240" w:lineRule="auto"/>
        <w:rPr>
          <w:b/>
        </w:rPr>
      </w:pPr>
      <w:r>
        <w:rPr>
          <w:b/>
        </w:rPr>
        <w:t>Districtwide Results</w:t>
      </w:r>
    </w:p>
    <w:p w:rsidR="00764408" w:rsidRDefault="00764408" w:rsidP="00764408">
      <w:pPr>
        <w:spacing w:after="0" w:line="240" w:lineRule="auto"/>
        <w:rPr>
          <w:b/>
        </w:rPr>
      </w:pPr>
    </w:p>
    <w:p w:rsidR="00764408" w:rsidRDefault="00764408" w:rsidP="00764408">
      <w:pPr>
        <w:spacing w:after="0" w:line="240" w:lineRule="auto"/>
        <w:rPr>
          <w:b/>
        </w:rPr>
      </w:pPr>
      <w:r w:rsidRPr="008502EB">
        <w:rPr>
          <w:b/>
        </w:rPr>
        <w:t>Worcester is a Level 4 district because Elm Park Community was placed in Level 4 for being among the lowest achieving, least improving Level 3 schools.</w:t>
      </w:r>
    </w:p>
    <w:p w:rsidR="00764408" w:rsidRDefault="00764408" w:rsidP="00764408">
      <w:pPr>
        <w:spacing w:after="0" w:line="240" w:lineRule="auto"/>
        <w:rPr>
          <w:b/>
        </w:rPr>
      </w:pPr>
    </w:p>
    <w:p w:rsidR="00764408" w:rsidRPr="008502EB" w:rsidRDefault="00764408" w:rsidP="00764408">
      <w:pPr>
        <w:spacing w:after="0" w:line="240" w:lineRule="auto"/>
        <w:rPr>
          <w:rFonts w:eastAsia="Times New Roman" w:cs="Times New Roman"/>
          <w:b/>
          <w:i/>
        </w:rPr>
      </w:pPr>
      <w:r w:rsidRPr="00700B8B">
        <w:rPr>
          <w:rFonts w:eastAsia="Times New Roman" w:cs="Times New Roman"/>
          <w:b/>
          <w:i/>
        </w:rPr>
        <w:t>Elementary Schools</w:t>
      </w:r>
    </w:p>
    <w:p w:rsidR="00764408" w:rsidRDefault="00764408" w:rsidP="00764408">
      <w:pPr>
        <w:numPr>
          <w:ilvl w:val="0"/>
          <w:numId w:val="57"/>
        </w:numPr>
        <w:spacing w:after="0" w:line="240" w:lineRule="auto"/>
        <w:contextualSpacing/>
      </w:pPr>
      <w:r>
        <w:t>O</w:t>
      </w:r>
      <w:r w:rsidRPr="008502EB">
        <w:t>f Worcester’s 33 elementary schools with reportable data</w:t>
      </w:r>
      <w:r>
        <w:t>:</w:t>
      </w:r>
    </w:p>
    <w:p w:rsidR="00764408" w:rsidRDefault="00764408" w:rsidP="00764408">
      <w:pPr>
        <w:numPr>
          <w:ilvl w:val="1"/>
          <w:numId w:val="57"/>
        </w:numPr>
        <w:spacing w:after="0" w:line="240" w:lineRule="auto"/>
        <w:contextualSpacing/>
      </w:pPr>
      <w:r>
        <w:t>9</w:t>
      </w:r>
      <w:r w:rsidRPr="008502EB">
        <w:t xml:space="preserve"> </w:t>
      </w:r>
      <w:r>
        <w:t xml:space="preserve">schools </w:t>
      </w:r>
      <w:r w:rsidRPr="008502EB">
        <w:t>are in Level 1 for meeting their gap narrowing targets for all students and high needs students and range from the 30</w:t>
      </w:r>
      <w:r w:rsidRPr="008502EB">
        <w:rPr>
          <w:vertAlign w:val="superscript"/>
        </w:rPr>
        <w:t>th</w:t>
      </w:r>
      <w:r w:rsidRPr="008502EB">
        <w:t xml:space="preserve"> percentile </w:t>
      </w:r>
      <w:r w:rsidR="00712331">
        <w:t xml:space="preserve">to the </w:t>
      </w:r>
      <w:r w:rsidRPr="008502EB">
        <w:t>92</w:t>
      </w:r>
      <w:r w:rsidRPr="008502EB">
        <w:rPr>
          <w:vertAlign w:val="superscript"/>
        </w:rPr>
        <w:t>nd</w:t>
      </w:r>
      <w:r w:rsidRPr="008502EB">
        <w:t xml:space="preserve"> percentile of elementary schools.</w:t>
      </w:r>
    </w:p>
    <w:p w:rsidR="00764408" w:rsidRDefault="00764408" w:rsidP="00764408">
      <w:pPr>
        <w:numPr>
          <w:ilvl w:val="1"/>
          <w:numId w:val="57"/>
        </w:numPr>
        <w:spacing w:after="0" w:line="240" w:lineRule="auto"/>
        <w:contextualSpacing/>
      </w:pPr>
      <w:r w:rsidRPr="008502EB">
        <w:t>10</w:t>
      </w:r>
      <w:r>
        <w:t xml:space="preserve"> schools</w:t>
      </w:r>
      <w:r w:rsidRPr="008502EB">
        <w:t xml:space="preserve"> are in Level 2 for not meeting their gap narrowing targets and range from the 15</w:t>
      </w:r>
      <w:r w:rsidRPr="008502EB">
        <w:rPr>
          <w:vertAlign w:val="superscript"/>
        </w:rPr>
        <w:t>th</w:t>
      </w:r>
      <w:r w:rsidRPr="008502EB">
        <w:t xml:space="preserve"> to the 74</w:t>
      </w:r>
      <w:r w:rsidRPr="008502EB">
        <w:rPr>
          <w:vertAlign w:val="superscript"/>
        </w:rPr>
        <w:t>th</w:t>
      </w:r>
      <w:r w:rsidRPr="008502EB">
        <w:t xml:space="preserve"> percentile of elementary schools.  </w:t>
      </w:r>
    </w:p>
    <w:p w:rsidR="00764408" w:rsidRDefault="00764408" w:rsidP="00764408">
      <w:pPr>
        <w:numPr>
          <w:ilvl w:val="1"/>
          <w:numId w:val="57"/>
        </w:numPr>
        <w:spacing w:after="0" w:line="240" w:lineRule="auto"/>
        <w:contextualSpacing/>
      </w:pPr>
      <w:r w:rsidRPr="008502EB">
        <w:t>13</w:t>
      </w:r>
      <w:r>
        <w:t xml:space="preserve"> schools </w:t>
      </w:r>
      <w:r w:rsidRPr="008502EB">
        <w:t>are in Level 3 for being among the lowest performing 20 percent of elementary schools and range from the 2</w:t>
      </w:r>
      <w:r w:rsidRPr="008502EB">
        <w:rPr>
          <w:vertAlign w:val="superscript"/>
        </w:rPr>
        <w:t>nd</w:t>
      </w:r>
      <w:r w:rsidRPr="008502EB">
        <w:t xml:space="preserve"> to the 19</w:t>
      </w:r>
      <w:r w:rsidRPr="008502EB">
        <w:rPr>
          <w:vertAlign w:val="superscript"/>
        </w:rPr>
        <w:t>th</w:t>
      </w:r>
      <w:r w:rsidRPr="008502EB">
        <w:t xml:space="preserve"> percentile of elementary schools.</w:t>
      </w:r>
    </w:p>
    <w:p w:rsidR="00764408" w:rsidRDefault="00764408" w:rsidP="00764408">
      <w:pPr>
        <w:numPr>
          <w:ilvl w:val="1"/>
          <w:numId w:val="57"/>
        </w:numPr>
        <w:spacing w:after="0" w:line="240" w:lineRule="auto"/>
        <w:contextualSpacing/>
      </w:pPr>
      <w:r w:rsidRPr="008502EB">
        <w:t>Chandler Elementary Community was commended for high progress toward narrowing proficiency gaps</w:t>
      </w:r>
      <w:r>
        <w:t>.</w:t>
      </w:r>
    </w:p>
    <w:p w:rsidR="00764408" w:rsidRDefault="00764408" w:rsidP="00764408">
      <w:pPr>
        <w:numPr>
          <w:ilvl w:val="1"/>
          <w:numId w:val="57"/>
        </w:numPr>
        <w:spacing w:after="120" w:line="240" w:lineRule="auto"/>
      </w:pPr>
      <w:r w:rsidRPr="008502EB">
        <w:t>West Tatnuck was commended for high achievement and high progress.</w:t>
      </w:r>
    </w:p>
    <w:p w:rsidR="00826AE2" w:rsidRDefault="00826AE2" w:rsidP="00826AE2">
      <w:pPr>
        <w:spacing w:after="120" w:line="240" w:lineRule="auto"/>
      </w:pPr>
    </w:p>
    <w:p w:rsidR="00826AE2" w:rsidRPr="008502EB" w:rsidRDefault="00826AE2" w:rsidP="00826AE2">
      <w:pPr>
        <w:spacing w:after="120" w:line="240" w:lineRule="auto"/>
      </w:pPr>
    </w:p>
    <w:p w:rsidR="00764408" w:rsidRPr="00AD55CB" w:rsidRDefault="00764408" w:rsidP="00764408">
      <w:pPr>
        <w:numPr>
          <w:ilvl w:val="0"/>
          <w:numId w:val="57"/>
        </w:numPr>
        <w:spacing w:after="0" w:line="240" w:lineRule="auto"/>
        <w:contextualSpacing/>
      </w:pPr>
      <w:r w:rsidRPr="00AD55CB">
        <w:lastRenderedPageBreak/>
        <w:t xml:space="preserve">Subgroup </w:t>
      </w:r>
      <w:r>
        <w:t>achievement</w:t>
      </w:r>
      <w:r w:rsidRPr="00AD55CB">
        <w:t xml:space="preserve">: </w:t>
      </w:r>
    </w:p>
    <w:p w:rsidR="00764408" w:rsidRPr="008502EB" w:rsidRDefault="00764408" w:rsidP="00764408">
      <w:pPr>
        <w:numPr>
          <w:ilvl w:val="1"/>
          <w:numId w:val="57"/>
        </w:numPr>
        <w:spacing w:after="0" w:line="240" w:lineRule="auto"/>
        <w:contextualSpacing/>
      </w:pPr>
      <w:r>
        <w:t xml:space="preserve">At </w:t>
      </w:r>
      <w:r w:rsidRPr="008502EB">
        <w:t>Chandler Magnet</w:t>
      </w:r>
      <w:r w:rsidR="00AF4374">
        <w:t>,</w:t>
      </w:r>
      <w:r w:rsidRPr="008502EB">
        <w:t xml:space="preserve"> students with disabilities, Hispanic/Latino students, English language learners and former English language learners, and high needs students are among the lowest performing 20 percent of subgroups.</w:t>
      </w:r>
    </w:p>
    <w:p w:rsidR="00764408" w:rsidRPr="008502EB" w:rsidRDefault="00764408" w:rsidP="00764408">
      <w:pPr>
        <w:numPr>
          <w:ilvl w:val="1"/>
          <w:numId w:val="57"/>
        </w:numPr>
        <w:spacing w:after="0" w:line="240" w:lineRule="auto"/>
        <w:contextualSpacing/>
      </w:pPr>
      <w:r w:rsidRPr="008502EB">
        <w:t>City View has low assessment participation (less than 95</w:t>
      </w:r>
      <w:r>
        <w:t xml:space="preserve"> percent</w:t>
      </w:r>
      <w:r w:rsidRPr="008502EB">
        <w:t>) for students with disabilities.</w:t>
      </w:r>
    </w:p>
    <w:p w:rsidR="00764408" w:rsidRPr="008502EB" w:rsidRDefault="00764408" w:rsidP="00764408">
      <w:pPr>
        <w:numPr>
          <w:ilvl w:val="1"/>
          <w:numId w:val="57"/>
        </w:numPr>
        <w:spacing w:after="0" w:line="240" w:lineRule="auto"/>
        <w:contextualSpacing/>
      </w:pPr>
      <w:r>
        <w:t xml:space="preserve">At </w:t>
      </w:r>
      <w:r w:rsidRPr="008502EB">
        <w:t>Clark Street Community</w:t>
      </w:r>
      <w:r w:rsidR="00AF4374">
        <w:t>,</w:t>
      </w:r>
      <w:r w:rsidRPr="008502EB">
        <w:t xml:space="preserve"> students with disabilities and Hispanic/Latino students are among the lowest performing 20 percent of subgroups.</w:t>
      </w:r>
    </w:p>
    <w:p w:rsidR="00764408" w:rsidRPr="008502EB" w:rsidRDefault="00764408" w:rsidP="00764408">
      <w:pPr>
        <w:numPr>
          <w:ilvl w:val="1"/>
          <w:numId w:val="57"/>
        </w:numPr>
        <w:spacing w:after="0" w:line="240" w:lineRule="auto"/>
        <w:contextualSpacing/>
      </w:pPr>
      <w:r>
        <w:t xml:space="preserve">At </w:t>
      </w:r>
      <w:r w:rsidRPr="008502EB">
        <w:t>Goddard School</w:t>
      </w:r>
      <w:r w:rsidR="00AF4374">
        <w:t>,</w:t>
      </w:r>
      <w:r w:rsidRPr="008502EB">
        <w:t xml:space="preserve"> students with disabilities, Hispanic/Latino students, and high needs students are among the lowest performing 20 percent of subgroups.</w:t>
      </w:r>
    </w:p>
    <w:p w:rsidR="00764408" w:rsidRPr="008502EB" w:rsidRDefault="00764408" w:rsidP="00764408">
      <w:pPr>
        <w:numPr>
          <w:ilvl w:val="1"/>
          <w:numId w:val="57"/>
        </w:numPr>
        <w:spacing w:after="0" w:line="240" w:lineRule="auto"/>
        <w:contextualSpacing/>
      </w:pPr>
      <w:r>
        <w:t xml:space="preserve">At </w:t>
      </w:r>
      <w:r w:rsidRPr="008502EB">
        <w:t>Grafton Street</w:t>
      </w:r>
      <w:r w:rsidR="00AF4374">
        <w:t>,</w:t>
      </w:r>
      <w:r w:rsidRPr="008502EB">
        <w:t xml:space="preserve"> white students and English language learners and former English language learners are among the lowest performing 20 percent of subgroups.</w:t>
      </w:r>
    </w:p>
    <w:p w:rsidR="00764408" w:rsidRPr="008502EB" w:rsidRDefault="00764408" w:rsidP="00764408">
      <w:pPr>
        <w:numPr>
          <w:ilvl w:val="1"/>
          <w:numId w:val="57"/>
        </w:numPr>
        <w:spacing w:after="0" w:line="240" w:lineRule="auto"/>
        <w:contextualSpacing/>
      </w:pPr>
      <w:r>
        <w:t xml:space="preserve">At </w:t>
      </w:r>
      <w:r w:rsidRPr="008502EB">
        <w:t>Lincoln Street</w:t>
      </w:r>
      <w:r w:rsidR="00AF4374">
        <w:t>,</w:t>
      </w:r>
      <w:r w:rsidRPr="008502EB">
        <w:t xml:space="preserve"> Hispanic/Latino students and high needs students are among the lowest performing 20 percent of subgroups.</w:t>
      </w:r>
    </w:p>
    <w:p w:rsidR="00764408" w:rsidRPr="008502EB" w:rsidRDefault="00764408" w:rsidP="00764408">
      <w:pPr>
        <w:numPr>
          <w:ilvl w:val="1"/>
          <w:numId w:val="57"/>
        </w:numPr>
        <w:spacing w:after="0" w:line="240" w:lineRule="auto"/>
        <w:contextualSpacing/>
      </w:pPr>
      <w:r>
        <w:t xml:space="preserve">At </w:t>
      </w:r>
      <w:r w:rsidRPr="008502EB">
        <w:t>Quinsigamond</w:t>
      </w:r>
      <w:r w:rsidR="00AF4374">
        <w:t>,</w:t>
      </w:r>
      <w:r w:rsidRPr="008502EB">
        <w:t xml:space="preserve"> </w:t>
      </w:r>
      <w:r>
        <w:t>w</w:t>
      </w:r>
      <w:r w:rsidRPr="008502EB">
        <w:t>hite students, students with disabilities, and high needs students are among the lowest performing 20 percent of subgroups.</w:t>
      </w:r>
    </w:p>
    <w:p w:rsidR="00764408" w:rsidRPr="008502EB" w:rsidRDefault="00764408" w:rsidP="00764408">
      <w:pPr>
        <w:numPr>
          <w:ilvl w:val="1"/>
          <w:numId w:val="57"/>
        </w:numPr>
        <w:spacing w:after="0" w:line="240" w:lineRule="auto"/>
        <w:contextualSpacing/>
      </w:pPr>
      <w:r>
        <w:t xml:space="preserve">At </w:t>
      </w:r>
      <w:r w:rsidRPr="008502EB">
        <w:t>Rice Square</w:t>
      </w:r>
      <w:r w:rsidR="00AF4374">
        <w:t>,</w:t>
      </w:r>
      <w:r w:rsidRPr="008502EB">
        <w:t xml:space="preserve"> </w:t>
      </w:r>
      <w:r>
        <w:t>w</w:t>
      </w:r>
      <w:r w:rsidRPr="008502EB">
        <w:t>hite students, students with disabilities, and high needs students are among the lowest performing 20 percent of subgroups.</w:t>
      </w:r>
    </w:p>
    <w:p w:rsidR="00764408" w:rsidRDefault="00764408" w:rsidP="00764408">
      <w:pPr>
        <w:numPr>
          <w:ilvl w:val="1"/>
          <w:numId w:val="57"/>
        </w:numPr>
        <w:spacing w:after="0" w:line="240" w:lineRule="auto"/>
        <w:contextualSpacing/>
      </w:pPr>
      <w:r>
        <w:t xml:space="preserve">At </w:t>
      </w:r>
      <w:r w:rsidRPr="008502EB">
        <w:t>Vernon Hill School</w:t>
      </w:r>
      <w:r w:rsidR="00AF4374">
        <w:t>,</w:t>
      </w:r>
      <w:r w:rsidRPr="008502EB">
        <w:t xml:space="preserve"> students with disabilities are among the lowest performing 20 percent of subgroups.</w:t>
      </w:r>
    </w:p>
    <w:p w:rsidR="00764408" w:rsidRDefault="00764408" w:rsidP="00764408">
      <w:pPr>
        <w:spacing w:after="0" w:line="240" w:lineRule="auto"/>
        <w:ind w:left="1440"/>
        <w:contextualSpacing/>
      </w:pPr>
    </w:p>
    <w:p w:rsidR="00764408" w:rsidRPr="00700B8B" w:rsidRDefault="00764408" w:rsidP="00764408">
      <w:pPr>
        <w:spacing w:after="0" w:line="240" w:lineRule="auto"/>
        <w:rPr>
          <w:b/>
          <w:i/>
        </w:rPr>
      </w:pPr>
      <w:r>
        <w:rPr>
          <w:b/>
          <w:i/>
        </w:rPr>
        <w:t xml:space="preserve">Middle </w:t>
      </w:r>
      <w:r w:rsidRPr="00700B8B">
        <w:rPr>
          <w:b/>
          <w:i/>
        </w:rPr>
        <w:t>Schools</w:t>
      </w:r>
      <w:r>
        <w:rPr>
          <w:b/>
          <w:i/>
        </w:rPr>
        <w:t xml:space="preserve"> and </w:t>
      </w:r>
      <w:r w:rsidRPr="00700B8B">
        <w:rPr>
          <w:b/>
          <w:i/>
        </w:rPr>
        <w:t xml:space="preserve">Middle-High </w:t>
      </w:r>
      <w:r>
        <w:rPr>
          <w:b/>
          <w:i/>
        </w:rPr>
        <w:t>Schools</w:t>
      </w:r>
    </w:p>
    <w:p w:rsidR="00764408" w:rsidRDefault="00764408" w:rsidP="00764408">
      <w:pPr>
        <w:numPr>
          <w:ilvl w:val="0"/>
          <w:numId w:val="57"/>
        </w:numPr>
        <w:spacing w:after="0" w:line="240" w:lineRule="auto"/>
        <w:contextualSpacing/>
      </w:pPr>
      <w:r>
        <w:t>Of Worcester’s 6 middle schools and middle-high schools:</w:t>
      </w:r>
    </w:p>
    <w:p w:rsidR="00764408" w:rsidRDefault="00764408" w:rsidP="00764408">
      <w:pPr>
        <w:numPr>
          <w:ilvl w:val="1"/>
          <w:numId w:val="57"/>
        </w:numPr>
        <w:spacing w:after="0" w:line="240" w:lineRule="auto"/>
        <w:contextualSpacing/>
      </w:pPr>
      <w:r w:rsidRPr="008502EB">
        <w:t>University Park is in Level 2 for not meeting its gap narrowing targets for all students and high needs students</w:t>
      </w:r>
      <w:r>
        <w:t>.</w:t>
      </w:r>
    </w:p>
    <w:p w:rsidR="00764408" w:rsidRDefault="00764408" w:rsidP="00764408">
      <w:pPr>
        <w:numPr>
          <w:ilvl w:val="1"/>
          <w:numId w:val="57"/>
        </w:numPr>
        <w:spacing w:after="0" w:line="240" w:lineRule="auto"/>
        <w:contextualSpacing/>
      </w:pPr>
      <w:r w:rsidRPr="008502EB">
        <w:t>Forest Grove is in Level 2 for not meeting its gap narrowing targets for all students and high needs students.</w:t>
      </w:r>
    </w:p>
    <w:p w:rsidR="00764408" w:rsidRDefault="00764408" w:rsidP="00764408">
      <w:pPr>
        <w:numPr>
          <w:ilvl w:val="1"/>
          <w:numId w:val="57"/>
        </w:numPr>
        <w:spacing w:after="120" w:line="240" w:lineRule="auto"/>
      </w:pPr>
      <w:r>
        <w:t xml:space="preserve">4 schools are </w:t>
      </w:r>
      <w:r w:rsidRPr="008502EB">
        <w:t xml:space="preserve">in Level 3 for being among the lowest performing 20 percent of schools in </w:t>
      </w:r>
      <w:r>
        <w:t>their</w:t>
      </w:r>
      <w:r w:rsidRPr="008502EB">
        <w:t xml:space="preserve"> grad</w:t>
      </w:r>
      <w:r>
        <w:t>e</w:t>
      </w:r>
      <w:r w:rsidR="00AF4374">
        <w:t>-</w:t>
      </w:r>
      <w:r w:rsidRPr="008502EB">
        <w:t>span</w:t>
      </w:r>
      <w:r>
        <w:t>s</w:t>
      </w:r>
      <w:r w:rsidRPr="008502EB">
        <w:t>.</w:t>
      </w:r>
    </w:p>
    <w:p w:rsidR="00764408" w:rsidRPr="00AD55CB" w:rsidRDefault="00764408" w:rsidP="00764408">
      <w:pPr>
        <w:numPr>
          <w:ilvl w:val="0"/>
          <w:numId w:val="57"/>
        </w:numPr>
        <w:spacing w:after="0" w:line="240" w:lineRule="auto"/>
        <w:contextualSpacing/>
      </w:pPr>
      <w:r w:rsidRPr="00AD55CB">
        <w:t xml:space="preserve">Subgroup </w:t>
      </w:r>
      <w:r>
        <w:t>achievement</w:t>
      </w:r>
      <w:r w:rsidRPr="00AD55CB">
        <w:t xml:space="preserve">: </w:t>
      </w:r>
    </w:p>
    <w:p w:rsidR="00764408" w:rsidRPr="008502EB" w:rsidRDefault="00764408" w:rsidP="00764408">
      <w:pPr>
        <w:numPr>
          <w:ilvl w:val="1"/>
          <w:numId w:val="57"/>
        </w:numPr>
        <w:spacing w:after="0" w:line="240" w:lineRule="auto"/>
        <w:contextualSpacing/>
      </w:pPr>
      <w:r>
        <w:t xml:space="preserve">At </w:t>
      </w:r>
      <w:r w:rsidRPr="008502EB">
        <w:t>Claremont Academy</w:t>
      </w:r>
      <w:r w:rsidR="00AF4374">
        <w:t>,</w:t>
      </w:r>
      <w:r w:rsidRPr="008502EB">
        <w:t xml:space="preserve"> English language learners and former English language learners are among the lowest performing 20 percent of subgroups.</w:t>
      </w:r>
    </w:p>
    <w:p w:rsidR="00764408" w:rsidRDefault="00764408" w:rsidP="00764408">
      <w:pPr>
        <w:numPr>
          <w:ilvl w:val="1"/>
          <w:numId w:val="57"/>
        </w:numPr>
        <w:spacing w:after="0" w:line="240" w:lineRule="auto"/>
        <w:contextualSpacing/>
      </w:pPr>
      <w:r>
        <w:t xml:space="preserve">At </w:t>
      </w:r>
      <w:r w:rsidRPr="008502EB">
        <w:t>Burncoa</w:t>
      </w:r>
      <w:r>
        <w:t xml:space="preserve">t </w:t>
      </w:r>
      <w:r w:rsidRPr="008502EB">
        <w:t xml:space="preserve">and Sullivan </w:t>
      </w:r>
      <w:r>
        <w:t>m</w:t>
      </w:r>
      <w:r w:rsidRPr="008502EB">
        <w:t xml:space="preserve">iddle </w:t>
      </w:r>
      <w:r>
        <w:t>s</w:t>
      </w:r>
      <w:r w:rsidRPr="008502EB">
        <w:t>chools</w:t>
      </w:r>
      <w:r w:rsidR="00AF4374">
        <w:t>,</w:t>
      </w:r>
      <w:r w:rsidRPr="008502EB">
        <w:t xml:space="preserve"> students with disabilities, Hispanic/Latino students, and high needs student are among the lowest performing 20 percent of subgroups.</w:t>
      </w:r>
    </w:p>
    <w:p w:rsidR="00764408" w:rsidRDefault="00764408" w:rsidP="00764408">
      <w:pPr>
        <w:spacing w:after="0" w:line="240" w:lineRule="auto"/>
        <w:contextualSpacing/>
      </w:pPr>
    </w:p>
    <w:p w:rsidR="00764408" w:rsidRPr="00F51149" w:rsidRDefault="00764408" w:rsidP="00764408">
      <w:pPr>
        <w:spacing w:after="0" w:line="240" w:lineRule="auto"/>
        <w:contextualSpacing/>
        <w:rPr>
          <w:b/>
          <w:i/>
        </w:rPr>
      </w:pPr>
      <w:r w:rsidRPr="00700B8B">
        <w:rPr>
          <w:b/>
          <w:i/>
        </w:rPr>
        <w:t>High Schools</w:t>
      </w:r>
    </w:p>
    <w:p w:rsidR="00764408" w:rsidRDefault="00764408" w:rsidP="00764408">
      <w:pPr>
        <w:numPr>
          <w:ilvl w:val="0"/>
          <w:numId w:val="57"/>
        </w:numPr>
        <w:spacing w:after="0" w:line="240" w:lineRule="auto"/>
        <w:contextualSpacing/>
      </w:pPr>
      <w:r>
        <w:t>O</w:t>
      </w:r>
      <w:r w:rsidRPr="008502EB">
        <w:t xml:space="preserve">f Worcester’s </w:t>
      </w:r>
      <w:r>
        <w:t>5</w:t>
      </w:r>
      <w:r w:rsidRPr="008502EB">
        <w:t xml:space="preserve"> high schools</w:t>
      </w:r>
      <w:r>
        <w:t>:</w:t>
      </w:r>
    </w:p>
    <w:p w:rsidR="00764408" w:rsidRPr="008502EB" w:rsidRDefault="00764408" w:rsidP="00764408">
      <w:pPr>
        <w:numPr>
          <w:ilvl w:val="1"/>
          <w:numId w:val="57"/>
        </w:numPr>
        <w:spacing w:after="0" w:line="240" w:lineRule="auto"/>
        <w:contextualSpacing/>
      </w:pPr>
      <w:r w:rsidRPr="008502EB">
        <w:t>Worcester Technical High is in Level 1 for meeting its gap narrowing targets for all students and high needs students and is the 74</w:t>
      </w:r>
      <w:r w:rsidRPr="008502EB">
        <w:rPr>
          <w:vertAlign w:val="superscript"/>
        </w:rPr>
        <w:t>th</w:t>
      </w:r>
      <w:r w:rsidRPr="008502EB">
        <w:t xml:space="preserve"> percentile of high schools.</w:t>
      </w:r>
    </w:p>
    <w:p w:rsidR="00764408" w:rsidRDefault="00764408" w:rsidP="00764408">
      <w:pPr>
        <w:numPr>
          <w:ilvl w:val="1"/>
          <w:numId w:val="57"/>
        </w:numPr>
        <w:spacing w:after="0" w:line="240" w:lineRule="auto"/>
        <w:contextualSpacing/>
      </w:pPr>
      <w:r>
        <w:t xml:space="preserve">3 schools </w:t>
      </w:r>
      <w:r w:rsidRPr="008502EB">
        <w:t>are in Level 3 for being among the lowest performing 20 percent of high schools</w:t>
      </w:r>
      <w:r>
        <w:t>.</w:t>
      </w:r>
    </w:p>
    <w:p w:rsidR="00764408" w:rsidRDefault="00764408" w:rsidP="00764408">
      <w:pPr>
        <w:numPr>
          <w:ilvl w:val="1"/>
          <w:numId w:val="57"/>
        </w:numPr>
        <w:spacing w:after="120" w:line="240" w:lineRule="auto"/>
      </w:pPr>
      <w:r>
        <w:t>3 schools are in Level 3 for having persistently low graduation rates for students with disabilities.</w:t>
      </w:r>
    </w:p>
    <w:p w:rsidR="00764408" w:rsidRDefault="00764408" w:rsidP="00764408">
      <w:pPr>
        <w:numPr>
          <w:ilvl w:val="0"/>
          <w:numId w:val="57"/>
        </w:numPr>
        <w:spacing w:after="0" w:line="240" w:lineRule="auto"/>
        <w:contextualSpacing/>
      </w:pPr>
      <w:r w:rsidRPr="00AD55CB">
        <w:t xml:space="preserve">Subgroup </w:t>
      </w:r>
      <w:r>
        <w:t>achievement</w:t>
      </w:r>
      <w:r w:rsidRPr="00AD55CB">
        <w:t xml:space="preserve">: </w:t>
      </w:r>
    </w:p>
    <w:p w:rsidR="00764408" w:rsidRPr="008502EB" w:rsidRDefault="00764408" w:rsidP="00764408">
      <w:pPr>
        <w:numPr>
          <w:ilvl w:val="1"/>
          <w:numId w:val="57"/>
        </w:numPr>
        <w:spacing w:after="0" w:line="240" w:lineRule="auto"/>
        <w:contextualSpacing/>
      </w:pPr>
      <w:r>
        <w:t xml:space="preserve">At </w:t>
      </w:r>
      <w:r w:rsidRPr="008502EB">
        <w:t>Burncoat Senior High</w:t>
      </w:r>
      <w:r w:rsidR="00AF4374">
        <w:t>,</w:t>
      </w:r>
      <w:r w:rsidRPr="008502EB">
        <w:t xml:space="preserve"> Hispanic/Latino students and high needs students are among the lowest performing 20 percent of subgroups</w:t>
      </w:r>
      <w:r>
        <w:t>;</w:t>
      </w:r>
      <w:r w:rsidRPr="008502EB">
        <w:t xml:space="preserve"> </w:t>
      </w:r>
      <w:r>
        <w:t>Burncoat</w:t>
      </w:r>
      <w:r w:rsidRPr="008502EB">
        <w:t xml:space="preserve"> has persistently low </w:t>
      </w:r>
      <w:r w:rsidRPr="008502EB">
        <w:lastRenderedPageBreak/>
        <w:t>graduation rates for students with disabilities and low assessment participation (less than 95</w:t>
      </w:r>
      <w:r>
        <w:t xml:space="preserve"> percent</w:t>
      </w:r>
      <w:r w:rsidRPr="008502EB">
        <w:t>) for students with disabilities, economically disadvantaged students, and Hispanic/Latino students.</w:t>
      </w:r>
    </w:p>
    <w:p w:rsidR="00764408" w:rsidRPr="008502EB" w:rsidRDefault="00764408" w:rsidP="00764408">
      <w:pPr>
        <w:numPr>
          <w:ilvl w:val="1"/>
          <w:numId w:val="57"/>
        </w:numPr>
        <w:spacing w:after="0" w:line="240" w:lineRule="auto"/>
        <w:contextualSpacing/>
      </w:pPr>
      <w:r>
        <w:t xml:space="preserve">At </w:t>
      </w:r>
      <w:r w:rsidRPr="008502EB">
        <w:t>North High</w:t>
      </w:r>
      <w:r w:rsidR="00AF4374">
        <w:t>,</w:t>
      </w:r>
      <w:r w:rsidRPr="008502EB">
        <w:t xml:space="preserve"> </w:t>
      </w:r>
      <w:r>
        <w:t>w</w:t>
      </w:r>
      <w:r w:rsidRPr="008502EB">
        <w:t>hite students, students with disabilities, Hispanic/Latino students, and high needs students are among the lowest performing 20 percent of subgroups</w:t>
      </w:r>
      <w:r>
        <w:t>;</w:t>
      </w:r>
      <w:r w:rsidRPr="008502EB">
        <w:t xml:space="preserve"> </w:t>
      </w:r>
      <w:r>
        <w:t>North</w:t>
      </w:r>
      <w:r w:rsidRPr="008502EB">
        <w:t xml:space="preserve"> has persistently low graduation rates for students with disabilities and low assessment participation (less than 95</w:t>
      </w:r>
      <w:r>
        <w:t xml:space="preserve"> percent</w:t>
      </w:r>
      <w:r w:rsidRPr="008502EB">
        <w:t>) for Hispanic/Latino students.</w:t>
      </w:r>
    </w:p>
    <w:p w:rsidR="00764408" w:rsidRDefault="00764408" w:rsidP="00764408">
      <w:pPr>
        <w:numPr>
          <w:ilvl w:val="1"/>
          <w:numId w:val="57"/>
        </w:numPr>
        <w:spacing w:after="0" w:line="240" w:lineRule="auto"/>
        <w:contextualSpacing/>
      </w:pPr>
      <w:r w:rsidRPr="008502EB">
        <w:t>South High Community has persistently low graduation rates for students with disabilities and low assessment participation (less than 95</w:t>
      </w:r>
      <w:r>
        <w:t xml:space="preserve"> percent</w:t>
      </w:r>
      <w:r w:rsidRPr="008502EB">
        <w:t>) for students with disabilities and Hispanic/Latino students.</w:t>
      </w:r>
      <w:r w:rsidR="001601B3">
        <w:t xml:space="preserve"> </w:t>
      </w:r>
    </w:p>
    <w:p w:rsidR="00764408" w:rsidRDefault="00764408" w:rsidP="00764408">
      <w:pPr>
        <w:spacing w:after="0" w:line="240" w:lineRule="auto"/>
        <w:contextualSpacing/>
      </w:pPr>
    </w:p>
    <w:p w:rsidR="00764408" w:rsidRPr="00624110" w:rsidRDefault="00764408" w:rsidP="00764408">
      <w:pPr>
        <w:spacing w:after="0" w:line="240" w:lineRule="auto"/>
        <w:contextualSpacing/>
        <w:rPr>
          <w:b/>
        </w:rPr>
      </w:pPr>
      <w:r w:rsidRPr="00624110">
        <w:rPr>
          <w:b/>
        </w:rPr>
        <w:t xml:space="preserve">For district and school PPI, percentile, </w:t>
      </w:r>
      <w:r w:rsidR="008438F0">
        <w:rPr>
          <w:b/>
        </w:rPr>
        <w:t xml:space="preserve">and level, 2013–2016, </w:t>
      </w:r>
      <w:r w:rsidRPr="00624110">
        <w:rPr>
          <w:b/>
        </w:rPr>
        <w:t>see Appendix B, Table B2.</w:t>
      </w:r>
    </w:p>
    <w:p w:rsidR="00764408" w:rsidRPr="00624110" w:rsidRDefault="00764408" w:rsidP="00764408">
      <w:pPr>
        <w:spacing w:after="0" w:line="240" w:lineRule="auto"/>
        <w:contextualSpacing/>
        <w:rPr>
          <w:b/>
        </w:rPr>
      </w:pPr>
    </w:p>
    <w:p w:rsidR="00764408" w:rsidRPr="00624110" w:rsidRDefault="00764408" w:rsidP="00764408">
      <w:pPr>
        <w:spacing w:after="0" w:line="240" w:lineRule="auto"/>
        <w:contextualSpacing/>
        <w:rPr>
          <w:b/>
        </w:rPr>
      </w:pPr>
      <w:r w:rsidRPr="002A20B0">
        <w:rPr>
          <w:b/>
        </w:rPr>
        <w:t xml:space="preserve">In Worcester some schools administered MCAS in 2015 and 2016, some administered PARCC in 2015 and 2016, and some administered MCAS in 2015 and PARCC in 2016. Therefore, districtwide trend data is not available for ELA and math. </w:t>
      </w:r>
    </w:p>
    <w:p w:rsidR="00764408" w:rsidRPr="008502EB" w:rsidRDefault="00764408" w:rsidP="00764408">
      <w:pPr>
        <w:spacing w:after="0" w:line="240" w:lineRule="auto"/>
        <w:contextualSpacing/>
      </w:pPr>
    </w:p>
    <w:p w:rsidR="00764408" w:rsidRPr="008502EB" w:rsidRDefault="00764408" w:rsidP="00764408">
      <w:pPr>
        <w:spacing w:after="0" w:line="240" w:lineRule="auto"/>
        <w:contextualSpacing/>
        <w:rPr>
          <w:rFonts w:eastAsia="Times New Roman" w:cs="Times New Roman"/>
          <w:b/>
        </w:rPr>
      </w:pPr>
      <w:r w:rsidRPr="008502EB">
        <w:rPr>
          <w:rFonts w:eastAsia="Times New Roman" w:cs="Times New Roman"/>
          <w:b/>
        </w:rPr>
        <w:t>Between 2013 and 2016, the percentage of students scoring proficient or advanced in science</w:t>
      </w:r>
      <w:r>
        <w:rPr>
          <w:rFonts w:eastAsia="Times New Roman" w:cs="Times New Roman"/>
          <w:b/>
        </w:rPr>
        <w:t xml:space="preserve"> on the MCAS</w:t>
      </w:r>
      <w:r w:rsidRPr="008502EB">
        <w:rPr>
          <w:rFonts w:eastAsia="Times New Roman" w:cs="Times New Roman"/>
          <w:b/>
        </w:rPr>
        <w:t xml:space="preserve"> improved by </w:t>
      </w:r>
      <w:r>
        <w:rPr>
          <w:rFonts w:eastAsia="Times New Roman" w:cs="Times New Roman"/>
          <w:b/>
        </w:rPr>
        <w:t>one</w:t>
      </w:r>
      <w:r w:rsidRPr="008502EB">
        <w:rPr>
          <w:rFonts w:eastAsia="Times New Roman" w:cs="Times New Roman"/>
          <w:b/>
        </w:rPr>
        <w:t xml:space="preserve"> percentage point for all students, and did not improve for high needs students, English language learners, a</w:t>
      </w:r>
      <w:r>
        <w:rPr>
          <w:rFonts w:eastAsia="Times New Roman" w:cs="Times New Roman"/>
          <w:b/>
        </w:rPr>
        <w:t xml:space="preserve">nd students with disabilities. </w:t>
      </w:r>
      <w:r w:rsidRPr="008502EB">
        <w:rPr>
          <w:rFonts w:eastAsia="Times New Roman" w:cs="Times New Roman"/>
          <w:b/>
        </w:rPr>
        <w:t>In 2016</w:t>
      </w:r>
      <w:r w:rsidR="008438F0">
        <w:rPr>
          <w:rFonts w:eastAsia="Times New Roman" w:cs="Times New Roman"/>
          <w:b/>
        </w:rPr>
        <w:t>,</w:t>
      </w:r>
      <w:r w:rsidRPr="008502EB">
        <w:rPr>
          <w:rFonts w:eastAsia="Times New Roman" w:cs="Times New Roman"/>
          <w:b/>
        </w:rPr>
        <w:t xml:space="preserve"> the percentage of students scoring proficient or advanced in science was below the state rate by 21 percentage points for all students, </w:t>
      </w:r>
      <w:r>
        <w:rPr>
          <w:rFonts w:eastAsia="Times New Roman" w:cs="Times New Roman"/>
          <w:b/>
        </w:rPr>
        <w:t xml:space="preserve">by </w:t>
      </w:r>
      <w:r w:rsidRPr="008502EB">
        <w:rPr>
          <w:rFonts w:eastAsia="Times New Roman" w:cs="Times New Roman"/>
          <w:b/>
        </w:rPr>
        <w:t xml:space="preserve">14 percentage points for students with disabilities, </w:t>
      </w:r>
      <w:r>
        <w:rPr>
          <w:rFonts w:eastAsia="Times New Roman" w:cs="Times New Roman"/>
          <w:b/>
        </w:rPr>
        <w:t xml:space="preserve">by </w:t>
      </w:r>
      <w:r w:rsidRPr="008502EB">
        <w:rPr>
          <w:rFonts w:eastAsia="Times New Roman" w:cs="Times New Roman"/>
          <w:b/>
        </w:rPr>
        <w:t xml:space="preserve">8 percentage points for high needs students and economically disadvantaged students, and </w:t>
      </w:r>
      <w:r>
        <w:rPr>
          <w:rFonts w:eastAsia="Times New Roman" w:cs="Times New Roman"/>
          <w:b/>
        </w:rPr>
        <w:t>by 1</w:t>
      </w:r>
      <w:r w:rsidRPr="008502EB">
        <w:rPr>
          <w:rFonts w:eastAsia="Times New Roman" w:cs="Times New Roman"/>
          <w:b/>
        </w:rPr>
        <w:t xml:space="preserve"> percentage point for English language learners.</w:t>
      </w:r>
    </w:p>
    <w:p w:rsidR="00764408" w:rsidRDefault="00764408" w:rsidP="00764408"/>
    <w:tbl>
      <w:tblPr>
        <w:tblStyle w:val="TableGrid9"/>
        <w:tblW w:w="9558" w:type="dxa"/>
        <w:tblLayout w:type="fixed"/>
        <w:tblLook w:val="04A0"/>
      </w:tblPr>
      <w:tblGrid>
        <w:gridCol w:w="1638"/>
        <w:gridCol w:w="810"/>
        <w:gridCol w:w="1098"/>
        <w:gridCol w:w="1098"/>
        <w:gridCol w:w="1098"/>
        <w:gridCol w:w="1098"/>
        <w:gridCol w:w="1098"/>
        <w:gridCol w:w="1620"/>
      </w:tblGrid>
      <w:tr w:rsidR="000373EC" w:rsidRPr="008502EB" w:rsidTr="00932B8D">
        <w:tc>
          <w:tcPr>
            <w:tcW w:w="9558" w:type="dxa"/>
            <w:gridSpan w:val="8"/>
            <w:tcBorders>
              <w:top w:val="nil"/>
              <w:left w:val="nil"/>
              <w:right w:val="nil"/>
            </w:tcBorders>
            <w:vAlign w:val="center"/>
          </w:tcPr>
          <w:p w:rsidR="000373EC" w:rsidRPr="008502EB" w:rsidRDefault="000373EC" w:rsidP="00932B8D">
            <w:pPr>
              <w:spacing w:after="0" w:line="240" w:lineRule="auto"/>
              <w:jc w:val="center"/>
              <w:rPr>
                <w:b/>
                <w:sz w:val="20"/>
                <w:szCs w:val="20"/>
              </w:rPr>
            </w:pPr>
            <w:r w:rsidRPr="008502EB">
              <w:rPr>
                <w:b/>
                <w:sz w:val="20"/>
                <w:szCs w:val="20"/>
              </w:rPr>
              <w:t xml:space="preserve">Table </w:t>
            </w:r>
            <w:r w:rsidR="005C7DC2">
              <w:rPr>
                <w:b/>
                <w:sz w:val="20"/>
                <w:szCs w:val="20"/>
              </w:rPr>
              <w:t>3</w:t>
            </w:r>
            <w:r w:rsidRPr="008502EB">
              <w:rPr>
                <w:b/>
                <w:sz w:val="20"/>
                <w:szCs w:val="20"/>
              </w:rPr>
              <w:t>: Worcester Public Schools</w:t>
            </w:r>
          </w:p>
          <w:p w:rsidR="000373EC" w:rsidRPr="008502EB" w:rsidRDefault="000373EC" w:rsidP="00932B8D">
            <w:pPr>
              <w:spacing w:after="0" w:line="240" w:lineRule="auto"/>
              <w:jc w:val="center"/>
              <w:rPr>
                <w:b/>
                <w:sz w:val="20"/>
                <w:szCs w:val="20"/>
              </w:rPr>
            </w:pPr>
            <w:r w:rsidRPr="008502EB">
              <w:rPr>
                <w:b/>
                <w:sz w:val="20"/>
                <w:szCs w:val="20"/>
              </w:rPr>
              <w:t>Science Percent Proficient or Advanced by Subgroup 2013–2016</w:t>
            </w:r>
          </w:p>
        </w:tc>
      </w:tr>
      <w:tr w:rsidR="000373EC" w:rsidRPr="008502EB" w:rsidTr="00932B8D">
        <w:trPr>
          <w:trHeight w:val="746"/>
        </w:trPr>
        <w:tc>
          <w:tcPr>
            <w:tcW w:w="1638" w:type="dxa"/>
            <w:shd w:val="clear" w:color="auto" w:fill="D9D9D9" w:themeFill="background1" w:themeFillShade="D9"/>
            <w:vAlign w:val="center"/>
          </w:tcPr>
          <w:p w:rsidR="000373EC" w:rsidRPr="008502EB" w:rsidRDefault="000373EC" w:rsidP="00932B8D">
            <w:pPr>
              <w:spacing w:after="0" w:line="240" w:lineRule="auto"/>
              <w:jc w:val="center"/>
              <w:rPr>
                <w:b/>
                <w:sz w:val="20"/>
                <w:szCs w:val="20"/>
              </w:rPr>
            </w:pPr>
            <w:r w:rsidRPr="008502EB">
              <w:rPr>
                <w:b/>
                <w:sz w:val="20"/>
                <w:szCs w:val="20"/>
              </w:rPr>
              <w:t>Group</w:t>
            </w:r>
          </w:p>
        </w:tc>
        <w:tc>
          <w:tcPr>
            <w:tcW w:w="810" w:type="dxa"/>
            <w:shd w:val="clear" w:color="auto" w:fill="D9D9D9" w:themeFill="background1" w:themeFillShade="D9"/>
            <w:vAlign w:val="center"/>
          </w:tcPr>
          <w:p w:rsidR="000373EC" w:rsidRPr="008502EB" w:rsidRDefault="000373EC" w:rsidP="00932B8D">
            <w:pPr>
              <w:spacing w:after="0" w:line="240" w:lineRule="auto"/>
              <w:jc w:val="center"/>
              <w:rPr>
                <w:b/>
                <w:sz w:val="20"/>
                <w:szCs w:val="20"/>
              </w:rPr>
            </w:pPr>
          </w:p>
        </w:tc>
        <w:tc>
          <w:tcPr>
            <w:tcW w:w="1098" w:type="dxa"/>
            <w:shd w:val="clear" w:color="auto" w:fill="D9D9D9" w:themeFill="background1" w:themeFillShade="D9"/>
            <w:vAlign w:val="center"/>
          </w:tcPr>
          <w:p w:rsidR="000373EC" w:rsidRPr="008502EB" w:rsidRDefault="000373EC" w:rsidP="00932B8D">
            <w:pPr>
              <w:spacing w:after="0" w:line="240" w:lineRule="auto"/>
              <w:jc w:val="center"/>
              <w:rPr>
                <w:b/>
                <w:sz w:val="20"/>
                <w:szCs w:val="20"/>
              </w:rPr>
            </w:pPr>
            <w:r w:rsidRPr="008502EB">
              <w:rPr>
                <w:b/>
                <w:sz w:val="20"/>
                <w:szCs w:val="20"/>
              </w:rPr>
              <w:t>2013</w:t>
            </w:r>
          </w:p>
        </w:tc>
        <w:tc>
          <w:tcPr>
            <w:tcW w:w="1098" w:type="dxa"/>
            <w:shd w:val="clear" w:color="auto" w:fill="D9D9D9" w:themeFill="background1" w:themeFillShade="D9"/>
            <w:vAlign w:val="center"/>
          </w:tcPr>
          <w:p w:rsidR="000373EC" w:rsidRPr="008502EB" w:rsidRDefault="000373EC" w:rsidP="00932B8D">
            <w:pPr>
              <w:spacing w:after="0" w:line="240" w:lineRule="auto"/>
              <w:jc w:val="center"/>
              <w:rPr>
                <w:b/>
                <w:sz w:val="20"/>
                <w:szCs w:val="20"/>
              </w:rPr>
            </w:pPr>
            <w:r w:rsidRPr="008502EB">
              <w:rPr>
                <w:b/>
                <w:sz w:val="20"/>
                <w:szCs w:val="20"/>
              </w:rPr>
              <w:t>2014</w:t>
            </w:r>
          </w:p>
        </w:tc>
        <w:tc>
          <w:tcPr>
            <w:tcW w:w="1098" w:type="dxa"/>
            <w:shd w:val="clear" w:color="auto" w:fill="D9D9D9" w:themeFill="background1" w:themeFillShade="D9"/>
            <w:vAlign w:val="center"/>
          </w:tcPr>
          <w:p w:rsidR="000373EC" w:rsidRPr="008502EB" w:rsidRDefault="000373EC" w:rsidP="00932B8D">
            <w:pPr>
              <w:spacing w:after="0" w:line="240" w:lineRule="auto"/>
              <w:jc w:val="center"/>
              <w:rPr>
                <w:b/>
                <w:sz w:val="20"/>
                <w:szCs w:val="20"/>
              </w:rPr>
            </w:pPr>
            <w:r w:rsidRPr="008502EB">
              <w:rPr>
                <w:b/>
                <w:sz w:val="20"/>
                <w:szCs w:val="20"/>
              </w:rPr>
              <w:t>2015</w:t>
            </w:r>
          </w:p>
        </w:tc>
        <w:tc>
          <w:tcPr>
            <w:tcW w:w="1098" w:type="dxa"/>
            <w:shd w:val="clear" w:color="auto" w:fill="D9D9D9" w:themeFill="background1" w:themeFillShade="D9"/>
            <w:vAlign w:val="center"/>
          </w:tcPr>
          <w:p w:rsidR="000373EC" w:rsidRPr="008502EB" w:rsidRDefault="000373EC" w:rsidP="00932B8D">
            <w:pPr>
              <w:spacing w:after="0" w:line="240" w:lineRule="auto"/>
              <w:jc w:val="center"/>
              <w:rPr>
                <w:b/>
                <w:sz w:val="20"/>
                <w:szCs w:val="20"/>
              </w:rPr>
            </w:pPr>
            <w:r w:rsidRPr="008502EB">
              <w:rPr>
                <w:b/>
                <w:sz w:val="20"/>
                <w:szCs w:val="20"/>
              </w:rPr>
              <w:t>2016</w:t>
            </w:r>
          </w:p>
        </w:tc>
        <w:tc>
          <w:tcPr>
            <w:tcW w:w="1098" w:type="dxa"/>
            <w:shd w:val="clear" w:color="auto" w:fill="D9D9D9" w:themeFill="background1" w:themeFillShade="D9"/>
            <w:vAlign w:val="center"/>
          </w:tcPr>
          <w:p w:rsidR="000373EC" w:rsidRPr="008502EB" w:rsidRDefault="000373EC" w:rsidP="00932B8D">
            <w:pPr>
              <w:spacing w:after="0" w:line="240" w:lineRule="auto"/>
              <w:jc w:val="center"/>
              <w:rPr>
                <w:b/>
                <w:sz w:val="20"/>
                <w:szCs w:val="20"/>
              </w:rPr>
            </w:pPr>
            <w:r w:rsidRPr="008502EB">
              <w:rPr>
                <w:b/>
                <w:sz w:val="20"/>
                <w:szCs w:val="20"/>
              </w:rPr>
              <w:t>4-Year Trend</w:t>
            </w:r>
          </w:p>
        </w:tc>
        <w:tc>
          <w:tcPr>
            <w:tcW w:w="1620" w:type="dxa"/>
            <w:shd w:val="clear" w:color="auto" w:fill="D9D9D9" w:themeFill="background1" w:themeFillShade="D9"/>
            <w:vAlign w:val="center"/>
          </w:tcPr>
          <w:p w:rsidR="000373EC" w:rsidRPr="008502EB" w:rsidRDefault="000373EC" w:rsidP="00932B8D">
            <w:pPr>
              <w:spacing w:after="0" w:line="240" w:lineRule="auto"/>
              <w:jc w:val="center"/>
              <w:rPr>
                <w:b/>
                <w:sz w:val="20"/>
                <w:szCs w:val="20"/>
              </w:rPr>
            </w:pPr>
            <w:r w:rsidRPr="008502EB">
              <w:rPr>
                <w:b/>
                <w:sz w:val="20"/>
                <w:szCs w:val="20"/>
              </w:rPr>
              <w:t>Above/Below</w:t>
            </w:r>
          </w:p>
          <w:p w:rsidR="000373EC" w:rsidRPr="008502EB" w:rsidRDefault="000373EC" w:rsidP="00932B8D">
            <w:pPr>
              <w:spacing w:after="0" w:line="240" w:lineRule="auto"/>
              <w:jc w:val="center"/>
              <w:rPr>
                <w:b/>
                <w:sz w:val="20"/>
                <w:szCs w:val="20"/>
              </w:rPr>
            </w:pPr>
            <w:r w:rsidRPr="008502EB">
              <w:rPr>
                <w:b/>
                <w:sz w:val="20"/>
                <w:szCs w:val="20"/>
              </w:rPr>
              <w:t>State (2016)</w:t>
            </w:r>
          </w:p>
        </w:tc>
      </w:tr>
      <w:tr w:rsidR="000373EC" w:rsidRPr="008502EB" w:rsidTr="00932B8D">
        <w:tc>
          <w:tcPr>
            <w:tcW w:w="1638" w:type="dxa"/>
            <w:vMerge w:val="restart"/>
            <w:shd w:val="clear" w:color="auto" w:fill="auto"/>
            <w:vAlign w:val="center"/>
          </w:tcPr>
          <w:p w:rsidR="000373EC" w:rsidRPr="008502EB" w:rsidRDefault="000373EC" w:rsidP="00932B8D">
            <w:pPr>
              <w:spacing w:after="0" w:line="240" w:lineRule="auto"/>
              <w:jc w:val="center"/>
              <w:rPr>
                <w:sz w:val="20"/>
                <w:szCs w:val="20"/>
              </w:rPr>
            </w:pPr>
            <w:r w:rsidRPr="008502EB">
              <w:rPr>
                <w:sz w:val="20"/>
                <w:szCs w:val="20"/>
              </w:rPr>
              <w:t>All students</w:t>
            </w:r>
          </w:p>
        </w:tc>
        <w:tc>
          <w:tcPr>
            <w:tcW w:w="810" w:type="dxa"/>
            <w:shd w:val="clear" w:color="auto" w:fill="auto"/>
            <w:vAlign w:val="center"/>
          </w:tcPr>
          <w:p w:rsidR="000373EC" w:rsidRPr="008502EB" w:rsidRDefault="000373EC" w:rsidP="00932B8D">
            <w:pPr>
              <w:spacing w:after="0" w:line="240" w:lineRule="auto"/>
              <w:jc w:val="center"/>
              <w:rPr>
                <w:rFonts w:ascii="Calibri" w:hAnsi="Calibri"/>
                <w:sz w:val="20"/>
                <w:szCs w:val="20"/>
              </w:rPr>
            </w:pPr>
            <w:r w:rsidRPr="008502EB">
              <w:rPr>
                <w:rFonts w:ascii="Calibri" w:hAnsi="Calibri"/>
                <w:sz w:val="20"/>
                <w:szCs w:val="20"/>
              </w:rPr>
              <w:t>District</w:t>
            </w:r>
          </w:p>
        </w:tc>
        <w:tc>
          <w:tcPr>
            <w:tcW w:w="1098" w:type="dxa"/>
            <w:shd w:val="clear" w:color="auto" w:fill="auto"/>
            <w:vAlign w:val="center"/>
          </w:tcPr>
          <w:p w:rsidR="000373EC" w:rsidRPr="008502EB" w:rsidRDefault="000373EC" w:rsidP="00932B8D">
            <w:pPr>
              <w:spacing w:after="0" w:line="240" w:lineRule="auto"/>
              <w:jc w:val="center"/>
              <w:rPr>
                <w:rFonts w:ascii="Calibri" w:hAnsi="Calibri"/>
                <w:sz w:val="20"/>
                <w:szCs w:val="20"/>
              </w:rPr>
            </w:pPr>
            <w:r w:rsidRPr="008502EB">
              <w:rPr>
                <w:rFonts w:ascii="Calibri" w:hAnsi="Calibri"/>
                <w:sz w:val="20"/>
                <w:szCs w:val="20"/>
              </w:rPr>
              <w:t>32%</w:t>
            </w:r>
          </w:p>
        </w:tc>
        <w:tc>
          <w:tcPr>
            <w:tcW w:w="1098" w:type="dxa"/>
            <w:shd w:val="clear" w:color="auto" w:fill="auto"/>
            <w:vAlign w:val="center"/>
          </w:tcPr>
          <w:p w:rsidR="000373EC" w:rsidRPr="008502EB" w:rsidRDefault="000373EC" w:rsidP="00932B8D">
            <w:pPr>
              <w:spacing w:after="0" w:line="240" w:lineRule="auto"/>
              <w:jc w:val="center"/>
              <w:rPr>
                <w:rFonts w:ascii="Calibri" w:hAnsi="Calibri"/>
                <w:sz w:val="20"/>
                <w:szCs w:val="20"/>
              </w:rPr>
            </w:pPr>
            <w:r w:rsidRPr="008502EB">
              <w:rPr>
                <w:rFonts w:ascii="Calibri" w:hAnsi="Calibri"/>
                <w:sz w:val="20"/>
                <w:szCs w:val="20"/>
              </w:rPr>
              <w:t>34%</w:t>
            </w:r>
          </w:p>
        </w:tc>
        <w:tc>
          <w:tcPr>
            <w:tcW w:w="1098" w:type="dxa"/>
            <w:shd w:val="clear" w:color="auto" w:fill="auto"/>
            <w:vAlign w:val="center"/>
          </w:tcPr>
          <w:p w:rsidR="000373EC" w:rsidRPr="008502EB" w:rsidRDefault="000373EC" w:rsidP="00932B8D">
            <w:pPr>
              <w:spacing w:after="0" w:line="240" w:lineRule="auto"/>
              <w:jc w:val="center"/>
              <w:rPr>
                <w:rFonts w:ascii="Calibri" w:hAnsi="Calibri"/>
                <w:sz w:val="20"/>
                <w:szCs w:val="20"/>
              </w:rPr>
            </w:pPr>
            <w:r w:rsidRPr="008502EB">
              <w:rPr>
                <w:rFonts w:ascii="Calibri" w:hAnsi="Calibri"/>
                <w:sz w:val="20"/>
                <w:szCs w:val="20"/>
              </w:rPr>
              <w:t>33%</w:t>
            </w:r>
          </w:p>
        </w:tc>
        <w:tc>
          <w:tcPr>
            <w:tcW w:w="1098" w:type="dxa"/>
            <w:shd w:val="clear" w:color="auto" w:fill="auto"/>
            <w:vAlign w:val="center"/>
          </w:tcPr>
          <w:p w:rsidR="000373EC" w:rsidRPr="008502EB" w:rsidRDefault="000373EC" w:rsidP="00932B8D">
            <w:pPr>
              <w:spacing w:after="0" w:line="240" w:lineRule="auto"/>
              <w:jc w:val="center"/>
              <w:rPr>
                <w:rFonts w:ascii="Calibri" w:hAnsi="Calibri"/>
                <w:sz w:val="20"/>
                <w:szCs w:val="20"/>
              </w:rPr>
            </w:pPr>
            <w:r w:rsidRPr="008502EB">
              <w:rPr>
                <w:rFonts w:ascii="Calibri" w:hAnsi="Calibri"/>
                <w:sz w:val="20"/>
                <w:szCs w:val="20"/>
              </w:rPr>
              <w:t>33%</w:t>
            </w:r>
          </w:p>
        </w:tc>
        <w:tc>
          <w:tcPr>
            <w:tcW w:w="1098" w:type="dxa"/>
            <w:shd w:val="clear" w:color="auto" w:fill="auto"/>
            <w:vAlign w:val="center"/>
          </w:tcPr>
          <w:p w:rsidR="000373EC" w:rsidRPr="008502EB" w:rsidRDefault="000373EC" w:rsidP="00932B8D">
            <w:pPr>
              <w:spacing w:after="0" w:line="240" w:lineRule="auto"/>
              <w:jc w:val="center"/>
              <w:rPr>
                <w:rFonts w:ascii="Calibri" w:hAnsi="Calibri"/>
                <w:sz w:val="20"/>
                <w:szCs w:val="20"/>
              </w:rPr>
            </w:pPr>
            <w:r w:rsidRPr="008502EB">
              <w:rPr>
                <w:rFonts w:ascii="Calibri" w:hAnsi="Calibri"/>
                <w:sz w:val="20"/>
                <w:szCs w:val="20"/>
              </w:rPr>
              <w:t>1</w:t>
            </w:r>
          </w:p>
        </w:tc>
        <w:tc>
          <w:tcPr>
            <w:tcW w:w="1620" w:type="dxa"/>
            <w:vMerge w:val="restart"/>
            <w:shd w:val="clear" w:color="auto" w:fill="auto"/>
            <w:vAlign w:val="center"/>
          </w:tcPr>
          <w:p w:rsidR="000373EC" w:rsidRPr="008502EB" w:rsidRDefault="000373EC" w:rsidP="00932B8D">
            <w:pPr>
              <w:spacing w:after="0" w:line="240" w:lineRule="auto"/>
              <w:jc w:val="center"/>
              <w:rPr>
                <w:sz w:val="20"/>
                <w:szCs w:val="20"/>
              </w:rPr>
            </w:pPr>
            <w:r w:rsidRPr="008502EB">
              <w:rPr>
                <w:sz w:val="20"/>
                <w:szCs w:val="20"/>
              </w:rPr>
              <w:t>-21</w:t>
            </w:r>
          </w:p>
        </w:tc>
      </w:tr>
      <w:tr w:rsidR="000373EC" w:rsidRPr="008502EB" w:rsidTr="00932B8D">
        <w:tc>
          <w:tcPr>
            <w:tcW w:w="1638" w:type="dxa"/>
            <w:vMerge/>
            <w:shd w:val="clear" w:color="auto" w:fill="auto"/>
            <w:vAlign w:val="center"/>
          </w:tcPr>
          <w:p w:rsidR="000373EC" w:rsidRPr="008502EB" w:rsidRDefault="000373EC" w:rsidP="00932B8D">
            <w:pPr>
              <w:spacing w:after="0" w:line="240" w:lineRule="auto"/>
              <w:jc w:val="center"/>
              <w:rPr>
                <w:sz w:val="20"/>
                <w:szCs w:val="20"/>
              </w:rPr>
            </w:pPr>
          </w:p>
        </w:tc>
        <w:tc>
          <w:tcPr>
            <w:tcW w:w="810" w:type="dxa"/>
            <w:shd w:val="clear" w:color="auto" w:fill="auto"/>
            <w:vAlign w:val="center"/>
          </w:tcPr>
          <w:p w:rsidR="000373EC" w:rsidRPr="008502EB" w:rsidRDefault="000373EC" w:rsidP="00932B8D">
            <w:pPr>
              <w:spacing w:after="0" w:line="240" w:lineRule="auto"/>
              <w:jc w:val="center"/>
              <w:rPr>
                <w:rFonts w:ascii="Calibri" w:hAnsi="Calibri"/>
                <w:sz w:val="20"/>
                <w:szCs w:val="20"/>
              </w:rPr>
            </w:pPr>
            <w:r w:rsidRPr="008502EB">
              <w:rPr>
                <w:rFonts w:ascii="Calibri" w:hAnsi="Calibri"/>
                <w:sz w:val="20"/>
                <w:szCs w:val="20"/>
              </w:rPr>
              <w:t>State</w:t>
            </w:r>
          </w:p>
        </w:tc>
        <w:tc>
          <w:tcPr>
            <w:tcW w:w="1098" w:type="dxa"/>
            <w:shd w:val="clear" w:color="auto" w:fill="auto"/>
            <w:vAlign w:val="center"/>
          </w:tcPr>
          <w:p w:rsidR="000373EC" w:rsidRPr="008502EB" w:rsidRDefault="000373EC" w:rsidP="00932B8D">
            <w:pPr>
              <w:spacing w:after="0" w:line="240" w:lineRule="auto"/>
              <w:jc w:val="center"/>
              <w:rPr>
                <w:rFonts w:ascii="Calibri" w:hAnsi="Calibri"/>
                <w:sz w:val="20"/>
                <w:szCs w:val="20"/>
              </w:rPr>
            </w:pPr>
            <w:r w:rsidRPr="008502EB">
              <w:rPr>
                <w:rFonts w:ascii="Calibri" w:hAnsi="Calibri"/>
                <w:sz w:val="20"/>
                <w:szCs w:val="20"/>
              </w:rPr>
              <w:t>53%</w:t>
            </w:r>
          </w:p>
        </w:tc>
        <w:tc>
          <w:tcPr>
            <w:tcW w:w="1098" w:type="dxa"/>
            <w:shd w:val="clear" w:color="auto" w:fill="auto"/>
            <w:vAlign w:val="center"/>
          </w:tcPr>
          <w:p w:rsidR="000373EC" w:rsidRPr="008502EB" w:rsidRDefault="000373EC" w:rsidP="00932B8D">
            <w:pPr>
              <w:spacing w:after="0" w:line="240" w:lineRule="auto"/>
              <w:jc w:val="center"/>
              <w:rPr>
                <w:rFonts w:ascii="Calibri" w:hAnsi="Calibri"/>
                <w:sz w:val="20"/>
                <w:szCs w:val="20"/>
              </w:rPr>
            </w:pPr>
            <w:r w:rsidRPr="008502EB">
              <w:rPr>
                <w:rFonts w:ascii="Calibri" w:hAnsi="Calibri"/>
                <w:sz w:val="20"/>
                <w:szCs w:val="20"/>
              </w:rPr>
              <w:t>55%</w:t>
            </w:r>
          </w:p>
        </w:tc>
        <w:tc>
          <w:tcPr>
            <w:tcW w:w="1098" w:type="dxa"/>
            <w:shd w:val="clear" w:color="auto" w:fill="auto"/>
            <w:vAlign w:val="center"/>
          </w:tcPr>
          <w:p w:rsidR="000373EC" w:rsidRPr="008502EB" w:rsidRDefault="000373EC" w:rsidP="00932B8D">
            <w:pPr>
              <w:spacing w:after="0" w:line="240" w:lineRule="auto"/>
              <w:jc w:val="center"/>
              <w:rPr>
                <w:rFonts w:ascii="Calibri" w:hAnsi="Calibri"/>
                <w:sz w:val="20"/>
                <w:szCs w:val="20"/>
              </w:rPr>
            </w:pPr>
            <w:r w:rsidRPr="008502EB">
              <w:rPr>
                <w:rFonts w:ascii="Calibri" w:hAnsi="Calibri"/>
                <w:sz w:val="20"/>
                <w:szCs w:val="20"/>
              </w:rPr>
              <w:t>54%</w:t>
            </w:r>
          </w:p>
        </w:tc>
        <w:tc>
          <w:tcPr>
            <w:tcW w:w="1098" w:type="dxa"/>
            <w:shd w:val="clear" w:color="auto" w:fill="auto"/>
            <w:vAlign w:val="center"/>
          </w:tcPr>
          <w:p w:rsidR="000373EC" w:rsidRPr="008502EB" w:rsidRDefault="000373EC" w:rsidP="00932B8D">
            <w:pPr>
              <w:spacing w:after="0" w:line="240" w:lineRule="auto"/>
              <w:jc w:val="center"/>
              <w:rPr>
                <w:rFonts w:ascii="Calibri" w:hAnsi="Calibri"/>
                <w:sz w:val="20"/>
                <w:szCs w:val="20"/>
              </w:rPr>
            </w:pPr>
            <w:r w:rsidRPr="008502EB">
              <w:rPr>
                <w:rFonts w:ascii="Calibri" w:hAnsi="Calibri"/>
                <w:sz w:val="20"/>
                <w:szCs w:val="20"/>
              </w:rPr>
              <w:t>54%</w:t>
            </w:r>
          </w:p>
        </w:tc>
        <w:tc>
          <w:tcPr>
            <w:tcW w:w="1098" w:type="dxa"/>
            <w:shd w:val="clear" w:color="auto" w:fill="auto"/>
            <w:vAlign w:val="center"/>
          </w:tcPr>
          <w:p w:rsidR="000373EC" w:rsidRPr="008502EB" w:rsidRDefault="000373EC" w:rsidP="00932B8D">
            <w:pPr>
              <w:spacing w:after="0" w:line="240" w:lineRule="auto"/>
              <w:jc w:val="center"/>
              <w:rPr>
                <w:sz w:val="20"/>
                <w:szCs w:val="20"/>
              </w:rPr>
            </w:pPr>
            <w:r w:rsidRPr="008502EB">
              <w:rPr>
                <w:sz w:val="20"/>
                <w:szCs w:val="20"/>
              </w:rPr>
              <w:t>1</w:t>
            </w:r>
          </w:p>
        </w:tc>
        <w:tc>
          <w:tcPr>
            <w:tcW w:w="1620" w:type="dxa"/>
            <w:vMerge/>
            <w:shd w:val="clear" w:color="auto" w:fill="auto"/>
            <w:vAlign w:val="center"/>
          </w:tcPr>
          <w:p w:rsidR="000373EC" w:rsidRPr="008502EB" w:rsidRDefault="000373EC" w:rsidP="00932B8D">
            <w:pPr>
              <w:spacing w:after="0" w:line="240" w:lineRule="auto"/>
              <w:jc w:val="center"/>
              <w:rPr>
                <w:sz w:val="20"/>
                <w:szCs w:val="20"/>
              </w:rPr>
            </w:pPr>
          </w:p>
        </w:tc>
      </w:tr>
      <w:tr w:rsidR="000373EC" w:rsidRPr="008502EB" w:rsidTr="00932B8D">
        <w:tc>
          <w:tcPr>
            <w:tcW w:w="1638" w:type="dxa"/>
            <w:vMerge w:val="restart"/>
            <w:shd w:val="clear" w:color="auto" w:fill="D9D9D9" w:themeFill="background1" w:themeFillShade="D9"/>
            <w:vAlign w:val="center"/>
          </w:tcPr>
          <w:p w:rsidR="000373EC" w:rsidRPr="008502EB" w:rsidRDefault="000373EC" w:rsidP="00932B8D">
            <w:pPr>
              <w:spacing w:after="0" w:line="240" w:lineRule="auto"/>
              <w:jc w:val="center"/>
              <w:rPr>
                <w:sz w:val="20"/>
                <w:szCs w:val="20"/>
              </w:rPr>
            </w:pPr>
            <w:r w:rsidRPr="008502EB">
              <w:rPr>
                <w:sz w:val="20"/>
                <w:szCs w:val="20"/>
              </w:rPr>
              <w:t>High Needs</w:t>
            </w:r>
          </w:p>
        </w:tc>
        <w:tc>
          <w:tcPr>
            <w:tcW w:w="810" w:type="dxa"/>
            <w:shd w:val="clear" w:color="auto" w:fill="D9D9D9" w:themeFill="background1" w:themeFillShade="D9"/>
            <w:vAlign w:val="center"/>
          </w:tcPr>
          <w:p w:rsidR="000373EC" w:rsidRPr="008502EB" w:rsidRDefault="000373EC" w:rsidP="00932B8D">
            <w:pPr>
              <w:spacing w:after="0" w:line="240" w:lineRule="auto"/>
              <w:jc w:val="center"/>
              <w:rPr>
                <w:rFonts w:ascii="Calibri" w:hAnsi="Calibri"/>
                <w:sz w:val="20"/>
                <w:szCs w:val="20"/>
              </w:rPr>
            </w:pPr>
            <w:r w:rsidRPr="008502EB">
              <w:rPr>
                <w:rFonts w:ascii="Calibri" w:hAnsi="Calibri"/>
                <w:sz w:val="20"/>
                <w:szCs w:val="20"/>
              </w:rPr>
              <w:t>District</w:t>
            </w:r>
          </w:p>
        </w:tc>
        <w:tc>
          <w:tcPr>
            <w:tcW w:w="1098" w:type="dxa"/>
            <w:shd w:val="clear" w:color="auto" w:fill="D9D9D9" w:themeFill="background1" w:themeFillShade="D9"/>
            <w:vAlign w:val="center"/>
          </w:tcPr>
          <w:p w:rsidR="000373EC" w:rsidRPr="008502EB" w:rsidRDefault="000373EC" w:rsidP="00932B8D">
            <w:pPr>
              <w:spacing w:after="0" w:line="240" w:lineRule="auto"/>
              <w:jc w:val="center"/>
              <w:rPr>
                <w:rFonts w:ascii="Calibri" w:hAnsi="Calibri"/>
                <w:sz w:val="20"/>
                <w:szCs w:val="20"/>
              </w:rPr>
            </w:pPr>
            <w:r w:rsidRPr="008502EB">
              <w:rPr>
                <w:rFonts w:ascii="Calibri" w:hAnsi="Calibri"/>
                <w:sz w:val="20"/>
                <w:szCs w:val="20"/>
              </w:rPr>
              <w:t>24%</w:t>
            </w:r>
          </w:p>
        </w:tc>
        <w:tc>
          <w:tcPr>
            <w:tcW w:w="1098" w:type="dxa"/>
            <w:shd w:val="clear" w:color="auto" w:fill="D9D9D9" w:themeFill="background1" w:themeFillShade="D9"/>
            <w:vAlign w:val="center"/>
          </w:tcPr>
          <w:p w:rsidR="000373EC" w:rsidRPr="008502EB" w:rsidRDefault="000373EC" w:rsidP="00932B8D">
            <w:pPr>
              <w:spacing w:after="0" w:line="240" w:lineRule="auto"/>
              <w:jc w:val="center"/>
              <w:rPr>
                <w:rFonts w:ascii="Calibri" w:hAnsi="Calibri"/>
                <w:sz w:val="20"/>
                <w:szCs w:val="20"/>
              </w:rPr>
            </w:pPr>
            <w:r w:rsidRPr="008502EB">
              <w:rPr>
                <w:rFonts w:ascii="Calibri" w:hAnsi="Calibri"/>
                <w:sz w:val="20"/>
                <w:szCs w:val="20"/>
              </w:rPr>
              <w:t>26%</w:t>
            </w:r>
          </w:p>
        </w:tc>
        <w:tc>
          <w:tcPr>
            <w:tcW w:w="1098" w:type="dxa"/>
            <w:shd w:val="clear" w:color="auto" w:fill="D9D9D9" w:themeFill="background1" w:themeFillShade="D9"/>
            <w:vAlign w:val="center"/>
          </w:tcPr>
          <w:p w:rsidR="000373EC" w:rsidRPr="008502EB" w:rsidRDefault="000373EC" w:rsidP="00932B8D">
            <w:pPr>
              <w:spacing w:after="0" w:line="240" w:lineRule="auto"/>
              <w:jc w:val="center"/>
              <w:rPr>
                <w:rFonts w:ascii="Calibri" w:hAnsi="Calibri"/>
                <w:sz w:val="20"/>
                <w:szCs w:val="20"/>
              </w:rPr>
            </w:pPr>
            <w:r w:rsidRPr="008502EB">
              <w:rPr>
                <w:rFonts w:ascii="Calibri" w:hAnsi="Calibri"/>
                <w:sz w:val="20"/>
                <w:szCs w:val="20"/>
              </w:rPr>
              <w:t>22%</w:t>
            </w:r>
          </w:p>
        </w:tc>
        <w:tc>
          <w:tcPr>
            <w:tcW w:w="1098" w:type="dxa"/>
            <w:shd w:val="clear" w:color="auto" w:fill="D9D9D9" w:themeFill="background1" w:themeFillShade="D9"/>
            <w:vAlign w:val="center"/>
          </w:tcPr>
          <w:p w:rsidR="000373EC" w:rsidRPr="008502EB" w:rsidRDefault="000373EC" w:rsidP="00932B8D">
            <w:pPr>
              <w:spacing w:after="0" w:line="240" w:lineRule="auto"/>
              <w:jc w:val="center"/>
              <w:rPr>
                <w:rFonts w:ascii="Calibri" w:hAnsi="Calibri"/>
                <w:sz w:val="20"/>
                <w:szCs w:val="20"/>
              </w:rPr>
            </w:pPr>
            <w:r w:rsidRPr="008502EB">
              <w:rPr>
                <w:rFonts w:ascii="Calibri" w:hAnsi="Calibri"/>
                <w:sz w:val="20"/>
                <w:szCs w:val="20"/>
              </w:rPr>
              <w:t>23%</w:t>
            </w:r>
          </w:p>
        </w:tc>
        <w:tc>
          <w:tcPr>
            <w:tcW w:w="1098" w:type="dxa"/>
            <w:shd w:val="clear" w:color="auto" w:fill="D9D9D9" w:themeFill="background1" w:themeFillShade="D9"/>
            <w:vAlign w:val="center"/>
          </w:tcPr>
          <w:p w:rsidR="000373EC" w:rsidRPr="008502EB" w:rsidRDefault="000373EC" w:rsidP="00932B8D">
            <w:pPr>
              <w:spacing w:after="0" w:line="240" w:lineRule="auto"/>
              <w:jc w:val="center"/>
              <w:rPr>
                <w:rFonts w:ascii="Calibri" w:hAnsi="Calibri"/>
                <w:sz w:val="20"/>
                <w:szCs w:val="20"/>
              </w:rPr>
            </w:pPr>
            <w:r w:rsidRPr="008502EB">
              <w:rPr>
                <w:rFonts w:ascii="Calibri" w:hAnsi="Calibri"/>
                <w:sz w:val="20"/>
                <w:szCs w:val="20"/>
              </w:rPr>
              <w:t>-1</w:t>
            </w:r>
          </w:p>
        </w:tc>
        <w:tc>
          <w:tcPr>
            <w:tcW w:w="1620" w:type="dxa"/>
            <w:vMerge w:val="restart"/>
            <w:shd w:val="clear" w:color="auto" w:fill="D9D9D9" w:themeFill="background1" w:themeFillShade="D9"/>
            <w:vAlign w:val="center"/>
          </w:tcPr>
          <w:p w:rsidR="000373EC" w:rsidRPr="008502EB" w:rsidRDefault="000373EC" w:rsidP="00932B8D">
            <w:pPr>
              <w:spacing w:after="0" w:line="240" w:lineRule="auto"/>
              <w:jc w:val="center"/>
              <w:rPr>
                <w:sz w:val="20"/>
                <w:szCs w:val="20"/>
              </w:rPr>
            </w:pPr>
            <w:r w:rsidRPr="008502EB">
              <w:rPr>
                <w:sz w:val="20"/>
                <w:szCs w:val="20"/>
              </w:rPr>
              <w:t>-8</w:t>
            </w:r>
          </w:p>
        </w:tc>
      </w:tr>
      <w:tr w:rsidR="000373EC" w:rsidRPr="008502EB" w:rsidTr="00932B8D">
        <w:tc>
          <w:tcPr>
            <w:tcW w:w="1638" w:type="dxa"/>
            <w:vMerge/>
            <w:shd w:val="clear" w:color="auto" w:fill="auto"/>
            <w:vAlign w:val="center"/>
          </w:tcPr>
          <w:p w:rsidR="000373EC" w:rsidRPr="008502EB" w:rsidRDefault="000373EC" w:rsidP="00932B8D">
            <w:pPr>
              <w:spacing w:after="0" w:line="240" w:lineRule="auto"/>
              <w:jc w:val="center"/>
              <w:rPr>
                <w:sz w:val="20"/>
                <w:szCs w:val="20"/>
              </w:rPr>
            </w:pPr>
          </w:p>
        </w:tc>
        <w:tc>
          <w:tcPr>
            <w:tcW w:w="810" w:type="dxa"/>
            <w:shd w:val="clear" w:color="auto" w:fill="D9D9D9" w:themeFill="background1" w:themeFillShade="D9"/>
            <w:vAlign w:val="center"/>
          </w:tcPr>
          <w:p w:rsidR="000373EC" w:rsidRPr="008502EB" w:rsidRDefault="000373EC" w:rsidP="00932B8D">
            <w:pPr>
              <w:spacing w:after="0" w:line="240" w:lineRule="auto"/>
              <w:jc w:val="center"/>
              <w:rPr>
                <w:rFonts w:ascii="Calibri" w:hAnsi="Calibri"/>
                <w:sz w:val="20"/>
                <w:szCs w:val="20"/>
              </w:rPr>
            </w:pPr>
            <w:r w:rsidRPr="008502EB">
              <w:rPr>
                <w:rFonts w:ascii="Calibri" w:hAnsi="Calibri"/>
                <w:sz w:val="20"/>
                <w:szCs w:val="20"/>
              </w:rPr>
              <w:t>State</w:t>
            </w:r>
          </w:p>
        </w:tc>
        <w:tc>
          <w:tcPr>
            <w:tcW w:w="1098" w:type="dxa"/>
            <w:shd w:val="clear" w:color="auto" w:fill="D9D9D9" w:themeFill="background1" w:themeFillShade="D9"/>
            <w:vAlign w:val="center"/>
          </w:tcPr>
          <w:p w:rsidR="000373EC" w:rsidRPr="008502EB" w:rsidRDefault="000373EC" w:rsidP="00932B8D">
            <w:pPr>
              <w:spacing w:after="0" w:line="240" w:lineRule="auto"/>
              <w:jc w:val="center"/>
              <w:rPr>
                <w:rFonts w:ascii="Calibri" w:hAnsi="Calibri"/>
                <w:sz w:val="20"/>
                <w:szCs w:val="20"/>
              </w:rPr>
            </w:pPr>
            <w:r w:rsidRPr="008502EB">
              <w:rPr>
                <w:rFonts w:ascii="Calibri" w:hAnsi="Calibri"/>
                <w:sz w:val="20"/>
                <w:szCs w:val="20"/>
              </w:rPr>
              <w:t>31%</w:t>
            </w:r>
          </w:p>
        </w:tc>
        <w:tc>
          <w:tcPr>
            <w:tcW w:w="1098" w:type="dxa"/>
            <w:shd w:val="clear" w:color="auto" w:fill="D9D9D9" w:themeFill="background1" w:themeFillShade="D9"/>
            <w:vAlign w:val="center"/>
          </w:tcPr>
          <w:p w:rsidR="000373EC" w:rsidRPr="008502EB" w:rsidRDefault="000373EC" w:rsidP="00932B8D">
            <w:pPr>
              <w:spacing w:after="0" w:line="240" w:lineRule="auto"/>
              <w:jc w:val="center"/>
              <w:rPr>
                <w:rFonts w:ascii="Calibri" w:hAnsi="Calibri"/>
                <w:sz w:val="20"/>
                <w:szCs w:val="20"/>
              </w:rPr>
            </w:pPr>
            <w:r w:rsidRPr="008502EB">
              <w:rPr>
                <w:rFonts w:ascii="Calibri" w:hAnsi="Calibri"/>
                <w:sz w:val="20"/>
                <w:szCs w:val="20"/>
              </w:rPr>
              <w:t>33%</w:t>
            </w:r>
          </w:p>
        </w:tc>
        <w:tc>
          <w:tcPr>
            <w:tcW w:w="1098" w:type="dxa"/>
            <w:shd w:val="clear" w:color="auto" w:fill="D9D9D9" w:themeFill="background1" w:themeFillShade="D9"/>
            <w:vAlign w:val="center"/>
          </w:tcPr>
          <w:p w:rsidR="000373EC" w:rsidRPr="008502EB" w:rsidRDefault="000373EC" w:rsidP="00932B8D">
            <w:pPr>
              <w:spacing w:after="0" w:line="240" w:lineRule="auto"/>
              <w:jc w:val="center"/>
              <w:rPr>
                <w:rFonts w:ascii="Calibri" w:hAnsi="Calibri"/>
                <w:sz w:val="20"/>
                <w:szCs w:val="20"/>
              </w:rPr>
            </w:pPr>
            <w:r w:rsidRPr="008502EB">
              <w:rPr>
                <w:rFonts w:ascii="Calibri" w:hAnsi="Calibri"/>
                <w:sz w:val="20"/>
                <w:szCs w:val="20"/>
              </w:rPr>
              <w:t>31%</w:t>
            </w:r>
          </w:p>
        </w:tc>
        <w:tc>
          <w:tcPr>
            <w:tcW w:w="1098" w:type="dxa"/>
            <w:shd w:val="clear" w:color="auto" w:fill="D9D9D9" w:themeFill="background1" w:themeFillShade="D9"/>
            <w:vAlign w:val="center"/>
          </w:tcPr>
          <w:p w:rsidR="000373EC" w:rsidRPr="008502EB" w:rsidRDefault="000373EC" w:rsidP="00932B8D">
            <w:pPr>
              <w:spacing w:after="0" w:line="240" w:lineRule="auto"/>
              <w:jc w:val="center"/>
              <w:rPr>
                <w:rFonts w:ascii="Calibri" w:hAnsi="Calibri"/>
                <w:sz w:val="20"/>
                <w:szCs w:val="20"/>
              </w:rPr>
            </w:pPr>
            <w:r w:rsidRPr="008502EB">
              <w:rPr>
                <w:rFonts w:ascii="Calibri" w:hAnsi="Calibri"/>
                <w:sz w:val="20"/>
                <w:szCs w:val="20"/>
              </w:rPr>
              <w:t>31%</w:t>
            </w:r>
          </w:p>
        </w:tc>
        <w:tc>
          <w:tcPr>
            <w:tcW w:w="1098" w:type="dxa"/>
            <w:shd w:val="clear" w:color="auto" w:fill="D9D9D9" w:themeFill="background1" w:themeFillShade="D9"/>
            <w:vAlign w:val="center"/>
          </w:tcPr>
          <w:p w:rsidR="000373EC" w:rsidRPr="008502EB" w:rsidRDefault="000373EC" w:rsidP="00932B8D">
            <w:pPr>
              <w:spacing w:after="0" w:line="240" w:lineRule="auto"/>
              <w:jc w:val="center"/>
              <w:rPr>
                <w:sz w:val="20"/>
                <w:szCs w:val="20"/>
              </w:rPr>
            </w:pPr>
            <w:r w:rsidRPr="008502EB">
              <w:rPr>
                <w:sz w:val="20"/>
                <w:szCs w:val="20"/>
              </w:rPr>
              <w:t>0</w:t>
            </w:r>
          </w:p>
        </w:tc>
        <w:tc>
          <w:tcPr>
            <w:tcW w:w="1620" w:type="dxa"/>
            <w:vMerge/>
            <w:shd w:val="clear" w:color="auto" w:fill="auto"/>
            <w:vAlign w:val="center"/>
          </w:tcPr>
          <w:p w:rsidR="000373EC" w:rsidRPr="008502EB" w:rsidRDefault="000373EC" w:rsidP="00932B8D">
            <w:pPr>
              <w:spacing w:after="0" w:line="240" w:lineRule="auto"/>
              <w:jc w:val="center"/>
              <w:rPr>
                <w:sz w:val="20"/>
                <w:szCs w:val="20"/>
              </w:rPr>
            </w:pPr>
          </w:p>
        </w:tc>
      </w:tr>
      <w:tr w:rsidR="000373EC" w:rsidRPr="008502EB" w:rsidTr="00932B8D">
        <w:tc>
          <w:tcPr>
            <w:tcW w:w="1638" w:type="dxa"/>
            <w:vMerge w:val="restart"/>
            <w:shd w:val="clear" w:color="auto" w:fill="auto"/>
            <w:vAlign w:val="center"/>
          </w:tcPr>
          <w:p w:rsidR="000373EC" w:rsidRPr="008502EB" w:rsidRDefault="000373EC" w:rsidP="00932B8D">
            <w:pPr>
              <w:spacing w:after="0" w:line="240" w:lineRule="auto"/>
              <w:jc w:val="center"/>
              <w:rPr>
                <w:sz w:val="20"/>
                <w:szCs w:val="20"/>
              </w:rPr>
            </w:pPr>
            <w:r w:rsidRPr="008502EB">
              <w:rPr>
                <w:sz w:val="20"/>
                <w:szCs w:val="20"/>
              </w:rPr>
              <w:t>Economically Disadvantaged</w:t>
            </w:r>
          </w:p>
        </w:tc>
        <w:tc>
          <w:tcPr>
            <w:tcW w:w="810" w:type="dxa"/>
            <w:shd w:val="clear" w:color="auto" w:fill="auto"/>
            <w:vAlign w:val="center"/>
          </w:tcPr>
          <w:p w:rsidR="000373EC" w:rsidRPr="008502EB" w:rsidRDefault="000373EC" w:rsidP="00932B8D">
            <w:pPr>
              <w:spacing w:after="0" w:line="240" w:lineRule="auto"/>
              <w:jc w:val="center"/>
              <w:rPr>
                <w:rFonts w:ascii="Calibri" w:hAnsi="Calibri"/>
                <w:sz w:val="20"/>
                <w:szCs w:val="20"/>
              </w:rPr>
            </w:pPr>
            <w:r w:rsidRPr="008502EB">
              <w:rPr>
                <w:rFonts w:ascii="Calibri" w:hAnsi="Calibri"/>
                <w:sz w:val="20"/>
                <w:szCs w:val="20"/>
              </w:rPr>
              <w:t>District</w:t>
            </w:r>
          </w:p>
        </w:tc>
        <w:tc>
          <w:tcPr>
            <w:tcW w:w="1098" w:type="dxa"/>
            <w:shd w:val="clear" w:color="auto" w:fill="auto"/>
            <w:vAlign w:val="center"/>
          </w:tcPr>
          <w:p w:rsidR="000373EC" w:rsidRPr="008502EB" w:rsidRDefault="000373EC" w:rsidP="00932B8D">
            <w:pPr>
              <w:spacing w:after="0" w:line="240" w:lineRule="auto"/>
              <w:jc w:val="center"/>
              <w:rPr>
                <w:rFonts w:ascii="Calibri" w:hAnsi="Calibri"/>
                <w:sz w:val="20"/>
                <w:szCs w:val="20"/>
              </w:rPr>
            </w:pPr>
            <w:r w:rsidRPr="008502EB">
              <w:rPr>
                <w:rFonts w:ascii="Calibri" w:hAnsi="Calibri"/>
                <w:sz w:val="20"/>
                <w:szCs w:val="20"/>
              </w:rPr>
              <w:t>--</w:t>
            </w:r>
          </w:p>
        </w:tc>
        <w:tc>
          <w:tcPr>
            <w:tcW w:w="1098" w:type="dxa"/>
            <w:shd w:val="clear" w:color="auto" w:fill="auto"/>
            <w:vAlign w:val="center"/>
          </w:tcPr>
          <w:p w:rsidR="000373EC" w:rsidRPr="008502EB" w:rsidRDefault="000373EC" w:rsidP="00932B8D">
            <w:pPr>
              <w:spacing w:after="0" w:line="240" w:lineRule="auto"/>
              <w:jc w:val="center"/>
              <w:rPr>
                <w:rFonts w:ascii="Calibri" w:hAnsi="Calibri"/>
                <w:sz w:val="20"/>
                <w:szCs w:val="20"/>
              </w:rPr>
            </w:pPr>
            <w:r w:rsidRPr="008502EB">
              <w:rPr>
                <w:rFonts w:ascii="Calibri" w:hAnsi="Calibri"/>
                <w:sz w:val="20"/>
                <w:szCs w:val="20"/>
              </w:rPr>
              <w:t>--</w:t>
            </w:r>
          </w:p>
        </w:tc>
        <w:tc>
          <w:tcPr>
            <w:tcW w:w="1098" w:type="dxa"/>
            <w:shd w:val="clear" w:color="auto" w:fill="auto"/>
            <w:vAlign w:val="center"/>
          </w:tcPr>
          <w:p w:rsidR="000373EC" w:rsidRPr="008502EB" w:rsidRDefault="000373EC" w:rsidP="00932B8D">
            <w:pPr>
              <w:spacing w:after="0" w:line="240" w:lineRule="auto"/>
              <w:jc w:val="center"/>
              <w:rPr>
                <w:rFonts w:ascii="Calibri" w:hAnsi="Calibri"/>
                <w:sz w:val="20"/>
                <w:szCs w:val="20"/>
              </w:rPr>
            </w:pPr>
            <w:r w:rsidRPr="008502EB">
              <w:rPr>
                <w:rFonts w:ascii="Calibri" w:hAnsi="Calibri"/>
                <w:sz w:val="20"/>
                <w:szCs w:val="20"/>
              </w:rPr>
              <w:t>23%</w:t>
            </w:r>
          </w:p>
        </w:tc>
        <w:tc>
          <w:tcPr>
            <w:tcW w:w="1098" w:type="dxa"/>
            <w:shd w:val="clear" w:color="auto" w:fill="auto"/>
            <w:vAlign w:val="center"/>
          </w:tcPr>
          <w:p w:rsidR="000373EC" w:rsidRPr="008502EB" w:rsidRDefault="000373EC" w:rsidP="00932B8D">
            <w:pPr>
              <w:spacing w:after="0" w:line="240" w:lineRule="auto"/>
              <w:jc w:val="center"/>
              <w:rPr>
                <w:rFonts w:ascii="Calibri" w:hAnsi="Calibri"/>
                <w:sz w:val="20"/>
                <w:szCs w:val="20"/>
              </w:rPr>
            </w:pPr>
            <w:r w:rsidRPr="008502EB">
              <w:rPr>
                <w:rFonts w:ascii="Calibri" w:hAnsi="Calibri"/>
                <w:sz w:val="20"/>
                <w:szCs w:val="20"/>
              </w:rPr>
              <w:t>24%</w:t>
            </w:r>
          </w:p>
        </w:tc>
        <w:tc>
          <w:tcPr>
            <w:tcW w:w="1098" w:type="dxa"/>
            <w:shd w:val="clear" w:color="auto" w:fill="auto"/>
            <w:vAlign w:val="center"/>
          </w:tcPr>
          <w:p w:rsidR="000373EC" w:rsidRPr="008502EB" w:rsidRDefault="000373EC" w:rsidP="00932B8D">
            <w:pPr>
              <w:spacing w:after="0" w:line="240" w:lineRule="auto"/>
              <w:jc w:val="center"/>
              <w:rPr>
                <w:rFonts w:ascii="Calibri" w:hAnsi="Calibri"/>
                <w:sz w:val="20"/>
                <w:szCs w:val="20"/>
              </w:rPr>
            </w:pPr>
            <w:r w:rsidRPr="008502EB">
              <w:rPr>
                <w:rFonts w:ascii="Calibri" w:hAnsi="Calibri"/>
                <w:sz w:val="20"/>
                <w:szCs w:val="20"/>
              </w:rPr>
              <w:t>--</w:t>
            </w:r>
          </w:p>
        </w:tc>
        <w:tc>
          <w:tcPr>
            <w:tcW w:w="1620" w:type="dxa"/>
            <w:vMerge w:val="restart"/>
            <w:shd w:val="clear" w:color="auto" w:fill="auto"/>
            <w:vAlign w:val="center"/>
          </w:tcPr>
          <w:p w:rsidR="000373EC" w:rsidRPr="008502EB" w:rsidRDefault="000373EC" w:rsidP="00932B8D">
            <w:pPr>
              <w:spacing w:after="0" w:line="240" w:lineRule="auto"/>
              <w:jc w:val="center"/>
              <w:rPr>
                <w:sz w:val="20"/>
                <w:szCs w:val="20"/>
              </w:rPr>
            </w:pPr>
            <w:r w:rsidRPr="008502EB">
              <w:rPr>
                <w:sz w:val="20"/>
                <w:szCs w:val="20"/>
              </w:rPr>
              <w:t>-8</w:t>
            </w:r>
          </w:p>
        </w:tc>
      </w:tr>
      <w:tr w:rsidR="000373EC" w:rsidRPr="008502EB" w:rsidTr="00932B8D">
        <w:tc>
          <w:tcPr>
            <w:tcW w:w="1638" w:type="dxa"/>
            <w:vMerge/>
            <w:shd w:val="clear" w:color="auto" w:fill="auto"/>
            <w:vAlign w:val="center"/>
          </w:tcPr>
          <w:p w:rsidR="000373EC" w:rsidRPr="008502EB" w:rsidRDefault="000373EC" w:rsidP="00932B8D">
            <w:pPr>
              <w:spacing w:after="0" w:line="240" w:lineRule="auto"/>
              <w:jc w:val="center"/>
              <w:rPr>
                <w:sz w:val="20"/>
                <w:szCs w:val="20"/>
              </w:rPr>
            </w:pPr>
          </w:p>
        </w:tc>
        <w:tc>
          <w:tcPr>
            <w:tcW w:w="810" w:type="dxa"/>
            <w:shd w:val="clear" w:color="auto" w:fill="auto"/>
            <w:vAlign w:val="center"/>
          </w:tcPr>
          <w:p w:rsidR="000373EC" w:rsidRPr="008502EB" w:rsidRDefault="000373EC" w:rsidP="00932B8D">
            <w:pPr>
              <w:spacing w:after="0" w:line="240" w:lineRule="auto"/>
              <w:jc w:val="center"/>
              <w:rPr>
                <w:rFonts w:ascii="Calibri" w:hAnsi="Calibri"/>
                <w:sz w:val="20"/>
                <w:szCs w:val="20"/>
              </w:rPr>
            </w:pPr>
            <w:r w:rsidRPr="008502EB">
              <w:rPr>
                <w:rFonts w:ascii="Calibri" w:hAnsi="Calibri"/>
                <w:sz w:val="20"/>
                <w:szCs w:val="20"/>
              </w:rPr>
              <w:t>State</w:t>
            </w:r>
          </w:p>
        </w:tc>
        <w:tc>
          <w:tcPr>
            <w:tcW w:w="1098" w:type="dxa"/>
            <w:shd w:val="clear" w:color="auto" w:fill="auto"/>
            <w:vAlign w:val="center"/>
          </w:tcPr>
          <w:p w:rsidR="000373EC" w:rsidRPr="008502EB" w:rsidRDefault="000373EC" w:rsidP="00932B8D">
            <w:pPr>
              <w:spacing w:after="0" w:line="240" w:lineRule="auto"/>
              <w:jc w:val="center"/>
              <w:rPr>
                <w:rFonts w:ascii="Calibri" w:hAnsi="Calibri"/>
                <w:sz w:val="20"/>
                <w:szCs w:val="20"/>
              </w:rPr>
            </w:pPr>
            <w:r w:rsidRPr="008502EB">
              <w:rPr>
                <w:rFonts w:ascii="Calibri" w:hAnsi="Calibri"/>
                <w:sz w:val="20"/>
                <w:szCs w:val="20"/>
              </w:rPr>
              <w:t>--</w:t>
            </w:r>
          </w:p>
        </w:tc>
        <w:tc>
          <w:tcPr>
            <w:tcW w:w="1098" w:type="dxa"/>
            <w:shd w:val="clear" w:color="auto" w:fill="auto"/>
            <w:vAlign w:val="center"/>
          </w:tcPr>
          <w:p w:rsidR="000373EC" w:rsidRPr="008502EB" w:rsidRDefault="000373EC" w:rsidP="00932B8D">
            <w:pPr>
              <w:spacing w:after="0" w:line="240" w:lineRule="auto"/>
              <w:jc w:val="center"/>
              <w:rPr>
                <w:rFonts w:ascii="Calibri" w:hAnsi="Calibri"/>
                <w:sz w:val="20"/>
                <w:szCs w:val="20"/>
              </w:rPr>
            </w:pPr>
            <w:r w:rsidRPr="008502EB">
              <w:rPr>
                <w:rFonts w:ascii="Calibri" w:hAnsi="Calibri"/>
                <w:sz w:val="20"/>
                <w:szCs w:val="20"/>
              </w:rPr>
              <w:t>--</w:t>
            </w:r>
          </w:p>
        </w:tc>
        <w:tc>
          <w:tcPr>
            <w:tcW w:w="1098" w:type="dxa"/>
            <w:shd w:val="clear" w:color="auto" w:fill="auto"/>
            <w:vAlign w:val="center"/>
          </w:tcPr>
          <w:p w:rsidR="000373EC" w:rsidRPr="008502EB" w:rsidRDefault="000373EC" w:rsidP="00932B8D">
            <w:pPr>
              <w:spacing w:after="0" w:line="240" w:lineRule="auto"/>
              <w:jc w:val="center"/>
              <w:rPr>
                <w:rFonts w:ascii="Calibri" w:hAnsi="Calibri"/>
                <w:sz w:val="20"/>
                <w:szCs w:val="20"/>
              </w:rPr>
            </w:pPr>
            <w:r w:rsidRPr="008502EB">
              <w:rPr>
                <w:rFonts w:ascii="Calibri" w:hAnsi="Calibri"/>
                <w:sz w:val="20"/>
                <w:szCs w:val="20"/>
              </w:rPr>
              <w:t>34%</w:t>
            </w:r>
          </w:p>
        </w:tc>
        <w:tc>
          <w:tcPr>
            <w:tcW w:w="1098" w:type="dxa"/>
            <w:shd w:val="clear" w:color="auto" w:fill="auto"/>
            <w:vAlign w:val="center"/>
          </w:tcPr>
          <w:p w:rsidR="000373EC" w:rsidRPr="008502EB" w:rsidRDefault="000373EC" w:rsidP="00932B8D">
            <w:pPr>
              <w:spacing w:after="0" w:line="240" w:lineRule="auto"/>
              <w:jc w:val="center"/>
              <w:rPr>
                <w:rFonts w:ascii="Calibri" w:hAnsi="Calibri"/>
                <w:sz w:val="20"/>
                <w:szCs w:val="20"/>
              </w:rPr>
            </w:pPr>
            <w:r w:rsidRPr="008502EB">
              <w:rPr>
                <w:rFonts w:ascii="Calibri" w:hAnsi="Calibri"/>
                <w:sz w:val="20"/>
                <w:szCs w:val="20"/>
              </w:rPr>
              <w:t>32%</w:t>
            </w:r>
          </w:p>
        </w:tc>
        <w:tc>
          <w:tcPr>
            <w:tcW w:w="1098" w:type="dxa"/>
            <w:shd w:val="clear" w:color="auto" w:fill="auto"/>
            <w:vAlign w:val="center"/>
          </w:tcPr>
          <w:p w:rsidR="000373EC" w:rsidRPr="008502EB" w:rsidRDefault="000373EC" w:rsidP="00932B8D">
            <w:pPr>
              <w:spacing w:after="0" w:line="240" w:lineRule="auto"/>
              <w:jc w:val="center"/>
              <w:rPr>
                <w:sz w:val="20"/>
                <w:szCs w:val="20"/>
              </w:rPr>
            </w:pPr>
            <w:r w:rsidRPr="008502EB">
              <w:rPr>
                <w:sz w:val="20"/>
                <w:szCs w:val="20"/>
              </w:rPr>
              <w:t>--</w:t>
            </w:r>
          </w:p>
        </w:tc>
        <w:tc>
          <w:tcPr>
            <w:tcW w:w="1620" w:type="dxa"/>
            <w:vMerge/>
            <w:shd w:val="clear" w:color="auto" w:fill="auto"/>
            <w:vAlign w:val="center"/>
          </w:tcPr>
          <w:p w:rsidR="000373EC" w:rsidRPr="008502EB" w:rsidRDefault="000373EC" w:rsidP="00932B8D">
            <w:pPr>
              <w:spacing w:after="0" w:line="240" w:lineRule="auto"/>
              <w:jc w:val="center"/>
              <w:rPr>
                <w:sz w:val="20"/>
                <w:szCs w:val="20"/>
              </w:rPr>
            </w:pPr>
          </w:p>
        </w:tc>
      </w:tr>
      <w:tr w:rsidR="000373EC" w:rsidRPr="008502EB" w:rsidTr="00932B8D">
        <w:tc>
          <w:tcPr>
            <w:tcW w:w="1638" w:type="dxa"/>
            <w:vMerge w:val="restart"/>
            <w:shd w:val="clear" w:color="auto" w:fill="D9D9D9" w:themeFill="background1" w:themeFillShade="D9"/>
            <w:vAlign w:val="center"/>
          </w:tcPr>
          <w:p w:rsidR="000373EC" w:rsidRPr="008502EB" w:rsidRDefault="000373EC" w:rsidP="00932B8D">
            <w:pPr>
              <w:spacing w:after="0" w:line="240" w:lineRule="auto"/>
              <w:jc w:val="center"/>
              <w:rPr>
                <w:sz w:val="20"/>
                <w:szCs w:val="20"/>
              </w:rPr>
            </w:pPr>
            <w:r w:rsidRPr="008502EB">
              <w:rPr>
                <w:sz w:val="20"/>
                <w:szCs w:val="20"/>
              </w:rPr>
              <w:t>ELL and former ELL students</w:t>
            </w:r>
          </w:p>
        </w:tc>
        <w:tc>
          <w:tcPr>
            <w:tcW w:w="810" w:type="dxa"/>
            <w:shd w:val="clear" w:color="auto" w:fill="D9D9D9" w:themeFill="background1" w:themeFillShade="D9"/>
            <w:vAlign w:val="center"/>
          </w:tcPr>
          <w:p w:rsidR="000373EC" w:rsidRPr="008502EB" w:rsidRDefault="000373EC" w:rsidP="00932B8D">
            <w:pPr>
              <w:spacing w:after="0" w:line="240" w:lineRule="auto"/>
              <w:jc w:val="center"/>
              <w:rPr>
                <w:rFonts w:ascii="Calibri" w:hAnsi="Calibri"/>
                <w:sz w:val="20"/>
                <w:szCs w:val="20"/>
              </w:rPr>
            </w:pPr>
            <w:r w:rsidRPr="008502EB">
              <w:rPr>
                <w:rFonts w:ascii="Calibri" w:hAnsi="Calibri"/>
                <w:sz w:val="20"/>
                <w:szCs w:val="20"/>
              </w:rPr>
              <w:t>District</w:t>
            </w:r>
          </w:p>
        </w:tc>
        <w:tc>
          <w:tcPr>
            <w:tcW w:w="1098" w:type="dxa"/>
            <w:shd w:val="clear" w:color="auto" w:fill="D9D9D9" w:themeFill="background1" w:themeFillShade="D9"/>
            <w:vAlign w:val="center"/>
          </w:tcPr>
          <w:p w:rsidR="000373EC" w:rsidRPr="008502EB" w:rsidRDefault="000373EC" w:rsidP="00932B8D">
            <w:pPr>
              <w:spacing w:after="0" w:line="240" w:lineRule="auto"/>
              <w:jc w:val="center"/>
              <w:rPr>
                <w:rFonts w:ascii="Calibri" w:hAnsi="Calibri"/>
                <w:sz w:val="20"/>
                <w:szCs w:val="20"/>
              </w:rPr>
            </w:pPr>
            <w:r w:rsidRPr="008502EB">
              <w:rPr>
                <w:rFonts w:ascii="Calibri" w:hAnsi="Calibri"/>
                <w:sz w:val="20"/>
                <w:szCs w:val="20"/>
              </w:rPr>
              <w:t>19%</w:t>
            </w:r>
          </w:p>
        </w:tc>
        <w:tc>
          <w:tcPr>
            <w:tcW w:w="1098" w:type="dxa"/>
            <w:shd w:val="clear" w:color="auto" w:fill="D9D9D9" w:themeFill="background1" w:themeFillShade="D9"/>
            <w:vAlign w:val="center"/>
          </w:tcPr>
          <w:p w:rsidR="000373EC" w:rsidRPr="008502EB" w:rsidRDefault="000373EC" w:rsidP="00932B8D">
            <w:pPr>
              <w:spacing w:after="0" w:line="240" w:lineRule="auto"/>
              <w:jc w:val="center"/>
              <w:rPr>
                <w:rFonts w:ascii="Calibri" w:hAnsi="Calibri"/>
                <w:sz w:val="20"/>
                <w:szCs w:val="20"/>
              </w:rPr>
            </w:pPr>
            <w:r w:rsidRPr="008502EB">
              <w:rPr>
                <w:rFonts w:ascii="Calibri" w:hAnsi="Calibri"/>
                <w:sz w:val="20"/>
                <w:szCs w:val="20"/>
              </w:rPr>
              <w:t>18%</w:t>
            </w:r>
          </w:p>
        </w:tc>
        <w:tc>
          <w:tcPr>
            <w:tcW w:w="1098" w:type="dxa"/>
            <w:shd w:val="clear" w:color="auto" w:fill="D9D9D9" w:themeFill="background1" w:themeFillShade="D9"/>
            <w:vAlign w:val="center"/>
          </w:tcPr>
          <w:p w:rsidR="000373EC" w:rsidRPr="008502EB" w:rsidRDefault="000373EC" w:rsidP="00932B8D">
            <w:pPr>
              <w:spacing w:after="0" w:line="240" w:lineRule="auto"/>
              <w:jc w:val="center"/>
              <w:rPr>
                <w:rFonts w:ascii="Calibri" w:hAnsi="Calibri"/>
                <w:sz w:val="20"/>
                <w:szCs w:val="20"/>
              </w:rPr>
            </w:pPr>
            <w:r w:rsidRPr="008502EB">
              <w:rPr>
                <w:rFonts w:ascii="Calibri" w:hAnsi="Calibri"/>
                <w:sz w:val="20"/>
                <w:szCs w:val="20"/>
              </w:rPr>
              <w:t>17%</w:t>
            </w:r>
          </w:p>
        </w:tc>
        <w:tc>
          <w:tcPr>
            <w:tcW w:w="1098" w:type="dxa"/>
            <w:shd w:val="clear" w:color="auto" w:fill="D9D9D9" w:themeFill="background1" w:themeFillShade="D9"/>
            <w:vAlign w:val="center"/>
          </w:tcPr>
          <w:p w:rsidR="000373EC" w:rsidRPr="008502EB" w:rsidRDefault="000373EC" w:rsidP="00932B8D">
            <w:pPr>
              <w:spacing w:after="0" w:line="240" w:lineRule="auto"/>
              <w:jc w:val="center"/>
              <w:rPr>
                <w:rFonts w:ascii="Calibri" w:hAnsi="Calibri"/>
                <w:sz w:val="20"/>
                <w:szCs w:val="20"/>
              </w:rPr>
            </w:pPr>
            <w:r w:rsidRPr="008502EB">
              <w:rPr>
                <w:rFonts w:ascii="Calibri" w:hAnsi="Calibri"/>
                <w:sz w:val="20"/>
                <w:szCs w:val="20"/>
              </w:rPr>
              <w:t>18%</w:t>
            </w:r>
          </w:p>
        </w:tc>
        <w:tc>
          <w:tcPr>
            <w:tcW w:w="1098" w:type="dxa"/>
            <w:shd w:val="clear" w:color="auto" w:fill="D9D9D9" w:themeFill="background1" w:themeFillShade="D9"/>
            <w:vAlign w:val="center"/>
          </w:tcPr>
          <w:p w:rsidR="000373EC" w:rsidRPr="008502EB" w:rsidRDefault="000373EC" w:rsidP="00932B8D">
            <w:pPr>
              <w:spacing w:after="0" w:line="240" w:lineRule="auto"/>
              <w:jc w:val="center"/>
              <w:rPr>
                <w:rFonts w:ascii="Calibri" w:hAnsi="Calibri"/>
                <w:sz w:val="20"/>
                <w:szCs w:val="20"/>
              </w:rPr>
            </w:pPr>
            <w:r w:rsidRPr="008502EB">
              <w:rPr>
                <w:rFonts w:ascii="Calibri" w:hAnsi="Calibri"/>
                <w:sz w:val="20"/>
                <w:szCs w:val="20"/>
              </w:rPr>
              <w:t>-1</w:t>
            </w:r>
          </w:p>
        </w:tc>
        <w:tc>
          <w:tcPr>
            <w:tcW w:w="1620" w:type="dxa"/>
            <w:vMerge w:val="restart"/>
            <w:shd w:val="clear" w:color="auto" w:fill="D9D9D9" w:themeFill="background1" w:themeFillShade="D9"/>
            <w:vAlign w:val="center"/>
          </w:tcPr>
          <w:p w:rsidR="000373EC" w:rsidRPr="008502EB" w:rsidRDefault="000373EC" w:rsidP="00932B8D">
            <w:pPr>
              <w:spacing w:after="0" w:line="240" w:lineRule="auto"/>
              <w:jc w:val="center"/>
              <w:rPr>
                <w:sz w:val="20"/>
                <w:szCs w:val="20"/>
              </w:rPr>
            </w:pPr>
            <w:r w:rsidRPr="008502EB">
              <w:rPr>
                <w:sz w:val="20"/>
                <w:szCs w:val="20"/>
              </w:rPr>
              <w:t>-1</w:t>
            </w:r>
          </w:p>
        </w:tc>
      </w:tr>
      <w:tr w:rsidR="000373EC" w:rsidRPr="008502EB" w:rsidTr="00932B8D">
        <w:tc>
          <w:tcPr>
            <w:tcW w:w="1638" w:type="dxa"/>
            <w:vMerge/>
            <w:shd w:val="clear" w:color="auto" w:fill="D9D9D9" w:themeFill="background1" w:themeFillShade="D9"/>
            <w:vAlign w:val="center"/>
          </w:tcPr>
          <w:p w:rsidR="000373EC" w:rsidRPr="008502EB" w:rsidRDefault="000373EC" w:rsidP="00932B8D">
            <w:pPr>
              <w:spacing w:after="0" w:line="240" w:lineRule="auto"/>
              <w:jc w:val="center"/>
              <w:rPr>
                <w:sz w:val="20"/>
                <w:szCs w:val="20"/>
              </w:rPr>
            </w:pPr>
          </w:p>
        </w:tc>
        <w:tc>
          <w:tcPr>
            <w:tcW w:w="810" w:type="dxa"/>
            <w:shd w:val="clear" w:color="auto" w:fill="D9D9D9" w:themeFill="background1" w:themeFillShade="D9"/>
            <w:vAlign w:val="center"/>
          </w:tcPr>
          <w:p w:rsidR="000373EC" w:rsidRPr="008502EB" w:rsidRDefault="000373EC" w:rsidP="00932B8D">
            <w:pPr>
              <w:spacing w:after="0" w:line="240" w:lineRule="auto"/>
              <w:jc w:val="center"/>
              <w:rPr>
                <w:rFonts w:ascii="Calibri" w:hAnsi="Calibri"/>
                <w:sz w:val="20"/>
                <w:szCs w:val="20"/>
              </w:rPr>
            </w:pPr>
            <w:r w:rsidRPr="008502EB">
              <w:rPr>
                <w:rFonts w:ascii="Calibri" w:hAnsi="Calibri"/>
                <w:sz w:val="20"/>
                <w:szCs w:val="20"/>
              </w:rPr>
              <w:t>State</w:t>
            </w:r>
          </w:p>
        </w:tc>
        <w:tc>
          <w:tcPr>
            <w:tcW w:w="1098" w:type="dxa"/>
            <w:shd w:val="clear" w:color="auto" w:fill="D9D9D9" w:themeFill="background1" w:themeFillShade="D9"/>
            <w:vAlign w:val="center"/>
          </w:tcPr>
          <w:p w:rsidR="000373EC" w:rsidRPr="008502EB" w:rsidRDefault="000373EC" w:rsidP="00932B8D">
            <w:pPr>
              <w:spacing w:after="0" w:line="240" w:lineRule="auto"/>
              <w:jc w:val="center"/>
              <w:rPr>
                <w:rFonts w:ascii="Calibri" w:hAnsi="Calibri"/>
                <w:sz w:val="20"/>
                <w:szCs w:val="20"/>
              </w:rPr>
            </w:pPr>
            <w:r w:rsidRPr="008502EB">
              <w:rPr>
                <w:rFonts w:ascii="Calibri" w:hAnsi="Calibri"/>
                <w:sz w:val="20"/>
                <w:szCs w:val="20"/>
              </w:rPr>
              <w:t>19%</w:t>
            </w:r>
          </w:p>
        </w:tc>
        <w:tc>
          <w:tcPr>
            <w:tcW w:w="1098" w:type="dxa"/>
            <w:shd w:val="clear" w:color="auto" w:fill="D9D9D9" w:themeFill="background1" w:themeFillShade="D9"/>
            <w:vAlign w:val="center"/>
          </w:tcPr>
          <w:p w:rsidR="000373EC" w:rsidRPr="008502EB" w:rsidRDefault="000373EC" w:rsidP="00932B8D">
            <w:pPr>
              <w:spacing w:after="0" w:line="240" w:lineRule="auto"/>
              <w:jc w:val="center"/>
              <w:rPr>
                <w:rFonts w:ascii="Calibri" w:hAnsi="Calibri"/>
                <w:sz w:val="20"/>
                <w:szCs w:val="20"/>
              </w:rPr>
            </w:pPr>
            <w:r w:rsidRPr="008502EB">
              <w:rPr>
                <w:rFonts w:ascii="Calibri" w:hAnsi="Calibri"/>
                <w:sz w:val="20"/>
                <w:szCs w:val="20"/>
              </w:rPr>
              <w:t>18%</w:t>
            </w:r>
          </w:p>
        </w:tc>
        <w:tc>
          <w:tcPr>
            <w:tcW w:w="1098" w:type="dxa"/>
            <w:shd w:val="clear" w:color="auto" w:fill="D9D9D9" w:themeFill="background1" w:themeFillShade="D9"/>
            <w:vAlign w:val="center"/>
          </w:tcPr>
          <w:p w:rsidR="000373EC" w:rsidRPr="008502EB" w:rsidRDefault="000373EC" w:rsidP="00932B8D">
            <w:pPr>
              <w:spacing w:after="0" w:line="240" w:lineRule="auto"/>
              <w:jc w:val="center"/>
              <w:rPr>
                <w:rFonts w:ascii="Calibri" w:hAnsi="Calibri"/>
                <w:sz w:val="20"/>
                <w:szCs w:val="20"/>
              </w:rPr>
            </w:pPr>
            <w:r w:rsidRPr="008502EB">
              <w:rPr>
                <w:rFonts w:ascii="Calibri" w:hAnsi="Calibri"/>
                <w:sz w:val="20"/>
                <w:szCs w:val="20"/>
              </w:rPr>
              <w:t>19%</w:t>
            </w:r>
          </w:p>
        </w:tc>
        <w:tc>
          <w:tcPr>
            <w:tcW w:w="1098" w:type="dxa"/>
            <w:shd w:val="clear" w:color="auto" w:fill="D9D9D9" w:themeFill="background1" w:themeFillShade="D9"/>
            <w:vAlign w:val="center"/>
          </w:tcPr>
          <w:p w:rsidR="000373EC" w:rsidRPr="008502EB" w:rsidRDefault="000373EC" w:rsidP="00932B8D">
            <w:pPr>
              <w:spacing w:after="0" w:line="240" w:lineRule="auto"/>
              <w:jc w:val="center"/>
              <w:rPr>
                <w:rFonts w:ascii="Calibri" w:hAnsi="Calibri"/>
                <w:sz w:val="20"/>
                <w:szCs w:val="20"/>
              </w:rPr>
            </w:pPr>
            <w:r w:rsidRPr="008502EB">
              <w:rPr>
                <w:rFonts w:ascii="Calibri" w:hAnsi="Calibri"/>
                <w:sz w:val="20"/>
                <w:szCs w:val="20"/>
              </w:rPr>
              <w:t>19%</w:t>
            </w:r>
          </w:p>
        </w:tc>
        <w:tc>
          <w:tcPr>
            <w:tcW w:w="1098" w:type="dxa"/>
            <w:shd w:val="clear" w:color="auto" w:fill="D9D9D9" w:themeFill="background1" w:themeFillShade="D9"/>
            <w:vAlign w:val="center"/>
          </w:tcPr>
          <w:p w:rsidR="000373EC" w:rsidRPr="008502EB" w:rsidRDefault="000373EC" w:rsidP="00932B8D">
            <w:pPr>
              <w:spacing w:after="0" w:line="240" w:lineRule="auto"/>
              <w:jc w:val="center"/>
              <w:rPr>
                <w:sz w:val="20"/>
                <w:szCs w:val="20"/>
              </w:rPr>
            </w:pPr>
            <w:r w:rsidRPr="008502EB">
              <w:rPr>
                <w:sz w:val="20"/>
                <w:szCs w:val="20"/>
              </w:rPr>
              <w:t>0</w:t>
            </w:r>
          </w:p>
        </w:tc>
        <w:tc>
          <w:tcPr>
            <w:tcW w:w="1620" w:type="dxa"/>
            <w:vMerge/>
            <w:shd w:val="clear" w:color="auto" w:fill="auto"/>
            <w:vAlign w:val="center"/>
          </w:tcPr>
          <w:p w:rsidR="000373EC" w:rsidRPr="008502EB" w:rsidRDefault="000373EC" w:rsidP="00932B8D">
            <w:pPr>
              <w:spacing w:after="0" w:line="240" w:lineRule="auto"/>
              <w:jc w:val="center"/>
              <w:rPr>
                <w:sz w:val="20"/>
                <w:szCs w:val="20"/>
              </w:rPr>
            </w:pPr>
          </w:p>
        </w:tc>
      </w:tr>
      <w:tr w:rsidR="000373EC" w:rsidRPr="008502EB" w:rsidTr="00932B8D">
        <w:tc>
          <w:tcPr>
            <w:tcW w:w="1638" w:type="dxa"/>
            <w:vMerge w:val="restart"/>
            <w:shd w:val="clear" w:color="auto" w:fill="auto"/>
            <w:vAlign w:val="center"/>
          </w:tcPr>
          <w:p w:rsidR="000373EC" w:rsidRPr="008502EB" w:rsidRDefault="000373EC" w:rsidP="00932B8D">
            <w:pPr>
              <w:spacing w:after="0" w:line="240" w:lineRule="auto"/>
              <w:jc w:val="center"/>
              <w:rPr>
                <w:sz w:val="20"/>
                <w:szCs w:val="20"/>
              </w:rPr>
            </w:pPr>
            <w:r w:rsidRPr="008502EB">
              <w:rPr>
                <w:sz w:val="20"/>
                <w:szCs w:val="20"/>
              </w:rPr>
              <w:t>Students with disabilities</w:t>
            </w:r>
          </w:p>
        </w:tc>
        <w:tc>
          <w:tcPr>
            <w:tcW w:w="810" w:type="dxa"/>
            <w:shd w:val="clear" w:color="auto" w:fill="auto"/>
            <w:vAlign w:val="center"/>
          </w:tcPr>
          <w:p w:rsidR="000373EC" w:rsidRPr="008502EB" w:rsidRDefault="000373EC" w:rsidP="00932B8D">
            <w:pPr>
              <w:spacing w:after="0" w:line="240" w:lineRule="auto"/>
              <w:jc w:val="center"/>
              <w:rPr>
                <w:rFonts w:ascii="Calibri" w:hAnsi="Calibri"/>
                <w:sz w:val="20"/>
                <w:szCs w:val="20"/>
              </w:rPr>
            </w:pPr>
            <w:r w:rsidRPr="008502EB">
              <w:rPr>
                <w:rFonts w:ascii="Calibri" w:hAnsi="Calibri"/>
                <w:sz w:val="20"/>
                <w:szCs w:val="20"/>
              </w:rPr>
              <w:t>District</w:t>
            </w:r>
          </w:p>
        </w:tc>
        <w:tc>
          <w:tcPr>
            <w:tcW w:w="1098" w:type="dxa"/>
            <w:shd w:val="clear" w:color="auto" w:fill="auto"/>
            <w:vAlign w:val="center"/>
          </w:tcPr>
          <w:p w:rsidR="000373EC" w:rsidRPr="008502EB" w:rsidRDefault="000373EC" w:rsidP="00932B8D">
            <w:pPr>
              <w:spacing w:after="0" w:line="240" w:lineRule="auto"/>
              <w:jc w:val="center"/>
              <w:rPr>
                <w:rFonts w:ascii="Calibri" w:hAnsi="Calibri"/>
                <w:sz w:val="20"/>
                <w:szCs w:val="20"/>
              </w:rPr>
            </w:pPr>
            <w:r w:rsidRPr="008502EB">
              <w:rPr>
                <w:rFonts w:ascii="Calibri" w:hAnsi="Calibri"/>
                <w:sz w:val="20"/>
                <w:szCs w:val="20"/>
              </w:rPr>
              <w:t>7%</w:t>
            </w:r>
          </w:p>
        </w:tc>
        <w:tc>
          <w:tcPr>
            <w:tcW w:w="1098" w:type="dxa"/>
            <w:shd w:val="clear" w:color="auto" w:fill="auto"/>
            <w:vAlign w:val="center"/>
          </w:tcPr>
          <w:p w:rsidR="000373EC" w:rsidRPr="008502EB" w:rsidRDefault="000373EC" w:rsidP="00932B8D">
            <w:pPr>
              <w:spacing w:after="0" w:line="240" w:lineRule="auto"/>
              <w:jc w:val="center"/>
              <w:rPr>
                <w:rFonts w:ascii="Calibri" w:hAnsi="Calibri"/>
                <w:sz w:val="20"/>
                <w:szCs w:val="20"/>
              </w:rPr>
            </w:pPr>
            <w:r w:rsidRPr="008502EB">
              <w:rPr>
                <w:rFonts w:ascii="Calibri" w:hAnsi="Calibri"/>
                <w:sz w:val="20"/>
                <w:szCs w:val="20"/>
              </w:rPr>
              <w:t>8%</w:t>
            </w:r>
          </w:p>
        </w:tc>
        <w:tc>
          <w:tcPr>
            <w:tcW w:w="1098" w:type="dxa"/>
            <w:shd w:val="clear" w:color="auto" w:fill="auto"/>
            <w:vAlign w:val="center"/>
          </w:tcPr>
          <w:p w:rsidR="000373EC" w:rsidRPr="008502EB" w:rsidRDefault="000373EC" w:rsidP="00932B8D">
            <w:pPr>
              <w:spacing w:after="0" w:line="240" w:lineRule="auto"/>
              <w:jc w:val="center"/>
              <w:rPr>
                <w:rFonts w:ascii="Calibri" w:hAnsi="Calibri"/>
                <w:sz w:val="20"/>
                <w:szCs w:val="20"/>
              </w:rPr>
            </w:pPr>
            <w:r w:rsidRPr="008502EB">
              <w:rPr>
                <w:rFonts w:ascii="Calibri" w:hAnsi="Calibri"/>
                <w:sz w:val="20"/>
                <w:szCs w:val="20"/>
              </w:rPr>
              <w:t>9%</w:t>
            </w:r>
          </w:p>
        </w:tc>
        <w:tc>
          <w:tcPr>
            <w:tcW w:w="1098" w:type="dxa"/>
            <w:shd w:val="clear" w:color="auto" w:fill="auto"/>
            <w:vAlign w:val="center"/>
          </w:tcPr>
          <w:p w:rsidR="000373EC" w:rsidRPr="008502EB" w:rsidRDefault="000373EC" w:rsidP="00932B8D">
            <w:pPr>
              <w:spacing w:after="0" w:line="240" w:lineRule="auto"/>
              <w:jc w:val="center"/>
              <w:rPr>
                <w:rFonts w:ascii="Calibri" w:hAnsi="Calibri"/>
                <w:sz w:val="20"/>
                <w:szCs w:val="20"/>
              </w:rPr>
            </w:pPr>
            <w:r w:rsidRPr="008502EB">
              <w:rPr>
                <w:rFonts w:ascii="Calibri" w:hAnsi="Calibri"/>
                <w:sz w:val="20"/>
                <w:szCs w:val="20"/>
              </w:rPr>
              <w:t>7%</w:t>
            </w:r>
          </w:p>
        </w:tc>
        <w:tc>
          <w:tcPr>
            <w:tcW w:w="1098" w:type="dxa"/>
            <w:shd w:val="clear" w:color="auto" w:fill="auto"/>
            <w:vAlign w:val="center"/>
          </w:tcPr>
          <w:p w:rsidR="000373EC" w:rsidRPr="008502EB" w:rsidRDefault="000373EC" w:rsidP="00932B8D">
            <w:pPr>
              <w:spacing w:after="0" w:line="240" w:lineRule="auto"/>
              <w:jc w:val="center"/>
              <w:rPr>
                <w:rFonts w:ascii="Calibri" w:hAnsi="Calibri"/>
                <w:sz w:val="20"/>
                <w:szCs w:val="20"/>
              </w:rPr>
            </w:pPr>
            <w:r w:rsidRPr="008502EB">
              <w:rPr>
                <w:rFonts w:ascii="Calibri" w:hAnsi="Calibri"/>
                <w:sz w:val="20"/>
                <w:szCs w:val="20"/>
              </w:rPr>
              <w:t>0</w:t>
            </w:r>
          </w:p>
        </w:tc>
        <w:tc>
          <w:tcPr>
            <w:tcW w:w="1620" w:type="dxa"/>
            <w:vMerge w:val="restart"/>
            <w:shd w:val="clear" w:color="auto" w:fill="auto"/>
            <w:vAlign w:val="center"/>
          </w:tcPr>
          <w:p w:rsidR="000373EC" w:rsidRPr="008502EB" w:rsidRDefault="000373EC" w:rsidP="00932B8D">
            <w:pPr>
              <w:spacing w:after="0" w:line="240" w:lineRule="auto"/>
              <w:jc w:val="center"/>
              <w:rPr>
                <w:sz w:val="20"/>
                <w:szCs w:val="20"/>
              </w:rPr>
            </w:pPr>
            <w:r w:rsidRPr="008502EB">
              <w:rPr>
                <w:sz w:val="20"/>
                <w:szCs w:val="20"/>
              </w:rPr>
              <w:t>-14</w:t>
            </w:r>
          </w:p>
        </w:tc>
      </w:tr>
      <w:tr w:rsidR="000373EC" w:rsidRPr="008502EB" w:rsidTr="00932B8D">
        <w:trPr>
          <w:trHeight w:val="242"/>
        </w:trPr>
        <w:tc>
          <w:tcPr>
            <w:tcW w:w="1638" w:type="dxa"/>
            <w:vMerge/>
            <w:shd w:val="clear" w:color="auto" w:fill="BFBFBF" w:themeFill="background1" w:themeFillShade="BF"/>
            <w:vAlign w:val="center"/>
          </w:tcPr>
          <w:p w:rsidR="000373EC" w:rsidRPr="008502EB" w:rsidRDefault="000373EC" w:rsidP="00932B8D">
            <w:pPr>
              <w:spacing w:after="0" w:line="240" w:lineRule="auto"/>
              <w:jc w:val="center"/>
              <w:rPr>
                <w:sz w:val="20"/>
                <w:szCs w:val="20"/>
              </w:rPr>
            </w:pPr>
          </w:p>
        </w:tc>
        <w:tc>
          <w:tcPr>
            <w:tcW w:w="810" w:type="dxa"/>
            <w:shd w:val="clear" w:color="auto" w:fill="auto"/>
            <w:vAlign w:val="center"/>
          </w:tcPr>
          <w:p w:rsidR="000373EC" w:rsidRPr="008502EB" w:rsidRDefault="000373EC" w:rsidP="00932B8D">
            <w:pPr>
              <w:spacing w:after="0" w:line="240" w:lineRule="auto"/>
              <w:jc w:val="center"/>
              <w:rPr>
                <w:rFonts w:ascii="Calibri" w:hAnsi="Calibri"/>
                <w:sz w:val="20"/>
                <w:szCs w:val="20"/>
              </w:rPr>
            </w:pPr>
            <w:r w:rsidRPr="008502EB">
              <w:rPr>
                <w:rFonts w:ascii="Calibri" w:hAnsi="Calibri"/>
                <w:sz w:val="20"/>
                <w:szCs w:val="20"/>
              </w:rPr>
              <w:t>State</w:t>
            </w:r>
          </w:p>
        </w:tc>
        <w:tc>
          <w:tcPr>
            <w:tcW w:w="1098" w:type="dxa"/>
            <w:shd w:val="clear" w:color="auto" w:fill="auto"/>
            <w:vAlign w:val="center"/>
          </w:tcPr>
          <w:p w:rsidR="000373EC" w:rsidRPr="008502EB" w:rsidRDefault="000373EC" w:rsidP="00932B8D">
            <w:pPr>
              <w:spacing w:after="0" w:line="240" w:lineRule="auto"/>
              <w:jc w:val="center"/>
              <w:rPr>
                <w:sz w:val="20"/>
                <w:szCs w:val="20"/>
              </w:rPr>
            </w:pPr>
            <w:r w:rsidRPr="008502EB">
              <w:rPr>
                <w:sz w:val="20"/>
                <w:szCs w:val="20"/>
              </w:rPr>
              <w:t>21%</w:t>
            </w:r>
          </w:p>
        </w:tc>
        <w:tc>
          <w:tcPr>
            <w:tcW w:w="1098" w:type="dxa"/>
            <w:shd w:val="clear" w:color="auto" w:fill="auto"/>
            <w:vAlign w:val="center"/>
          </w:tcPr>
          <w:p w:rsidR="000373EC" w:rsidRPr="008502EB" w:rsidRDefault="000373EC" w:rsidP="00932B8D">
            <w:pPr>
              <w:spacing w:after="0" w:line="240" w:lineRule="auto"/>
              <w:jc w:val="center"/>
              <w:rPr>
                <w:sz w:val="20"/>
                <w:szCs w:val="20"/>
              </w:rPr>
            </w:pPr>
            <w:r w:rsidRPr="008502EB">
              <w:rPr>
                <w:sz w:val="20"/>
                <w:szCs w:val="20"/>
              </w:rPr>
              <w:t>21%</w:t>
            </w:r>
          </w:p>
        </w:tc>
        <w:tc>
          <w:tcPr>
            <w:tcW w:w="1098" w:type="dxa"/>
            <w:shd w:val="clear" w:color="auto" w:fill="auto"/>
            <w:vAlign w:val="center"/>
          </w:tcPr>
          <w:p w:rsidR="000373EC" w:rsidRPr="008502EB" w:rsidRDefault="000373EC" w:rsidP="00932B8D">
            <w:pPr>
              <w:spacing w:after="0" w:line="240" w:lineRule="auto"/>
              <w:jc w:val="center"/>
              <w:rPr>
                <w:rFonts w:ascii="Calibri" w:hAnsi="Calibri"/>
                <w:sz w:val="20"/>
                <w:szCs w:val="20"/>
              </w:rPr>
            </w:pPr>
            <w:r w:rsidRPr="008502EB">
              <w:rPr>
                <w:rFonts w:ascii="Calibri" w:hAnsi="Calibri"/>
                <w:sz w:val="20"/>
                <w:szCs w:val="20"/>
              </w:rPr>
              <w:t>22%</w:t>
            </w:r>
          </w:p>
        </w:tc>
        <w:tc>
          <w:tcPr>
            <w:tcW w:w="1098" w:type="dxa"/>
            <w:shd w:val="clear" w:color="auto" w:fill="auto"/>
            <w:vAlign w:val="center"/>
          </w:tcPr>
          <w:p w:rsidR="000373EC" w:rsidRPr="008502EB" w:rsidRDefault="000373EC" w:rsidP="00932B8D">
            <w:pPr>
              <w:spacing w:after="0" w:line="240" w:lineRule="auto"/>
              <w:jc w:val="center"/>
              <w:rPr>
                <w:rFonts w:ascii="Calibri" w:hAnsi="Calibri"/>
                <w:sz w:val="20"/>
                <w:szCs w:val="20"/>
              </w:rPr>
            </w:pPr>
            <w:r w:rsidRPr="008502EB">
              <w:rPr>
                <w:rFonts w:ascii="Calibri" w:hAnsi="Calibri"/>
                <w:sz w:val="20"/>
                <w:szCs w:val="20"/>
              </w:rPr>
              <w:t>21%</w:t>
            </w:r>
          </w:p>
        </w:tc>
        <w:tc>
          <w:tcPr>
            <w:tcW w:w="1098" w:type="dxa"/>
            <w:shd w:val="clear" w:color="auto" w:fill="auto"/>
            <w:vAlign w:val="center"/>
          </w:tcPr>
          <w:p w:rsidR="000373EC" w:rsidRPr="008502EB" w:rsidRDefault="000373EC" w:rsidP="00932B8D">
            <w:pPr>
              <w:spacing w:after="0" w:line="240" w:lineRule="auto"/>
              <w:jc w:val="center"/>
              <w:rPr>
                <w:sz w:val="20"/>
                <w:szCs w:val="20"/>
              </w:rPr>
            </w:pPr>
            <w:r w:rsidRPr="008502EB">
              <w:rPr>
                <w:sz w:val="20"/>
                <w:szCs w:val="20"/>
              </w:rPr>
              <w:t>0</w:t>
            </w:r>
          </w:p>
        </w:tc>
        <w:tc>
          <w:tcPr>
            <w:tcW w:w="1620" w:type="dxa"/>
            <w:vMerge/>
            <w:shd w:val="clear" w:color="auto" w:fill="BFBFBF" w:themeFill="background1" w:themeFillShade="BF"/>
            <w:vAlign w:val="center"/>
          </w:tcPr>
          <w:p w:rsidR="000373EC" w:rsidRPr="008502EB" w:rsidRDefault="000373EC" w:rsidP="00932B8D">
            <w:pPr>
              <w:jc w:val="center"/>
              <w:rPr>
                <w:sz w:val="20"/>
                <w:szCs w:val="20"/>
              </w:rPr>
            </w:pPr>
          </w:p>
        </w:tc>
      </w:tr>
    </w:tbl>
    <w:p w:rsidR="000373EC" w:rsidRPr="008502EB" w:rsidRDefault="000373EC" w:rsidP="000373EC">
      <w:pPr>
        <w:spacing w:after="0" w:line="240" w:lineRule="auto"/>
      </w:pPr>
    </w:p>
    <w:p w:rsidR="00DF71F0" w:rsidRDefault="00DF71F0" w:rsidP="0091151B">
      <w:pPr>
        <w:spacing w:after="0" w:line="240" w:lineRule="auto"/>
        <w:rPr>
          <w:rFonts w:eastAsia="Times New Roman" w:cs="Times New Roman"/>
          <w:b/>
        </w:rPr>
      </w:pPr>
    </w:p>
    <w:p w:rsidR="00DF71F0" w:rsidRDefault="00DF71F0" w:rsidP="0091151B">
      <w:pPr>
        <w:spacing w:after="0" w:line="240" w:lineRule="auto"/>
        <w:rPr>
          <w:rFonts w:eastAsia="Times New Roman" w:cs="Times New Roman"/>
          <w:b/>
        </w:rPr>
      </w:pPr>
    </w:p>
    <w:p w:rsidR="00DF71F0" w:rsidRDefault="00DF71F0" w:rsidP="0091151B">
      <w:pPr>
        <w:spacing w:after="0" w:line="240" w:lineRule="auto"/>
        <w:rPr>
          <w:rFonts w:eastAsia="Times New Roman" w:cs="Times New Roman"/>
          <w:b/>
        </w:rPr>
      </w:pPr>
    </w:p>
    <w:p w:rsidR="00DF71F0" w:rsidRDefault="00DF71F0" w:rsidP="0091151B">
      <w:pPr>
        <w:spacing w:after="0" w:line="240" w:lineRule="auto"/>
        <w:rPr>
          <w:rFonts w:eastAsia="Times New Roman" w:cs="Times New Roman"/>
          <w:b/>
        </w:rPr>
      </w:pPr>
    </w:p>
    <w:p w:rsidR="00DF71F0" w:rsidRDefault="00DF71F0" w:rsidP="0091151B">
      <w:pPr>
        <w:spacing w:after="0" w:line="240" w:lineRule="auto"/>
        <w:rPr>
          <w:rFonts w:eastAsia="Times New Roman" w:cs="Times New Roman"/>
          <w:b/>
        </w:rPr>
      </w:pPr>
    </w:p>
    <w:p w:rsidR="00DF71F0" w:rsidRDefault="00DF71F0" w:rsidP="0091151B">
      <w:pPr>
        <w:spacing w:after="0" w:line="240" w:lineRule="auto"/>
        <w:rPr>
          <w:rFonts w:eastAsia="Times New Roman" w:cs="Times New Roman"/>
          <w:b/>
        </w:rPr>
      </w:pPr>
    </w:p>
    <w:p w:rsidR="00AC37C6" w:rsidRDefault="0091151B" w:rsidP="0091151B">
      <w:pPr>
        <w:spacing w:after="0" w:line="240" w:lineRule="auto"/>
        <w:rPr>
          <w:rFonts w:eastAsia="Times New Roman" w:cs="Times New Roman"/>
          <w:b/>
        </w:rPr>
      </w:pPr>
      <w:r w:rsidRPr="008502EB">
        <w:rPr>
          <w:rFonts w:eastAsia="Times New Roman" w:cs="Times New Roman"/>
          <w:b/>
        </w:rPr>
        <w:lastRenderedPageBreak/>
        <w:t>The district did not reach its 2016 Composite Performance Index (CPI) targets in ELA, math, and science for any group except economically disadvantaged students in ELA.</w:t>
      </w:r>
      <w:r w:rsidR="001601B3">
        <w:rPr>
          <w:rFonts w:eastAsia="Times New Roman" w:cs="Times New Roman"/>
          <w:b/>
        </w:rPr>
        <w:t xml:space="preserve"> </w:t>
      </w:r>
    </w:p>
    <w:p w:rsidR="00AC37C6" w:rsidRDefault="00AC37C6" w:rsidP="0091151B">
      <w:pPr>
        <w:spacing w:after="0" w:line="240" w:lineRule="auto"/>
        <w:rPr>
          <w:rFonts w:eastAsia="Times New Roman" w:cs="Times New Roman"/>
          <w:b/>
        </w:rPr>
      </w:pPr>
    </w:p>
    <w:tbl>
      <w:tblPr>
        <w:tblStyle w:val="TableGrid10"/>
        <w:tblW w:w="0" w:type="auto"/>
        <w:tblLook w:val="04A0"/>
      </w:tblPr>
      <w:tblGrid>
        <w:gridCol w:w="1609"/>
        <w:gridCol w:w="735"/>
        <w:gridCol w:w="850"/>
        <w:gridCol w:w="1080"/>
        <w:gridCol w:w="735"/>
        <w:gridCol w:w="850"/>
        <w:gridCol w:w="1080"/>
        <w:gridCol w:w="707"/>
        <w:gridCol w:w="850"/>
        <w:gridCol w:w="1080"/>
      </w:tblGrid>
      <w:tr w:rsidR="006B65DB" w:rsidRPr="008502EB" w:rsidTr="00E560FD">
        <w:tc>
          <w:tcPr>
            <w:tcW w:w="9576" w:type="dxa"/>
            <w:gridSpan w:val="10"/>
            <w:tcBorders>
              <w:top w:val="nil"/>
              <w:left w:val="nil"/>
              <w:right w:val="nil"/>
            </w:tcBorders>
            <w:shd w:val="clear" w:color="auto" w:fill="auto"/>
          </w:tcPr>
          <w:p w:rsidR="006B65DB" w:rsidRPr="008502EB" w:rsidRDefault="006B65DB" w:rsidP="006B65DB">
            <w:pPr>
              <w:spacing w:after="0" w:line="240" w:lineRule="auto"/>
              <w:jc w:val="center"/>
              <w:rPr>
                <w:b/>
                <w:sz w:val="20"/>
                <w:szCs w:val="20"/>
              </w:rPr>
            </w:pPr>
            <w:r w:rsidRPr="008502EB">
              <w:rPr>
                <w:b/>
                <w:sz w:val="20"/>
                <w:szCs w:val="20"/>
              </w:rPr>
              <w:t xml:space="preserve">Table </w:t>
            </w:r>
            <w:r w:rsidR="005C7DC2">
              <w:rPr>
                <w:b/>
                <w:sz w:val="20"/>
                <w:szCs w:val="20"/>
              </w:rPr>
              <w:t>4</w:t>
            </w:r>
            <w:r w:rsidRPr="008502EB">
              <w:rPr>
                <w:b/>
                <w:sz w:val="20"/>
                <w:szCs w:val="20"/>
              </w:rPr>
              <w:t>: Worcester Public Schools</w:t>
            </w:r>
          </w:p>
          <w:p w:rsidR="006B65DB" w:rsidRPr="008502EB" w:rsidRDefault="006B65DB" w:rsidP="006B65DB">
            <w:pPr>
              <w:spacing w:after="0" w:line="240" w:lineRule="auto"/>
              <w:jc w:val="center"/>
              <w:rPr>
                <w:b/>
                <w:sz w:val="20"/>
                <w:szCs w:val="20"/>
              </w:rPr>
            </w:pPr>
            <w:r w:rsidRPr="008502EB">
              <w:rPr>
                <w:b/>
                <w:sz w:val="20"/>
                <w:szCs w:val="20"/>
              </w:rPr>
              <w:t>2016 CPI and Targets by Subgroup</w:t>
            </w:r>
          </w:p>
        </w:tc>
      </w:tr>
      <w:tr w:rsidR="006B65DB" w:rsidRPr="008502EB" w:rsidTr="00E560FD">
        <w:tc>
          <w:tcPr>
            <w:tcW w:w="1609" w:type="dxa"/>
            <w:shd w:val="clear" w:color="auto" w:fill="D9D9D9" w:themeFill="background1" w:themeFillShade="D9"/>
          </w:tcPr>
          <w:p w:rsidR="0047041E" w:rsidRDefault="0047041E">
            <w:pPr>
              <w:spacing w:after="0" w:line="240" w:lineRule="auto"/>
              <w:jc w:val="center"/>
              <w:rPr>
                <w:b/>
                <w:sz w:val="20"/>
                <w:szCs w:val="20"/>
              </w:rPr>
            </w:pPr>
          </w:p>
        </w:tc>
        <w:tc>
          <w:tcPr>
            <w:tcW w:w="2665" w:type="dxa"/>
            <w:gridSpan w:val="3"/>
            <w:shd w:val="clear" w:color="auto" w:fill="D9D9D9" w:themeFill="background1" w:themeFillShade="D9"/>
            <w:vAlign w:val="center"/>
          </w:tcPr>
          <w:p w:rsidR="0047041E" w:rsidRDefault="006B65DB">
            <w:pPr>
              <w:spacing w:after="0" w:line="240" w:lineRule="auto"/>
              <w:jc w:val="center"/>
              <w:rPr>
                <w:b/>
                <w:sz w:val="20"/>
                <w:szCs w:val="20"/>
              </w:rPr>
            </w:pPr>
            <w:r w:rsidRPr="008502EB">
              <w:rPr>
                <w:b/>
                <w:sz w:val="20"/>
                <w:szCs w:val="20"/>
              </w:rPr>
              <w:t>ELA</w:t>
            </w:r>
          </w:p>
        </w:tc>
        <w:tc>
          <w:tcPr>
            <w:tcW w:w="2665" w:type="dxa"/>
            <w:gridSpan w:val="3"/>
            <w:shd w:val="clear" w:color="auto" w:fill="D9D9D9" w:themeFill="background1" w:themeFillShade="D9"/>
            <w:vAlign w:val="center"/>
          </w:tcPr>
          <w:p w:rsidR="0047041E" w:rsidRDefault="006B65DB">
            <w:pPr>
              <w:spacing w:after="0" w:line="240" w:lineRule="auto"/>
              <w:jc w:val="center"/>
              <w:rPr>
                <w:b/>
                <w:sz w:val="20"/>
                <w:szCs w:val="20"/>
              </w:rPr>
            </w:pPr>
            <w:r w:rsidRPr="008502EB">
              <w:rPr>
                <w:b/>
                <w:sz w:val="20"/>
                <w:szCs w:val="20"/>
              </w:rPr>
              <w:t>Math</w:t>
            </w:r>
          </w:p>
        </w:tc>
        <w:tc>
          <w:tcPr>
            <w:tcW w:w="2637" w:type="dxa"/>
            <w:gridSpan w:val="3"/>
            <w:shd w:val="clear" w:color="auto" w:fill="D9D9D9" w:themeFill="background1" w:themeFillShade="D9"/>
            <w:vAlign w:val="center"/>
          </w:tcPr>
          <w:p w:rsidR="0047041E" w:rsidRDefault="006B65DB">
            <w:pPr>
              <w:spacing w:after="0" w:line="240" w:lineRule="auto"/>
              <w:jc w:val="center"/>
              <w:rPr>
                <w:b/>
                <w:sz w:val="20"/>
                <w:szCs w:val="20"/>
              </w:rPr>
            </w:pPr>
            <w:r w:rsidRPr="008502EB">
              <w:rPr>
                <w:b/>
                <w:sz w:val="20"/>
                <w:szCs w:val="20"/>
              </w:rPr>
              <w:t>Science</w:t>
            </w:r>
          </w:p>
        </w:tc>
      </w:tr>
      <w:tr w:rsidR="006B65DB" w:rsidRPr="008502EB" w:rsidTr="00E560FD">
        <w:tc>
          <w:tcPr>
            <w:tcW w:w="1609" w:type="dxa"/>
            <w:shd w:val="clear" w:color="auto" w:fill="D9D9D9" w:themeFill="background1" w:themeFillShade="D9"/>
            <w:vAlign w:val="center"/>
          </w:tcPr>
          <w:p w:rsidR="0047041E" w:rsidRDefault="006B65DB">
            <w:pPr>
              <w:spacing w:after="0" w:line="240" w:lineRule="auto"/>
              <w:jc w:val="center"/>
              <w:rPr>
                <w:b/>
                <w:sz w:val="20"/>
                <w:szCs w:val="20"/>
              </w:rPr>
            </w:pPr>
            <w:r w:rsidRPr="008502EB">
              <w:rPr>
                <w:b/>
                <w:sz w:val="20"/>
                <w:szCs w:val="20"/>
              </w:rPr>
              <w:t>Group</w:t>
            </w:r>
          </w:p>
        </w:tc>
        <w:tc>
          <w:tcPr>
            <w:tcW w:w="735" w:type="dxa"/>
            <w:shd w:val="clear" w:color="auto" w:fill="D9D9D9" w:themeFill="background1" w:themeFillShade="D9"/>
            <w:vAlign w:val="center"/>
          </w:tcPr>
          <w:p w:rsidR="0047041E" w:rsidRDefault="006B65DB">
            <w:pPr>
              <w:spacing w:after="0" w:line="240" w:lineRule="auto"/>
              <w:jc w:val="center"/>
              <w:rPr>
                <w:b/>
                <w:sz w:val="20"/>
                <w:szCs w:val="20"/>
              </w:rPr>
            </w:pPr>
            <w:r w:rsidRPr="008502EB">
              <w:rPr>
                <w:b/>
                <w:sz w:val="20"/>
                <w:szCs w:val="20"/>
              </w:rPr>
              <w:t>2016 CPI</w:t>
            </w:r>
          </w:p>
        </w:tc>
        <w:tc>
          <w:tcPr>
            <w:tcW w:w="850" w:type="dxa"/>
            <w:shd w:val="clear" w:color="auto" w:fill="D9D9D9" w:themeFill="background1" w:themeFillShade="D9"/>
            <w:vAlign w:val="center"/>
          </w:tcPr>
          <w:p w:rsidR="0047041E" w:rsidRDefault="006B65DB">
            <w:pPr>
              <w:spacing w:after="0" w:line="240" w:lineRule="auto"/>
              <w:jc w:val="center"/>
              <w:rPr>
                <w:b/>
                <w:sz w:val="20"/>
                <w:szCs w:val="20"/>
              </w:rPr>
            </w:pPr>
            <w:r w:rsidRPr="008502EB">
              <w:rPr>
                <w:b/>
                <w:sz w:val="20"/>
                <w:szCs w:val="20"/>
              </w:rPr>
              <w:t>2016 Target</w:t>
            </w:r>
          </w:p>
        </w:tc>
        <w:tc>
          <w:tcPr>
            <w:tcW w:w="1080" w:type="dxa"/>
            <w:shd w:val="clear" w:color="auto" w:fill="D9D9D9" w:themeFill="background1" w:themeFillShade="D9"/>
            <w:vAlign w:val="center"/>
          </w:tcPr>
          <w:p w:rsidR="0047041E" w:rsidRDefault="006B65DB">
            <w:pPr>
              <w:spacing w:after="0" w:line="240" w:lineRule="auto"/>
              <w:jc w:val="center"/>
              <w:rPr>
                <w:b/>
                <w:sz w:val="20"/>
                <w:szCs w:val="20"/>
              </w:rPr>
            </w:pPr>
            <w:r w:rsidRPr="008502EB">
              <w:rPr>
                <w:b/>
                <w:sz w:val="20"/>
                <w:szCs w:val="20"/>
              </w:rPr>
              <w:t>Rating</w:t>
            </w:r>
          </w:p>
        </w:tc>
        <w:tc>
          <w:tcPr>
            <w:tcW w:w="735" w:type="dxa"/>
            <w:shd w:val="clear" w:color="auto" w:fill="D9D9D9" w:themeFill="background1" w:themeFillShade="D9"/>
            <w:vAlign w:val="center"/>
          </w:tcPr>
          <w:p w:rsidR="0047041E" w:rsidRDefault="006B65DB">
            <w:pPr>
              <w:spacing w:after="0" w:line="240" w:lineRule="auto"/>
              <w:jc w:val="center"/>
              <w:rPr>
                <w:b/>
                <w:sz w:val="20"/>
                <w:szCs w:val="20"/>
              </w:rPr>
            </w:pPr>
            <w:r w:rsidRPr="008502EB">
              <w:rPr>
                <w:b/>
                <w:sz w:val="20"/>
                <w:szCs w:val="20"/>
              </w:rPr>
              <w:t>2016 CPI</w:t>
            </w:r>
          </w:p>
        </w:tc>
        <w:tc>
          <w:tcPr>
            <w:tcW w:w="850" w:type="dxa"/>
            <w:shd w:val="clear" w:color="auto" w:fill="D9D9D9" w:themeFill="background1" w:themeFillShade="D9"/>
            <w:vAlign w:val="center"/>
          </w:tcPr>
          <w:p w:rsidR="0047041E" w:rsidRDefault="006B65DB">
            <w:pPr>
              <w:spacing w:after="0" w:line="240" w:lineRule="auto"/>
              <w:jc w:val="center"/>
              <w:rPr>
                <w:b/>
                <w:sz w:val="20"/>
                <w:szCs w:val="20"/>
              </w:rPr>
            </w:pPr>
            <w:r w:rsidRPr="008502EB">
              <w:rPr>
                <w:b/>
                <w:sz w:val="20"/>
                <w:szCs w:val="20"/>
              </w:rPr>
              <w:t>2016 Target</w:t>
            </w:r>
          </w:p>
        </w:tc>
        <w:tc>
          <w:tcPr>
            <w:tcW w:w="1080" w:type="dxa"/>
            <w:shd w:val="clear" w:color="auto" w:fill="D9D9D9" w:themeFill="background1" w:themeFillShade="D9"/>
            <w:vAlign w:val="center"/>
          </w:tcPr>
          <w:p w:rsidR="0047041E" w:rsidRDefault="006B65DB">
            <w:pPr>
              <w:spacing w:after="0" w:line="240" w:lineRule="auto"/>
              <w:jc w:val="center"/>
              <w:rPr>
                <w:b/>
                <w:sz w:val="20"/>
                <w:szCs w:val="20"/>
              </w:rPr>
            </w:pPr>
            <w:r w:rsidRPr="008502EB">
              <w:rPr>
                <w:b/>
                <w:sz w:val="20"/>
                <w:szCs w:val="20"/>
              </w:rPr>
              <w:t>Rating</w:t>
            </w:r>
          </w:p>
        </w:tc>
        <w:tc>
          <w:tcPr>
            <w:tcW w:w="707" w:type="dxa"/>
            <w:shd w:val="clear" w:color="auto" w:fill="D9D9D9" w:themeFill="background1" w:themeFillShade="D9"/>
            <w:vAlign w:val="center"/>
          </w:tcPr>
          <w:p w:rsidR="0047041E" w:rsidRDefault="006B65DB">
            <w:pPr>
              <w:spacing w:after="0" w:line="240" w:lineRule="auto"/>
              <w:jc w:val="center"/>
              <w:rPr>
                <w:b/>
                <w:sz w:val="20"/>
                <w:szCs w:val="20"/>
              </w:rPr>
            </w:pPr>
            <w:r w:rsidRPr="008502EB">
              <w:rPr>
                <w:b/>
                <w:sz w:val="20"/>
                <w:szCs w:val="20"/>
              </w:rPr>
              <w:t>2016 CPI</w:t>
            </w:r>
          </w:p>
        </w:tc>
        <w:tc>
          <w:tcPr>
            <w:tcW w:w="850" w:type="dxa"/>
            <w:shd w:val="clear" w:color="auto" w:fill="D9D9D9" w:themeFill="background1" w:themeFillShade="D9"/>
            <w:vAlign w:val="center"/>
          </w:tcPr>
          <w:p w:rsidR="0047041E" w:rsidRDefault="006B65DB">
            <w:pPr>
              <w:spacing w:after="0" w:line="240" w:lineRule="auto"/>
              <w:jc w:val="center"/>
              <w:rPr>
                <w:b/>
                <w:sz w:val="20"/>
                <w:szCs w:val="20"/>
              </w:rPr>
            </w:pPr>
            <w:r w:rsidRPr="008502EB">
              <w:rPr>
                <w:b/>
                <w:sz w:val="20"/>
                <w:szCs w:val="20"/>
              </w:rPr>
              <w:t>2016 Target</w:t>
            </w:r>
          </w:p>
        </w:tc>
        <w:tc>
          <w:tcPr>
            <w:tcW w:w="1080" w:type="dxa"/>
            <w:shd w:val="clear" w:color="auto" w:fill="D9D9D9" w:themeFill="background1" w:themeFillShade="D9"/>
            <w:vAlign w:val="center"/>
          </w:tcPr>
          <w:p w:rsidR="0047041E" w:rsidRDefault="006B65DB">
            <w:pPr>
              <w:spacing w:after="0" w:line="240" w:lineRule="auto"/>
              <w:jc w:val="center"/>
              <w:rPr>
                <w:b/>
                <w:sz w:val="20"/>
                <w:szCs w:val="20"/>
              </w:rPr>
            </w:pPr>
            <w:r w:rsidRPr="008502EB">
              <w:rPr>
                <w:b/>
                <w:sz w:val="20"/>
                <w:szCs w:val="20"/>
              </w:rPr>
              <w:t>Rating</w:t>
            </w:r>
          </w:p>
        </w:tc>
      </w:tr>
      <w:tr w:rsidR="006B65DB" w:rsidRPr="008502EB" w:rsidTr="00E560FD">
        <w:tc>
          <w:tcPr>
            <w:tcW w:w="1609" w:type="dxa"/>
            <w:shd w:val="clear" w:color="auto" w:fill="auto"/>
            <w:vAlign w:val="center"/>
          </w:tcPr>
          <w:p w:rsidR="0047041E" w:rsidRDefault="006B65DB">
            <w:pPr>
              <w:spacing w:after="0" w:line="240" w:lineRule="auto"/>
              <w:jc w:val="center"/>
              <w:rPr>
                <w:sz w:val="20"/>
                <w:szCs w:val="20"/>
              </w:rPr>
            </w:pPr>
            <w:r w:rsidRPr="008502EB">
              <w:rPr>
                <w:sz w:val="20"/>
                <w:szCs w:val="20"/>
              </w:rPr>
              <w:t>All students</w:t>
            </w:r>
          </w:p>
        </w:tc>
        <w:tc>
          <w:tcPr>
            <w:tcW w:w="735" w:type="dxa"/>
            <w:shd w:val="clear" w:color="auto" w:fill="auto"/>
            <w:vAlign w:val="center"/>
          </w:tcPr>
          <w:p w:rsidR="0047041E" w:rsidRDefault="006B65DB">
            <w:pPr>
              <w:spacing w:after="0" w:line="240" w:lineRule="auto"/>
              <w:jc w:val="center"/>
              <w:rPr>
                <w:sz w:val="20"/>
                <w:szCs w:val="20"/>
              </w:rPr>
            </w:pPr>
            <w:r w:rsidRPr="008502EB">
              <w:rPr>
                <w:sz w:val="20"/>
                <w:szCs w:val="20"/>
              </w:rPr>
              <w:t>79.5</w:t>
            </w:r>
          </w:p>
        </w:tc>
        <w:tc>
          <w:tcPr>
            <w:tcW w:w="850" w:type="dxa"/>
            <w:shd w:val="clear" w:color="auto" w:fill="auto"/>
            <w:vAlign w:val="center"/>
          </w:tcPr>
          <w:p w:rsidR="0047041E" w:rsidRDefault="006B65DB">
            <w:pPr>
              <w:spacing w:after="0" w:line="240" w:lineRule="auto"/>
              <w:jc w:val="center"/>
              <w:rPr>
                <w:sz w:val="20"/>
                <w:szCs w:val="20"/>
              </w:rPr>
            </w:pPr>
            <w:r w:rsidRPr="008502EB">
              <w:rPr>
                <w:sz w:val="20"/>
                <w:szCs w:val="20"/>
              </w:rPr>
              <w:t>86.1</w:t>
            </w:r>
          </w:p>
        </w:tc>
        <w:tc>
          <w:tcPr>
            <w:tcW w:w="1080" w:type="dxa"/>
            <w:shd w:val="clear" w:color="auto" w:fill="auto"/>
            <w:vAlign w:val="center"/>
          </w:tcPr>
          <w:p w:rsidR="0047041E" w:rsidRDefault="006B65DB">
            <w:pPr>
              <w:spacing w:after="0" w:line="240" w:lineRule="auto"/>
              <w:jc w:val="center"/>
              <w:rPr>
                <w:sz w:val="20"/>
                <w:szCs w:val="20"/>
              </w:rPr>
            </w:pPr>
            <w:r w:rsidRPr="008502EB">
              <w:rPr>
                <w:sz w:val="20"/>
                <w:szCs w:val="20"/>
              </w:rPr>
              <w:t>Improved Below Target</w:t>
            </w:r>
          </w:p>
        </w:tc>
        <w:tc>
          <w:tcPr>
            <w:tcW w:w="735" w:type="dxa"/>
            <w:shd w:val="clear" w:color="auto" w:fill="auto"/>
            <w:vAlign w:val="center"/>
          </w:tcPr>
          <w:p w:rsidR="0047041E" w:rsidRDefault="006B65DB">
            <w:pPr>
              <w:spacing w:after="0" w:line="240" w:lineRule="auto"/>
              <w:jc w:val="center"/>
              <w:rPr>
                <w:sz w:val="20"/>
                <w:szCs w:val="20"/>
              </w:rPr>
            </w:pPr>
            <w:r w:rsidRPr="008502EB">
              <w:rPr>
                <w:sz w:val="20"/>
                <w:szCs w:val="20"/>
              </w:rPr>
              <w:t>68.1</w:t>
            </w:r>
          </w:p>
        </w:tc>
        <w:tc>
          <w:tcPr>
            <w:tcW w:w="850" w:type="dxa"/>
            <w:shd w:val="clear" w:color="auto" w:fill="auto"/>
            <w:vAlign w:val="center"/>
          </w:tcPr>
          <w:p w:rsidR="0047041E" w:rsidRDefault="006B65DB">
            <w:pPr>
              <w:spacing w:after="0" w:line="240" w:lineRule="auto"/>
              <w:jc w:val="center"/>
              <w:rPr>
                <w:sz w:val="20"/>
                <w:szCs w:val="20"/>
              </w:rPr>
            </w:pPr>
            <w:r w:rsidRPr="008502EB">
              <w:rPr>
                <w:sz w:val="20"/>
                <w:szCs w:val="20"/>
              </w:rPr>
              <w:t>81.0</w:t>
            </w:r>
          </w:p>
        </w:tc>
        <w:tc>
          <w:tcPr>
            <w:tcW w:w="1080" w:type="dxa"/>
            <w:shd w:val="clear" w:color="auto" w:fill="auto"/>
            <w:vAlign w:val="center"/>
          </w:tcPr>
          <w:p w:rsidR="0047041E" w:rsidRDefault="006B65DB">
            <w:pPr>
              <w:spacing w:after="0" w:line="240" w:lineRule="auto"/>
              <w:jc w:val="center"/>
              <w:rPr>
                <w:sz w:val="20"/>
                <w:szCs w:val="20"/>
              </w:rPr>
            </w:pPr>
            <w:r w:rsidRPr="008502EB">
              <w:rPr>
                <w:sz w:val="20"/>
                <w:szCs w:val="20"/>
              </w:rPr>
              <w:t>Improved Below Target</w:t>
            </w:r>
          </w:p>
        </w:tc>
        <w:tc>
          <w:tcPr>
            <w:tcW w:w="707" w:type="dxa"/>
            <w:shd w:val="clear" w:color="auto" w:fill="auto"/>
            <w:vAlign w:val="center"/>
          </w:tcPr>
          <w:p w:rsidR="0047041E" w:rsidRDefault="006B65DB">
            <w:pPr>
              <w:spacing w:after="0" w:line="240" w:lineRule="auto"/>
              <w:jc w:val="center"/>
              <w:rPr>
                <w:sz w:val="20"/>
                <w:szCs w:val="20"/>
              </w:rPr>
            </w:pPr>
            <w:r w:rsidRPr="008502EB">
              <w:rPr>
                <w:sz w:val="20"/>
                <w:szCs w:val="20"/>
              </w:rPr>
              <w:t>66.0</w:t>
            </w:r>
          </w:p>
        </w:tc>
        <w:tc>
          <w:tcPr>
            <w:tcW w:w="850" w:type="dxa"/>
            <w:shd w:val="clear" w:color="auto" w:fill="auto"/>
            <w:vAlign w:val="center"/>
          </w:tcPr>
          <w:p w:rsidR="0047041E" w:rsidRDefault="006B65DB">
            <w:pPr>
              <w:spacing w:after="0" w:line="240" w:lineRule="auto"/>
              <w:jc w:val="center"/>
              <w:rPr>
                <w:sz w:val="20"/>
                <w:szCs w:val="20"/>
              </w:rPr>
            </w:pPr>
            <w:r w:rsidRPr="008502EB">
              <w:rPr>
                <w:sz w:val="20"/>
                <w:szCs w:val="20"/>
              </w:rPr>
              <w:t>77.6</w:t>
            </w:r>
          </w:p>
        </w:tc>
        <w:tc>
          <w:tcPr>
            <w:tcW w:w="1080" w:type="dxa"/>
            <w:shd w:val="clear" w:color="auto" w:fill="auto"/>
            <w:vAlign w:val="center"/>
          </w:tcPr>
          <w:p w:rsidR="0047041E" w:rsidRDefault="006B65DB">
            <w:pPr>
              <w:spacing w:after="0" w:line="240" w:lineRule="auto"/>
              <w:jc w:val="center"/>
              <w:rPr>
                <w:sz w:val="20"/>
                <w:szCs w:val="20"/>
              </w:rPr>
            </w:pPr>
            <w:r w:rsidRPr="008502EB">
              <w:rPr>
                <w:sz w:val="20"/>
                <w:szCs w:val="20"/>
              </w:rPr>
              <w:t>No Change</w:t>
            </w:r>
          </w:p>
        </w:tc>
      </w:tr>
      <w:tr w:rsidR="006B65DB" w:rsidRPr="008502EB" w:rsidTr="00E560FD">
        <w:tc>
          <w:tcPr>
            <w:tcW w:w="1609" w:type="dxa"/>
            <w:shd w:val="clear" w:color="auto" w:fill="D9D9D9" w:themeFill="background1" w:themeFillShade="D9"/>
            <w:vAlign w:val="center"/>
          </w:tcPr>
          <w:p w:rsidR="0047041E" w:rsidRDefault="006B65DB">
            <w:pPr>
              <w:spacing w:after="0" w:line="240" w:lineRule="auto"/>
              <w:jc w:val="center"/>
              <w:rPr>
                <w:sz w:val="20"/>
                <w:szCs w:val="20"/>
              </w:rPr>
            </w:pPr>
            <w:r w:rsidRPr="008502EB">
              <w:rPr>
                <w:sz w:val="20"/>
                <w:szCs w:val="20"/>
              </w:rPr>
              <w:t>High Needs</w:t>
            </w:r>
          </w:p>
        </w:tc>
        <w:tc>
          <w:tcPr>
            <w:tcW w:w="735" w:type="dxa"/>
            <w:shd w:val="clear" w:color="auto" w:fill="D9D9D9" w:themeFill="background1" w:themeFillShade="D9"/>
            <w:vAlign w:val="center"/>
          </w:tcPr>
          <w:p w:rsidR="0047041E" w:rsidRDefault="006B65DB">
            <w:pPr>
              <w:spacing w:after="0" w:line="240" w:lineRule="auto"/>
              <w:jc w:val="center"/>
              <w:rPr>
                <w:sz w:val="20"/>
                <w:szCs w:val="20"/>
              </w:rPr>
            </w:pPr>
            <w:r w:rsidRPr="008502EB">
              <w:rPr>
                <w:sz w:val="20"/>
                <w:szCs w:val="20"/>
              </w:rPr>
              <w:t>74.6</w:t>
            </w:r>
          </w:p>
        </w:tc>
        <w:tc>
          <w:tcPr>
            <w:tcW w:w="850" w:type="dxa"/>
            <w:shd w:val="clear" w:color="auto" w:fill="D9D9D9" w:themeFill="background1" w:themeFillShade="D9"/>
            <w:vAlign w:val="center"/>
          </w:tcPr>
          <w:p w:rsidR="0047041E" w:rsidRDefault="006B65DB">
            <w:pPr>
              <w:spacing w:after="0" w:line="240" w:lineRule="auto"/>
              <w:jc w:val="center"/>
              <w:rPr>
                <w:sz w:val="20"/>
                <w:szCs w:val="20"/>
              </w:rPr>
            </w:pPr>
            <w:r w:rsidRPr="008502EB">
              <w:rPr>
                <w:sz w:val="20"/>
                <w:szCs w:val="20"/>
              </w:rPr>
              <w:t>83.3</w:t>
            </w:r>
          </w:p>
        </w:tc>
        <w:tc>
          <w:tcPr>
            <w:tcW w:w="1080" w:type="dxa"/>
            <w:shd w:val="clear" w:color="auto" w:fill="D9D9D9" w:themeFill="background1" w:themeFillShade="D9"/>
            <w:vAlign w:val="center"/>
          </w:tcPr>
          <w:p w:rsidR="0047041E" w:rsidRDefault="006B65DB">
            <w:pPr>
              <w:spacing w:after="0" w:line="240" w:lineRule="auto"/>
              <w:jc w:val="center"/>
              <w:rPr>
                <w:sz w:val="20"/>
                <w:szCs w:val="20"/>
              </w:rPr>
            </w:pPr>
            <w:r w:rsidRPr="008502EB">
              <w:rPr>
                <w:sz w:val="20"/>
                <w:szCs w:val="20"/>
              </w:rPr>
              <w:t>Improved Below Target</w:t>
            </w:r>
          </w:p>
        </w:tc>
        <w:tc>
          <w:tcPr>
            <w:tcW w:w="735" w:type="dxa"/>
            <w:shd w:val="clear" w:color="auto" w:fill="D9D9D9" w:themeFill="background1" w:themeFillShade="D9"/>
            <w:vAlign w:val="center"/>
          </w:tcPr>
          <w:p w:rsidR="0047041E" w:rsidRDefault="006B65DB">
            <w:pPr>
              <w:spacing w:after="0" w:line="240" w:lineRule="auto"/>
              <w:jc w:val="center"/>
              <w:rPr>
                <w:sz w:val="20"/>
                <w:szCs w:val="20"/>
              </w:rPr>
            </w:pPr>
            <w:r w:rsidRPr="008502EB">
              <w:rPr>
                <w:sz w:val="20"/>
                <w:szCs w:val="20"/>
              </w:rPr>
              <w:t>62.0</w:t>
            </w:r>
          </w:p>
        </w:tc>
        <w:tc>
          <w:tcPr>
            <w:tcW w:w="850" w:type="dxa"/>
            <w:shd w:val="clear" w:color="auto" w:fill="D9D9D9" w:themeFill="background1" w:themeFillShade="D9"/>
            <w:vAlign w:val="center"/>
          </w:tcPr>
          <w:p w:rsidR="0047041E" w:rsidRDefault="006B65DB">
            <w:pPr>
              <w:spacing w:after="0" w:line="240" w:lineRule="auto"/>
              <w:jc w:val="center"/>
              <w:rPr>
                <w:sz w:val="20"/>
                <w:szCs w:val="20"/>
              </w:rPr>
            </w:pPr>
            <w:r w:rsidRPr="008502EB">
              <w:rPr>
                <w:sz w:val="20"/>
                <w:szCs w:val="20"/>
              </w:rPr>
              <w:t>77.8</w:t>
            </w:r>
          </w:p>
        </w:tc>
        <w:tc>
          <w:tcPr>
            <w:tcW w:w="1080" w:type="dxa"/>
            <w:shd w:val="clear" w:color="auto" w:fill="D9D9D9" w:themeFill="background1" w:themeFillShade="D9"/>
          </w:tcPr>
          <w:p w:rsidR="0047041E" w:rsidRDefault="006B65DB">
            <w:pPr>
              <w:spacing w:after="0" w:line="240" w:lineRule="auto"/>
              <w:jc w:val="center"/>
            </w:pPr>
            <w:r w:rsidRPr="008502EB">
              <w:rPr>
                <w:sz w:val="20"/>
                <w:szCs w:val="20"/>
              </w:rPr>
              <w:t>Improved Below Target</w:t>
            </w:r>
          </w:p>
        </w:tc>
        <w:tc>
          <w:tcPr>
            <w:tcW w:w="707" w:type="dxa"/>
            <w:shd w:val="clear" w:color="auto" w:fill="D9D9D9" w:themeFill="background1" w:themeFillShade="D9"/>
            <w:vAlign w:val="center"/>
          </w:tcPr>
          <w:p w:rsidR="0047041E" w:rsidRDefault="006B65DB">
            <w:pPr>
              <w:spacing w:after="0" w:line="240" w:lineRule="auto"/>
              <w:jc w:val="center"/>
              <w:rPr>
                <w:sz w:val="20"/>
                <w:szCs w:val="20"/>
              </w:rPr>
            </w:pPr>
            <w:r w:rsidRPr="008502EB">
              <w:rPr>
                <w:sz w:val="20"/>
                <w:szCs w:val="20"/>
              </w:rPr>
              <w:t>59.4</w:t>
            </w:r>
          </w:p>
        </w:tc>
        <w:tc>
          <w:tcPr>
            <w:tcW w:w="850" w:type="dxa"/>
            <w:shd w:val="clear" w:color="auto" w:fill="D9D9D9" w:themeFill="background1" w:themeFillShade="D9"/>
            <w:vAlign w:val="center"/>
          </w:tcPr>
          <w:p w:rsidR="0047041E" w:rsidRDefault="006B65DB">
            <w:pPr>
              <w:spacing w:after="0" w:line="240" w:lineRule="auto"/>
              <w:jc w:val="center"/>
              <w:rPr>
                <w:sz w:val="20"/>
                <w:szCs w:val="20"/>
              </w:rPr>
            </w:pPr>
            <w:r w:rsidRPr="008502EB">
              <w:rPr>
                <w:sz w:val="20"/>
                <w:szCs w:val="20"/>
              </w:rPr>
              <w:t>74.2</w:t>
            </w:r>
          </w:p>
        </w:tc>
        <w:tc>
          <w:tcPr>
            <w:tcW w:w="1080" w:type="dxa"/>
            <w:shd w:val="clear" w:color="auto" w:fill="D9D9D9" w:themeFill="background1" w:themeFillShade="D9"/>
            <w:vAlign w:val="center"/>
          </w:tcPr>
          <w:p w:rsidR="0047041E" w:rsidRDefault="006B65DB">
            <w:pPr>
              <w:spacing w:after="0" w:line="240" w:lineRule="auto"/>
              <w:jc w:val="center"/>
              <w:rPr>
                <w:sz w:val="20"/>
                <w:szCs w:val="20"/>
              </w:rPr>
            </w:pPr>
            <w:r w:rsidRPr="008502EB">
              <w:rPr>
                <w:sz w:val="20"/>
                <w:szCs w:val="20"/>
              </w:rPr>
              <w:t>Improved Below Target</w:t>
            </w:r>
          </w:p>
        </w:tc>
      </w:tr>
      <w:tr w:rsidR="006B65DB" w:rsidRPr="008502EB" w:rsidTr="00E560FD">
        <w:tc>
          <w:tcPr>
            <w:tcW w:w="1609" w:type="dxa"/>
            <w:shd w:val="clear" w:color="auto" w:fill="auto"/>
            <w:vAlign w:val="center"/>
          </w:tcPr>
          <w:p w:rsidR="0047041E" w:rsidRDefault="006B65DB">
            <w:pPr>
              <w:spacing w:after="0" w:line="240" w:lineRule="auto"/>
              <w:jc w:val="center"/>
              <w:rPr>
                <w:sz w:val="20"/>
                <w:szCs w:val="20"/>
              </w:rPr>
            </w:pPr>
            <w:r w:rsidRPr="008502EB">
              <w:rPr>
                <w:sz w:val="20"/>
                <w:szCs w:val="20"/>
              </w:rPr>
              <w:t>Economically Disadvantaged</w:t>
            </w:r>
          </w:p>
        </w:tc>
        <w:tc>
          <w:tcPr>
            <w:tcW w:w="735" w:type="dxa"/>
            <w:shd w:val="clear" w:color="auto" w:fill="auto"/>
            <w:vAlign w:val="center"/>
          </w:tcPr>
          <w:p w:rsidR="0047041E" w:rsidRDefault="006B65DB">
            <w:pPr>
              <w:spacing w:after="0" w:line="240" w:lineRule="auto"/>
              <w:jc w:val="center"/>
              <w:rPr>
                <w:sz w:val="20"/>
                <w:szCs w:val="20"/>
              </w:rPr>
            </w:pPr>
            <w:r w:rsidRPr="008502EB">
              <w:rPr>
                <w:sz w:val="20"/>
                <w:szCs w:val="20"/>
              </w:rPr>
              <w:t>74.3</w:t>
            </w:r>
          </w:p>
        </w:tc>
        <w:tc>
          <w:tcPr>
            <w:tcW w:w="850" w:type="dxa"/>
            <w:shd w:val="clear" w:color="auto" w:fill="auto"/>
            <w:vAlign w:val="center"/>
          </w:tcPr>
          <w:p w:rsidR="0047041E" w:rsidRDefault="006B65DB">
            <w:pPr>
              <w:spacing w:after="0" w:line="240" w:lineRule="auto"/>
              <w:jc w:val="center"/>
              <w:rPr>
                <w:sz w:val="20"/>
                <w:szCs w:val="20"/>
              </w:rPr>
            </w:pPr>
            <w:r w:rsidRPr="008502EB">
              <w:rPr>
                <w:sz w:val="20"/>
                <w:szCs w:val="20"/>
              </w:rPr>
              <w:t>75.3</w:t>
            </w:r>
          </w:p>
        </w:tc>
        <w:tc>
          <w:tcPr>
            <w:tcW w:w="1080" w:type="dxa"/>
            <w:shd w:val="clear" w:color="auto" w:fill="auto"/>
            <w:vAlign w:val="center"/>
          </w:tcPr>
          <w:p w:rsidR="0047041E" w:rsidRDefault="006B65DB">
            <w:pPr>
              <w:spacing w:after="0" w:line="240" w:lineRule="auto"/>
              <w:jc w:val="center"/>
            </w:pPr>
            <w:r w:rsidRPr="008502EB">
              <w:rPr>
                <w:sz w:val="20"/>
                <w:szCs w:val="20"/>
              </w:rPr>
              <w:t>On Target</w:t>
            </w:r>
          </w:p>
        </w:tc>
        <w:tc>
          <w:tcPr>
            <w:tcW w:w="735" w:type="dxa"/>
            <w:shd w:val="clear" w:color="auto" w:fill="auto"/>
            <w:vAlign w:val="center"/>
          </w:tcPr>
          <w:p w:rsidR="0047041E" w:rsidRDefault="006B65DB">
            <w:pPr>
              <w:spacing w:after="0" w:line="240" w:lineRule="auto"/>
              <w:jc w:val="center"/>
              <w:rPr>
                <w:sz w:val="20"/>
                <w:szCs w:val="20"/>
              </w:rPr>
            </w:pPr>
            <w:r w:rsidRPr="008502EB">
              <w:rPr>
                <w:sz w:val="20"/>
                <w:szCs w:val="20"/>
              </w:rPr>
              <w:t>61.4</w:t>
            </w:r>
          </w:p>
        </w:tc>
        <w:tc>
          <w:tcPr>
            <w:tcW w:w="850" w:type="dxa"/>
            <w:shd w:val="clear" w:color="auto" w:fill="auto"/>
            <w:vAlign w:val="center"/>
          </w:tcPr>
          <w:p w:rsidR="0047041E" w:rsidRDefault="006B65DB">
            <w:pPr>
              <w:spacing w:after="0" w:line="240" w:lineRule="auto"/>
              <w:jc w:val="center"/>
              <w:rPr>
                <w:sz w:val="20"/>
                <w:szCs w:val="20"/>
              </w:rPr>
            </w:pPr>
            <w:r w:rsidRPr="008502EB">
              <w:rPr>
                <w:sz w:val="20"/>
                <w:szCs w:val="20"/>
              </w:rPr>
              <w:t>63.5</w:t>
            </w:r>
          </w:p>
        </w:tc>
        <w:tc>
          <w:tcPr>
            <w:tcW w:w="1080" w:type="dxa"/>
            <w:shd w:val="clear" w:color="auto" w:fill="auto"/>
          </w:tcPr>
          <w:p w:rsidR="0047041E" w:rsidRDefault="006B65DB">
            <w:pPr>
              <w:spacing w:after="0" w:line="240" w:lineRule="auto"/>
              <w:jc w:val="center"/>
            </w:pPr>
            <w:r w:rsidRPr="008502EB">
              <w:rPr>
                <w:sz w:val="20"/>
                <w:szCs w:val="20"/>
              </w:rPr>
              <w:t>Improved Below Target</w:t>
            </w:r>
          </w:p>
        </w:tc>
        <w:tc>
          <w:tcPr>
            <w:tcW w:w="707" w:type="dxa"/>
            <w:shd w:val="clear" w:color="auto" w:fill="auto"/>
            <w:vAlign w:val="center"/>
          </w:tcPr>
          <w:p w:rsidR="0047041E" w:rsidRDefault="006B65DB">
            <w:pPr>
              <w:spacing w:after="0" w:line="240" w:lineRule="auto"/>
              <w:jc w:val="center"/>
              <w:rPr>
                <w:sz w:val="20"/>
                <w:szCs w:val="20"/>
              </w:rPr>
            </w:pPr>
            <w:r w:rsidRPr="008502EB">
              <w:rPr>
                <w:sz w:val="20"/>
                <w:szCs w:val="20"/>
              </w:rPr>
              <w:t>59.2</w:t>
            </w:r>
          </w:p>
        </w:tc>
        <w:tc>
          <w:tcPr>
            <w:tcW w:w="850" w:type="dxa"/>
            <w:shd w:val="clear" w:color="auto" w:fill="auto"/>
            <w:vAlign w:val="center"/>
          </w:tcPr>
          <w:p w:rsidR="0047041E" w:rsidRDefault="006B65DB">
            <w:pPr>
              <w:spacing w:after="0" w:line="240" w:lineRule="auto"/>
              <w:jc w:val="center"/>
              <w:rPr>
                <w:sz w:val="20"/>
                <w:szCs w:val="20"/>
              </w:rPr>
            </w:pPr>
            <w:r w:rsidRPr="008502EB">
              <w:rPr>
                <w:sz w:val="20"/>
                <w:szCs w:val="20"/>
              </w:rPr>
              <w:t>62.8</w:t>
            </w:r>
          </w:p>
        </w:tc>
        <w:tc>
          <w:tcPr>
            <w:tcW w:w="1080" w:type="dxa"/>
            <w:shd w:val="clear" w:color="auto" w:fill="auto"/>
            <w:vAlign w:val="center"/>
          </w:tcPr>
          <w:p w:rsidR="0047041E" w:rsidRDefault="006B65DB">
            <w:pPr>
              <w:spacing w:after="0" w:line="240" w:lineRule="auto"/>
              <w:jc w:val="center"/>
              <w:rPr>
                <w:sz w:val="20"/>
                <w:szCs w:val="20"/>
              </w:rPr>
            </w:pPr>
            <w:r w:rsidRPr="008502EB">
              <w:rPr>
                <w:sz w:val="20"/>
                <w:szCs w:val="20"/>
              </w:rPr>
              <w:t>No Change</w:t>
            </w:r>
          </w:p>
        </w:tc>
      </w:tr>
      <w:tr w:rsidR="006B65DB" w:rsidRPr="008502EB" w:rsidTr="00E560FD">
        <w:tc>
          <w:tcPr>
            <w:tcW w:w="1609" w:type="dxa"/>
            <w:shd w:val="clear" w:color="auto" w:fill="D9D9D9" w:themeFill="background1" w:themeFillShade="D9"/>
            <w:vAlign w:val="center"/>
          </w:tcPr>
          <w:p w:rsidR="0047041E" w:rsidRDefault="006B65DB">
            <w:pPr>
              <w:spacing w:after="0" w:line="240" w:lineRule="auto"/>
              <w:jc w:val="center"/>
              <w:rPr>
                <w:sz w:val="20"/>
                <w:szCs w:val="20"/>
              </w:rPr>
            </w:pPr>
            <w:r w:rsidRPr="008502EB">
              <w:rPr>
                <w:sz w:val="20"/>
                <w:szCs w:val="20"/>
              </w:rPr>
              <w:t>ELLs</w:t>
            </w:r>
          </w:p>
        </w:tc>
        <w:tc>
          <w:tcPr>
            <w:tcW w:w="735" w:type="dxa"/>
            <w:shd w:val="clear" w:color="auto" w:fill="D9D9D9" w:themeFill="background1" w:themeFillShade="D9"/>
            <w:vAlign w:val="center"/>
          </w:tcPr>
          <w:p w:rsidR="0047041E" w:rsidRDefault="006B65DB">
            <w:pPr>
              <w:spacing w:after="0" w:line="240" w:lineRule="auto"/>
              <w:jc w:val="center"/>
              <w:rPr>
                <w:sz w:val="20"/>
                <w:szCs w:val="20"/>
              </w:rPr>
            </w:pPr>
            <w:r w:rsidRPr="008502EB">
              <w:rPr>
                <w:sz w:val="20"/>
                <w:szCs w:val="20"/>
              </w:rPr>
              <w:t>71.5</w:t>
            </w:r>
          </w:p>
        </w:tc>
        <w:tc>
          <w:tcPr>
            <w:tcW w:w="850" w:type="dxa"/>
            <w:shd w:val="clear" w:color="auto" w:fill="D9D9D9" w:themeFill="background1" w:themeFillShade="D9"/>
            <w:vAlign w:val="center"/>
          </w:tcPr>
          <w:p w:rsidR="0047041E" w:rsidRDefault="006B65DB">
            <w:pPr>
              <w:spacing w:after="0" w:line="240" w:lineRule="auto"/>
              <w:jc w:val="center"/>
              <w:rPr>
                <w:sz w:val="20"/>
                <w:szCs w:val="20"/>
              </w:rPr>
            </w:pPr>
            <w:r w:rsidRPr="008502EB">
              <w:rPr>
                <w:sz w:val="20"/>
                <w:szCs w:val="20"/>
              </w:rPr>
              <w:t>78.8</w:t>
            </w:r>
          </w:p>
        </w:tc>
        <w:tc>
          <w:tcPr>
            <w:tcW w:w="1080" w:type="dxa"/>
            <w:shd w:val="clear" w:color="auto" w:fill="D9D9D9" w:themeFill="background1" w:themeFillShade="D9"/>
            <w:vAlign w:val="center"/>
          </w:tcPr>
          <w:p w:rsidR="0047041E" w:rsidRDefault="006B65DB">
            <w:pPr>
              <w:spacing w:after="0" w:line="240" w:lineRule="auto"/>
              <w:jc w:val="center"/>
            </w:pPr>
            <w:r w:rsidRPr="008502EB">
              <w:rPr>
                <w:sz w:val="20"/>
                <w:szCs w:val="20"/>
              </w:rPr>
              <w:t>Improved Below Target</w:t>
            </w:r>
          </w:p>
        </w:tc>
        <w:tc>
          <w:tcPr>
            <w:tcW w:w="735" w:type="dxa"/>
            <w:shd w:val="clear" w:color="auto" w:fill="D9D9D9" w:themeFill="background1" w:themeFillShade="D9"/>
            <w:vAlign w:val="center"/>
          </w:tcPr>
          <w:p w:rsidR="0047041E" w:rsidRDefault="006B65DB">
            <w:pPr>
              <w:spacing w:after="0" w:line="240" w:lineRule="auto"/>
              <w:jc w:val="center"/>
              <w:rPr>
                <w:sz w:val="20"/>
                <w:szCs w:val="20"/>
              </w:rPr>
            </w:pPr>
            <w:r w:rsidRPr="008502EB">
              <w:rPr>
                <w:sz w:val="20"/>
                <w:szCs w:val="20"/>
              </w:rPr>
              <w:t>59.4</w:t>
            </w:r>
          </w:p>
        </w:tc>
        <w:tc>
          <w:tcPr>
            <w:tcW w:w="850" w:type="dxa"/>
            <w:shd w:val="clear" w:color="auto" w:fill="D9D9D9" w:themeFill="background1" w:themeFillShade="D9"/>
            <w:vAlign w:val="center"/>
          </w:tcPr>
          <w:p w:rsidR="0047041E" w:rsidRDefault="006B65DB">
            <w:pPr>
              <w:spacing w:after="0" w:line="240" w:lineRule="auto"/>
              <w:jc w:val="center"/>
              <w:rPr>
                <w:sz w:val="20"/>
                <w:szCs w:val="20"/>
              </w:rPr>
            </w:pPr>
            <w:r w:rsidRPr="008502EB">
              <w:rPr>
                <w:sz w:val="20"/>
                <w:szCs w:val="20"/>
              </w:rPr>
              <w:t>74.7</w:t>
            </w:r>
          </w:p>
        </w:tc>
        <w:tc>
          <w:tcPr>
            <w:tcW w:w="1080" w:type="dxa"/>
            <w:shd w:val="clear" w:color="auto" w:fill="D9D9D9" w:themeFill="background1" w:themeFillShade="D9"/>
          </w:tcPr>
          <w:p w:rsidR="0047041E" w:rsidRDefault="006B65DB">
            <w:pPr>
              <w:spacing w:after="0" w:line="240" w:lineRule="auto"/>
              <w:jc w:val="center"/>
            </w:pPr>
            <w:r w:rsidRPr="008502EB">
              <w:rPr>
                <w:sz w:val="20"/>
                <w:szCs w:val="20"/>
              </w:rPr>
              <w:t>Improved Below Target</w:t>
            </w:r>
          </w:p>
        </w:tc>
        <w:tc>
          <w:tcPr>
            <w:tcW w:w="707" w:type="dxa"/>
            <w:shd w:val="clear" w:color="auto" w:fill="D9D9D9" w:themeFill="background1" w:themeFillShade="D9"/>
            <w:vAlign w:val="center"/>
          </w:tcPr>
          <w:p w:rsidR="0047041E" w:rsidRDefault="006B65DB">
            <w:pPr>
              <w:spacing w:after="0" w:line="240" w:lineRule="auto"/>
              <w:jc w:val="center"/>
              <w:rPr>
                <w:sz w:val="20"/>
                <w:szCs w:val="20"/>
              </w:rPr>
            </w:pPr>
            <w:r w:rsidRPr="008502EB">
              <w:rPr>
                <w:sz w:val="20"/>
                <w:szCs w:val="20"/>
              </w:rPr>
              <w:t>53.8</w:t>
            </w:r>
          </w:p>
        </w:tc>
        <w:tc>
          <w:tcPr>
            <w:tcW w:w="850" w:type="dxa"/>
            <w:shd w:val="clear" w:color="auto" w:fill="D9D9D9" w:themeFill="background1" w:themeFillShade="D9"/>
            <w:vAlign w:val="center"/>
          </w:tcPr>
          <w:p w:rsidR="0047041E" w:rsidRDefault="006B65DB">
            <w:pPr>
              <w:spacing w:after="0" w:line="240" w:lineRule="auto"/>
              <w:jc w:val="center"/>
              <w:rPr>
                <w:sz w:val="20"/>
                <w:szCs w:val="20"/>
              </w:rPr>
            </w:pPr>
            <w:r w:rsidRPr="008502EB">
              <w:rPr>
                <w:sz w:val="20"/>
                <w:szCs w:val="20"/>
              </w:rPr>
              <w:t>68.8</w:t>
            </w:r>
          </w:p>
        </w:tc>
        <w:tc>
          <w:tcPr>
            <w:tcW w:w="1080" w:type="dxa"/>
            <w:shd w:val="clear" w:color="auto" w:fill="D9D9D9" w:themeFill="background1" w:themeFillShade="D9"/>
            <w:vAlign w:val="center"/>
          </w:tcPr>
          <w:p w:rsidR="0047041E" w:rsidRDefault="006B65DB">
            <w:pPr>
              <w:spacing w:after="0" w:line="240" w:lineRule="auto"/>
              <w:jc w:val="center"/>
              <w:rPr>
                <w:sz w:val="20"/>
                <w:szCs w:val="20"/>
              </w:rPr>
            </w:pPr>
            <w:r w:rsidRPr="008502EB">
              <w:rPr>
                <w:sz w:val="20"/>
                <w:szCs w:val="20"/>
              </w:rPr>
              <w:t>Improved Below Target</w:t>
            </w:r>
          </w:p>
        </w:tc>
      </w:tr>
      <w:tr w:rsidR="006B65DB" w:rsidRPr="008502EB" w:rsidTr="00E560FD">
        <w:tc>
          <w:tcPr>
            <w:tcW w:w="1609" w:type="dxa"/>
            <w:shd w:val="clear" w:color="auto" w:fill="auto"/>
            <w:vAlign w:val="center"/>
          </w:tcPr>
          <w:p w:rsidR="0047041E" w:rsidRDefault="006B65DB">
            <w:pPr>
              <w:spacing w:after="0" w:line="240" w:lineRule="auto"/>
              <w:jc w:val="center"/>
              <w:rPr>
                <w:sz w:val="20"/>
                <w:szCs w:val="20"/>
              </w:rPr>
            </w:pPr>
            <w:r w:rsidRPr="008502EB">
              <w:rPr>
                <w:sz w:val="20"/>
                <w:szCs w:val="20"/>
              </w:rPr>
              <w:t>Students with disabilities</w:t>
            </w:r>
          </w:p>
        </w:tc>
        <w:tc>
          <w:tcPr>
            <w:tcW w:w="735" w:type="dxa"/>
            <w:shd w:val="clear" w:color="auto" w:fill="auto"/>
            <w:vAlign w:val="center"/>
          </w:tcPr>
          <w:p w:rsidR="0047041E" w:rsidRDefault="006B65DB">
            <w:pPr>
              <w:spacing w:after="0" w:line="240" w:lineRule="auto"/>
              <w:jc w:val="center"/>
              <w:rPr>
                <w:sz w:val="20"/>
                <w:szCs w:val="20"/>
              </w:rPr>
            </w:pPr>
            <w:r w:rsidRPr="008502EB">
              <w:rPr>
                <w:sz w:val="20"/>
                <w:szCs w:val="20"/>
              </w:rPr>
              <w:t>59.8</w:t>
            </w:r>
          </w:p>
        </w:tc>
        <w:tc>
          <w:tcPr>
            <w:tcW w:w="850" w:type="dxa"/>
            <w:shd w:val="clear" w:color="auto" w:fill="auto"/>
            <w:vAlign w:val="center"/>
          </w:tcPr>
          <w:p w:rsidR="0047041E" w:rsidRDefault="006B65DB">
            <w:pPr>
              <w:spacing w:after="0" w:line="240" w:lineRule="auto"/>
              <w:jc w:val="center"/>
              <w:rPr>
                <w:sz w:val="20"/>
                <w:szCs w:val="20"/>
              </w:rPr>
            </w:pPr>
            <w:r w:rsidRPr="008502EB">
              <w:rPr>
                <w:sz w:val="20"/>
                <w:szCs w:val="20"/>
              </w:rPr>
              <w:t>73.1</w:t>
            </w:r>
          </w:p>
        </w:tc>
        <w:tc>
          <w:tcPr>
            <w:tcW w:w="1080" w:type="dxa"/>
            <w:shd w:val="clear" w:color="auto" w:fill="auto"/>
            <w:vAlign w:val="center"/>
          </w:tcPr>
          <w:p w:rsidR="0047041E" w:rsidRDefault="006B65DB">
            <w:pPr>
              <w:spacing w:after="0" w:line="240" w:lineRule="auto"/>
              <w:jc w:val="center"/>
            </w:pPr>
            <w:r w:rsidRPr="008502EB">
              <w:rPr>
                <w:sz w:val="20"/>
                <w:szCs w:val="20"/>
              </w:rPr>
              <w:t>Improved Below Target</w:t>
            </w:r>
          </w:p>
        </w:tc>
        <w:tc>
          <w:tcPr>
            <w:tcW w:w="735" w:type="dxa"/>
            <w:shd w:val="clear" w:color="auto" w:fill="auto"/>
            <w:vAlign w:val="center"/>
          </w:tcPr>
          <w:p w:rsidR="0047041E" w:rsidRDefault="006B65DB">
            <w:pPr>
              <w:spacing w:after="0" w:line="240" w:lineRule="auto"/>
              <w:jc w:val="center"/>
              <w:rPr>
                <w:sz w:val="20"/>
                <w:szCs w:val="20"/>
              </w:rPr>
            </w:pPr>
            <w:r w:rsidRPr="008502EB">
              <w:rPr>
                <w:sz w:val="20"/>
                <w:szCs w:val="20"/>
              </w:rPr>
              <w:t>46.3</w:t>
            </w:r>
          </w:p>
        </w:tc>
        <w:tc>
          <w:tcPr>
            <w:tcW w:w="850" w:type="dxa"/>
            <w:shd w:val="clear" w:color="auto" w:fill="auto"/>
            <w:vAlign w:val="center"/>
          </w:tcPr>
          <w:p w:rsidR="0047041E" w:rsidRDefault="006B65DB">
            <w:pPr>
              <w:spacing w:after="0" w:line="240" w:lineRule="auto"/>
              <w:jc w:val="center"/>
              <w:rPr>
                <w:sz w:val="20"/>
                <w:szCs w:val="20"/>
              </w:rPr>
            </w:pPr>
            <w:r w:rsidRPr="008502EB">
              <w:rPr>
                <w:sz w:val="20"/>
                <w:szCs w:val="20"/>
              </w:rPr>
              <w:t>67.9</w:t>
            </w:r>
          </w:p>
        </w:tc>
        <w:tc>
          <w:tcPr>
            <w:tcW w:w="1080" w:type="dxa"/>
            <w:shd w:val="clear" w:color="auto" w:fill="auto"/>
          </w:tcPr>
          <w:p w:rsidR="0047041E" w:rsidRDefault="006B65DB">
            <w:pPr>
              <w:spacing w:after="0" w:line="240" w:lineRule="auto"/>
              <w:jc w:val="center"/>
            </w:pPr>
            <w:r w:rsidRPr="008502EB">
              <w:rPr>
                <w:sz w:val="20"/>
                <w:szCs w:val="20"/>
              </w:rPr>
              <w:t>Improved Below Target</w:t>
            </w:r>
          </w:p>
        </w:tc>
        <w:tc>
          <w:tcPr>
            <w:tcW w:w="707" w:type="dxa"/>
            <w:shd w:val="clear" w:color="auto" w:fill="auto"/>
            <w:vAlign w:val="center"/>
          </w:tcPr>
          <w:p w:rsidR="0047041E" w:rsidRDefault="006B65DB">
            <w:pPr>
              <w:spacing w:after="0" w:line="240" w:lineRule="auto"/>
              <w:jc w:val="center"/>
              <w:rPr>
                <w:sz w:val="20"/>
                <w:szCs w:val="20"/>
              </w:rPr>
            </w:pPr>
            <w:r w:rsidRPr="008502EB">
              <w:rPr>
                <w:sz w:val="20"/>
                <w:szCs w:val="20"/>
              </w:rPr>
              <w:t>48.6</w:t>
            </w:r>
          </w:p>
        </w:tc>
        <w:tc>
          <w:tcPr>
            <w:tcW w:w="850" w:type="dxa"/>
            <w:shd w:val="clear" w:color="auto" w:fill="auto"/>
            <w:vAlign w:val="center"/>
          </w:tcPr>
          <w:p w:rsidR="0047041E" w:rsidRDefault="006B65DB">
            <w:pPr>
              <w:spacing w:after="0" w:line="240" w:lineRule="auto"/>
              <w:jc w:val="center"/>
              <w:rPr>
                <w:sz w:val="20"/>
                <w:szCs w:val="20"/>
              </w:rPr>
            </w:pPr>
            <w:r w:rsidRPr="008502EB">
              <w:rPr>
                <w:sz w:val="20"/>
                <w:szCs w:val="20"/>
              </w:rPr>
              <w:t>68.0</w:t>
            </w:r>
          </w:p>
        </w:tc>
        <w:tc>
          <w:tcPr>
            <w:tcW w:w="1080" w:type="dxa"/>
            <w:shd w:val="clear" w:color="auto" w:fill="auto"/>
            <w:vAlign w:val="center"/>
          </w:tcPr>
          <w:p w:rsidR="0047041E" w:rsidRDefault="006B65DB">
            <w:pPr>
              <w:spacing w:after="0" w:line="240" w:lineRule="auto"/>
              <w:jc w:val="center"/>
              <w:rPr>
                <w:sz w:val="20"/>
                <w:szCs w:val="20"/>
              </w:rPr>
            </w:pPr>
            <w:r w:rsidRPr="008502EB">
              <w:rPr>
                <w:sz w:val="20"/>
                <w:szCs w:val="20"/>
              </w:rPr>
              <w:t>Improved Below Target</w:t>
            </w:r>
          </w:p>
        </w:tc>
      </w:tr>
    </w:tbl>
    <w:p w:rsidR="006B65DB" w:rsidRPr="008502EB" w:rsidRDefault="006B65DB" w:rsidP="006B65DB">
      <w:pPr>
        <w:spacing w:after="0" w:line="240" w:lineRule="auto"/>
      </w:pPr>
    </w:p>
    <w:p w:rsidR="00CE2CAB" w:rsidRDefault="00CE2CAB" w:rsidP="0091151B">
      <w:pPr>
        <w:spacing w:after="0" w:line="240" w:lineRule="auto"/>
        <w:contextualSpacing/>
        <w:rPr>
          <w:rFonts w:eastAsia="Times New Roman" w:cs="Times New Roman"/>
          <w:b/>
        </w:rPr>
      </w:pPr>
    </w:p>
    <w:p w:rsidR="0091151B" w:rsidRDefault="0091151B" w:rsidP="0091151B">
      <w:pPr>
        <w:spacing w:after="0" w:line="240" w:lineRule="auto"/>
        <w:contextualSpacing/>
        <w:rPr>
          <w:rFonts w:eastAsia="Times New Roman" w:cs="Times New Roman"/>
          <w:b/>
        </w:rPr>
      </w:pPr>
      <w:r w:rsidRPr="008502EB">
        <w:rPr>
          <w:rFonts w:eastAsia="Times New Roman" w:cs="Times New Roman"/>
          <w:b/>
        </w:rPr>
        <w:t>In 2016, students’ growth in ELA was on target for all students, high needs students</w:t>
      </w:r>
      <w:r>
        <w:rPr>
          <w:rFonts w:eastAsia="Times New Roman" w:cs="Times New Roman"/>
          <w:b/>
        </w:rPr>
        <w:t>,</w:t>
      </w:r>
      <w:r w:rsidRPr="008502EB">
        <w:rPr>
          <w:rFonts w:eastAsia="Times New Roman" w:cs="Times New Roman"/>
          <w:b/>
        </w:rPr>
        <w:t xml:space="preserve"> and English language learners</w:t>
      </w:r>
      <w:r>
        <w:rPr>
          <w:rFonts w:eastAsia="Times New Roman" w:cs="Times New Roman"/>
          <w:b/>
        </w:rPr>
        <w:t>,</w:t>
      </w:r>
      <w:r w:rsidRPr="008502EB">
        <w:rPr>
          <w:rFonts w:eastAsia="Times New Roman" w:cs="Times New Roman"/>
          <w:b/>
        </w:rPr>
        <w:t xml:space="preserve"> and students’ growth in ELA was moderate compared </w:t>
      </w:r>
      <w:r>
        <w:rPr>
          <w:rFonts w:eastAsia="Times New Roman" w:cs="Times New Roman"/>
          <w:b/>
        </w:rPr>
        <w:t>with</w:t>
      </w:r>
      <w:r w:rsidRPr="008502EB">
        <w:rPr>
          <w:rFonts w:eastAsia="Times New Roman" w:cs="Times New Roman"/>
          <w:b/>
        </w:rPr>
        <w:t xml:space="preserve"> their academic peers statewide for all students and each group that make</w:t>
      </w:r>
      <w:r>
        <w:rPr>
          <w:rFonts w:eastAsia="Times New Roman" w:cs="Times New Roman"/>
          <w:b/>
        </w:rPr>
        <w:t>s up the high needs population.</w:t>
      </w:r>
      <w:r w:rsidRPr="008502EB">
        <w:rPr>
          <w:rFonts w:eastAsia="Times New Roman" w:cs="Times New Roman"/>
          <w:b/>
        </w:rPr>
        <w:t xml:space="preserve"> </w:t>
      </w:r>
      <w:r>
        <w:rPr>
          <w:rFonts w:eastAsia="Times New Roman" w:cs="Times New Roman"/>
          <w:b/>
        </w:rPr>
        <w:t>S</w:t>
      </w:r>
      <w:r w:rsidRPr="008502EB">
        <w:rPr>
          <w:rFonts w:eastAsia="Times New Roman" w:cs="Times New Roman"/>
          <w:b/>
        </w:rPr>
        <w:t xml:space="preserve">tudents’ growth </w:t>
      </w:r>
      <w:r>
        <w:rPr>
          <w:rFonts w:eastAsia="Times New Roman" w:cs="Times New Roman"/>
          <w:b/>
        </w:rPr>
        <w:t xml:space="preserve">in math </w:t>
      </w:r>
      <w:r w:rsidRPr="008502EB">
        <w:rPr>
          <w:rFonts w:eastAsia="Times New Roman" w:cs="Times New Roman"/>
          <w:b/>
        </w:rPr>
        <w:t>was below target for all students and each group that makes up the high needs population</w:t>
      </w:r>
      <w:r>
        <w:rPr>
          <w:rFonts w:eastAsia="Times New Roman" w:cs="Times New Roman"/>
          <w:b/>
        </w:rPr>
        <w:t>, and students’ growth in math was</w:t>
      </w:r>
      <w:r w:rsidRPr="008502EB">
        <w:rPr>
          <w:rFonts w:eastAsia="Times New Roman" w:cs="Times New Roman"/>
          <w:b/>
        </w:rPr>
        <w:t xml:space="preserve"> moderate compared </w:t>
      </w:r>
      <w:r>
        <w:rPr>
          <w:rFonts w:eastAsia="Times New Roman" w:cs="Times New Roman"/>
          <w:b/>
        </w:rPr>
        <w:t>with</w:t>
      </w:r>
      <w:r w:rsidRPr="008502EB">
        <w:rPr>
          <w:rFonts w:eastAsia="Times New Roman" w:cs="Times New Roman"/>
          <w:b/>
        </w:rPr>
        <w:t xml:space="preserve"> their academic peers statewide.</w:t>
      </w:r>
    </w:p>
    <w:p w:rsidR="00161A9E" w:rsidRDefault="00161A9E" w:rsidP="0091151B">
      <w:pPr>
        <w:spacing w:after="0" w:line="240" w:lineRule="auto"/>
        <w:contextualSpacing/>
        <w:rPr>
          <w:rFonts w:eastAsia="Times New Roman" w:cs="Times New Roman"/>
          <w:b/>
        </w:rPr>
      </w:pPr>
    </w:p>
    <w:p w:rsidR="00F157E2" w:rsidRPr="008502EB" w:rsidRDefault="00F157E2" w:rsidP="00F157E2">
      <w:pPr>
        <w:spacing w:after="0" w:line="240" w:lineRule="auto"/>
        <w:jc w:val="center"/>
        <w:rPr>
          <w:b/>
          <w:sz w:val="20"/>
          <w:szCs w:val="20"/>
        </w:rPr>
      </w:pPr>
      <w:r w:rsidRPr="008502EB">
        <w:rPr>
          <w:b/>
          <w:sz w:val="20"/>
          <w:szCs w:val="20"/>
        </w:rPr>
        <w:t xml:space="preserve">Table </w:t>
      </w:r>
      <w:r w:rsidR="005C7DC2">
        <w:rPr>
          <w:b/>
          <w:sz w:val="20"/>
          <w:szCs w:val="20"/>
        </w:rPr>
        <w:t>5</w:t>
      </w:r>
      <w:r w:rsidRPr="008502EB">
        <w:rPr>
          <w:b/>
          <w:sz w:val="20"/>
          <w:szCs w:val="20"/>
        </w:rPr>
        <w:t>: Worcester Public Schools</w:t>
      </w:r>
    </w:p>
    <w:p w:rsidR="00F157E2" w:rsidRPr="008502EB" w:rsidRDefault="00F157E2" w:rsidP="00F157E2">
      <w:pPr>
        <w:spacing w:after="0" w:line="240" w:lineRule="auto"/>
        <w:contextualSpacing/>
        <w:jc w:val="center"/>
        <w:rPr>
          <w:rFonts w:eastAsia="Times New Roman" w:cs="Times New Roman"/>
          <w:b/>
        </w:rPr>
      </w:pPr>
      <w:r w:rsidRPr="008502EB">
        <w:rPr>
          <w:b/>
          <w:sz w:val="20"/>
          <w:szCs w:val="20"/>
        </w:rPr>
        <w:t>2016 Median ELA and Math SGP by Subgroup</w:t>
      </w:r>
    </w:p>
    <w:tbl>
      <w:tblPr>
        <w:tblStyle w:val="TableGrid11"/>
        <w:tblW w:w="0" w:type="auto"/>
        <w:tblLook w:val="04A0"/>
      </w:tblPr>
      <w:tblGrid>
        <w:gridCol w:w="1379"/>
        <w:gridCol w:w="1363"/>
        <w:gridCol w:w="1363"/>
        <w:gridCol w:w="1363"/>
        <w:gridCol w:w="1363"/>
        <w:gridCol w:w="1363"/>
        <w:gridCol w:w="1364"/>
      </w:tblGrid>
      <w:tr w:rsidR="00F157E2" w:rsidRPr="008502EB" w:rsidTr="00E560FD">
        <w:tc>
          <w:tcPr>
            <w:tcW w:w="1379" w:type="dxa"/>
            <w:vMerge w:val="restart"/>
            <w:shd w:val="clear" w:color="auto" w:fill="D9D9D9" w:themeFill="background1" w:themeFillShade="D9"/>
            <w:vAlign w:val="center"/>
          </w:tcPr>
          <w:p w:rsidR="00F157E2" w:rsidRPr="008502EB" w:rsidRDefault="00F157E2" w:rsidP="00F157E2">
            <w:pPr>
              <w:spacing w:after="0" w:line="240" w:lineRule="auto"/>
              <w:jc w:val="center"/>
              <w:rPr>
                <w:b/>
                <w:sz w:val="20"/>
                <w:szCs w:val="20"/>
              </w:rPr>
            </w:pPr>
            <w:r w:rsidRPr="008502EB">
              <w:rPr>
                <w:b/>
                <w:sz w:val="20"/>
                <w:szCs w:val="20"/>
              </w:rPr>
              <w:t>Group</w:t>
            </w:r>
          </w:p>
        </w:tc>
        <w:tc>
          <w:tcPr>
            <w:tcW w:w="4089" w:type="dxa"/>
            <w:gridSpan w:val="3"/>
            <w:shd w:val="clear" w:color="auto" w:fill="D9D9D9" w:themeFill="background1" w:themeFillShade="D9"/>
          </w:tcPr>
          <w:p w:rsidR="00F157E2" w:rsidRPr="008502EB" w:rsidRDefault="00F157E2" w:rsidP="00F157E2">
            <w:pPr>
              <w:spacing w:after="0" w:line="240" w:lineRule="auto"/>
              <w:jc w:val="center"/>
              <w:rPr>
                <w:b/>
                <w:sz w:val="20"/>
                <w:szCs w:val="20"/>
              </w:rPr>
            </w:pPr>
            <w:r w:rsidRPr="008502EB">
              <w:rPr>
                <w:b/>
                <w:sz w:val="20"/>
                <w:szCs w:val="20"/>
              </w:rPr>
              <w:t>2016 Median ELA SGP</w:t>
            </w:r>
          </w:p>
        </w:tc>
        <w:tc>
          <w:tcPr>
            <w:tcW w:w="4090" w:type="dxa"/>
            <w:gridSpan w:val="3"/>
            <w:shd w:val="clear" w:color="auto" w:fill="D9D9D9" w:themeFill="background1" w:themeFillShade="D9"/>
          </w:tcPr>
          <w:p w:rsidR="00F157E2" w:rsidRPr="008502EB" w:rsidRDefault="00F157E2" w:rsidP="00F157E2">
            <w:pPr>
              <w:spacing w:after="0" w:line="240" w:lineRule="auto"/>
              <w:jc w:val="center"/>
              <w:rPr>
                <w:b/>
                <w:sz w:val="20"/>
                <w:szCs w:val="20"/>
              </w:rPr>
            </w:pPr>
            <w:r w:rsidRPr="008502EB">
              <w:rPr>
                <w:b/>
                <w:sz w:val="20"/>
                <w:szCs w:val="20"/>
              </w:rPr>
              <w:t>2016 Median Math SGP</w:t>
            </w:r>
          </w:p>
        </w:tc>
      </w:tr>
      <w:tr w:rsidR="00F157E2" w:rsidRPr="008502EB" w:rsidTr="00E560FD">
        <w:tc>
          <w:tcPr>
            <w:tcW w:w="1379" w:type="dxa"/>
            <w:vMerge/>
            <w:shd w:val="clear" w:color="auto" w:fill="D9D9D9" w:themeFill="background1" w:themeFillShade="D9"/>
            <w:vAlign w:val="center"/>
          </w:tcPr>
          <w:p w:rsidR="00F157E2" w:rsidRPr="008502EB" w:rsidRDefault="00F157E2" w:rsidP="00F157E2">
            <w:pPr>
              <w:spacing w:after="0" w:line="240" w:lineRule="auto"/>
              <w:jc w:val="center"/>
              <w:rPr>
                <w:b/>
                <w:sz w:val="20"/>
                <w:szCs w:val="20"/>
              </w:rPr>
            </w:pPr>
          </w:p>
        </w:tc>
        <w:tc>
          <w:tcPr>
            <w:tcW w:w="1363" w:type="dxa"/>
            <w:shd w:val="clear" w:color="auto" w:fill="D9D9D9" w:themeFill="background1" w:themeFillShade="D9"/>
            <w:vAlign w:val="center"/>
          </w:tcPr>
          <w:p w:rsidR="00F157E2" w:rsidRPr="008502EB" w:rsidRDefault="00F157E2" w:rsidP="00F157E2">
            <w:pPr>
              <w:spacing w:after="0" w:line="240" w:lineRule="auto"/>
              <w:jc w:val="center"/>
              <w:rPr>
                <w:b/>
                <w:sz w:val="20"/>
                <w:szCs w:val="20"/>
              </w:rPr>
            </w:pPr>
            <w:r w:rsidRPr="008502EB">
              <w:rPr>
                <w:b/>
                <w:sz w:val="20"/>
                <w:szCs w:val="20"/>
              </w:rPr>
              <w:t>District</w:t>
            </w:r>
          </w:p>
        </w:tc>
        <w:tc>
          <w:tcPr>
            <w:tcW w:w="1363" w:type="dxa"/>
            <w:shd w:val="clear" w:color="auto" w:fill="D9D9D9" w:themeFill="background1" w:themeFillShade="D9"/>
            <w:vAlign w:val="center"/>
          </w:tcPr>
          <w:p w:rsidR="00F157E2" w:rsidRPr="008502EB" w:rsidRDefault="00F157E2" w:rsidP="00F157E2">
            <w:pPr>
              <w:spacing w:after="0" w:line="240" w:lineRule="auto"/>
              <w:jc w:val="center"/>
              <w:rPr>
                <w:b/>
                <w:sz w:val="20"/>
                <w:szCs w:val="20"/>
              </w:rPr>
            </w:pPr>
            <w:r w:rsidRPr="008502EB">
              <w:rPr>
                <w:b/>
                <w:sz w:val="20"/>
                <w:szCs w:val="20"/>
              </w:rPr>
              <w:t>Rating</w:t>
            </w:r>
          </w:p>
        </w:tc>
        <w:tc>
          <w:tcPr>
            <w:tcW w:w="1363" w:type="dxa"/>
            <w:shd w:val="clear" w:color="auto" w:fill="D9D9D9" w:themeFill="background1" w:themeFillShade="D9"/>
            <w:vAlign w:val="center"/>
          </w:tcPr>
          <w:p w:rsidR="00F157E2" w:rsidRPr="008502EB" w:rsidRDefault="00F157E2" w:rsidP="00F157E2">
            <w:pPr>
              <w:spacing w:after="0" w:line="240" w:lineRule="auto"/>
              <w:jc w:val="center"/>
              <w:rPr>
                <w:b/>
                <w:sz w:val="20"/>
                <w:szCs w:val="20"/>
              </w:rPr>
            </w:pPr>
            <w:r w:rsidRPr="008502EB">
              <w:rPr>
                <w:b/>
                <w:sz w:val="20"/>
                <w:szCs w:val="20"/>
              </w:rPr>
              <w:t>Growth Level</w:t>
            </w:r>
          </w:p>
        </w:tc>
        <w:tc>
          <w:tcPr>
            <w:tcW w:w="1363" w:type="dxa"/>
            <w:shd w:val="clear" w:color="auto" w:fill="D9D9D9" w:themeFill="background1" w:themeFillShade="D9"/>
            <w:vAlign w:val="center"/>
          </w:tcPr>
          <w:p w:rsidR="00F157E2" w:rsidRPr="008502EB" w:rsidRDefault="00F157E2" w:rsidP="00F157E2">
            <w:pPr>
              <w:spacing w:after="0" w:line="240" w:lineRule="auto"/>
              <w:jc w:val="center"/>
              <w:rPr>
                <w:b/>
                <w:sz w:val="20"/>
                <w:szCs w:val="20"/>
              </w:rPr>
            </w:pPr>
            <w:r w:rsidRPr="008502EB">
              <w:rPr>
                <w:b/>
                <w:sz w:val="20"/>
                <w:szCs w:val="20"/>
              </w:rPr>
              <w:t>District</w:t>
            </w:r>
          </w:p>
        </w:tc>
        <w:tc>
          <w:tcPr>
            <w:tcW w:w="1363" w:type="dxa"/>
            <w:shd w:val="clear" w:color="auto" w:fill="D9D9D9" w:themeFill="background1" w:themeFillShade="D9"/>
            <w:vAlign w:val="center"/>
          </w:tcPr>
          <w:p w:rsidR="00F157E2" w:rsidRPr="008502EB" w:rsidRDefault="00F157E2" w:rsidP="00F157E2">
            <w:pPr>
              <w:spacing w:after="0" w:line="240" w:lineRule="auto"/>
              <w:jc w:val="center"/>
              <w:rPr>
                <w:b/>
                <w:sz w:val="20"/>
                <w:szCs w:val="20"/>
              </w:rPr>
            </w:pPr>
            <w:r w:rsidRPr="008502EB">
              <w:rPr>
                <w:b/>
                <w:sz w:val="20"/>
                <w:szCs w:val="20"/>
              </w:rPr>
              <w:t>Rating</w:t>
            </w:r>
          </w:p>
        </w:tc>
        <w:tc>
          <w:tcPr>
            <w:tcW w:w="1364" w:type="dxa"/>
            <w:shd w:val="clear" w:color="auto" w:fill="D9D9D9" w:themeFill="background1" w:themeFillShade="D9"/>
            <w:vAlign w:val="center"/>
          </w:tcPr>
          <w:p w:rsidR="00F157E2" w:rsidRPr="008502EB" w:rsidRDefault="00F157E2" w:rsidP="00F157E2">
            <w:pPr>
              <w:spacing w:after="0" w:line="240" w:lineRule="auto"/>
              <w:jc w:val="center"/>
              <w:rPr>
                <w:b/>
                <w:sz w:val="20"/>
                <w:szCs w:val="20"/>
              </w:rPr>
            </w:pPr>
            <w:r w:rsidRPr="008502EB">
              <w:rPr>
                <w:b/>
                <w:sz w:val="20"/>
                <w:szCs w:val="20"/>
              </w:rPr>
              <w:t>Growth Level</w:t>
            </w:r>
          </w:p>
        </w:tc>
      </w:tr>
      <w:tr w:rsidR="00F157E2" w:rsidRPr="008502EB" w:rsidTr="00E560FD">
        <w:tc>
          <w:tcPr>
            <w:tcW w:w="1379" w:type="dxa"/>
            <w:shd w:val="clear" w:color="auto" w:fill="auto"/>
            <w:vAlign w:val="center"/>
          </w:tcPr>
          <w:p w:rsidR="00F157E2" w:rsidRPr="008502EB" w:rsidRDefault="00F157E2" w:rsidP="00F157E2">
            <w:pPr>
              <w:spacing w:after="0" w:line="240" w:lineRule="auto"/>
              <w:jc w:val="center"/>
              <w:rPr>
                <w:sz w:val="20"/>
                <w:szCs w:val="20"/>
              </w:rPr>
            </w:pPr>
            <w:r w:rsidRPr="008502EB">
              <w:rPr>
                <w:sz w:val="20"/>
                <w:szCs w:val="20"/>
              </w:rPr>
              <w:t>All students</w:t>
            </w:r>
          </w:p>
        </w:tc>
        <w:tc>
          <w:tcPr>
            <w:tcW w:w="1363" w:type="dxa"/>
            <w:shd w:val="clear" w:color="auto" w:fill="auto"/>
            <w:vAlign w:val="center"/>
          </w:tcPr>
          <w:p w:rsidR="00F157E2" w:rsidRPr="008502EB" w:rsidRDefault="00F157E2" w:rsidP="00F157E2">
            <w:pPr>
              <w:spacing w:after="0" w:line="240" w:lineRule="auto"/>
              <w:jc w:val="center"/>
              <w:rPr>
                <w:sz w:val="20"/>
                <w:szCs w:val="20"/>
              </w:rPr>
            </w:pPr>
            <w:r w:rsidRPr="008502EB">
              <w:rPr>
                <w:sz w:val="20"/>
                <w:szCs w:val="20"/>
              </w:rPr>
              <w:t>53.0</w:t>
            </w:r>
          </w:p>
        </w:tc>
        <w:tc>
          <w:tcPr>
            <w:tcW w:w="1363" w:type="dxa"/>
            <w:shd w:val="clear" w:color="auto" w:fill="auto"/>
          </w:tcPr>
          <w:p w:rsidR="00F157E2" w:rsidRPr="008502EB" w:rsidRDefault="00F157E2" w:rsidP="00F157E2">
            <w:pPr>
              <w:spacing w:after="0" w:line="240" w:lineRule="auto"/>
              <w:jc w:val="center"/>
            </w:pPr>
            <w:r w:rsidRPr="008502EB">
              <w:rPr>
                <w:sz w:val="20"/>
                <w:szCs w:val="20"/>
              </w:rPr>
              <w:t>On Target</w:t>
            </w:r>
          </w:p>
        </w:tc>
        <w:tc>
          <w:tcPr>
            <w:tcW w:w="1363" w:type="dxa"/>
            <w:shd w:val="clear" w:color="auto" w:fill="auto"/>
          </w:tcPr>
          <w:p w:rsidR="00F157E2" w:rsidRPr="008502EB" w:rsidRDefault="00F157E2" w:rsidP="00F157E2">
            <w:pPr>
              <w:spacing w:after="0" w:line="240" w:lineRule="auto"/>
              <w:jc w:val="center"/>
            </w:pPr>
            <w:r w:rsidRPr="008502EB">
              <w:rPr>
                <w:sz w:val="20"/>
                <w:szCs w:val="20"/>
              </w:rPr>
              <w:t>Moderate</w:t>
            </w:r>
          </w:p>
        </w:tc>
        <w:tc>
          <w:tcPr>
            <w:tcW w:w="1363" w:type="dxa"/>
            <w:shd w:val="clear" w:color="auto" w:fill="auto"/>
            <w:vAlign w:val="center"/>
          </w:tcPr>
          <w:p w:rsidR="00F157E2" w:rsidRPr="008502EB" w:rsidRDefault="00F157E2" w:rsidP="00F157E2">
            <w:pPr>
              <w:spacing w:after="0" w:line="240" w:lineRule="auto"/>
              <w:jc w:val="center"/>
              <w:rPr>
                <w:sz w:val="20"/>
                <w:szCs w:val="20"/>
              </w:rPr>
            </w:pPr>
            <w:r w:rsidRPr="008502EB">
              <w:rPr>
                <w:sz w:val="20"/>
                <w:szCs w:val="20"/>
              </w:rPr>
              <w:t>50.0</w:t>
            </w:r>
          </w:p>
        </w:tc>
        <w:tc>
          <w:tcPr>
            <w:tcW w:w="1363" w:type="dxa"/>
            <w:shd w:val="clear" w:color="auto" w:fill="auto"/>
          </w:tcPr>
          <w:p w:rsidR="00F157E2" w:rsidRPr="008502EB" w:rsidRDefault="00F157E2" w:rsidP="00F157E2">
            <w:pPr>
              <w:spacing w:after="0" w:line="240" w:lineRule="auto"/>
            </w:pPr>
            <w:r w:rsidRPr="008502EB">
              <w:rPr>
                <w:sz w:val="20"/>
                <w:szCs w:val="20"/>
              </w:rPr>
              <w:t>Below Target</w:t>
            </w:r>
          </w:p>
        </w:tc>
        <w:tc>
          <w:tcPr>
            <w:tcW w:w="1364" w:type="dxa"/>
            <w:shd w:val="clear" w:color="auto" w:fill="auto"/>
          </w:tcPr>
          <w:p w:rsidR="00F157E2" w:rsidRPr="008502EB" w:rsidRDefault="00F157E2" w:rsidP="00F157E2">
            <w:pPr>
              <w:spacing w:after="0" w:line="240" w:lineRule="auto"/>
              <w:jc w:val="center"/>
            </w:pPr>
            <w:r w:rsidRPr="008502EB">
              <w:rPr>
                <w:sz w:val="20"/>
                <w:szCs w:val="20"/>
              </w:rPr>
              <w:t>Moderate</w:t>
            </w:r>
          </w:p>
        </w:tc>
      </w:tr>
      <w:tr w:rsidR="00F157E2" w:rsidRPr="008502EB" w:rsidTr="00E560FD">
        <w:tc>
          <w:tcPr>
            <w:tcW w:w="1379" w:type="dxa"/>
            <w:shd w:val="clear" w:color="auto" w:fill="D9D9D9" w:themeFill="background1" w:themeFillShade="D9"/>
            <w:vAlign w:val="center"/>
          </w:tcPr>
          <w:p w:rsidR="00F157E2" w:rsidRPr="008502EB" w:rsidRDefault="00F157E2" w:rsidP="00F157E2">
            <w:pPr>
              <w:spacing w:after="0" w:line="240" w:lineRule="auto"/>
              <w:jc w:val="center"/>
              <w:rPr>
                <w:sz w:val="20"/>
                <w:szCs w:val="20"/>
              </w:rPr>
            </w:pPr>
            <w:r w:rsidRPr="008502EB">
              <w:rPr>
                <w:sz w:val="20"/>
                <w:szCs w:val="20"/>
              </w:rPr>
              <w:t>High Needs</w:t>
            </w:r>
          </w:p>
        </w:tc>
        <w:tc>
          <w:tcPr>
            <w:tcW w:w="1363" w:type="dxa"/>
            <w:shd w:val="clear" w:color="auto" w:fill="D9D9D9" w:themeFill="background1" w:themeFillShade="D9"/>
            <w:vAlign w:val="center"/>
          </w:tcPr>
          <w:p w:rsidR="00F157E2" w:rsidRPr="008502EB" w:rsidRDefault="00F157E2" w:rsidP="00F157E2">
            <w:pPr>
              <w:spacing w:after="0" w:line="240" w:lineRule="auto"/>
              <w:jc w:val="center"/>
              <w:rPr>
                <w:sz w:val="20"/>
                <w:szCs w:val="20"/>
              </w:rPr>
            </w:pPr>
            <w:r w:rsidRPr="008502EB">
              <w:rPr>
                <w:sz w:val="20"/>
                <w:szCs w:val="20"/>
              </w:rPr>
              <w:t>51.0</w:t>
            </w:r>
          </w:p>
        </w:tc>
        <w:tc>
          <w:tcPr>
            <w:tcW w:w="1363" w:type="dxa"/>
            <w:shd w:val="clear" w:color="auto" w:fill="D9D9D9" w:themeFill="background1" w:themeFillShade="D9"/>
          </w:tcPr>
          <w:p w:rsidR="00F157E2" w:rsidRPr="008502EB" w:rsidRDefault="00F157E2" w:rsidP="00F157E2">
            <w:pPr>
              <w:spacing w:after="0" w:line="240" w:lineRule="auto"/>
              <w:jc w:val="center"/>
            </w:pPr>
            <w:r w:rsidRPr="008502EB">
              <w:rPr>
                <w:sz w:val="20"/>
                <w:szCs w:val="20"/>
              </w:rPr>
              <w:t>On Target</w:t>
            </w:r>
          </w:p>
        </w:tc>
        <w:tc>
          <w:tcPr>
            <w:tcW w:w="1363" w:type="dxa"/>
            <w:shd w:val="clear" w:color="auto" w:fill="D9D9D9" w:themeFill="background1" w:themeFillShade="D9"/>
          </w:tcPr>
          <w:p w:rsidR="00F157E2" w:rsidRPr="008502EB" w:rsidRDefault="00F157E2" w:rsidP="00F157E2">
            <w:pPr>
              <w:spacing w:after="0" w:line="240" w:lineRule="auto"/>
              <w:jc w:val="center"/>
            </w:pPr>
            <w:r w:rsidRPr="008502EB">
              <w:rPr>
                <w:sz w:val="20"/>
                <w:szCs w:val="20"/>
              </w:rPr>
              <w:t>Moderate</w:t>
            </w:r>
          </w:p>
        </w:tc>
        <w:tc>
          <w:tcPr>
            <w:tcW w:w="1363" w:type="dxa"/>
            <w:shd w:val="clear" w:color="auto" w:fill="D9D9D9" w:themeFill="background1" w:themeFillShade="D9"/>
            <w:vAlign w:val="center"/>
          </w:tcPr>
          <w:p w:rsidR="00F157E2" w:rsidRPr="008502EB" w:rsidRDefault="00F157E2" w:rsidP="00F157E2">
            <w:pPr>
              <w:spacing w:after="0" w:line="240" w:lineRule="auto"/>
              <w:jc w:val="center"/>
              <w:rPr>
                <w:sz w:val="20"/>
                <w:szCs w:val="20"/>
              </w:rPr>
            </w:pPr>
            <w:r w:rsidRPr="008502EB">
              <w:rPr>
                <w:sz w:val="20"/>
                <w:szCs w:val="20"/>
              </w:rPr>
              <w:t>48.0</w:t>
            </w:r>
          </w:p>
        </w:tc>
        <w:tc>
          <w:tcPr>
            <w:tcW w:w="1363" w:type="dxa"/>
            <w:shd w:val="clear" w:color="auto" w:fill="D9D9D9" w:themeFill="background1" w:themeFillShade="D9"/>
          </w:tcPr>
          <w:p w:rsidR="00F157E2" w:rsidRPr="008502EB" w:rsidRDefault="00F157E2" w:rsidP="00F157E2">
            <w:pPr>
              <w:spacing w:after="0" w:line="240" w:lineRule="auto"/>
            </w:pPr>
            <w:r w:rsidRPr="008502EB">
              <w:rPr>
                <w:sz w:val="20"/>
                <w:szCs w:val="20"/>
              </w:rPr>
              <w:t>Below Target</w:t>
            </w:r>
          </w:p>
        </w:tc>
        <w:tc>
          <w:tcPr>
            <w:tcW w:w="1364" w:type="dxa"/>
            <w:shd w:val="clear" w:color="auto" w:fill="D9D9D9" w:themeFill="background1" w:themeFillShade="D9"/>
          </w:tcPr>
          <w:p w:rsidR="00F157E2" w:rsidRPr="008502EB" w:rsidRDefault="00F157E2" w:rsidP="00F157E2">
            <w:pPr>
              <w:spacing w:after="0" w:line="240" w:lineRule="auto"/>
              <w:jc w:val="center"/>
            </w:pPr>
            <w:r w:rsidRPr="008502EB">
              <w:rPr>
                <w:sz w:val="20"/>
                <w:szCs w:val="20"/>
              </w:rPr>
              <w:t>Moderate</w:t>
            </w:r>
          </w:p>
        </w:tc>
      </w:tr>
      <w:tr w:rsidR="00F157E2" w:rsidRPr="008502EB" w:rsidTr="00E560FD">
        <w:tc>
          <w:tcPr>
            <w:tcW w:w="1379" w:type="dxa"/>
            <w:shd w:val="clear" w:color="auto" w:fill="auto"/>
            <w:vAlign w:val="center"/>
          </w:tcPr>
          <w:p w:rsidR="00F157E2" w:rsidRPr="008502EB" w:rsidRDefault="00F157E2" w:rsidP="00F157E2">
            <w:pPr>
              <w:spacing w:after="0" w:line="240" w:lineRule="auto"/>
              <w:jc w:val="center"/>
              <w:rPr>
                <w:sz w:val="20"/>
                <w:szCs w:val="20"/>
              </w:rPr>
            </w:pPr>
            <w:r w:rsidRPr="008502EB">
              <w:rPr>
                <w:sz w:val="20"/>
                <w:szCs w:val="20"/>
              </w:rPr>
              <w:t>Econ. Disad.</w:t>
            </w:r>
          </w:p>
        </w:tc>
        <w:tc>
          <w:tcPr>
            <w:tcW w:w="1363" w:type="dxa"/>
            <w:shd w:val="clear" w:color="auto" w:fill="auto"/>
            <w:vAlign w:val="center"/>
          </w:tcPr>
          <w:p w:rsidR="00F157E2" w:rsidRPr="008502EB" w:rsidRDefault="00F157E2" w:rsidP="00F157E2">
            <w:pPr>
              <w:spacing w:after="0" w:line="240" w:lineRule="auto"/>
              <w:jc w:val="center"/>
              <w:rPr>
                <w:sz w:val="20"/>
                <w:szCs w:val="20"/>
              </w:rPr>
            </w:pPr>
            <w:r w:rsidRPr="008502EB">
              <w:rPr>
                <w:sz w:val="20"/>
                <w:szCs w:val="20"/>
              </w:rPr>
              <w:t>50.0</w:t>
            </w:r>
          </w:p>
        </w:tc>
        <w:tc>
          <w:tcPr>
            <w:tcW w:w="1363" w:type="dxa"/>
            <w:shd w:val="clear" w:color="auto" w:fill="auto"/>
          </w:tcPr>
          <w:p w:rsidR="00F157E2" w:rsidRPr="008502EB" w:rsidRDefault="00F157E2" w:rsidP="00F157E2">
            <w:pPr>
              <w:spacing w:after="0" w:line="240" w:lineRule="auto"/>
              <w:jc w:val="center"/>
            </w:pPr>
            <w:r w:rsidRPr="008502EB">
              <w:rPr>
                <w:sz w:val="20"/>
                <w:szCs w:val="20"/>
              </w:rPr>
              <w:t>Below Target</w:t>
            </w:r>
          </w:p>
        </w:tc>
        <w:tc>
          <w:tcPr>
            <w:tcW w:w="1363" w:type="dxa"/>
            <w:shd w:val="clear" w:color="auto" w:fill="auto"/>
          </w:tcPr>
          <w:p w:rsidR="00F157E2" w:rsidRPr="008502EB" w:rsidRDefault="00F157E2" w:rsidP="00F157E2">
            <w:pPr>
              <w:spacing w:after="0" w:line="240" w:lineRule="auto"/>
              <w:jc w:val="center"/>
            </w:pPr>
            <w:r w:rsidRPr="008502EB">
              <w:rPr>
                <w:sz w:val="20"/>
                <w:szCs w:val="20"/>
              </w:rPr>
              <w:t>Moderate</w:t>
            </w:r>
          </w:p>
        </w:tc>
        <w:tc>
          <w:tcPr>
            <w:tcW w:w="1363" w:type="dxa"/>
            <w:shd w:val="clear" w:color="auto" w:fill="auto"/>
            <w:vAlign w:val="center"/>
          </w:tcPr>
          <w:p w:rsidR="00F157E2" w:rsidRPr="008502EB" w:rsidRDefault="00F157E2" w:rsidP="00F157E2">
            <w:pPr>
              <w:spacing w:after="0" w:line="240" w:lineRule="auto"/>
              <w:jc w:val="center"/>
              <w:rPr>
                <w:sz w:val="20"/>
                <w:szCs w:val="20"/>
              </w:rPr>
            </w:pPr>
            <w:r w:rsidRPr="008502EB">
              <w:rPr>
                <w:sz w:val="20"/>
                <w:szCs w:val="20"/>
              </w:rPr>
              <w:t>48.0</w:t>
            </w:r>
          </w:p>
        </w:tc>
        <w:tc>
          <w:tcPr>
            <w:tcW w:w="1363" w:type="dxa"/>
            <w:shd w:val="clear" w:color="auto" w:fill="auto"/>
          </w:tcPr>
          <w:p w:rsidR="00F157E2" w:rsidRPr="008502EB" w:rsidRDefault="00F157E2" w:rsidP="00F157E2">
            <w:pPr>
              <w:spacing w:after="0" w:line="240" w:lineRule="auto"/>
            </w:pPr>
            <w:r w:rsidRPr="008502EB">
              <w:rPr>
                <w:sz w:val="20"/>
                <w:szCs w:val="20"/>
              </w:rPr>
              <w:t>Below Target</w:t>
            </w:r>
          </w:p>
        </w:tc>
        <w:tc>
          <w:tcPr>
            <w:tcW w:w="1364" w:type="dxa"/>
            <w:shd w:val="clear" w:color="auto" w:fill="auto"/>
          </w:tcPr>
          <w:p w:rsidR="00F157E2" w:rsidRPr="008502EB" w:rsidRDefault="00F157E2" w:rsidP="00F157E2">
            <w:pPr>
              <w:spacing w:after="0" w:line="240" w:lineRule="auto"/>
              <w:jc w:val="center"/>
            </w:pPr>
            <w:r w:rsidRPr="008502EB">
              <w:rPr>
                <w:sz w:val="20"/>
                <w:szCs w:val="20"/>
              </w:rPr>
              <w:t>Moderate</w:t>
            </w:r>
          </w:p>
        </w:tc>
      </w:tr>
      <w:tr w:rsidR="00F157E2" w:rsidRPr="008502EB" w:rsidTr="00E560FD">
        <w:tc>
          <w:tcPr>
            <w:tcW w:w="1379" w:type="dxa"/>
            <w:shd w:val="clear" w:color="auto" w:fill="D9D9D9" w:themeFill="background1" w:themeFillShade="D9"/>
            <w:vAlign w:val="center"/>
          </w:tcPr>
          <w:p w:rsidR="00F157E2" w:rsidRPr="008502EB" w:rsidRDefault="00F157E2" w:rsidP="00F157E2">
            <w:pPr>
              <w:spacing w:after="0" w:line="240" w:lineRule="auto"/>
              <w:jc w:val="center"/>
              <w:rPr>
                <w:sz w:val="20"/>
                <w:szCs w:val="20"/>
              </w:rPr>
            </w:pPr>
            <w:r w:rsidRPr="008502EB">
              <w:rPr>
                <w:sz w:val="20"/>
                <w:szCs w:val="20"/>
              </w:rPr>
              <w:t>ELLs</w:t>
            </w:r>
          </w:p>
        </w:tc>
        <w:tc>
          <w:tcPr>
            <w:tcW w:w="1363" w:type="dxa"/>
            <w:shd w:val="clear" w:color="auto" w:fill="D9D9D9" w:themeFill="background1" w:themeFillShade="D9"/>
            <w:vAlign w:val="center"/>
          </w:tcPr>
          <w:p w:rsidR="00F157E2" w:rsidRPr="008502EB" w:rsidRDefault="00F157E2" w:rsidP="00F157E2">
            <w:pPr>
              <w:spacing w:after="0" w:line="240" w:lineRule="auto"/>
              <w:jc w:val="center"/>
              <w:rPr>
                <w:sz w:val="20"/>
                <w:szCs w:val="20"/>
              </w:rPr>
            </w:pPr>
            <w:r w:rsidRPr="008502EB">
              <w:rPr>
                <w:sz w:val="20"/>
                <w:szCs w:val="20"/>
              </w:rPr>
              <w:t>54.0</w:t>
            </w:r>
          </w:p>
        </w:tc>
        <w:tc>
          <w:tcPr>
            <w:tcW w:w="1363" w:type="dxa"/>
            <w:shd w:val="clear" w:color="auto" w:fill="D9D9D9" w:themeFill="background1" w:themeFillShade="D9"/>
          </w:tcPr>
          <w:p w:rsidR="00F157E2" w:rsidRPr="008502EB" w:rsidRDefault="00F157E2" w:rsidP="00F157E2">
            <w:pPr>
              <w:spacing w:after="0" w:line="240" w:lineRule="auto"/>
              <w:jc w:val="center"/>
            </w:pPr>
            <w:r w:rsidRPr="008502EB">
              <w:rPr>
                <w:sz w:val="20"/>
                <w:szCs w:val="20"/>
              </w:rPr>
              <w:t>On Target</w:t>
            </w:r>
          </w:p>
        </w:tc>
        <w:tc>
          <w:tcPr>
            <w:tcW w:w="1363" w:type="dxa"/>
            <w:shd w:val="clear" w:color="auto" w:fill="D9D9D9" w:themeFill="background1" w:themeFillShade="D9"/>
          </w:tcPr>
          <w:p w:rsidR="00F157E2" w:rsidRPr="008502EB" w:rsidRDefault="00F157E2" w:rsidP="00F157E2">
            <w:pPr>
              <w:spacing w:after="0" w:line="240" w:lineRule="auto"/>
              <w:jc w:val="center"/>
            </w:pPr>
            <w:r w:rsidRPr="008502EB">
              <w:rPr>
                <w:sz w:val="20"/>
                <w:szCs w:val="20"/>
              </w:rPr>
              <w:t>Moderate</w:t>
            </w:r>
          </w:p>
        </w:tc>
        <w:tc>
          <w:tcPr>
            <w:tcW w:w="1363" w:type="dxa"/>
            <w:shd w:val="clear" w:color="auto" w:fill="D9D9D9" w:themeFill="background1" w:themeFillShade="D9"/>
            <w:vAlign w:val="center"/>
          </w:tcPr>
          <w:p w:rsidR="00F157E2" w:rsidRPr="008502EB" w:rsidRDefault="00F157E2" w:rsidP="00F157E2">
            <w:pPr>
              <w:spacing w:after="0" w:line="240" w:lineRule="auto"/>
              <w:jc w:val="center"/>
              <w:rPr>
                <w:sz w:val="20"/>
                <w:szCs w:val="20"/>
              </w:rPr>
            </w:pPr>
            <w:r w:rsidRPr="008502EB">
              <w:rPr>
                <w:sz w:val="20"/>
                <w:szCs w:val="20"/>
              </w:rPr>
              <w:t>50.0</w:t>
            </w:r>
          </w:p>
        </w:tc>
        <w:tc>
          <w:tcPr>
            <w:tcW w:w="1363" w:type="dxa"/>
            <w:shd w:val="clear" w:color="auto" w:fill="D9D9D9" w:themeFill="background1" w:themeFillShade="D9"/>
          </w:tcPr>
          <w:p w:rsidR="00F157E2" w:rsidRPr="008502EB" w:rsidRDefault="00F157E2" w:rsidP="00F157E2">
            <w:pPr>
              <w:spacing w:after="0" w:line="240" w:lineRule="auto"/>
            </w:pPr>
            <w:r w:rsidRPr="008502EB">
              <w:rPr>
                <w:sz w:val="20"/>
                <w:szCs w:val="20"/>
              </w:rPr>
              <w:t>Below Target</w:t>
            </w:r>
          </w:p>
        </w:tc>
        <w:tc>
          <w:tcPr>
            <w:tcW w:w="1364" w:type="dxa"/>
            <w:shd w:val="clear" w:color="auto" w:fill="D9D9D9" w:themeFill="background1" w:themeFillShade="D9"/>
          </w:tcPr>
          <w:p w:rsidR="00F157E2" w:rsidRPr="008502EB" w:rsidRDefault="00F157E2" w:rsidP="00F157E2">
            <w:pPr>
              <w:spacing w:after="0" w:line="240" w:lineRule="auto"/>
              <w:jc w:val="center"/>
            </w:pPr>
            <w:r w:rsidRPr="008502EB">
              <w:rPr>
                <w:sz w:val="20"/>
                <w:szCs w:val="20"/>
              </w:rPr>
              <w:t>Moderate</w:t>
            </w:r>
          </w:p>
        </w:tc>
      </w:tr>
      <w:tr w:rsidR="00F157E2" w:rsidRPr="008502EB" w:rsidTr="00E560FD">
        <w:tc>
          <w:tcPr>
            <w:tcW w:w="1379" w:type="dxa"/>
            <w:shd w:val="clear" w:color="auto" w:fill="auto"/>
            <w:vAlign w:val="center"/>
          </w:tcPr>
          <w:p w:rsidR="00F157E2" w:rsidRPr="008502EB" w:rsidRDefault="00F157E2" w:rsidP="00F157E2">
            <w:pPr>
              <w:spacing w:after="0" w:line="240" w:lineRule="auto"/>
              <w:jc w:val="center"/>
              <w:rPr>
                <w:sz w:val="20"/>
                <w:szCs w:val="20"/>
              </w:rPr>
            </w:pPr>
            <w:r w:rsidRPr="008502EB">
              <w:rPr>
                <w:sz w:val="20"/>
                <w:szCs w:val="20"/>
              </w:rPr>
              <w:t>SWD</w:t>
            </w:r>
          </w:p>
        </w:tc>
        <w:tc>
          <w:tcPr>
            <w:tcW w:w="1363" w:type="dxa"/>
            <w:shd w:val="clear" w:color="auto" w:fill="auto"/>
            <w:vAlign w:val="center"/>
          </w:tcPr>
          <w:p w:rsidR="00F157E2" w:rsidRPr="008502EB" w:rsidRDefault="00F157E2" w:rsidP="00F157E2">
            <w:pPr>
              <w:spacing w:after="0" w:line="240" w:lineRule="auto"/>
              <w:jc w:val="center"/>
              <w:rPr>
                <w:sz w:val="20"/>
                <w:szCs w:val="20"/>
              </w:rPr>
            </w:pPr>
            <w:r w:rsidRPr="008502EB">
              <w:rPr>
                <w:sz w:val="20"/>
                <w:szCs w:val="20"/>
              </w:rPr>
              <w:t>43.0</w:t>
            </w:r>
          </w:p>
        </w:tc>
        <w:tc>
          <w:tcPr>
            <w:tcW w:w="1363" w:type="dxa"/>
            <w:shd w:val="clear" w:color="auto" w:fill="auto"/>
          </w:tcPr>
          <w:p w:rsidR="00F157E2" w:rsidRPr="008502EB" w:rsidRDefault="00F157E2" w:rsidP="00F157E2">
            <w:pPr>
              <w:spacing w:after="0" w:line="240" w:lineRule="auto"/>
              <w:jc w:val="center"/>
            </w:pPr>
            <w:r w:rsidRPr="008502EB">
              <w:rPr>
                <w:sz w:val="20"/>
                <w:szCs w:val="20"/>
              </w:rPr>
              <w:t>Below Target</w:t>
            </w:r>
          </w:p>
        </w:tc>
        <w:tc>
          <w:tcPr>
            <w:tcW w:w="1363" w:type="dxa"/>
            <w:shd w:val="clear" w:color="auto" w:fill="auto"/>
          </w:tcPr>
          <w:p w:rsidR="00F157E2" w:rsidRPr="008502EB" w:rsidRDefault="00F157E2" w:rsidP="00F157E2">
            <w:pPr>
              <w:spacing w:after="0" w:line="240" w:lineRule="auto"/>
              <w:jc w:val="center"/>
            </w:pPr>
            <w:r w:rsidRPr="008502EB">
              <w:rPr>
                <w:sz w:val="20"/>
                <w:szCs w:val="20"/>
              </w:rPr>
              <w:t>Moderate</w:t>
            </w:r>
          </w:p>
        </w:tc>
        <w:tc>
          <w:tcPr>
            <w:tcW w:w="1363" w:type="dxa"/>
            <w:shd w:val="clear" w:color="auto" w:fill="auto"/>
            <w:vAlign w:val="center"/>
          </w:tcPr>
          <w:p w:rsidR="00F157E2" w:rsidRPr="008502EB" w:rsidRDefault="00F157E2" w:rsidP="00F157E2">
            <w:pPr>
              <w:spacing w:after="0" w:line="240" w:lineRule="auto"/>
              <w:jc w:val="center"/>
              <w:rPr>
                <w:sz w:val="20"/>
                <w:szCs w:val="20"/>
              </w:rPr>
            </w:pPr>
            <w:r w:rsidRPr="008502EB">
              <w:rPr>
                <w:sz w:val="20"/>
                <w:szCs w:val="20"/>
              </w:rPr>
              <w:t>45.0</w:t>
            </w:r>
          </w:p>
        </w:tc>
        <w:tc>
          <w:tcPr>
            <w:tcW w:w="1363" w:type="dxa"/>
            <w:shd w:val="clear" w:color="auto" w:fill="auto"/>
          </w:tcPr>
          <w:p w:rsidR="00F157E2" w:rsidRPr="008502EB" w:rsidRDefault="00F157E2" w:rsidP="00F157E2">
            <w:pPr>
              <w:spacing w:after="0" w:line="240" w:lineRule="auto"/>
            </w:pPr>
            <w:r w:rsidRPr="008502EB">
              <w:rPr>
                <w:sz w:val="20"/>
                <w:szCs w:val="20"/>
              </w:rPr>
              <w:t>Below Target</w:t>
            </w:r>
          </w:p>
        </w:tc>
        <w:tc>
          <w:tcPr>
            <w:tcW w:w="1364" w:type="dxa"/>
            <w:shd w:val="clear" w:color="auto" w:fill="auto"/>
          </w:tcPr>
          <w:p w:rsidR="00F157E2" w:rsidRPr="008502EB" w:rsidRDefault="00F157E2" w:rsidP="00F157E2">
            <w:pPr>
              <w:spacing w:after="0" w:line="240" w:lineRule="auto"/>
              <w:jc w:val="center"/>
            </w:pPr>
            <w:r w:rsidRPr="008502EB">
              <w:rPr>
                <w:sz w:val="20"/>
                <w:szCs w:val="20"/>
              </w:rPr>
              <w:t>Moderate</w:t>
            </w:r>
          </w:p>
        </w:tc>
      </w:tr>
    </w:tbl>
    <w:p w:rsidR="00F157E2" w:rsidRPr="008502EB" w:rsidRDefault="00F157E2" w:rsidP="00F157E2">
      <w:pPr>
        <w:spacing w:after="0" w:line="240" w:lineRule="auto"/>
      </w:pPr>
    </w:p>
    <w:p w:rsidR="00F157E2" w:rsidRPr="008502EB" w:rsidRDefault="00F157E2" w:rsidP="00F157E2">
      <w:pPr>
        <w:spacing w:after="0" w:line="240" w:lineRule="auto"/>
      </w:pPr>
    </w:p>
    <w:p w:rsidR="0091151B" w:rsidRDefault="0091151B" w:rsidP="0091151B">
      <w:pPr>
        <w:spacing w:after="0" w:line="240" w:lineRule="auto"/>
        <w:rPr>
          <w:b/>
        </w:rPr>
      </w:pPr>
      <w:r>
        <w:rPr>
          <w:b/>
        </w:rPr>
        <w:t>B</w:t>
      </w:r>
      <w:r w:rsidRPr="008502EB">
        <w:rPr>
          <w:b/>
        </w:rPr>
        <w:t>etween 2013 and 2016</w:t>
      </w:r>
      <w:r>
        <w:rPr>
          <w:b/>
        </w:rPr>
        <w:t>, t</w:t>
      </w:r>
      <w:r w:rsidRPr="008502EB">
        <w:rPr>
          <w:b/>
        </w:rPr>
        <w:t xml:space="preserve">he district cut its rate of out-of-school suspension </w:t>
      </w:r>
      <w:r>
        <w:rPr>
          <w:b/>
        </w:rPr>
        <w:t>by at least</w:t>
      </w:r>
      <w:r w:rsidRPr="008502EB">
        <w:rPr>
          <w:b/>
        </w:rPr>
        <w:t xml:space="preserve"> half for all students and for each subgroup that make</w:t>
      </w:r>
      <w:r>
        <w:rPr>
          <w:b/>
        </w:rPr>
        <w:t>s up the high needs population.</w:t>
      </w:r>
      <w:r w:rsidRPr="008502EB">
        <w:rPr>
          <w:b/>
        </w:rPr>
        <w:t xml:space="preserve"> Worcester’s rates of in-school and out-of school suspensions were high</w:t>
      </w:r>
      <w:r>
        <w:rPr>
          <w:b/>
        </w:rPr>
        <w:t>er</w:t>
      </w:r>
      <w:r w:rsidRPr="008502EB">
        <w:rPr>
          <w:b/>
        </w:rPr>
        <w:t xml:space="preserve"> than the state rate</w:t>
      </w:r>
      <w:r>
        <w:rPr>
          <w:b/>
        </w:rPr>
        <w:t>s</w:t>
      </w:r>
      <w:r w:rsidRPr="008502EB">
        <w:rPr>
          <w:b/>
        </w:rPr>
        <w:t xml:space="preserve"> for all students and for each group that makes up the high needs population.</w:t>
      </w:r>
    </w:p>
    <w:p w:rsidR="001601B3" w:rsidRDefault="001601B3" w:rsidP="0091151B">
      <w:pPr>
        <w:spacing w:after="0" w:line="240" w:lineRule="auto"/>
        <w:rPr>
          <w:b/>
        </w:rPr>
      </w:pPr>
    </w:p>
    <w:p w:rsidR="001601B3" w:rsidRDefault="001601B3" w:rsidP="0091151B">
      <w:pPr>
        <w:spacing w:after="0" w:line="240" w:lineRule="auto"/>
        <w:rPr>
          <w:b/>
        </w:rPr>
      </w:pPr>
    </w:p>
    <w:p w:rsidR="001601B3" w:rsidRDefault="001601B3" w:rsidP="0091151B">
      <w:pPr>
        <w:spacing w:after="0" w:line="240" w:lineRule="auto"/>
        <w:rPr>
          <w:b/>
        </w:rPr>
      </w:pPr>
    </w:p>
    <w:p w:rsidR="001601B3" w:rsidRPr="008502EB" w:rsidRDefault="001601B3" w:rsidP="0091151B">
      <w:pPr>
        <w:spacing w:after="0" w:line="240" w:lineRule="auto"/>
        <w:rPr>
          <w:b/>
        </w:rPr>
      </w:pPr>
    </w:p>
    <w:tbl>
      <w:tblPr>
        <w:tblStyle w:val="TableGrid12"/>
        <w:tblW w:w="0" w:type="auto"/>
        <w:tblLook w:val="04A0"/>
      </w:tblPr>
      <w:tblGrid>
        <w:gridCol w:w="1742"/>
        <w:gridCol w:w="1813"/>
        <w:gridCol w:w="1181"/>
        <w:gridCol w:w="1248"/>
        <w:gridCol w:w="1247"/>
        <w:gridCol w:w="1230"/>
        <w:gridCol w:w="1115"/>
      </w:tblGrid>
      <w:tr w:rsidR="002B5B5F" w:rsidRPr="008502EB" w:rsidTr="00E560FD">
        <w:tc>
          <w:tcPr>
            <w:tcW w:w="9576" w:type="dxa"/>
            <w:gridSpan w:val="7"/>
            <w:tcBorders>
              <w:top w:val="nil"/>
              <w:left w:val="nil"/>
              <w:right w:val="nil"/>
            </w:tcBorders>
            <w:shd w:val="clear" w:color="auto" w:fill="auto"/>
          </w:tcPr>
          <w:p w:rsidR="002B5B5F" w:rsidRPr="008502EB" w:rsidRDefault="002B5B5F" w:rsidP="00313410">
            <w:pPr>
              <w:spacing w:after="0" w:line="240" w:lineRule="auto"/>
              <w:jc w:val="center"/>
              <w:rPr>
                <w:b/>
                <w:sz w:val="20"/>
                <w:szCs w:val="20"/>
              </w:rPr>
            </w:pPr>
            <w:r w:rsidRPr="008502EB">
              <w:rPr>
                <w:b/>
                <w:sz w:val="20"/>
                <w:szCs w:val="20"/>
              </w:rPr>
              <w:lastRenderedPageBreak/>
              <w:t xml:space="preserve">Table </w:t>
            </w:r>
            <w:r w:rsidR="005C7DC2">
              <w:rPr>
                <w:b/>
                <w:sz w:val="20"/>
                <w:szCs w:val="20"/>
              </w:rPr>
              <w:t>6</w:t>
            </w:r>
            <w:r w:rsidRPr="008502EB">
              <w:rPr>
                <w:b/>
                <w:sz w:val="20"/>
                <w:szCs w:val="20"/>
              </w:rPr>
              <w:t>: Worcester Public Schools</w:t>
            </w:r>
          </w:p>
          <w:p w:rsidR="002B5B5F" w:rsidRPr="008502EB" w:rsidRDefault="002B5B5F" w:rsidP="00313410">
            <w:pPr>
              <w:spacing w:after="0" w:line="240" w:lineRule="auto"/>
              <w:jc w:val="center"/>
              <w:rPr>
                <w:b/>
                <w:sz w:val="20"/>
                <w:szCs w:val="20"/>
              </w:rPr>
            </w:pPr>
            <w:r w:rsidRPr="008502EB">
              <w:rPr>
                <w:b/>
                <w:sz w:val="20"/>
                <w:szCs w:val="20"/>
              </w:rPr>
              <w:t>Out-of-School and In-School Suspension Rates by Subgroup 2013–2016</w:t>
            </w:r>
          </w:p>
        </w:tc>
      </w:tr>
      <w:tr w:rsidR="002B5B5F" w:rsidRPr="008502EB" w:rsidTr="00E560FD">
        <w:tc>
          <w:tcPr>
            <w:tcW w:w="1742" w:type="dxa"/>
            <w:shd w:val="clear" w:color="auto" w:fill="D9D9D9" w:themeFill="background1" w:themeFillShade="D9"/>
            <w:vAlign w:val="center"/>
          </w:tcPr>
          <w:p w:rsidR="002B5B5F" w:rsidRPr="008502EB" w:rsidRDefault="002B5B5F" w:rsidP="002B5B5F">
            <w:pPr>
              <w:spacing w:after="0" w:line="240" w:lineRule="auto"/>
              <w:jc w:val="center"/>
              <w:rPr>
                <w:b/>
                <w:sz w:val="20"/>
                <w:szCs w:val="20"/>
              </w:rPr>
            </w:pPr>
            <w:r w:rsidRPr="008502EB">
              <w:rPr>
                <w:b/>
                <w:sz w:val="20"/>
                <w:szCs w:val="20"/>
              </w:rPr>
              <w:t>Group</w:t>
            </w:r>
          </w:p>
        </w:tc>
        <w:tc>
          <w:tcPr>
            <w:tcW w:w="1813" w:type="dxa"/>
            <w:shd w:val="clear" w:color="auto" w:fill="D9D9D9" w:themeFill="background1" w:themeFillShade="D9"/>
            <w:vAlign w:val="center"/>
          </w:tcPr>
          <w:p w:rsidR="002B5B5F" w:rsidRPr="008502EB" w:rsidRDefault="002B5B5F" w:rsidP="002B5B5F">
            <w:pPr>
              <w:spacing w:after="0" w:line="240" w:lineRule="auto"/>
              <w:jc w:val="center"/>
              <w:rPr>
                <w:b/>
                <w:sz w:val="20"/>
                <w:szCs w:val="20"/>
              </w:rPr>
            </w:pPr>
            <w:r w:rsidRPr="008502EB">
              <w:rPr>
                <w:b/>
                <w:sz w:val="20"/>
                <w:szCs w:val="20"/>
              </w:rPr>
              <w:t>Type of Suspension</w:t>
            </w:r>
          </w:p>
        </w:tc>
        <w:tc>
          <w:tcPr>
            <w:tcW w:w="1181" w:type="dxa"/>
            <w:shd w:val="clear" w:color="auto" w:fill="D9D9D9" w:themeFill="background1" w:themeFillShade="D9"/>
            <w:vAlign w:val="center"/>
          </w:tcPr>
          <w:p w:rsidR="002B5B5F" w:rsidRPr="008502EB" w:rsidRDefault="002B5B5F" w:rsidP="002B5B5F">
            <w:pPr>
              <w:spacing w:after="0" w:line="240" w:lineRule="auto"/>
              <w:jc w:val="center"/>
              <w:rPr>
                <w:b/>
                <w:sz w:val="20"/>
                <w:szCs w:val="20"/>
              </w:rPr>
            </w:pPr>
            <w:r w:rsidRPr="008502EB">
              <w:rPr>
                <w:b/>
                <w:sz w:val="20"/>
                <w:szCs w:val="20"/>
              </w:rPr>
              <w:t>2013</w:t>
            </w:r>
          </w:p>
        </w:tc>
        <w:tc>
          <w:tcPr>
            <w:tcW w:w="1248" w:type="dxa"/>
            <w:shd w:val="clear" w:color="auto" w:fill="D9D9D9" w:themeFill="background1" w:themeFillShade="D9"/>
            <w:vAlign w:val="center"/>
          </w:tcPr>
          <w:p w:rsidR="002B5B5F" w:rsidRPr="008502EB" w:rsidRDefault="002B5B5F" w:rsidP="002B5B5F">
            <w:pPr>
              <w:spacing w:after="0" w:line="240" w:lineRule="auto"/>
              <w:jc w:val="center"/>
              <w:rPr>
                <w:b/>
                <w:sz w:val="20"/>
                <w:szCs w:val="20"/>
              </w:rPr>
            </w:pPr>
            <w:r w:rsidRPr="008502EB">
              <w:rPr>
                <w:b/>
                <w:sz w:val="20"/>
                <w:szCs w:val="20"/>
              </w:rPr>
              <w:t>2014</w:t>
            </w:r>
          </w:p>
        </w:tc>
        <w:tc>
          <w:tcPr>
            <w:tcW w:w="1247" w:type="dxa"/>
            <w:shd w:val="clear" w:color="auto" w:fill="D9D9D9" w:themeFill="background1" w:themeFillShade="D9"/>
            <w:vAlign w:val="center"/>
          </w:tcPr>
          <w:p w:rsidR="002B5B5F" w:rsidRPr="008502EB" w:rsidRDefault="002B5B5F" w:rsidP="002B5B5F">
            <w:pPr>
              <w:spacing w:after="0" w:line="240" w:lineRule="auto"/>
              <w:jc w:val="center"/>
              <w:rPr>
                <w:b/>
                <w:sz w:val="20"/>
                <w:szCs w:val="20"/>
              </w:rPr>
            </w:pPr>
            <w:r w:rsidRPr="008502EB">
              <w:rPr>
                <w:b/>
                <w:sz w:val="20"/>
                <w:szCs w:val="20"/>
              </w:rPr>
              <w:t>2015</w:t>
            </w:r>
          </w:p>
        </w:tc>
        <w:tc>
          <w:tcPr>
            <w:tcW w:w="1230" w:type="dxa"/>
            <w:shd w:val="clear" w:color="auto" w:fill="D9D9D9" w:themeFill="background1" w:themeFillShade="D9"/>
            <w:vAlign w:val="center"/>
          </w:tcPr>
          <w:p w:rsidR="002B5B5F" w:rsidRPr="008502EB" w:rsidRDefault="002B5B5F" w:rsidP="002B5B5F">
            <w:pPr>
              <w:spacing w:after="0" w:line="240" w:lineRule="auto"/>
              <w:jc w:val="center"/>
              <w:rPr>
                <w:b/>
                <w:sz w:val="20"/>
                <w:szCs w:val="20"/>
              </w:rPr>
            </w:pPr>
            <w:r w:rsidRPr="008502EB">
              <w:rPr>
                <w:b/>
                <w:sz w:val="20"/>
                <w:szCs w:val="20"/>
              </w:rPr>
              <w:t>2016</w:t>
            </w:r>
          </w:p>
        </w:tc>
        <w:tc>
          <w:tcPr>
            <w:tcW w:w="1115" w:type="dxa"/>
            <w:shd w:val="clear" w:color="auto" w:fill="D9D9D9" w:themeFill="background1" w:themeFillShade="D9"/>
            <w:vAlign w:val="center"/>
          </w:tcPr>
          <w:p w:rsidR="002B5B5F" w:rsidRPr="008502EB" w:rsidRDefault="002B5B5F" w:rsidP="002B5B5F">
            <w:pPr>
              <w:spacing w:after="0" w:line="240" w:lineRule="auto"/>
              <w:jc w:val="center"/>
              <w:rPr>
                <w:b/>
                <w:sz w:val="20"/>
                <w:szCs w:val="20"/>
              </w:rPr>
            </w:pPr>
            <w:r w:rsidRPr="008502EB">
              <w:rPr>
                <w:b/>
                <w:sz w:val="20"/>
                <w:szCs w:val="20"/>
              </w:rPr>
              <w:t xml:space="preserve">State </w:t>
            </w:r>
            <w:r w:rsidR="00271552">
              <w:rPr>
                <w:b/>
                <w:sz w:val="20"/>
                <w:szCs w:val="20"/>
              </w:rPr>
              <w:t>(</w:t>
            </w:r>
            <w:r w:rsidRPr="008502EB">
              <w:rPr>
                <w:b/>
                <w:sz w:val="20"/>
                <w:szCs w:val="20"/>
              </w:rPr>
              <w:t>2016</w:t>
            </w:r>
            <w:r w:rsidR="00271552">
              <w:rPr>
                <w:b/>
                <w:sz w:val="20"/>
                <w:szCs w:val="20"/>
              </w:rPr>
              <w:t>)</w:t>
            </w:r>
          </w:p>
        </w:tc>
      </w:tr>
      <w:tr w:rsidR="002B5B5F" w:rsidRPr="008502EB" w:rsidTr="00E560FD">
        <w:tc>
          <w:tcPr>
            <w:tcW w:w="1742" w:type="dxa"/>
            <w:vMerge w:val="restart"/>
            <w:shd w:val="clear" w:color="auto" w:fill="auto"/>
            <w:vAlign w:val="center"/>
          </w:tcPr>
          <w:p w:rsidR="002B5B5F" w:rsidRPr="008502EB" w:rsidRDefault="002B5B5F" w:rsidP="002B5B5F">
            <w:pPr>
              <w:spacing w:after="0" w:line="240" w:lineRule="auto"/>
              <w:jc w:val="center"/>
              <w:rPr>
                <w:sz w:val="20"/>
                <w:szCs w:val="20"/>
              </w:rPr>
            </w:pPr>
            <w:r w:rsidRPr="008502EB">
              <w:rPr>
                <w:sz w:val="20"/>
                <w:szCs w:val="20"/>
              </w:rPr>
              <w:t>High Needs</w:t>
            </w:r>
          </w:p>
        </w:tc>
        <w:tc>
          <w:tcPr>
            <w:tcW w:w="1813" w:type="dxa"/>
            <w:shd w:val="clear" w:color="auto" w:fill="auto"/>
            <w:vAlign w:val="center"/>
          </w:tcPr>
          <w:p w:rsidR="002B5B5F" w:rsidRPr="008502EB" w:rsidRDefault="002B5B5F" w:rsidP="002B5B5F">
            <w:pPr>
              <w:spacing w:after="0" w:line="240" w:lineRule="auto"/>
              <w:jc w:val="center"/>
              <w:rPr>
                <w:sz w:val="20"/>
                <w:szCs w:val="20"/>
              </w:rPr>
            </w:pPr>
            <w:r w:rsidRPr="008502EB">
              <w:rPr>
                <w:sz w:val="20"/>
                <w:szCs w:val="20"/>
              </w:rPr>
              <w:t>ISS</w:t>
            </w:r>
          </w:p>
        </w:tc>
        <w:tc>
          <w:tcPr>
            <w:tcW w:w="1181" w:type="dxa"/>
            <w:shd w:val="clear" w:color="auto" w:fill="auto"/>
            <w:vAlign w:val="center"/>
          </w:tcPr>
          <w:p w:rsidR="002B5B5F" w:rsidRPr="008502EB" w:rsidRDefault="002B5B5F" w:rsidP="002B5B5F">
            <w:pPr>
              <w:spacing w:after="0" w:line="240" w:lineRule="auto"/>
              <w:jc w:val="center"/>
              <w:rPr>
                <w:sz w:val="20"/>
                <w:szCs w:val="20"/>
              </w:rPr>
            </w:pPr>
            <w:r w:rsidRPr="008502EB">
              <w:rPr>
                <w:sz w:val="20"/>
                <w:szCs w:val="20"/>
              </w:rPr>
              <w:t>0.0%</w:t>
            </w:r>
          </w:p>
        </w:tc>
        <w:tc>
          <w:tcPr>
            <w:tcW w:w="1248" w:type="dxa"/>
            <w:shd w:val="clear" w:color="auto" w:fill="auto"/>
            <w:vAlign w:val="center"/>
          </w:tcPr>
          <w:p w:rsidR="002B5B5F" w:rsidRPr="008502EB" w:rsidRDefault="002B5B5F" w:rsidP="002B5B5F">
            <w:pPr>
              <w:spacing w:after="0" w:line="240" w:lineRule="auto"/>
              <w:jc w:val="center"/>
              <w:rPr>
                <w:sz w:val="20"/>
                <w:szCs w:val="20"/>
              </w:rPr>
            </w:pPr>
            <w:r w:rsidRPr="008502EB">
              <w:rPr>
                <w:sz w:val="20"/>
                <w:szCs w:val="20"/>
              </w:rPr>
              <w:t>4.8%</w:t>
            </w:r>
          </w:p>
        </w:tc>
        <w:tc>
          <w:tcPr>
            <w:tcW w:w="1247" w:type="dxa"/>
            <w:shd w:val="clear" w:color="auto" w:fill="auto"/>
            <w:vAlign w:val="center"/>
          </w:tcPr>
          <w:p w:rsidR="002B5B5F" w:rsidRPr="008502EB" w:rsidRDefault="002B5B5F" w:rsidP="002B5B5F">
            <w:pPr>
              <w:spacing w:after="0" w:line="240" w:lineRule="auto"/>
              <w:jc w:val="center"/>
              <w:rPr>
                <w:sz w:val="20"/>
                <w:szCs w:val="20"/>
              </w:rPr>
            </w:pPr>
            <w:r w:rsidRPr="008502EB">
              <w:rPr>
                <w:sz w:val="20"/>
                <w:szCs w:val="20"/>
              </w:rPr>
              <w:t>3.1%</w:t>
            </w:r>
          </w:p>
        </w:tc>
        <w:tc>
          <w:tcPr>
            <w:tcW w:w="1230" w:type="dxa"/>
            <w:shd w:val="clear" w:color="auto" w:fill="auto"/>
            <w:vAlign w:val="center"/>
          </w:tcPr>
          <w:p w:rsidR="002B5B5F" w:rsidRPr="008502EB" w:rsidRDefault="002B5B5F" w:rsidP="002B5B5F">
            <w:pPr>
              <w:spacing w:after="0" w:line="240" w:lineRule="auto"/>
              <w:jc w:val="center"/>
              <w:rPr>
                <w:sz w:val="20"/>
                <w:szCs w:val="20"/>
              </w:rPr>
            </w:pPr>
            <w:r w:rsidRPr="008502EB">
              <w:rPr>
                <w:sz w:val="20"/>
                <w:szCs w:val="20"/>
              </w:rPr>
              <w:t>3.0%</w:t>
            </w:r>
          </w:p>
        </w:tc>
        <w:tc>
          <w:tcPr>
            <w:tcW w:w="1115" w:type="dxa"/>
            <w:vAlign w:val="center"/>
          </w:tcPr>
          <w:p w:rsidR="002B5B5F" w:rsidRPr="008502EB" w:rsidRDefault="002B5B5F" w:rsidP="002B5B5F">
            <w:pPr>
              <w:spacing w:after="0" w:line="240" w:lineRule="auto"/>
              <w:jc w:val="center"/>
              <w:rPr>
                <w:sz w:val="20"/>
                <w:szCs w:val="20"/>
              </w:rPr>
            </w:pPr>
            <w:r w:rsidRPr="008502EB">
              <w:rPr>
                <w:sz w:val="20"/>
                <w:szCs w:val="20"/>
              </w:rPr>
              <w:t>2.9%</w:t>
            </w:r>
          </w:p>
        </w:tc>
      </w:tr>
      <w:tr w:rsidR="002B5B5F" w:rsidRPr="008502EB" w:rsidTr="00E560FD">
        <w:tc>
          <w:tcPr>
            <w:tcW w:w="1742" w:type="dxa"/>
            <w:vMerge/>
            <w:shd w:val="clear" w:color="auto" w:fill="auto"/>
            <w:vAlign w:val="center"/>
          </w:tcPr>
          <w:p w:rsidR="002B5B5F" w:rsidRPr="008502EB" w:rsidRDefault="002B5B5F" w:rsidP="002B5B5F">
            <w:pPr>
              <w:spacing w:after="0" w:line="240" w:lineRule="auto"/>
              <w:jc w:val="center"/>
              <w:rPr>
                <w:sz w:val="20"/>
                <w:szCs w:val="20"/>
              </w:rPr>
            </w:pPr>
          </w:p>
        </w:tc>
        <w:tc>
          <w:tcPr>
            <w:tcW w:w="1813" w:type="dxa"/>
            <w:shd w:val="clear" w:color="auto" w:fill="auto"/>
            <w:vAlign w:val="center"/>
          </w:tcPr>
          <w:p w:rsidR="002B5B5F" w:rsidRPr="008502EB" w:rsidRDefault="002B5B5F" w:rsidP="002B5B5F">
            <w:pPr>
              <w:spacing w:after="0" w:line="240" w:lineRule="auto"/>
              <w:jc w:val="center"/>
              <w:rPr>
                <w:sz w:val="20"/>
                <w:szCs w:val="20"/>
              </w:rPr>
            </w:pPr>
            <w:r w:rsidRPr="008502EB">
              <w:rPr>
                <w:sz w:val="20"/>
                <w:szCs w:val="20"/>
              </w:rPr>
              <w:t>OSS</w:t>
            </w:r>
          </w:p>
        </w:tc>
        <w:tc>
          <w:tcPr>
            <w:tcW w:w="1181" w:type="dxa"/>
            <w:shd w:val="clear" w:color="auto" w:fill="auto"/>
            <w:vAlign w:val="center"/>
          </w:tcPr>
          <w:p w:rsidR="002B5B5F" w:rsidRPr="008502EB" w:rsidRDefault="002B5B5F" w:rsidP="002B5B5F">
            <w:pPr>
              <w:spacing w:after="0" w:line="240" w:lineRule="auto"/>
              <w:jc w:val="center"/>
              <w:rPr>
                <w:sz w:val="20"/>
                <w:szCs w:val="20"/>
              </w:rPr>
            </w:pPr>
            <w:r w:rsidRPr="008502EB">
              <w:rPr>
                <w:sz w:val="20"/>
                <w:szCs w:val="20"/>
              </w:rPr>
              <w:t>11.8%</w:t>
            </w:r>
          </w:p>
        </w:tc>
        <w:tc>
          <w:tcPr>
            <w:tcW w:w="1248" w:type="dxa"/>
            <w:shd w:val="clear" w:color="auto" w:fill="auto"/>
            <w:vAlign w:val="center"/>
          </w:tcPr>
          <w:p w:rsidR="002B5B5F" w:rsidRPr="008502EB" w:rsidRDefault="002B5B5F" w:rsidP="002B5B5F">
            <w:pPr>
              <w:spacing w:after="0" w:line="240" w:lineRule="auto"/>
              <w:jc w:val="center"/>
              <w:rPr>
                <w:sz w:val="20"/>
                <w:szCs w:val="20"/>
              </w:rPr>
            </w:pPr>
            <w:r w:rsidRPr="008502EB">
              <w:rPr>
                <w:sz w:val="20"/>
                <w:szCs w:val="20"/>
              </w:rPr>
              <w:t>8.6%</w:t>
            </w:r>
          </w:p>
        </w:tc>
        <w:tc>
          <w:tcPr>
            <w:tcW w:w="1247" w:type="dxa"/>
            <w:shd w:val="clear" w:color="auto" w:fill="auto"/>
            <w:vAlign w:val="center"/>
          </w:tcPr>
          <w:p w:rsidR="002B5B5F" w:rsidRPr="008502EB" w:rsidRDefault="002B5B5F" w:rsidP="002B5B5F">
            <w:pPr>
              <w:spacing w:after="0" w:line="240" w:lineRule="auto"/>
              <w:jc w:val="center"/>
              <w:rPr>
                <w:sz w:val="20"/>
                <w:szCs w:val="20"/>
              </w:rPr>
            </w:pPr>
            <w:r w:rsidRPr="008502EB">
              <w:rPr>
                <w:sz w:val="20"/>
                <w:szCs w:val="20"/>
              </w:rPr>
              <w:t>5.8%</w:t>
            </w:r>
          </w:p>
        </w:tc>
        <w:tc>
          <w:tcPr>
            <w:tcW w:w="1230" w:type="dxa"/>
            <w:shd w:val="clear" w:color="auto" w:fill="auto"/>
            <w:vAlign w:val="center"/>
          </w:tcPr>
          <w:p w:rsidR="002B5B5F" w:rsidRPr="008502EB" w:rsidRDefault="002B5B5F" w:rsidP="002B5B5F">
            <w:pPr>
              <w:spacing w:after="0" w:line="240" w:lineRule="auto"/>
              <w:jc w:val="center"/>
              <w:rPr>
                <w:sz w:val="20"/>
                <w:szCs w:val="20"/>
              </w:rPr>
            </w:pPr>
            <w:r w:rsidRPr="008502EB">
              <w:rPr>
                <w:sz w:val="20"/>
                <w:szCs w:val="20"/>
              </w:rPr>
              <w:t>5.4%</w:t>
            </w:r>
          </w:p>
        </w:tc>
        <w:tc>
          <w:tcPr>
            <w:tcW w:w="1115" w:type="dxa"/>
            <w:vAlign w:val="center"/>
          </w:tcPr>
          <w:p w:rsidR="002B5B5F" w:rsidRPr="008502EB" w:rsidRDefault="002B5B5F" w:rsidP="002B5B5F">
            <w:pPr>
              <w:spacing w:after="0" w:line="240" w:lineRule="auto"/>
              <w:jc w:val="center"/>
              <w:rPr>
                <w:sz w:val="20"/>
                <w:szCs w:val="20"/>
              </w:rPr>
            </w:pPr>
            <w:r w:rsidRPr="008502EB">
              <w:rPr>
                <w:sz w:val="20"/>
                <w:szCs w:val="20"/>
              </w:rPr>
              <w:t>4.9%</w:t>
            </w:r>
          </w:p>
        </w:tc>
      </w:tr>
      <w:tr w:rsidR="002B5B5F" w:rsidRPr="008502EB" w:rsidTr="00E560FD">
        <w:tc>
          <w:tcPr>
            <w:tcW w:w="1742" w:type="dxa"/>
            <w:vMerge w:val="restart"/>
            <w:shd w:val="clear" w:color="auto" w:fill="D9D9D9" w:themeFill="background1" w:themeFillShade="D9"/>
            <w:vAlign w:val="center"/>
          </w:tcPr>
          <w:p w:rsidR="002B5B5F" w:rsidRPr="008502EB" w:rsidRDefault="002B5B5F" w:rsidP="002B5B5F">
            <w:pPr>
              <w:spacing w:after="0" w:line="240" w:lineRule="auto"/>
              <w:jc w:val="center"/>
              <w:rPr>
                <w:sz w:val="20"/>
                <w:szCs w:val="20"/>
              </w:rPr>
            </w:pPr>
            <w:r w:rsidRPr="008502EB">
              <w:rPr>
                <w:sz w:val="20"/>
                <w:szCs w:val="20"/>
              </w:rPr>
              <w:t>Economically disadvantaged*</w:t>
            </w:r>
          </w:p>
        </w:tc>
        <w:tc>
          <w:tcPr>
            <w:tcW w:w="1813" w:type="dxa"/>
            <w:shd w:val="clear" w:color="auto" w:fill="D9D9D9" w:themeFill="background1" w:themeFillShade="D9"/>
            <w:vAlign w:val="center"/>
          </w:tcPr>
          <w:p w:rsidR="002B5B5F" w:rsidRPr="008502EB" w:rsidRDefault="002B5B5F" w:rsidP="002B5B5F">
            <w:pPr>
              <w:spacing w:after="0" w:line="240" w:lineRule="auto"/>
              <w:jc w:val="center"/>
              <w:rPr>
                <w:sz w:val="20"/>
                <w:szCs w:val="20"/>
              </w:rPr>
            </w:pPr>
            <w:r w:rsidRPr="008502EB">
              <w:rPr>
                <w:sz w:val="20"/>
                <w:szCs w:val="20"/>
              </w:rPr>
              <w:t>ISS</w:t>
            </w:r>
          </w:p>
        </w:tc>
        <w:tc>
          <w:tcPr>
            <w:tcW w:w="1181" w:type="dxa"/>
            <w:shd w:val="clear" w:color="auto" w:fill="D9D9D9" w:themeFill="background1" w:themeFillShade="D9"/>
            <w:vAlign w:val="center"/>
          </w:tcPr>
          <w:p w:rsidR="002B5B5F" w:rsidRPr="008502EB" w:rsidRDefault="002B5B5F" w:rsidP="002B5B5F">
            <w:pPr>
              <w:spacing w:after="0" w:line="240" w:lineRule="auto"/>
              <w:jc w:val="center"/>
              <w:rPr>
                <w:sz w:val="20"/>
                <w:szCs w:val="20"/>
              </w:rPr>
            </w:pPr>
            <w:r w:rsidRPr="008502EB">
              <w:rPr>
                <w:sz w:val="20"/>
                <w:szCs w:val="20"/>
              </w:rPr>
              <w:t>0.0%</w:t>
            </w:r>
          </w:p>
        </w:tc>
        <w:tc>
          <w:tcPr>
            <w:tcW w:w="1248" w:type="dxa"/>
            <w:shd w:val="clear" w:color="auto" w:fill="D9D9D9" w:themeFill="background1" w:themeFillShade="D9"/>
            <w:vAlign w:val="center"/>
          </w:tcPr>
          <w:p w:rsidR="002B5B5F" w:rsidRPr="008502EB" w:rsidRDefault="002B5B5F" w:rsidP="002B5B5F">
            <w:pPr>
              <w:spacing w:after="0" w:line="240" w:lineRule="auto"/>
              <w:jc w:val="center"/>
              <w:rPr>
                <w:sz w:val="20"/>
                <w:szCs w:val="20"/>
              </w:rPr>
            </w:pPr>
            <w:r w:rsidRPr="008502EB">
              <w:rPr>
                <w:sz w:val="20"/>
                <w:szCs w:val="20"/>
              </w:rPr>
              <w:t>5.1%</w:t>
            </w:r>
          </w:p>
        </w:tc>
        <w:tc>
          <w:tcPr>
            <w:tcW w:w="1247" w:type="dxa"/>
            <w:shd w:val="clear" w:color="auto" w:fill="D9D9D9" w:themeFill="background1" w:themeFillShade="D9"/>
            <w:vAlign w:val="center"/>
          </w:tcPr>
          <w:p w:rsidR="002B5B5F" w:rsidRPr="008502EB" w:rsidRDefault="002B5B5F" w:rsidP="002B5B5F">
            <w:pPr>
              <w:spacing w:after="0" w:line="240" w:lineRule="auto"/>
              <w:jc w:val="center"/>
              <w:rPr>
                <w:sz w:val="20"/>
                <w:szCs w:val="20"/>
              </w:rPr>
            </w:pPr>
            <w:r w:rsidRPr="008502EB">
              <w:rPr>
                <w:sz w:val="20"/>
                <w:szCs w:val="20"/>
              </w:rPr>
              <w:t>3.4%</w:t>
            </w:r>
          </w:p>
        </w:tc>
        <w:tc>
          <w:tcPr>
            <w:tcW w:w="1230" w:type="dxa"/>
            <w:shd w:val="clear" w:color="auto" w:fill="D9D9D9" w:themeFill="background1" w:themeFillShade="D9"/>
            <w:vAlign w:val="center"/>
          </w:tcPr>
          <w:p w:rsidR="002B5B5F" w:rsidRPr="008502EB" w:rsidRDefault="002B5B5F" w:rsidP="002B5B5F">
            <w:pPr>
              <w:spacing w:after="0" w:line="240" w:lineRule="auto"/>
              <w:jc w:val="center"/>
              <w:rPr>
                <w:sz w:val="20"/>
                <w:szCs w:val="20"/>
              </w:rPr>
            </w:pPr>
            <w:r w:rsidRPr="008502EB">
              <w:rPr>
                <w:sz w:val="20"/>
                <w:szCs w:val="20"/>
              </w:rPr>
              <w:t>3.3%</w:t>
            </w:r>
          </w:p>
        </w:tc>
        <w:tc>
          <w:tcPr>
            <w:tcW w:w="1115" w:type="dxa"/>
            <w:shd w:val="clear" w:color="auto" w:fill="D9D9D9" w:themeFill="background1" w:themeFillShade="D9"/>
            <w:vAlign w:val="center"/>
          </w:tcPr>
          <w:p w:rsidR="002B5B5F" w:rsidRPr="008502EB" w:rsidRDefault="002B5B5F" w:rsidP="002B5B5F">
            <w:pPr>
              <w:spacing w:after="0" w:line="240" w:lineRule="auto"/>
              <w:jc w:val="center"/>
              <w:rPr>
                <w:sz w:val="20"/>
                <w:szCs w:val="20"/>
              </w:rPr>
            </w:pPr>
            <w:r w:rsidRPr="008502EB">
              <w:rPr>
                <w:sz w:val="20"/>
                <w:szCs w:val="20"/>
              </w:rPr>
              <w:t>3.2%</w:t>
            </w:r>
          </w:p>
        </w:tc>
      </w:tr>
      <w:tr w:rsidR="002B5B5F" w:rsidRPr="008502EB" w:rsidTr="00E560FD">
        <w:tc>
          <w:tcPr>
            <w:tcW w:w="1742" w:type="dxa"/>
            <w:vMerge/>
            <w:shd w:val="clear" w:color="auto" w:fill="D9D9D9" w:themeFill="background1" w:themeFillShade="D9"/>
            <w:vAlign w:val="center"/>
          </w:tcPr>
          <w:p w:rsidR="002B5B5F" w:rsidRPr="008502EB" w:rsidRDefault="002B5B5F" w:rsidP="002B5B5F">
            <w:pPr>
              <w:spacing w:after="0" w:line="240" w:lineRule="auto"/>
              <w:jc w:val="center"/>
              <w:rPr>
                <w:sz w:val="20"/>
                <w:szCs w:val="20"/>
              </w:rPr>
            </w:pPr>
          </w:p>
        </w:tc>
        <w:tc>
          <w:tcPr>
            <w:tcW w:w="1813" w:type="dxa"/>
            <w:shd w:val="clear" w:color="auto" w:fill="D9D9D9" w:themeFill="background1" w:themeFillShade="D9"/>
            <w:vAlign w:val="center"/>
          </w:tcPr>
          <w:p w:rsidR="002B5B5F" w:rsidRPr="008502EB" w:rsidRDefault="002B5B5F" w:rsidP="002B5B5F">
            <w:pPr>
              <w:spacing w:after="0" w:line="240" w:lineRule="auto"/>
              <w:jc w:val="center"/>
              <w:rPr>
                <w:sz w:val="20"/>
                <w:szCs w:val="20"/>
              </w:rPr>
            </w:pPr>
            <w:r w:rsidRPr="008502EB">
              <w:rPr>
                <w:sz w:val="20"/>
                <w:szCs w:val="20"/>
              </w:rPr>
              <w:t>OSS</w:t>
            </w:r>
          </w:p>
        </w:tc>
        <w:tc>
          <w:tcPr>
            <w:tcW w:w="1181" w:type="dxa"/>
            <w:shd w:val="clear" w:color="auto" w:fill="D9D9D9" w:themeFill="background1" w:themeFillShade="D9"/>
            <w:vAlign w:val="center"/>
          </w:tcPr>
          <w:p w:rsidR="002B5B5F" w:rsidRPr="008502EB" w:rsidRDefault="002B5B5F" w:rsidP="002B5B5F">
            <w:pPr>
              <w:spacing w:after="0" w:line="240" w:lineRule="auto"/>
              <w:jc w:val="center"/>
              <w:rPr>
                <w:sz w:val="20"/>
                <w:szCs w:val="20"/>
              </w:rPr>
            </w:pPr>
            <w:r w:rsidRPr="008502EB">
              <w:rPr>
                <w:sz w:val="20"/>
                <w:szCs w:val="20"/>
              </w:rPr>
              <w:t>12.4%</w:t>
            </w:r>
          </w:p>
        </w:tc>
        <w:tc>
          <w:tcPr>
            <w:tcW w:w="1248" w:type="dxa"/>
            <w:shd w:val="clear" w:color="auto" w:fill="D9D9D9" w:themeFill="background1" w:themeFillShade="D9"/>
            <w:vAlign w:val="center"/>
          </w:tcPr>
          <w:p w:rsidR="002B5B5F" w:rsidRPr="008502EB" w:rsidRDefault="002B5B5F" w:rsidP="002B5B5F">
            <w:pPr>
              <w:spacing w:after="0" w:line="240" w:lineRule="auto"/>
              <w:jc w:val="center"/>
              <w:rPr>
                <w:sz w:val="20"/>
                <w:szCs w:val="20"/>
              </w:rPr>
            </w:pPr>
            <w:r w:rsidRPr="008502EB">
              <w:rPr>
                <w:sz w:val="20"/>
                <w:szCs w:val="20"/>
              </w:rPr>
              <w:t>9.1%</w:t>
            </w:r>
          </w:p>
        </w:tc>
        <w:tc>
          <w:tcPr>
            <w:tcW w:w="1247" w:type="dxa"/>
            <w:shd w:val="clear" w:color="auto" w:fill="D9D9D9" w:themeFill="background1" w:themeFillShade="D9"/>
            <w:vAlign w:val="center"/>
          </w:tcPr>
          <w:p w:rsidR="002B5B5F" w:rsidRPr="008502EB" w:rsidRDefault="002B5B5F" w:rsidP="002B5B5F">
            <w:pPr>
              <w:spacing w:after="0" w:line="240" w:lineRule="auto"/>
              <w:jc w:val="center"/>
              <w:rPr>
                <w:sz w:val="20"/>
                <w:szCs w:val="20"/>
              </w:rPr>
            </w:pPr>
            <w:r w:rsidRPr="008502EB">
              <w:rPr>
                <w:sz w:val="20"/>
                <w:szCs w:val="20"/>
              </w:rPr>
              <w:t>6.4%</w:t>
            </w:r>
          </w:p>
        </w:tc>
        <w:tc>
          <w:tcPr>
            <w:tcW w:w="1230" w:type="dxa"/>
            <w:shd w:val="clear" w:color="auto" w:fill="D9D9D9" w:themeFill="background1" w:themeFillShade="D9"/>
            <w:vAlign w:val="center"/>
          </w:tcPr>
          <w:p w:rsidR="002B5B5F" w:rsidRPr="008502EB" w:rsidRDefault="002B5B5F" w:rsidP="002B5B5F">
            <w:pPr>
              <w:spacing w:after="0" w:line="240" w:lineRule="auto"/>
              <w:jc w:val="center"/>
              <w:rPr>
                <w:sz w:val="20"/>
                <w:szCs w:val="20"/>
              </w:rPr>
            </w:pPr>
            <w:r w:rsidRPr="008502EB">
              <w:rPr>
                <w:sz w:val="20"/>
                <w:szCs w:val="20"/>
              </w:rPr>
              <w:t>5.9%</w:t>
            </w:r>
          </w:p>
        </w:tc>
        <w:tc>
          <w:tcPr>
            <w:tcW w:w="1115" w:type="dxa"/>
            <w:shd w:val="clear" w:color="auto" w:fill="D9D9D9" w:themeFill="background1" w:themeFillShade="D9"/>
            <w:vAlign w:val="center"/>
          </w:tcPr>
          <w:p w:rsidR="002B5B5F" w:rsidRPr="008502EB" w:rsidRDefault="002B5B5F" w:rsidP="002B5B5F">
            <w:pPr>
              <w:spacing w:after="0" w:line="240" w:lineRule="auto"/>
              <w:jc w:val="center"/>
              <w:rPr>
                <w:sz w:val="20"/>
                <w:szCs w:val="20"/>
              </w:rPr>
            </w:pPr>
            <w:r w:rsidRPr="008502EB">
              <w:rPr>
                <w:sz w:val="20"/>
                <w:szCs w:val="20"/>
              </w:rPr>
              <w:t>5.6%</w:t>
            </w:r>
          </w:p>
        </w:tc>
      </w:tr>
      <w:tr w:rsidR="002B5B5F" w:rsidRPr="008502EB" w:rsidTr="00E560FD">
        <w:tc>
          <w:tcPr>
            <w:tcW w:w="1742" w:type="dxa"/>
            <w:vMerge w:val="restart"/>
            <w:shd w:val="clear" w:color="auto" w:fill="auto"/>
            <w:vAlign w:val="center"/>
          </w:tcPr>
          <w:p w:rsidR="002B5B5F" w:rsidRPr="008502EB" w:rsidRDefault="002B5B5F" w:rsidP="002B5B5F">
            <w:pPr>
              <w:spacing w:after="0" w:line="240" w:lineRule="auto"/>
              <w:jc w:val="center"/>
              <w:rPr>
                <w:sz w:val="20"/>
                <w:szCs w:val="20"/>
              </w:rPr>
            </w:pPr>
            <w:r w:rsidRPr="008502EB">
              <w:rPr>
                <w:sz w:val="20"/>
                <w:szCs w:val="20"/>
              </w:rPr>
              <w:t>ELLs</w:t>
            </w:r>
          </w:p>
        </w:tc>
        <w:tc>
          <w:tcPr>
            <w:tcW w:w="1813" w:type="dxa"/>
            <w:shd w:val="clear" w:color="auto" w:fill="auto"/>
            <w:vAlign w:val="center"/>
          </w:tcPr>
          <w:p w:rsidR="002B5B5F" w:rsidRPr="008502EB" w:rsidRDefault="002B5B5F" w:rsidP="002B5B5F">
            <w:pPr>
              <w:spacing w:after="0" w:line="240" w:lineRule="auto"/>
              <w:jc w:val="center"/>
              <w:rPr>
                <w:sz w:val="20"/>
                <w:szCs w:val="20"/>
              </w:rPr>
            </w:pPr>
            <w:r w:rsidRPr="008502EB">
              <w:rPr>
                <w:sz w:val="20"/>
                <w:szCs w:val="20"/>
              </w:rPr>
              <w:t>ISS</w:t>
            </w:r>
          </w:p>
        </w:tc>
        <w:tc>
          <w:tcPr>
            <w:tcW w:w="1181" w:type="dxa"/>
            <w:shd w:val="clear" w:color="auto" w:fill="auto"/>
            <w:vAlign w:val="center"/>
          </w:tcPr>
          <w:p w:rsidR="002B5B5F" w:rsidRPr="008502EB" w:rsidRDefault="002B5B5F" w:rsidP="002B5B5F">
            <w:pPr>
              <w:spacing w:after="0" w:line="240" w:lineRule="auto"/>
              <w:jc w:val="center"/>
              <w:rPr>
                <w:sz w:val="20"/>
                <w:szCs w:val="20"/>
              </w:rPr>
            </w:pPr>
            <w:r w:rsidRPr="008502EB">
              <w:rPr>
                <w:sz w:val="20"/>
                <w:szCs w:val="20"/>
              </w:rPr>
              <w:t>0.0%</w:t>
            </w:r>
          </w:p>
        </w:tc>
        <w:tc>
          <w:tcPr>
            <w:tcW w:w="1248" w:type="dxa"/>
            <w:shd w:val="clear" w:color="auto" w:fill="auto"/>
            <w:vAlign w:val="center"/>
          </w:tcPr>
          <w:p w:rsidR="002B5B5F" w:rsidRPr="008502EB" w:rsidRDefault="002B5B5F" w:rsidP="002B5B5F">
            <w:pPr>
              <w:spacing w:after="0" w:line="240" w:lineRule="auto"/>
              <w:jc w:val="center"/>
              <w:rPr>
                <w:sz w:val="20"/>
                <w:szCs w:val="20"/>
              </w:rPr>
            </w:pPr>
            <w:r w:rsidRPr="008502EB">
              <w:rPr>
                <w:sz w:val="20"/>
                <w:szCs w:val="20"/>
              </w:rPr>
              <w:t>3.8%</w:t>
            </w:r>
          </w:p>
        </w:tc>
        <w:tc>
          <w:tcPr>
            <w:tcW w:w="1247" w:type="dxa"/>
            <w:shd w:val="clear" w:color="auto" w:fill="auto"/>
            <w:vAlign w:val="center"/>
          </w:tcPr>
          <w:p w:rsidR="002B5B5F" w:rsidRPr="008502EB" w:rsidRDefault="002B5B5F" w:rsidP="002B5B5F">
            <w:pPr>
              <w:spacing w:after="0" w:line="240" w:lineRule="auto"/>
              <w:jc w:val="center"/>
              <w:rPr>
                <w:sz w:val="20"/>
                <w:szCs w:val="20"/>
              </w:rPr>
            </w:pPr>
            <w:r w:rsidRPr="008502EB">
              <w:rPr>
                <w:sz w:val="20"/>
                <w:szCs w:val="20"/>
              </w:rPr>
              <w:t>2.5%</w:t>
            </w:r>
          </w:p>
        </w:tc>
        <w:tc>
          <w:tcPr>
            <w:tcW w:w="1230" w:type="dxa"/>
            <w:shd w:val="clear" w:color="auto" w:fill="auto"/>
            <w:vAlign w:val="center"/>
          </w:tcPr>
          <w:p w:rsidR="002B5B5F" w:rsidRPr="008502EB" w:rsidRDefault="002B5B5F" w:rsidP="002B5B5F">
            <w:pPr>
              <w:spacing w:after="0" w:line="240" w:lineRule="auto"/>
              <w:jc w:val="center"/>
              <w:rPr>
                <w:sz w:val="20"/>
                <w:szCs w:val="20"/>
              </w:rPr>
            </w:pPr>
            <w:r w:rsidRPr="008502EB">
              <w:rPr>
                <w:sz w:val="20"/>
                <w:szCs w:val="20"/>
              </w:rPr>
              <w:t>2.7%</w:t>
            </w:r>
          </w:p>
        </w:tc>
        <w:tc>
          <w:tcPr>
            <w:tcW w:w="1115" w:type="dxa"/>
            <w:shd w:val="clear" w:color="auto" w:fill="auto"/>
            <w:vAlign w:val="center"/>
          </w:tcPr>
          <w:p w:rsidR="002B5B5F" w:rsidRPr="008502EB" w:rsidRDefault="002B5B5F" w:rsidP="002B5B5F">
            <w:pPr>
              <w:spacing w:after="0" w:line="240" w:lineRule="auto"/>
              <w:jc w:val="center"/>
              <w:rPr>
                <w:sz w:val="20"/>
                <w:szCs w:val="20"/>
              </w:rPr>
            </w:pPr>
            <w:r w:rsidRPr="008502EB">
              <w:rPr>
                <w:sz w:val="20"/>
                <w:szCs w:val="20"/>
              </w:rPr>
              <w:t>1.9%</w:t>
            </w:r>
          </w:p>
        </w:tc>
      </w:tr>
      <w:tr w:rsidR="002B5B5F" w:rsidRPr="008502EB" w:rsidTr="00E560FD">
        <w:tc>
          <w:tcPr>
            <w:tcW w:w="1742" w:type="dxa"/>
            <w:vMerge/>
            <w:shd w:val="clear" w:color="auto" w:fill="auto"/>
            <w:vAlign w:val="center"/>
          </w:tcPr>
          <w:p w:rsidR="002B5B5F" w:rsidRPr="008502EB" w:rsidRDefault="002B5B5F" w:rsidP="002B5B5F">
            <w:pPr>
              <w:spacing w:after="0" w:line="240" w:lineRule="auto"/>
              <w:jc w:val="center"/>
              <w:rPr>
                <w:sz w:val="20"/>
                <w:szCs w:val="20"/>
              </w:rPr>
            </w:pPr>
          </w:p>
        </w:tc>
        <w:tc>
          <w:tcPr>
            <w:tcW w:w="1813" w:type="dxa"/>
            <w:shd w:val="clear" w:color="auto" w:fill="auto"/>
            <w:vAlign w:val="center"/>
          </w:tcPr>
          <w:p w:rsidR="002B5B5F" w:rsidRPr="008502EB" w:rsidRDefault="002B5B5F" w:rsidP="002B5B5F">
            <w:pPr>
              <w:spacing w:after="0" w:line="240" w:lineRule="auto"/>
              <w:jc w:val="center"/>
              <w:rPr>
                <w:sz w:val="20"/>
                <w:szCs w:val="20"/>
              </w:rPr>
            </w:pPr>
            <w:r w:rsidRPr="008502EB">
              <w:rPr>
                <w:sz w:val="20"/>
                <w:szCs w:val="20"/>
              </w:rPr>
              <w:t>OSS</w:t>
            </w:r>
          </w:p>
        </w:tc>
        <w:tc>
          <w:tcPr>
            <w:tcW w:w="1181" w:type="dxa"/>
            <w:shd w:val="clear" w:color="auto" w:fill="auto"/>
            <w:vAlign w:val="center"/>
          </w:tcPr>
          <w:p w:rsidR="002B5B5F" w:rsidRPr="008502EB" w:rsidRDefault="002B5B5F" w:rsidP="002B5B5F">
            <w:pPr>
              <w:spacing w:after="0" w:line="240" w:lineRule="auto"/>
              <w:jc w:val="center"/>
              <w:rPr>
                <w:sz w:val="20"/>
                <w:szCs w:val="20"/>
              </w:rPr>
            </w:pPr>
            <w:r w:rsidRPr="008502EB">
              <w:rPr>
                <w:sz w:val="20"/>
                <w:szCs w:val="20"/>
              </w:rPr>
              <w:t>10.9%</w:t>
            </w:r>
          </w:p>
        </w:tc>
        <w:tc>
          <w:tcPr>
            <w:tcW w:w="1248" w:type="dxa"/>
            <w:shd w:val="clear" w:color="auto" w:fill="auto"/>
            <w:vAlign w:val="center"/>
          </w:tcPr>
          <w:p w:rsidR="002B5B5F" w:rsidRPr="008502EB" w:rsidRDefault="002B5B5F" w:rsidP="002B5B5F">
            <w:pPr>
              <w:spacing w:after="0" w:line="240" w:lineRule="auto"/>
              <w:jc w:val="center"/>
              <w:rPr>
                <w:sz w:val="20"/>
                <w:szCs w:val="20"/>
              </w:rPr>
            </w:pPr>
            <w:r w:rsidRPr="008502EB">
              <w:rPr>
                <w:sz w:val="20"/>
                <w:szCs w:val="20"/>
              </w:rPr>
              <w:t>7.4%</w:t>
            </w:r>
          </w:p>
        </w:tc>
        <w:tc>
          <w:tcPr>
            <w:tcW w:w="1247" w:type="dxa"/>
            <w:shd w:val="clear" w:color="auto" w:fill="auto"/>
            <w:vAlign w:val="center"/>
          </w:tcPr>
          <w:p w:rsidR="002B5B5F" w:rsidRPr="008502EB" w:rsidRDefault="002B5B5F" w:rsidP="002B5B5F">
            <w:pPr>
              <w:spacing w:after="0" w:line="240" w:lineRule="auto"/>
              <w:jc w:val="center"/>
              <w:rPr>
                <w:sz w:val="20"/>
                <w:szCs w:val="20"/>
              </w:rPr>
            </w:pPr>
            <w:r w:rsidRPr="008502EB">
              <w:rPr>
                <w:sz w:val="20"/>
                <w:szCs w:val="20"/>
              </w:rPr>
              <w:t>4.6%</w:t>
            </w:r>
          </w:p>
        </w:tc>
        <w:tc>
          <w:tcPr>
            <w:tcW w:w="1230" w:type="dxa"/>
            <w:shd w:val="clear" w:color="auto" w:fill="auto"/>
            <w:vAlign w:val="center"/>
          </w:tcPr>
          <w:p w:rsidR="002B5B5F" w:rsidRPr="008502EB" w:rsidRDefault="002B5B5F" w:rsidP="002B5B5F">
            <w:pPr>
              <w:spacing w:after="0" w:line="240" w:lineRule="auto"/>
              <w:jc w:val="center"/>
              <w:rPr>
                <w:sz w:val="20"/>
                <w:szCs w:val="20"/>
              </w:rPr>
            </w:pPr>
            <w:r w:rsidRPr="008502EB">
              <w:rPr>
                <w:sz w:val="20"/>
                <w:szCs w:val="20"/>
              </w:rPr>
              <w:t>4.8%</w:t>
            </w:r>
          </w:p>
        </w:tc>
        <w:tc>
          <w:tcPr>
            <w:tcW w:w="1115" w:type="dxa"/>
            <w:shd w:val="clear" w:color="auto" w:fill="auto"/>
            <w:vAlign w:val="center"/>
          </w:tcPr>
          <w:p w:rsidR="002B5B5F" w:rsidRPr="008502EB" w:rsidRDefault="002B5B5F" w:rsidP="002B5B5F">
            <w:pPr>
              <w:spacing w:after="0" w:line="240" w:lineRule="auto"/>
              <w:jc w:val="center"/>
              <w:rPr>
                <w:sz w:val="20"/>
                <w:szCs w:val="20"/>
              </w:rPr>
            </w:pPr>
            <w:r w:rsidRPr="008502EB">
              <w:rPr>
                <w:sz w:val="20"/>
                <w:szCs w:val="20"/>
              </w:rPr>
              <w:t>4.0%</w:t>
            </w:r>
          </w:p>
        </w:tc>
      </w:tr>
      <w:tr w:rsidR="002B5B5F" w:rsidRPr="008502EB" w:rsidTr="00E560FD">
        <w:tc>
          <w:tcPr>
            <w:tcW w:w="1742" w:type="dxa"/>
            <w:vMerge w:val="restart"/>
            <w:shd w:val="clear" w:color="auto" w:fill="D9D9D9" w:themeFill="background1" w:themeFillShade="D9"/>
            <w:vAlign w:val="center"/>
          </w:tcPr>
          <w:p w:rsidR="002B5B5F" w:rsidRPr="008502EB" w:rsidRDefault="002B5B5F" w:rsidP="002B5B5F">
            <w:pPr>
              <w:spacing w:after="0" w:line="240" w:lineRule="auto"/>
              <w:jc w:val="center"/>
              <w:rPr>
                <w:sz w:val="20"/>
                <w:szCs w:val="20"/>
              </w:rPr>
            </w:pPr>
            <w:r w:rsidRPr="008502EB">
              <w:rPr>
                <w:sz w:val="20"/>
                <w:szCs w:val="20"/>
              </w:rPr>
              <w:t>Students with disabilities</w:t>
            </w:r>
          </w:p>
        </w:tc>
        <w:tc>
          <w:tcPr>
            <w:tcW w:w="1813" w:type="dxa"/>
            <w:shd w:val="clear" w:color="auto" w:fill="D9D9D9" w:themeFill="background1" w:themeFillShade="D9"/>
            <w:vAlign w:val="center"/>
          </w:tcPr>
          <w:p w:rsidR="002B5B5F" w:rsidRPr="008502EB" w:rsidRDefault="002B5B5F" w:rsidP="002B5B5F">
            <w:pPr>
              <w:spacing w:after="0" w:line="240" w:lineRule="auto"/>
              <w:jc w:val="center"/>
              <w:rPr>
                <w:sz w:val="20"/>
                <w:szCs w:val="20"/>
              </w:rPr>
            </w:pPr>
            <w:r w:rsidRPr="008502EB">
              <w:rPr>
                <w:sz w:val="20"/>
                <w:szCs w:val="20"/>
              </w:rPr>
              <w:t>ISS</w:t>
            </w:r>
          </w:p>
        </w:tc>
        <w:tc>
          <w:tcPr>
            <w:tcW w:w="1181" w:type="dxa"/>
            <w:shd w:val="clear" w:color="auto" w:fill="D9D9D9" w:themeFill="background1" w:themeFillShade="D9"/>
            <w:vAlign w:val="center"/>
          </w:tcPr>
          <w:p w:rsidR="002B5B5F" w:rsidRPr="008502EB" w:rsidRDefault="002B5B5F" w:rsidP="002B5B5F">
            <w:pPr>
              <w:spacing w:after="0" w:line="240" w:lineRule="auto"/>
              <w:jc w:val="center"/>
              <w:rPr>
                <w:sz w:val="20"/>
                <w:szCs w:val="20"/>
              </w:rPr>
            </w:pPr>
            <w:r w:rsidRPr="008502EB">
              <w:rPr>
                <w:sz w:val="20"/>
                <w:szCs w:val="20"/>
              </w:rPr>
              <w:t>0.0%</w:t>
            </w:r>
          </w:p>
        </w:tc>
        <w:tc>
          <w:tcPr>
            <w:tcW w:w="1248" w:type="dxa"/>
            <w:shd w:val="clear" w:color="auto" w:fill="D9D9D9" w:themeFill="background1" w:themeFillShade="D9"/>
            <w:vAlign w:val="center"/>
          </w:tcPr>
          <w:p w:rsidR="002B5B5F" w:rsidRPr="008502EB" w:rsidRDefault="002B5B5F" w:rsidP="002B5B5F">
            <w:pPr>
              <w:spacing w:after="0" w:line="240" w:lineRule="auto"/>
              <w:jc w:val="center"/>
              <w:rPr>
                <w:sz w:val="20"/>
                <w:szCs w:val="20"/>
              </w:rPr>
            </w:pPr>
            <w:r w:rsidRPr="008502EB">
              <w:rPr>
                <w:sz w:val="20"/>
                <w:szCs w:val="20"/>
              </w:rPr>
              <w:t>8.0%</w:t>
            </w:r>
          </w:p>
        </w:tc>
        <w:tc>
          <w:tcPr>
            <w:tcW w:w="1247" w:type="dxa"/>
            <w:shd w:val="clear" w:color="auto" w:fill="D9D9D9" w:themeFill="background1" w:themeFillShade="D9"/>
            <w:vAlign w:val="center"/>
          </w:tcPr>
          <w:p w:rsidR="002B5B5F" w:rsidRPr="008502EB" w:rsidRDefault="002B5B5F" w:rsidP="002B5B5F">
            <w:pPr>
              <w:spacing w:after="0" w:line="240" w:lineRule="auto"/>
              <w:jc w:val="center"/>
              <w:rPr>
                <w:sz w:val="20"/>
                <w:szCs w:val="20"/>
              </w:rPr>
            </w:pPr>
            <w:r w:rsidRPr="008502EB">
              <w:rPr>
                <w:sz w:val="20"/>
                <w:szCs w:val="20"/>
              </w:rPr>
              <w:t>5.5%</w:t>
            </w:r>
          </w:p>
        </w:tc>
        <w:tc>
          <w:tcPr>
            <w:tcW w:w="1230" w:type="dxa"/>
            <w:shd w:val="clear" w:color="auto" w:fill="D9D9D9" w:themeFill="background1" w:themeFillShade="D9"/>
            <w:vAlign w:val="center"/>
          </w:tcPr>
          <w:p w:rsidR="002B5B5F" w:rsidRPr="008502EB" w:rsidRDefault="002B5B5F" w:rsidP="002B5B5F">
            <w:pPr>
              <w:spacing w:after="0" w:line="240" w:lineRule="auto"/>
              <w:jc w:val="center"/>
              <w:rPr>
                <w:sz w:val="20"/>
                <w:szCs w:val="20"/>
              </w:rPr>
            </w:pPr>
            <w:r w:rsidRPr="008502EB">
              <w:rPr>
                <w:sz w:val="20"/>
                <w:szCs w:val="20"/>
              </w:rPr>
              <w:t>5.1%</w:t>
            </w:r>
          </w:p>
        </w:tc>
        <w:tc>
          <w:tcPr>
            <w:tcW w:w="1115" w:type="dxa"/>
            <w:shd w:val="clear" w:color="auto" w:fill="D9D9D9" w:themeFill="background1" w:themeFillShade="D9"/>
            <w:vAlign w:val="center"/>
          </w:tcPr>
          <w:p w:rsidR="002B5B5F" w:rsidRPr="008502EB" w:rsidRDefault="002B5B5F" w:rsidP="002B5B5F">
            <w:pPr>
              <w:spacing w:after="0" w:line="240" w:lineRule="auto"/>
              <w:jc w:val="center"/>
              <w:rPr>
                <w:sz w:val="20"/>
                <w:szCs w:val="20"/>
              </w:rPr>
            </w:pPr>
            <w:r w:rsidRPr="008502EB">
              <w:rPr>
                <w:sz w:val="20"/>
                <w:szCs w:val="20"/>
              </w:rPr>
              <w:t>3.5%</w:t>
            </w:r>
          </w:p>
        </w:tc>
      </w:tr>
      <w:tr w:rsidR="002B5B5F" w:rsidRPr="008502EB" w:rsidTr="00E560FD">
        <w:tc>
          <w:tcPr>
            <w:tcW w:w="1742" w:type="dxa"/>
            <w:vMerge/>
            <w:shd w:val="clear" w:color="auto" w:fill="D9D9D9" w:themeFill="background1" w:themeFillShade="D9"/>
            <w:vAlign w:val="center"/>
          </w:tcPr>
          <w:p w:rsidR="002B5B5F" w:rsidRPr="008502EB" w:rsidRDefault="002B5B5F" w:rsidP="002B5B5F">
            <w:pPr>
              <w:spacing w:after="0" w:line="240" w:lineRule="auto"/>
              <w:jc w:val="center"/>
              <w:rPr>
                <w:sz w:val="20"/>
                <w:szCs w:val="20"/>
              </w:rPr>
            </w:pPr>
          </w:p>
        </w:tc>
        <w:tc>
          <w:tcPr>
            <w:tcW w:w="1813" w:type="dxa"/>
            <w:shd w:val="clear" w:color="auto" w:fill="D9D9D9" w:themeFill="background1" w:themeFillShade="D9"/>
            <w:vAlign w:val="center"/>
          </w:tcPr>
          <w:p w:rsidR="002B5B5F" w:rsidRPr="008502EB" w:rsidRDefault="002B5B5F" w:rsidP="002B5B5F">
            <w:pPr>
              <w:spacing w:after="0" w:line="240" w:lineRule="auto"/>
              <w:jc w:val="center"/>
              <w:rPr>
                <w:sz w:val="20"/>
                <w:szCs w:val="20"/>
              </w:rPr>
            </w:pPr>
            <w:r w:rsidRPr="008502EB">
              <w:rPr>
                <w:sz w:val="20"/>
                <w:szCs w:val="20"/>
              </w:rPr>
              <w:t>OSS</w:t>
            </w:r>
          </w:p>
        </w:tc>
        <w:tc>
          <w:tcPr>
            <w:tcW w:w="1181" w:type="dxa"/>
            <w:shd w:val="clear" w:color="auto" w:fill="D9D9D9" w:themeFill="background1" w:themeFillShade="D9"/>
            <w:vAlign w:val="center"/>
          </w:tcPr>
          <w:p w:rsidR="002B5B5F" w:rsidRPr="008502EB" w:rsidRDefault="002B5B5F" w:rsidP="002B5B5F">
            <w:pPr>
              <w:spacing w:after="0" w:line="240" w:lineRule="auto"/>
              <w:jc w:val="center"/>
              <w:rPr>
                <w:sz w:val="20"/>
                <w:szCs w:val="20"/>
              </w:rPr>
            </w:pPr>
            <w:r w:rsidRPr="008502EB">
              <w:rPr>
                <w:sz w:val="20"/>
                <w:szCs w:val="20"/>
              </w:rPr>
              <w:t>20.2%</w:t>
            </w:r>
          </w:p>
        </w:tc>
        <w:tc>
          <w:tcPr>
            <w:tcW w:w="1248" w:type="dxa"/>
            <w:shd w:val="clear" w:color="auto" w:fill="D9D9D9" w:themeFill="background1" w:themeFillShade="D9"/>
            <w:vAlign w:val="center"/>
          </w:tcPr>
          <w:p w:rsidR="002B5B5F" w:rsidRPr="008502EB" w:rsidRDefault="002B5B5F" w:rsidP="002B5B5F">
            <w:pPr>
              <w:spacing w:after="0" w:line="240" w:lineRule="auto"/>
              <w:jc w:val="center"/>
              <w:rPr>
                <w:sz w:val="20"/>
                <w:szCs w:val="20"/>
              </w:rPr>
            </w:pPr>
            <w:r w:rsidRPr="008502EB">
              <w:rPr>
                <w:sz w:val="20"/>
                <w:szCs w:val="20"/>
              </w:rPr>
              <w:t>15.5%</w:t>
            </w:r>
          </w:p>
        </w:tc>
        <w:tc>
          <w:tcPr>
            <w:tcW w:w="1247" w:type="dxa"/>
            <w:shd w:val="clear" w:color="auto" w:fill="D9D9D9" w:themeFill="background1" w:themeFillShade="D9"/>
            <w:vAlign w:val="center"/>
          </w:tcPr>
          <w:p w:rsidR="002B5B5F" w:rsidRPr="008502EB" w:rsidRDefault="002B5B5F" w:rsidP="002B5B5F">
            <w:pPr>
              <w:spacing w:after="0" w:line="240" w:lineRule="auto"/>
              <w:jc w:val="center"/>
              <w:rPr>
                <w:sz w:val="20"/>
                <w:szCs w:val="20"/>
              </w:rPr>
            </w:pPr>
            <w:r w:rsidRPr="008502EB">
              <w:rPr>
                <w:sz w:val="20"/>
                <w:szCs w:val="20"/>
              </w:rPr>
              <w:t>10.7%</w:t>
            </w:r>
          </w:p>
        </w:tc>
        <w:tc>
          <w:tcPr>
            <w:tcW w:w="1230" w:type="dxa"/>
            <w:shd w:val="clear" w:color="auto" w:fill="D9D9D9" w:themeFill="background1" w:themeFillShade="D9"/>
            <w:vAlign w:val="center"/>
          </w:tcPr>
          <w:p w:rsidR="002B5B5F" w:rsidRPr="008502EB" w:rsidRDefault="002B5B5F" w:rsidP="002B5B5F">
            <w:pPr>
              <w:spacing w:after="0" w:line="240" w:lineRule="auto"/>
              <w:jc w:val="center"/>
              <w:rPr>
                <w:sz w:val="20"/>
                <w:szCs w:val="20"/>
              </w:rPr>
            </w:pPr>
            <w:r w:rsidRPr="008502EB">
              <w:rPr>
                <w:sz w:val="20"/>
                <w:szCs w:val="20"/>
              </w:rPr>
              <w:t>10.1%</w:t>
            </w:r>
          </w:p>
        </w:tc>
        <w:tc>
          <w:tcPr>
            <w:tcW w:w="1115" w:type="dxa"/>
            <w:shd w:val="clear" w:color="auto" w:fill="D9D9D9" w:themeFill="background1" w:themeFillShade="D9"/>
            <w:vAlign w:val="center"/>
          </w:tcPr>
          <w:p w:rsidR="002B5B5F" w:rsidRPr="008502EB" w:rsidRDefault="002B5B5F" w:rsidP="002B5B5F">
            <w:pPr>
              <w:spacing w:after="0" w:line="240" w:lineRule="auto"/>
              <w:jc w:val="center"/>
              <w:rPr>
                <w:sz w:val="20"/>
                <w:szCs w:val="20"/>
              </w:rPr>
            </w:pPr>
            <w:r w:rsidRPr="008502EB">
              <w:rPr>
                <w:sz w:val="20"/>
                <w:szCs w:val="20"/>
              </w:rPr>
              <w:t>5.9%</w:t>
            </w:r>
          </w:p>
        </w:tc>
      </w:tr>
      <w:tr w:rsidR="002B5B5F" w:rsidRPr="008502EB" w:rsidTr="00E560FD">
        <w:tc>
          <w:tcPr>
            <w:tcW w:w="1742" w:type="dxa"/>
            <w:vMerge w:val="restart"/>
            <w:shd w:val="clear" w:color="auto" w:fill="auto"/>
            <w:vAlign w:val="center"/>
          </w:tcPr>
          <w:p w:rsidR="002B5B5F" w:rsidRPr="008502EB" w:rsidRDefault="002B5B5F" w:rsidP="002B5B5F">
            <w:pPr>
              <w:spacing w:after="0" w:line="240" w:lineRule="auto"/>
              <w:jc w:val="center"/>
              <w:rPr>
                <w:sz w:val="20"/>
                <w:szCs w:val="20"/>
              </w:rPr>
            </w:pPr>
            <w:r w:rsidRPr="008502EB">
              <w:rPr>
                <w:sz w:val="20"/>
                <w:szCs w:val="20"/>
              </w:rPr>
              <w:t>All Students</w:t>
            </w:r>
          </w:p>
        </w:tc>
        <w:tc>
          <w:tcPr>
            <w:tcW w:w="1813" w:type="dxa"/>
            <w:shd w:val="clear" w:color="auto" w:fill="auto"/>
            <w:vAlign w:val="center"/>
          </w:tcPr>
          <w:p w:rsidR="002B5B5F" w:rsidRPr="008502EB" w:rsidRDefault="002B5B5F" w:rsidP="002B5B5F">
            <w:pPr>
              <w:spacing w:after="0" w:line="240" w:lineRule="auto"/>
              <w:jc w:val="center"/>
              <w:rPr>
                <w:sz w:val="20"/>
                <w:szCs w:val="20"/>
              </w:rPr>
            </w:pPr>
            <w:r w:rsidRPr="008502EB">
              <w:rPr>
                <w:sz w:val="20"/>
                <w:szCs w:val="20"/>
              </w:rPr>
              <w:t>ISS</w:t>
            </w:r>
          </w:p>
        </w:tc>
        <w:tc>
          <w:tcPr>
            <w:tcW w:w="1181" w:type="dxa"/>
            <w:shd w:val="clear" w:color="auto" w:fill="auto"/>
            <w:vAlign w:val="center"/>
          </w:tcPr>
          <w:p w:rsidR="002B5B5F" w:rsidRPr="008502EB" w:rsidRDefault="002B5B5F" w:rsidP="002B5B5F">
            <w:pPr>
              <w:spacing w:after="0" w:line="240" w:lineRule="auto"/>
              <w:jc w:val="center"/>
              <w:rPr>
                <w:sz w:val="20"/>
                <w:szCs w:val="20"/>
              </w:rPr>
            </w:pPr>
            <w:r w:rsidRPr="008502EB">
              <w:rPr>
                <w:sz w:val="20"/>
                <w:szCs w:val="20"/>
              </w:rPr>
              <w:t>0.0%</w:t>
            </w:r>
          </w:p>
        </w:tc>
        <w:tc>
          <w:tcPr>
            <w:tcW w:w="1248" w:type="dxa"/>
            <w:shd w:val="clear" w:color="auto" w:fill="auto"/>
            <w:vAlign w:val="center"/>
          </w:tcPr>
          <w:p w:rsidR="002B5B5F" w:rsidRPr="008502EB" w:rsidRDefault="002B5B5F" w:rsidP="002B5B5F">
            <w:pPr>
              <w:spacing w:after="0" w:line="240" w:lineRule="auto"/>
              <w:jc w:val="center"/>
              <w:rPr>
                <w:sz w:val="20"/>
                <w:szCs w:val="20"/>
              </w:rPr>
            </w:pPr>
            <w:r w:rsidRPr="008502EB">
              <w:rPr>
                <w:sz w:val="20"/>
                <w:szCs w:val="20"/>
              </w:rPr>
              <w:t>4.3%</w:t>
            </w:r>
          </w:p>
        </w:tc>
        <w:tc>
          <w:tcPr>
            <w:tcW w:w="1247" w:type="dxa"/>
            <w:shd w:val="clear" w:color="auto" w:fill="auto"/>
            <w:vAlign w:val="center"/>
          </w:tcPr>
          <w:p w:rsidR="002B5B5F" w:rsidRPr="008502EB" w:rsidRDefault="002B5B5F" w:rsidP="002B5B5F">
            <w:pPr>
              <w:spacing w:after="0" w:line="240" w:lineRule="auto"/>
              <w:jc w:val="center"/>
              <w:rPr>
                <w:sz w:val="20"/>
                <w:szCs w:val="20"/>
              </w:rPr>
            </w:pPr>
            <w:r w:rsidRPr="008502EB">
              <w:rPr>
                <w:sz w:val="20"/>
                <w:szCs w:val="20"/>
              </w:rPr>
              <w:t>2.8%</w:t>
            </w:r>
          </w:p>
        </w:tc>
        <w:tc>
          <w:tcPr>
            <w:tcW w:w="1230" w:type="dxa"/>
            <w:shd w:val="clear" w:color="auto" w:fill="auto"/>
            <w:vAlign w:val="center"/>
          </w:tcPr>
          <w:p w:rsidR="002B5B5F" w:rsidRPr="008502EB" w:rsidRDefault="002B5B5F" w:rsidP="002B5B5F">
            <w:pPr>
              <w:spacing w:after="0" w:line="240" w:lineRule="auto"/>
              <w:jc w:val="center"/>
              <w:rPr>
                <w:sz w:val="20"/>
                <w:szCs w:val="20"/>
              </w:rPr>
            </w:pPr>
            <w:r w:rsidRPr="008502EB">
              <w:rPr>
                <w:sz w:val="20"/>
                <w:szCs w:val="20"/>
              </w:rPr>
              <w:t>2.8%</w:t>
            </w:r>
          </w:p>
        </w:tc>
        <w:tc>
          <w:tcPr>
            <w:tcW w:w="1115" w:type="dxa"/>
            <w:vAlign w:val="center"/>
          </w:tcPr>
          <w:p w:rsidR="002B5B5F" w:rsidRPr="008502EB" w:rsidRDefault="002B5B5F" w:rsidP="002B5B5F">
            <w:pPr>
              <w:spacing w:after="0" w:line="240" w:lineRule="auto"/>
              <w:jc w:val="center"/>
              <w:rPr>
                <w:sz w:val="20"/>
                <w:szCs w:val="20"/>
              </w:rPr>
            </w:pPr>
            <w:r w:rsidRPr="008502EB">
              <w:rPr>
                <w:sz w:val="20"/>
                <w:szCs w:val="20"/>
              </w:rPr>
              <w:t>1.9%</w:t>
            </w:r>
          </w:p>
        </w:tc>
      </w:tr>
      <w:tr w:rsidR="002B5B5F" w:rsidRPr="008502EB" w:rsidTr="00E560FD">
        <w:tc>
          <w:tcPr>
            <w:tcW w:w="1742" w:type="dxa"/>
            <w:vMerge/>
            <w:shd w:val="clear" w:color="auto" w:fill="auto"/>
            <w:vAlign w:val="center"/>
          </w:tcPr>
          <w:p w:rsidR="002B5B5F" w:rsidRPr="008502EB" w:rsidRDefault="002B5B5F" w:rsidP="002B5B5F">
            <w:pPr>
              <w:spacing w:after="0" w:line="240" w:lineRule="auto"/>
              <w:jc w:val="center"/>
              <w:rPr>
                <w:sz w:val="20"/>
                <w:szCs w:val="20"/>
              </w:rPr>
            </w:pPr>
          </w:p>
        </w:tc>
        <w:tc>
          <w:tcPr>
            <w:tcW w:w="1813" w:type="dxa"/>
            <w:shd w:val="clear" w:color="auto" w:fill="auto"/>
            <w:vAlign w:val="center"/>
          </w:tcPr>
          <w:p w:rsidR="002B5B5F" w:rsidRPr="008502EB" w:rsidRDefault="002B5B5F" w:rsidP="002B5B5F">
            <w:pPr>
              <w:spacing w:after="0" w:line="240" w:lineRule="auto"/>
              <w:jc w:val="center"/>
              <w:rPr>
                <w:sz w:val="20"/>
                <w:szCs w:val="20"/>
              </w:rPr>
            </w:pPr>
            <w:r w:rsidRPr="008502EB">
              <w:rPr>
                <w:sz w:val="20"/>
                <w:szCs w:val="20"/>
              </w:rPr>
              <w:t>OSS</w:t>
            </w:r>
          </w:p>
        </w:tc>
        <w:tc>
          <w:tcPr>
            <w:tcW w:w="1181" w:type="dxa"/>
            <w:shd w:val="clear" w:color="auto" w:fill="auto"/>
            <w:vAlign w:val="center"/>
          </w:tcPr>
          <w:p w:rsidR="002B5B5F" w:rsidRPr="008502EB" w:rsidRDefault="002B5B5F" w:rsidP="002B5B5F">
            <w:pPr>
              <w:spacing w:after="0" w:line="240" w:lineRule="auto"/>
              <w:jc w:val="center"/>
              <w:rPr>
                <w:sz w:val="20"/>
                <w:szCs w:val="20"/>
              </w:rPr>
            </w:pPr>
            <w:r w:rsidRPr="008502EB">
              <w:rPr>
                <w:sz w:val="20"/>
                <w:szCs w:val="20"/>
              </w:rPr>
              <w:t>10.5%</w:t>
            </w:r>
          </w:p>
        </w:tc>
        <w:tc>
          <w:tcPr>
            <w:tcW w:w="1248" w:type="dxa"/>
            <w:shd w:val="clear" w:color="auto" w:fill="auto"/>
            <w:vAlign w:val="center"/>
          </w:tcPr>
          <w:p w:rsidR="002B5B5F" w:rsidRPr="008502EB" w:rsidRDefault="002B5B5F" w:rsidP="002B5B5F">
            <w:pPr>
              <w:spacing w:after="0" w:line="240" w:lineRule="auto"/>
              <w:jc w:val="center"/>
              <w:rPr>
                <w:sz w:val="20"/>
                <w:szCs w:val="20"/>
              </w:rPr>
            </w:pPr>
            <w:r w:rsidRPr="008502EB">
              <w:rPr>
                <w:sz w:val="20"/>
                <w:szCs w:val="20"/>
              </w:rPr>
              <w:t>7.5%</w:t>
            </w:r>
          </w:p>
        </w:tc>
        <w:tc>
          <w:tcPr>
            <w:tcW w:w="1247" w:type="dxa"/>
            <w:shd w:val="clear" w:color="auto" w:fill="auto"/>
            <w:vAlign w:val="center"/>
          </w:tcPr>
          <w:p w:rsidR="002B5B5F" w:rsidRPr="008502EB" w:rsidRDefault="002B5B5F" w:rsidP="002B5B5F">
            <w:pPr>
              <w:spacing w:after="0" w:line="240" w:lineRule="auto"/>
              <w:jc w:val="center"/>
              <w:rPr>
                <w:sz w:val="20"/>
                <w:szCs w:val="20"/>
              </w:rPr>
            </w:pPr>
            <w:r w:rsidRPr="008502EB">
              <w:rPr>
                <w:sz w:val="20"/>
                <w:szCs w:val="20"/>
              </w:rPr>
              <w:t>5.0%</w:t>
            </w:r>
          </w:p>
        </w:tc>
        <w:tc>
          <w:tcPr>
            <w:tcW w:w="1230" w:type="dxa"/>
            <w:shd w:val="clear" w:color="auto" w:fill="auto"/>
            <w:vAlign w:val="center"/>
          </w:tcPr>
          <w:p w:rsidR="002B5B5F" w:rsidRPr="008502EB" w:rsidRDefault="002B5B5F" w:rsidP="002B5B5F">
            <w:pPr>
              <w:spacing w:after="0" w:line="240" w:lineRule="auto"/>
              <w:jc w:val="center"/>
              <w:rPr>
                <w:sz w:val="20"/>
                <w:szCs w:val="20"/>
              </w:rPr>
            </w:pPr>
            <w:r w:rsidRPr="008502EB">
              <w:rPr>
                <w:sz w:val="20"/>
                <w:szCs w:val="20"/>
              </w:rPr>
              <w:t>4.6%</w:t>
            </w:r>
          </w:p>
        </w:tc>
        <w:tc>
          <w:tcPr>
            <w:tcW w:w="1115" w:type="dxa"/>
            <w:vAlign w:val="center"/>
          </w:tcPr>
          <w:p w:rsidR="002B5B5F" w:rsidRPr="008502EB" w:rsidRDefault="002B5B5F" w:rsidP="002B5B5F">
            <w:pPr>
              <w:spacing w:after="0" w:line="240" w:lineRule="auto"/>
              <w:jc w:val="center"/>
              <w:rPr>
                <w:sz w:val="20"/>
                <w:szCs w:val="20"/>
              </w:rPr>
            </w:pPr>
            <w:r w:rsidRPr="008502EB">
              <w:rPr>
                <w:sz w:val="20"/>
                <w:szCs w:val="20"/>
              </w:rPr>
              <w:t>2.9%</w:t>
            </w:r>
          </w:p>
        </w:tc>
      </w:tr>
    </w:tbl>
    <w:p w:rsidR="0091151B" w:rsidRPr="00E64A0A" w:rsidRDefault="0091151B" w:rsidP="0091151B">
      <w:pPr>
        <w:spacing w:after="0" w:line="240" w:lineRule="auto"/>
        <w:rPr>
          <w:sz w:val="19"/>
          <w:szCs w:val="19"/>
        </w:rPr>
      </w:pPr>
      <w:r w:rsidRPr="00E64A0A">
        <w:rPr>
          <w:sz w:val="19"/>
          <w:szCs w:val="19"/>
        </w:rPr>
        <w:t xml:space="preserve">*Low income students’ suspension </w:t>
      </w:r>
      <w:r w:rsidR="00E90ED4" w:rsidRPr="00E64A0A">
        <w:rPr>
          <w:sz w:val="19"/>
          <w:szCs w:val="19"/>
        </w:rPr>
        <w:t xml:space="preserve">rates </w:t>
      </w:r>
      <w:r w:rsidRPr="00E64A0A">
        <w:rPr>
          <w:sz w:val="19"/>
          <w:szCs w:val="19"/>
        </w:rPr>
        <w:t>used for 2013 and 2014</w:t>
      </w:r>
    </w:p>
    <w:p w:rsidR="0091151B" w:rsidRDefault="0091151B" w:rsidP="0091151B">
      <w:pPr>
        <w:spacing w:after="0" w:line="240" w:lineRule="auto"/>
      </w:pPr>
    </w:p>
    <w:p w:rsidR="00CE2CAB" w:rsidRDefault="00CE2CAB" w:rsidP="0091151B">
      <w:pPr>
        <w:spacing w:after="0" w:line="240" w:lineRule="auto"/>
      </w:pPr>
    </w:p>
    <w:p w:rsidR="0091151B" w:rsidRPr="008502EB" w:rsidRDefault="0091151B" w:rsidP="0091151B">
      <w:pPr>
        <w:spacing w:after="0" w:line="240" w:lineRule="auto"/>
        <w:rPr>
          <w:b/>
        </w:rPr>
      </w:pPr>
      <w:r w:rsidRPr="008502EB">
        <w:rPr>
          <w:b/>
        </w:rPr>
        <w:t>Between 2013 and 2016, the district’s four-year cohort graduation rate improved by 8.5 percentage points</w:t>
      </w:r>
      <w:r w:rsidRPr="008502EB" w:rsidDel="000456EF">
        <w:rPr>
          <w:b/>
        </w:rPr>
        <w:t xml:space="preserve"> </w:t>
      </w:r>
      <w:r w:rsidRPr="008502EB">
        <w:rPr>
          <w:b/>
        </w:rPr>
        <w:t>for all students and by 3.9 to 9.3 percentage points for high needs students, low income students, students with disabilities,</w:t>
      </w:r>
      <w:r>
        <w:rPr>
          <w:b/>
        </w:rPr>
        <w:t xml:space="preserve"> and English language learners.</w:t>
      </w:r>
      <w:r w:rsidRPr="008502EB">
        <w:rPr>
          <w:b/>
        </w:rPr>
        <w:t xml:space="preserve"> </w:t>
      </w:r>
      <w:r>
        <w:rPr>
          <w:b/>
        </w:rPr>
        <w:t>In 2016, t</w:t>
      </w:r>
      <w:r w:rsidRPr="008502EB">
        <w:rPr>
          <w:b/>
        </w:rPr>
        <w:t>he district reached the four-year cohort graduation target for all students but not for any of the subgroups that make up the high needs population.</w:t>
      </w:r>
      <w:r w:rsidRPr="008502EB">
        <w:rPr>
          <w:vertAlign w:val="superscript"/>
        </w:rPr>
        <w:footnoteReference w:id="4"/>
      </w:r>
    </w:p>
    <w:tbl>
      <w:tblPr>
        <w:tblStyle w:val="TableGrid21"/>
        <w:tblW w:w="9810" w:type="dxa"/>
        <w:tblInd w:w="18" w:type="dxa"/>
        <w:tblLayout w:type="fixed"/>
        <w:tblLook w:val="04A0"/>
      </w:tblPr>
      <w:tblGrid>
        <w:gridCol w:w="990"/>
        <w:gridCol w:w="990"/>
        <w:gridCol w:w="720"/>
        <w:gridCol w:w="720"/>
        <w:gridCol w:w="720"/>
        <w:gridCol w:w="720"/>
        <w:gridCol w:w="1170"/>
        <w:gridCol w:w="900"/>
        <w:gridCol w:w="1170"/>
        <w:gridCol w:w="900"/>
        <w:gridCol w:w="810"/>
      </w:tblGrid>
      <w:tr w:rsidR="00A84316" w:rsidRPr="008502EB" w:rsidTr="00E560FD">
        <w:tc>
          <w:tcPr>
            <w:tcW w:w="9810" w:type="dxa"/>
            <w:gridSpan w:val="11"/>
            <w:tcBorders>
              <w:top w:val="nil"/>
              <w:left w:val="nil"/>
              <w:right w:val="nil"/>
            </w:tcBorders>
            <w:shd w:val="clear" w:color="auto" w:fill="auto"/>
            <w:vAlign w:val="center"/>
          </w:tcPr>
          <w:p w:rsidR="00A84316" w:rsidRDefault="00A84316" w:rsidP="00E560FD">
            <w:pPr>
              <w:jc w:val="center"/>
              <w:rPr>
                <w:rFonts w:eastAsia="Calibri"/>
                <w:b/>
              </w:rPr>
            </w:pPr>
          </w:p>
          <w:p w:rsidR="00A84316" w:rsidRPr="0078123D" w:rsidRDefault="00A84316" w:rsidP="00984B20">
            <w:pPr>
              <w:spacing w:after="0" w:line="240" w:lineRule="auto"/>
              <w:jc w:val="center"/>
              <w:rPr>
                <w:rFonts w:eastAsia="Calibri"/>
                <w:b/>
                <w:sz w:val="20"/>
                <w:szCs w:val="20"/>
              </w:rPr>
            </w:pPr>
            <w:r w:rsidRPr="0078123D">
              <w:rPr>
                <w:rFonts w:eastAsia="Calibri"/>
                <w:b/>
                <w:sz w:val="20"/>
                <w:szCs w:val="20"/>
              </w:rPr>
              <w:t xml:space="preserve">Table </w:t>
            </w:r>
            <w:r w:rsidR="005C7DC2">
              <w:rPr>
                <w:rFonts w:eastAsia="Calibri"/>
                <w:b/>
                <w:sz w:val="20"/>
                <w:szCs w:val="20"/>
              </w:rPr>
              <w:t>7</w:t>
            </w:r>
            <w:r w:rsidRPr="0078123D">
              <w:rPr>
                <w:rFonts w:eastAsia="Calibri"/>
                <w:b/>
                <w:sz w:val="20"/>
                <w:szCs w:val="20"/>
              </w:rPr>
              <w:t xml:space="preserve">: </w:t>
            </w:r>
            <w:r w:rsidRPr="0078123D">
              <w:rPr>
                <w:b/>
                <w:sz w:val="20"/>
                <w:szCs w:val="20"/>
              </w:rPr>
              <w:t>Worcester Public Schools</w:t>
            </w:r>
          </w:p>
          <w:p w:rsidR="00A84316" w:rsidRPr="008502EB" w:rsidRDefault="00A84316" w:rsidP="008E5E43">
            <w:pPr>
              <w:spacing w:after="0" w:line="240" w:lineRule="auto"/>
              <w:jc w:val="center"/>
              <w:rPr>
                <w:rFonts w:ascii="Calibri" w:hAnsi="Calibri"/>
                <w:b/>
              </w:rPr>
            </w:pPr>
            <w:r w:rsidRPr="0078123D">
              <w:rPr>
                <w:rFonts w:eastAsia="Calibri"/>
                <w:b/>
                <w:sz w:val="20"/>
                <w:szCs w:val="20"/>
              </w:rPr>
              <w:t>Four-Year Cohort Graduation Rates 2013</w:t>
            </w:r>
            <w:r w:rsidR="008E5E43">
              <w:rPr>
                <w:rFonts w:eastAsia="Calibri"/>
                <w:b/>
                <w:sz w:val="20"/>
                <w:szCs w:val="20"/>
              </w:rPr>
              <w:t>–</w:t>
            </w:r>
            <w:r w:rsidRPr="0078123D">
              <w:rPr>
                <w:rFonts w:eastAsia="Calibri"/>
                <w:b/>
                <w:sz w:val="20"/>
                <w:szCs w:val="20"/>
              </w:rPr>
              <w:t>2016</w:t>
            </w:r>
          </w:p>
        </w:tc>
      </w:tr>
      <w:tr w:rsidR="00A84316" w:rsidRPr="008502EB" w:rsidTr="00E560FD">
        <w:tc>
          <w:tcPr>
            <w:tcW w:w="990" w:type="dxa"/>
            <w:vMerge w:val="restart"/>
            <w:shd w:val="clear" w:color="auto" w:fill="D9D9D9" w:themeFill="background1" w:themeFillShade="D9"/>
            <w:vAlign w:val="center"/>
          </w:tcPr>
          <w:p w:rsidR="00A84316" w:rsidRPr="00A84316" w:rsidRDefault="00A84316" w:rsidP="00A84316">
            <w:pPr>
              <w:spacing w:after="0" w:line="240" w:lineRule="auto"/>
              <w:jc w:val="center"/>
              <w:rPr>
                <w:b/>
                <w:sz w:val="20"/>
                <w:szCs w:val="20"/>
              </w:rPr>
            </w:pPr>
            <w:r w:rsidRPr="00A84316">
              <w:rPr>
                <w:b/>
                <w:sz w:val="20"/>
                <w:szCs w:val="20"/>
              </w:rPr>
              <w:t>Group</w:t>
            </w:r>
          </w:p>
        </w:tc>
        <w:tc>
          <w:tcPr>
            <w:tcW w:w="990" w:type="dxa"/>
            <w:vMerge w:val="restart"/>
            <w:shd w:val="clear" w:color="auto" w:fill="D9D9D9" w:themeFill="background1" w:themeFillShade="D9"/>
          </w:tcPr>
          <w:p w:rsidR="00A84316" w:rsidRPr="00A84316" w:rsidRDefault="00A84316" w:rsidP="00A84316">
            <w:pPr>
              <w:spacing w:after="0" w:line="240" w:lineRule="auto"/>
              <w:jc w:val="center"/>
              <w:rPr>
                <w:b/>
                <w:sz w:val="20"/>
                <w:szCs w:val="20"/>
              </w:rPr>
            </w:pPr>
            <w:r w:rsidRPr="00A84316">
              <w:rPr>
                <w:b/>
                <w:sz w:val="20"/>
                <w:szCs w:val="20"/>
              </w:rPr>
              <w:t>Number Included (2016)</w:t>
            </w:r>
          </w:p>
        </w:tc>
        <w:tc>
          <w:tcPr>
            <w:tcW w:w="2880" w:type="dxa"/>
            <w:gridSpan w:val="4"/>
            <w:shd w:val="clear" w:color="auto" w:fill="D9D9D9" w:themeFill="background1" w:themeFillShade="D9"/>
          </w:tcPr>
          <w:p w:rsidR="00A84316" w:rsidRPr="00A84316" w:rsidRDefault="00A84316" w:rsidP="00A84316">
            <w:pPr>
              <w:spacing w:after="0" w:line="240" w:lineRule="auto"/>
              <w:jc w:val="center"/>
              <w:rPr>
                <w:b/>
                <w:sz w:val="20"/>
                <w:szCs w:val="20"/>
              </w:rPr>
            </w:pPr>
            <w:r w:rsidRPr="00A84316">
              <w:rPr>
                <w:b/>
                <w:sz w:val="20"/>
                <w:szCs w:val="20"/>
              </w:rPr>
              <w:t>Cohort Year Ending</w:t>
            </w:r>
          </w:p>
        </w:tc>
        <w:tc>
          <w:tcPr>
            <w:tcW w:w="2070" w:type="dxa"/>
            <w:gridSpan w:val="2"/>
            <w:shd w:val="clear" w:color="auto" w:fill="D9D9D9" w:themeFill="background1" w:themeFillShade="D9"/>
          </w:tcPr>
          <w:p w:rsidR="00A84316" w:rsidRPr="00A84316" w:rsidRDefault="00A84316" w:rsidP="008E5E43">
            <w:pPr>
              <w:spacing w:after="0" w:line="240" w:lineRule="auto"/>
              <w:rPr>
                <w:b/>
                <w:sz w:val="20"/>
                <w:szCs w:val="20"/>
              </w:rPr>
            </w:pPr>
            <w:r w:rsidRPr="00A84316">
              <w:rPr>
                <w:b/>
                <w:sz w:val="20"/>
                <w:szCs w:val="20"/>
              </w:rPr>
              <w:t>Change 2013</w:t>
            </w:r>
            <w:r w:rsidR="008E5E43">
              <w:rPr>
                <w:b/>
                <w:sz w:val="20"/>
                <w:szCs w:val="20"/>
              </w:rPr>
              <w:t>–</w:t>
            </w:r>
            <w:r w:rsidRPr="00A84316">
              <w:rPr>
                <w:b/>
                <w:sz w:val="20"/>
                <w:szCs w:val="20"/>
              </w:rPr>
              <w:t>2016</w:t>
            </w:r>
          </w:p>
        </w:tc>
        <w:tc>
          <w:tcPr>
            <w:tcW w:w="2070" w:type="dxa"/>
            <w:gridSpan w:val="2"/>
            <w:shd w:val="clear" w:color="auto" w:fill="D9D9D9" w:themeFill="background1" w:themeFillShade="D9"/>
          </w:tcPr>
          <w:p w:rsidR="00A84316" w:rsidRPr="00A84316" w:rsidRDefault="00A84316" w:rsidP="008E5E43">
            <w:pPr>
              <w:spacing w:after="0" w:line="240" w:lineRule="auto"/>
              <w:rPr>
                <w:b/>
                <w:sz w:val="20"/>
                <w:szCs w:val="20"/>
              </w:rPr>
            </w:pPr>
            <w:r w:rsidRPr="00A84316">
              <w:rPr>
                <w:b/>
                <w:sz w:val="20"/>
                <w:szCs w:val="20"/>
              </w:rPr>
              <w:t>Change 2015</w:t>
            </w:r>
            <w:r w:rsidR="008E5E43">
              <w:rPr>
                <w:b/>
                <w:sz w:val="20"/>
                <w:szCs w:val="20"/>
              </w:rPr>
              <w:t>–</w:t>
            </w:r>
            <w:r w:rsidRPr="00A84316">
              <w:rPr>
                <w:b/>
                <w:sz w:val="20"/>
                <w:szCs w:val="20"/>
              </w:rPr>
              <w:t>2016</w:t>
            </w:r>
          </w:p>
        </w:tc>
        <w:tc>
          <w:tcPr>
            <w:tcW w:w="810" w:type="dxa"/>
            <w:vMerge w:val="restart"/>
            <w:shd w:val="clear" w:color="auto" w:fill="D9D9D9" w:themeFill="background1" w:themeFillShade="D9"/>
            <w:vAlign w:val="center"/>
          </w:tcPr>
          <w:p w:rsidR="00A84316" w:rsidRPr="00A84316" w:rsidRDefault="00A84316" w:rsidP="00A84316">
            <w:pPr>
              <w:spacing w:after="0" w:line="240" w:lineRule="auto"/>
              <w:jc w:val="center"/>
              <w:rPr>
                <w:b/>
                <w:sz w:val="20"/>
                <w:szCs w:val="20"/>
              </w:rPr>
            </w:pPr>
            <w:r w:rsidRPr="00A84316">
              <w:rPr>
                <w:b/>
                <w:sz w:val="20"/>
                <w:szCs w:val="20"/>
              </w:rPr>
              <w:t>State (2016)</w:t>
            </w:r>
          </w:p>
        </w:tc>
      </w:tr>
      <w:tr w:rsidR="00A84316" w:rsidRPr="008502EB" w:rsidTr="00E560FD">
        <w:tc>
          <w:tcPr>
            <w:tcW w:w="990" w:type="dxa"/>
            <w:vMerge/>
          </w:tcPr>
          <w:p w:rsidR="00A84316" w:rsidRPr="00A84316" w:rsidRDefault="00A84316" w:rsidP="00A84316">
            <w:pPr>
              <w:spacing w:after="0" w:line="240" w:lineRule="auto"/>
              <w:rPr>
                <w:sz w:val="20"/>
                <w:szCs w:val="20"/>
              </w:rPr>
            </w:pPr>
          </w:p>
        </w:tc>
        <w:tc>
          <w:tcPr>
            <w:tcW w:w="990" w:type="dxa"/>
            <w:vMerge/>
            <w:shd w:val="clear" w:color="auto" w:fill="auto"/>
            <w:vAlign w:val="center"/>
          </w:tcPr>
          <w:p w:rsidR="00A84316" w:rsidRPr="00A84316" w:rsidRDefault="00A84316" w:rsidP="00A84316">
            <w:pPr>
              <w:spacing w:after="0" w:line="240" w:lineRule="auto"/>
              <w:jc w:val="center"/>
              <w:rPr>
                <w:b/>
                <w:sz w:val="20"/>
                <w:szCs w:val="20"/>
              </w:rPr>
            </w:pPr>
          </w:p>
        </w:tc>
        <w:tc>
          <w:tcPr>
            <w:tcW w:w="720" w:type="dxa"/>
            <w:shd w:val="clear" w:color="auto" w:fill="D9D9D9" w:themeFill="background1" w:themeFillShade="D9"/>
            <w:vAlign w:val="center"/>
          </w:tcPr>
          <w:p w:rsidR="00A84316" w:rsidRPr="00A84316" w:rsidRDefault="00A84316" w:rsidP="00A84316">
            <w:pPr>
              <w:spacing w:after="0" w:line="240" w:lineRule="auto"/>
              <w:jc w:val="center"/>
              <w:rPr>
                <w:b/>
                <w:sz w:val="20"/>
                <w:szCs w:val="20"/>
              </w:rPr>
            </w:pPr>
            <w:r w:rsidRPr="00A84316">
              <w:rPr>
                <w:b/>
                <w:sz w:val="20"/>
                <w:szCs w:val="20"/>
              </w:rPr>
              <w:t>2013</w:t>
            </w:r>
          </w:p>
        </w:tc>
        <w:tc>
          <w:tcPr>
            <w:tcW w:w="720" w:type="dxa"/>
            <w:shd w:val="clear" w:color="auto" w:fill="D9D9D9" w:themeFill="background1" w:themeFillShade="D9"/>
            <w:vAlign w:val="center"/>
          </w:tcPr>
          <w:p w:rsidR="00A84316" w:rsidRPr="00A84316" w:rsidRDefault="00A84316" w:rsidP="00A84316">
            <w:pPr>
              <w:spacing w:after="0" w:line="240" w:lineRule="auto"/>
              <w:jc w:val="center"/>
              <w:rPr>
                <w:b/>
                <w:sz w:val="20"/>
                <w:szCs w:val="20"/>
              </w:rPr>
            </w:pPr>
            <w:r w:rsidRPr="00A84316">
              <w:rPr>
                <w:b/>
                <w:sz w:val="20"/>
                <w:szCs w:val="20"/>
              </w:rPr>
              <w:t>2014</w:t>
            </w:r>
          </w:p>
        </w:tc>
        <w:tc>
          <w:tcPr>
            <w:tcW w:w="720" w:type="dxa"/>
            <w:shd w:val="clear" w:color="auto" w:fill="D9D9D9" w:themeFill="background1" w:themeFillShade="D9"/>
            <w:vAlign w:val="center"/>
          </w:tcPr>
          <w:p w:rsidR="00A84316" w:rsidRPr="00A84316" w:rsidRDefault="00A84316" w:rsidP="00A84316">
            <w:pPr>
              <w:spacing w:after="0" w:line="240" w:lineRule="auto"/>
              <w:jc w:val="center"/>
              <w:rPr>
                <w:b/>
                <w:sz w:val="20"/>
                <w:szCs w:val="20"/>
              </w:rPr>
            </w:pPr>
            <w:r w:rsidRPr="00A84316">
              <w:rPr>
                <w:b/>
                <w:sz w:val="20"/>
                <w:szCs w:val="20"/>
              </w:rPr>
              <w:t>2015</w:t>
            </w:r>
          </w:p>
        </w:tc>
        <w:tc>
          <w:tcPr>
            <w:tcW w:w="720" w:type="dxa"/>
            <w:shd w:val="clear" w:color="auto" w:fill="D9D9D9" w:themeFill="background1" w:themeFillShade="D9"/>
            <w:vAlign w:val="center"/>
          </w:tcPr>
          <w:p w:rsidR="00A84316" w:rsidRPr="00A84316" w:rsidRDefault="00A84316" w:rsidP="00A84316">
            <w:pPr>
              <w:spacing w:after="0" w:line="240" w:lineRule="auto"/>
              <w:jc w:val="center"/>
              <w:rPr>
                <w:b/>
                <w:sz w:val="20"/>
                <w:szCs w:val="20"/>
              </w:rPr>
            </w:pPr>
            <w:r w:rsidRPr="00A84316">
              <w:rPr>
                <w:b/>
                <w:sz w:val="20"/>
                <w:szCs w:val="20"/>
              </w:rPr>
              <w:t>2016</w:t>
            </w:r>
          </w:p>
        </w:tc>
        <w:tc>
          <w:tcPr>
            <w:tcW w:w="1170" w:type="dxa"/>
            <w:shd w:val="clear" w:color="auto" w:fill="D9D9D9" w:themeFill="background1" w:themeFillShade="D9"/>
          </w:tcPr>
          <w:p w:rsidR="00A84316" w:rsidRPr="00A84316" w:rsidRDefault="00A84316" w:rsidP="00A84316">
            <w:pPr>
              <w:spacing w:after="0" w:line="240" w:lineRule="auto"/>
              <w:jc w:val="center"/>
              <w:rPr>
                <w:b/>
                <w:sz w:val="20"/>
                <w:szCs w:val="20"/>
              </w:rPr>
            </w:pPr>
            <w:r w:rsidRPr="00A84316">
              <w:rPr>
                <w:b/>
                <w:sz w:val="20"/>
                <w:szCs w:val="20"/>
              </w:rPr>
              <w:t>Percentage Points</w:t>
            </w:r>
          </w:p>
        </w:tc>
        <w:tc>
          <w:tcPr>
            <w:tcW w:w="900" w:type="dxa"/>
            <w:tcBorders>
              <w:bottom w:val="single" w:sz="4" w:space="0" w:color="auto"/>
            </w:tcBorders>
            <w:shd w:val="clear" w:color="auto" w:fill="D9D9D9" w:themeFill="background1" w:themeFillShade="D9"/>
          </w:tcPr>
          <w:p w:rsidR="00A84316" w:rsidRPr="00A84316" w:rsidRDefault="00A84316" w:rsidP="00A84316">
            <w:pPr>
              <w:spacing w:after="0" w:line="240" w:lineRule="auto"/>
              <w:jc w:val="center"/>
              <w:rPr>
                <w:b/>
                <w:sz w:val="20"/>
                <w:szCs w:val="20"/>
              </w:rPr>
            </w:pPr>
            <w:r w:rsidRPr="00A84316">
              <w:rPr>
                <w:b/>
                <w:sz w:val="20"/>
                <w:szCs w:val="20"/>
              </w:rPr>
              <w:t>Percent Change</w:t>
            </w:r>
          </w:p>
        </w:tc>
        <w:tc>
          <w:tcPr>
            <w:tcW w:w="1170" w:type="dxa"/>
            <w:shd w:val="clear" w:color="auto" w:fill="D9D9D9" w:themeFill="background1" w:themeFillShade="D9"/>
          </w:tcPr>
          <w:p w:rsidR="00A84316" w:rsidRPr="00A84316" w:rsidRDefault="00A84316" w:rsidP="00A84316">
            <w:pPr>
              <w:spacing w:after="0" w:line="240" w:lineRule="auto"/>
              <w:jc w:val="center"/>
              <w:rPr>
                <w:b/>
                <w:sz w:val="20"/>
                <w:szCs w:val="20"/>
              </w:rPr>
            </w:pPr>
            <w:r w:rsidRPr="00A84316">
              <w:rPr>
                <w:b/>
                <w:sz w:val="20"/>
                <w:szCs w:val="20"/>
              </w:rPr>
              <w:t>Percentage Points</w:t>
            </w:r>
          </w:p>
        </w:tc>
        <w:tc>
          <w:tcPr>
            <w:tcW w:w="900" w:type="dxa"/>
            <w:tcBorders>
              <w:bottom w:val="single" w:sz="4" w:space="0" w:color="auto"/>
            </w:tcBorders>
            <w:shd w:val="clear" w:color="auto" w:fill="D9D9D9" w:themeFill="background1" w:themeFillShade="D9"/>
          </w:tcPr>
          <w:p w:rsidR="00A84316" w:rsidRPr="00A84316" w:rsidRDefault="00A84316" w:rsidP="00A84316">
            <w:pPr>
              <w:spacing w:after="0" w:line="240" w:lineRule="auto"/>
              <w:jc w:val="center"/>
              <w:rPr>
                <w:b/>
                <w:sz w:val="20"/>
                <w:szCs w:val="20"/>
              </w:rPr>
            </w:pPr>
            <w:r w:rsidRPr="00A84316">
              <w:rPr>
                <w:b/>
                <w:sz w:val="20"/>
                <w:szCs w:val="20"/>
              </w:rPr>
              <w:t>Percent Change</w:t>
            </w:r>
          </w:p>
        </w:tc>
        <w:tc>
          <w:tcPr>
            <w:tcW w:w="810" w:type="dxa"/>
            <w:vMerge/>
            <w:shd w:val="clear" w:color="auto" w:fill="auto"/>
          </w:tcPr>
          <w:p w:rsidR="00A84316" w:rsidRPr="00A84316" w:rsidRDefault="00A84316" w:rsidP="00A84316">
            <w:pPr>
              <w:spacing w:after="0" w:line="240" w:lineRule="auto"/>
              <w:jc w:val="center"/>
              <w:rPr>
                <w:sz w:val="20"/>
                <w:szCs w:val="20"/>
              </w:rPr>
            </w:pPr>
          </w:p>
        </w:tc>
      </w:tr>
      <w:tr w:rsidR="00A84316" w:rsidRPr="008502EB" w:rsidTr="00E560FD">
        <w:trPr>
          <w:trHeight w:val="488"/>
        </w:trPr>
        <w:tc>
          <w:tcPr>
            <w:tcW w:w="990" w:type="dxa"/>
            <w:vAlign w:val="center"/>
          </w:tcPr>
          <w:p w:rsidR="00A84316" w:rsidRPr="00A84316" w:rsidRDefault="00A84316" w:rsidP="00A84316">
            <w:pPr>
              <w:spacing w:after="0" w:line="240" w:lineRule="auto"/>
              <w:jc w:val="center"/>
              <w:rPr>
                <w:sz w:val="20"/>
                <w:szCs w:val="20"/>
              </w:rPr>
            </w:pPr>
            <w:r w:rsidRPr="00A84316">
              <w:rPr>
                <w:sz w:val="20"/>
                <w:szCs w:val="20"/>
              </w:rPr>
              <w:t>High needs</w:t>
            </w:r>
          </w:p>
        </w:tc>
        <w:tc>
          <w:tcPr>
            <w:tcW w:w="990" w:type="dxa"/>
            <w:shd w:val="clear" w:color="auto" w:fill="auto"/>
            <w:vAlign w:val="center"/>
          </w:tcPr>
          <w:p w:rsidR="00A84316" w:rsidRPr="00A84316" w:rsidRDefault="00A84316" w:rsidP="00A84316">
            <w:pPr>
              <w:spacing w:after="0" w:line="240" w:lineRule="auto"/>
              <w:jc w:val="center"/>
              <w:rPr>
                <w:sz w:val="20"/>
                <w:szCs w:val="20"/>
              </w:rPr>
            </w:pPr>
            <w:r w:rsidRPr="00A84316">
              <w:rPr>
                <w:sz w:val="20"/>
                <w:szCs w:val="20"/>
              </w:rPr>
              <w:t>1,533</w:t>
            </w:r>
          </w:p>
        </w:tc>
        <w:tc>
          <w:tcPr>
            <w:tcW w:w="720" w:type="dxa"/>
            <w:shd w:val="clear" w:color="auto" w:fill="auto"/>
            <w:vAlign w:val="center"/>
          </w:tcPr>
          <w:p w:rsidR="00A84316" w:rsidRPr="00A84316" w:rsidRDefault="00A84316" w:rsidP="00A84316">
            <w:pPr>
              <w:spacing w:after="0" w:line="240" w:lineRule="auto"/>
              <w:jc w:val="center"/>
              <w:rPr>
                <w:sz w:val="20"/>
                <w:szCs w:val="20"/>
              </w:rPr>
            </w:pPr>
            <w:r w:rsidRPr="00A84316">
              <w:rPr>
                <w:sz w:val="20"/>
                <w:szCs w:val="20"/>
              </w:rPr>
              <w:t>70.5%</w:t>
            </w:r>
          </w:p>
        </w:tc>
        <w:tc>
          <w:tcPr>
            <w:tcW w:w="720" w:type="dxa"/>
            <w:shd w:val="clear" w:color="auto" w:fill="auto"/>
            <w:vAlign w:val="center"/>
          </w:tcPr>
          <w:p w:rsidR="00A84316" w:rsidRPr="00A84316" w:rsidRDefault="00A84316" w:rsidP="00A84316">
            <w:pPr>
              <w:spacing w:after="0" w:line="240" w:lineRule="auto"/>
              <w:jc w:val="center"/>
              <w:rPr>
                <w:sz w:val="20"/>
                <w:szCs w:val="20"/>
              </w:rPr>
            </w:pPr>
            <w:r w:rsidRPr="00A84316">
              <w:rPr>
                <w:sz w:val="20"/>
                <w:szCs w:val="20"/>
              </w:rPr>
              <w:t>77.2%</w:t>
            </w:r>
          </w:p>
        </w:tc>
        <w:tc>
          <w:tcPr>
            <w:tcW w:w="720" w:type="dxa"/>
            <w:shd w:val="clear" w:color="auto" w:fill="auto"/>
            <w:vAlign w:val="center"/>
          </w:tcPr>
          <w:p w:rsidR="00A84316" w:rsidRPr="00A84316" w:rsidRDefault="00A84316" w:rsidP="00A84316">
            <w:pPr>
              <w:spacing w:after="0" w:line="240" w:lineRule="auto"/>
              <w:jc w:val="center"/>
              <w:rPr>
                <w:sz w:val="20"/>
                <w:szCs w:val="20"/>
              </w:rPr>
            </w:pPr>
            <w:r w:rsidRPr="00A84316">
              <w:rPr>
                <w:sz w:val="20"/>
                <w:szCs w:val="20"/>
              </w:rPr>
              <w:t>78.7%</w:t>
            </w:r>
          </w:p>
        </w:tc>
        <w:tc>
          <w:tcPr>
            <w:tcW w:w="720" w:type="dxa"/>
            <w:shd w:val="clear" w:color="auto" w:fill="auto"/>
            <w:vAlign w:val="center"/>
          </w:tcPr>
          <w:p w:rsidR="00A84316" w:rsidRPr="00A84316" w:rsidRDefault="00A84316" w:rsidP="00A84316">
            <w:pPr>
              <w:spacing w:after="0" w:line="240" w:lineRule="auto"/>
              <w:jc w:val="center"/>
              <w:rPr>
                <w:sz w:val="20"/>
                <w:szCs w:val="20"/>
              </w:rPr>
            </w:pPr>
            <w:r w:rsidRPr="00A84316">
              <w:rPr>
                <w:sz w:val="20"/>
                <w:szCs w:val="20"/>
              </w:rPr>
              <w:t>79.7%</w:t>
            </w:r>
          </w:p>
        </w:tc>
        <w:tc>
          <w:tcPr>
            <w:tcW w:w="1170" w:type="dxa"/>
            <w:shd w:val="clear" w:color="auto" w:fill="auto"/>
            <w:vAlign w:val="center"/>
          </w:tcPr>
          <w:p w:rsidR="00A84316" w:rsidRPr="00A84316" w:rsidRDefault="00A84316" w:rsidP="00A84316">
            <w:pPr>
              <w:spacing w:after="0" w:line="240" w:lineRule="auto"/>
              <w:jc w:val="center"/>
              <w:rPr>
                <w:sz w:val="20"/>
                <w:szCs w:val="20"/>
              </w:rPr>
            </w:pPr>
            <w:r w:rsidRPr="00A84316">
              <w:rPr>
                <w:sz w:val="20"/>
                <w:szCs w:val="20"/>
              </w:rPr>
              <w:t>9.2</w:t>
            </w:r>
          </w:p>
        </w:tc>
        <w:tc>
          <w:tcPr>
            <w:tcW w:w="900" w:type="dxa"/>
            <w:shd w:val="clear" w:color="auto" w:fill="auto"/>
            <w:vAlign w:val="center"/>
          </w:tcPr>
          <w:p w:rsidR="00A84316" w:rsidRPr="00A84316" w:rsidRDefault="00A84316" w:rsidP="00A84316">
            <w:pPr>
              <w:spacing w:after="0" w:line="240" w:lineRule="auto"/>
              <w:jc w:val="center"/>
              <w:rPr>
                <w:sz w:val="20"/>
                <w:szCs w:val="20"/>
              </w:rPr>
            </w:pPr>
            <w:r w:rsidRPr="00A84316">
              <w:rPr>
                <w:sz w:val="20"/>
                <w:szCs w:val="20"/>
              </w:rPr>
              <w:t>13.0%</w:t>
            </w:r>
          </w:p>
        </w:tc>
        <w:tc>
          <w:tcPr>
            <w:tcW w:w="1170" w:type="dxa"/>
            <w:shd w:val="clear" w:color="auto" w:fill="auto"/>
            <w:vAlign w:val="center"/>
          </w:tcPr>
          <w:p w:rsidR="00A84316" w:rsidRPr="00A84316" w:rsidRDefault="00A84316" w:rsidP="00A84316">
            <w:pPr>
              <w:spacing w:after="0" w:line="240" w:lineRule="auto"/>
              <w:jc w:val="center"/>
              <w:rPr>
                <w:sz w:val="20"/>
                <w:szCs w:val="20"/>
              </w:rPr>
            </w:pPr>
            <w:r w:rsidRPr="00A84316">
              <w:rPr>
                <w:sz w:val="20"/>
                <w:szCs w:val="20"/>
              </w:rPr>
              <w:t>1.0</w:t>
            </w:r>
          </w:p>
        </w:tc>
        <w:tc>
          <w:tcPr>
            <w:tcW w:w="900" w:type="dxa"/>
            <w:shd w:val="clear" w:color="auto" w:fill="auto"/>
            <w:vAlign w:val="center"/>
          </w:tcPr>
          <w:p w:rsidR="00A84316" w:rsidRPr="00A84316" w:rsidRDefault="00A84316" w:rsidP="00A84316">
            <w:pPr>
              <w:spacing w:after="0" w:line="240" w:lineRule="auto"/>
              <w:jc w:val="center"/>
              <w:rPr>
                <w:sz w:val="20"/>
                <w:szCs w:val="20"/>
              </w:rPr>
            </w:pPr>
            <w:r w:rsidRPr="00A84316">
              <w:rPr>
                <w:sz w:val="20"/>
                <w:szCs w:val="20"/>
              </w:rPr>
              <w:t>1.3%</w:t>
            </w:r>
          </w:p>
        </w:tc>
        <w:tc>
          <w:tcPr>
            <w:tcW w:w="810" w:type="dxa"/>
            <w:shd w:val="clear" w:color="auto" w:fill="auto"/>
            <w:vAlign w:val="center"/>
          </w:tcPr>
          <w:p w:rsidR="00A84316" w:rsidRPr="00A84316" w:rsidRDefault="00A84316" w:rsidP="00A84316">
            <w:pPr>
              <w:spacing w:after="0" w:line="240" w:lineRule="auto"/>
              <w:jc w:val="center"/>
              <w:rPr>
                <w:sz w:val="20"/>
                <w:szCs w:val="20"/>
              </w:rPr>
            </w:pPr>
            <w:r w:rsidRPr="00A84316">
              <w:rPr>
                <w:sz w:val="20"/>
                <w:szCs w:val="20"/>
              </w:rPr>
              <w:t>79.1%</w:t>
            </w:r>
          </w:p>
        </w:tc>
      </w:tr>
      <w:tr w:rsidR="00A84316" w:rsidRPr="008502EB" w:rsidTr="00E560FD">
        <w:trPr>
          <w:trHeight w:val="488"/>
        </w:trPr>
        <w:tc>
          <w:tcPr>
            <w:tcW w:w="990" w:type="dxa"/>
            <w:shd w:val="clear" w:color="auto" w:fill="D9D9D9" w:themeFill="background1" w:themeFillShade="D9"/>
            <w:vAlign w:val="center"/>
          </w:tcPr>
          <w:p w:rsidR="00A84316" w:rsidRPr="00A84316" w:rsidRDefault="00A84316" w:rsidP="00A84316">
            <w:pPr>
              <w:spacing w:after="0" w:line="240" w:lineRule="auto"/>
              <w:jc w:val="center"/>
              <w:rPr>
                <w:sz w:val="20"/>
                <w:szCs w:val="20"/>
              </w:rPr>
            </w:pPr>
            <w:r w:rsidRPr="00A84316">
              <w:rPr>
                <w:sz w:val="20"/>
                <w:szCs w:val="20"/>
              </w:rPr>
              <w:t>Low income</w:t>
            </w:r>
          </w:p>
        </w:tc>
        <w:tc>
          <w:tcPr>
            <w:tcW w:w="990" w:type="dxa"/>
            <w:shd w:val="clear" w:color="auto" w:fill="D9D9D9" w:themeFill="background1" w:themeFillShade="D9"/>
            <w:vAlign w:val="center"/>
          </w:tcPr>
          <w:p w:rsidR="00A84316" w:rsidRPr="00A84316" w:rsidRDefault="00A84316" w:rsidP="00A84316">
            <w:pPr>
              <w:spacing w:after="0" w:line="240" w:lineRule="auto"/>
              <w:jc w:val="center"/>
              <w:rPr>
                <w:sz w:val="20"/>
                <w:szCs w:val="20"/>
              </w:rPr>
            </w:pPr>
            <w:r w:rsidRPr="00A84316">
              <w:rPr>
                <w:sz w:val="20"/>
                <w:szCs w:val="20"/>
              </w:rPr>
              <w:t>1,451</w:t>
            </w:r>
          </w:p>
        </w:tc>
        <w:tc>
          <w:tcPr>
            <w:tcW w:w="720" w:type="dxa"/>
            <w:shd w:val="clear" w:color="auto" w:fill="D9D9D9" w:themeFill="background1" w:themeFillShade="D9"/>
            <w:vAlign w:val="center"/>
          </w:tcPr>
          <w:p w:rsidR="00A84316" w:rsidRPr="00A84316" w:rsidRDefault="00A84316" w:rsidP="00A84316">
            <w:pPr>
              <w:spacing w:after="0" w:line="240" w:lineRule="auto"/>
              <w:jc w:val="center"/>
              <w:rPr>
                <w:sz w:val="20"/>
                <w:szCs w:val="20"/>
              </w:rPr>
            </w:pPr>
            <w:r w:rsidRPr="00A84316">
              <w:rPr>
                <w:sz w:val="20"/>
                <w:szCs w:val="20"/>
              </w:rPr>
              <w:t>70.6%</w:t>
            </w:r>
          </w:p>
        </w:tc>
        <w:tc>
          <w:tcPr>
            <w:tcW w:w="720" w:type="dxa"/>
            <w:shd w:val="clear" w:color="auto" w:fill="D9D9D9" w:themeFill="background1" w:themeFillShade="D9"/>
            <w:vAlign w:val="center"/>
          </w:tcPr>
          <w:p w:rsidR="00A84316" w:rsidRPr="00A84316" w:rsidRDefault="00A84316" w:rsidP="00A84316">
            <w:pPr>
              <w:spacing w:after="0" w:line="240" w:lineRule="auto"/>
              <w:jc w:val="center"/>
              <w:rPr>
                <w:sz w:val="20"/>
                <w:szCs w:val="20"/>
              </w:rPr>
            </w:pPr>
            <w:r w:rsidRPr="00A84316">
              <w:rPr>
                <w:sz w:val="20"/>
                <w:szCs w:val="20"/>
              </w:rPr>
              <w:t>77.1%</w:t>
            </w:r>
          </w:p>
        </w:tc>
        <w:tc>
          <w:tcPr>
            <w:tcW w:w="720" w:type="dxa"/>
            <w:shd w:val="clear" w:color="auto" w:fill="D9D9D9" w:themeFill="background1" w:themeFillShade="D9"/>
            <w:vAlign w:val="center"/>
          </w:tcPr>
          <w:p w:rsidR="00A84316" w:rsidRPr="00A84316" w:rsidRDefault="00A84316" w:rsidP="00A84316">
            <w:pPr>
              <w:spacing w:after="0" w:line="240" w:lineRule="auto"/>
              <w:jc w:val="center"/>
              <w:rPr>
                <w:sz w:val="20"/>
                <w:szCs w:val="20"/>
              </w:rPr>
            </w:pPr>
            <w:r w:rsidRPr="00A84316">
              <w:rPr>
                <w:sz w:val="20"/>
                <w:szCs w:val="20"/>
              </w:rPr>
              <w:t>79.1%</w:t>
            </w:r>
          </w:p>
        </w:tc>
        <w:tc>
          <w:tcPr>
            <w:tcW w:w="720" w:type="dxa"/>
            <w:shd w:val="clear" w:color="auto" w:fill="D9D9D9" w:themeFill="background1" w:themeFillShade="D9"/>
            <w:vAlign w:val="center"/>
          </w:tcPr>
          <w:p w:rsidR="00A84316" w:rsidRPr="00A84316" w:rsidRDefault="00A84316" w:rsidP="00A84316">
            <w:pPr>
              <w:spacing w:after="0" w:line="240" w:lineRule="auto"/>
              <w:jc w:val="center"/>
              <w:rPr>
                <w:sz w:val="20"/>
                <w:szCs w:val="20"/>
              </w:rPr>
            </w:pPr>
            <w:r w:rsidRPr="00A84316">
              <w:rPr>
                <w:sz w:val="20"/>
                <w:szCs w:val="20"/>
              </w:rPr>
              <w:t>79.9%</w:t>
            </w:r>
          </w:p>
        </w:tc>
        <w:tc>
          <w:tcPr>
            <w:tcW w:w="1170" w:type="dxa"/>
            <w:shd w:val="clear" w:color="auto" w:fill="D9D9D9" w:themeFill="background1" w:themeFillShade="D9"/>
            <w:vAlign w:val="center"/>
          </w:tcPr>
          <w:p w:rsidR="00A84316" w:rsidRPr="00A84316" w:rsidRDefault="00A84316" w:rsidP="00A84316">
            <w:pPr>
              <w:spacing w:after="0" w:line="240" w:lineRule="auto"/>
              <w:jc w:val="center"/>
              <w:rPr>
                <w:sz w:val="20"/>
                <w:szCs w:val="20"/>
              </w:rPr>
            </w:pPr>
            <w:r w:rsidRPr="00A84316">
              <w:rPr>
                <w:sz w:val="20"/>
                <w:szCs w:val="20"/>
              </w:rPr>
              <w:t>9.3</w:t>
            </w:r>
          </w:p>
        </w:tc>
        <w:tc>
          <w:tcPr>
            <w:tcW w:w="900" w:type="dxa"/>
            <w:shd w:val="clear" w:color="auto" w:fill="D9D9D9" w:themeFill="background1" w:themeFillShade="D9"/>
            <w:vAlign w:val="center"/>
          </w:tcPr>
          <w:p w:rsidR="00A84316" w:rsidRPr="00A84316" w:rsidRDefault="00A84316" w:rsidP="00A84316">
            <w:pPr>
              <w:spacing w:after="0" w:line="240" w:lineRule="auto"/>
              <w:jc w:val="center"/>
              <w:rPr>
                <w:sz w:val="20"/>
                <w:szCs w:val="20"/>
              </w:rPr>
            </w:pPr>
            <w:r w:rsidRPr="00A84316">
              <w:rPr>
                <w:sz w:val="20"/>
                <w:szCs w:val="20"/>
              </w:rPr>
              <w:t>13.8%</w:t>
            </w:r>
          </w:p>
        </w:tc>
        <w:tc>
          <w:tcPr>
            <w:tcW w:w="1170" w:type="dxa"/>
            <w:shd w:val="clear" w:color="auto" w:fill="D9D9D9" w:themeFill="background1" w:themeFillShade="D9"/>
            <w:vAlign w:val="center"/>
          </w:tcPr>
          <w:p w:rsidR="00A84316" w:rsidRPr="00A84316" w:rsidRDefault="00A84316" w:rsidP="00A84316">
            <w:pPr>
              <w:spacing w:after="0" w:line="240" w:lineRule="auto"/>
              <w:jc w:val="center"/>
              <w:rPr>
                <w:sz w:val="20"/>
                <w:szCs w:val="20"/>
              </w:rPr>
            </w:pPr>
            <w:r w:rsidRPr="00A84316">
              <w:rPr>
                <w:sz w:val="20"/>
                <w:szCs w:val="20"/>
              </w:rPr>
              <w:t>0.8</w:t>
            </w:r>
          </w:p>
        </w:tc>
        <w:tc>
          <w:tcPr>
            <w:tcW w:w="900" w:type="dxa"/>
            <w:shd w:val="clear" w:color="auto" w:fill="D9D9D9" w:themeFill="background1" w:themeFillShade="D9"/>
            <w:vAlign w:val="center"/>
          </w:tcPr>
          <w:p w:rsidR="00A84316" w:rsidRPr="00A84316" w:rsidRDefault="00A84316" w:rsidP="00A84316">
            <w:pPr>
              <w:spacing w:after="0" w:line="240" w:lineRule="auto"/>
              <w:jc w:val="center"/>
              <w:rPr>
                <w:sz w:val="20"/>
                <w:szCs w:val="20"/>
              </w:rPr>
            </w:pPr>
            <w:r w:rsidRPr="00A84316">
              <w:rPr>
                <w:sz w:val="20"/>
                <w:szCs w:val="20"/>
              </w:rPr>
              <w:t>1.0%</w:t>
            </w:r>
          </w:p>
        </w:tc>
        <w:tc>
          <w:tcPr>
            <w:tcW w:w="810" w:type="dxa"/>
            <w:shd w:val="clear" w:color="auto" w:fill="D9D9D9" w:themeFill="background1" w:themeFillShade="D9"/>
            <w:vAlign w:val="center"/>
          </w:tcPr>
          <w:p w:rsidR="00A84316" w:rsidRPr="00A84316" w:rsidRDefault="00A84316" w:rsidP="00A84316">
            <w:pPr>
              <w:spacing w:after="0" w:line="240" w:lineRule="auto"/>
              <w:jc w:val="center"/>
              <w:rPr>
                <w:sz w:val="20"/>
                <w:szCs w:val="20"/>
              </w:rPr>
            </w:pPr>
            <w:r w:rsidRPr="00A84316">
              <w:rPr>
                <w:sz w:val="20"/>
                <w:szCs w:val="20"/>
              </w:rPr>
              <w:t>78.4%</w:t>
            </w:r>
          </w:p>
        </w:tc>
      </w:tr>
      <w:tr w:rsidR="00A84316" w:rsidRPr="008502EB" w:rsidTr="00E560FD">
        <w:trPr>
          <w:trHeight w:val="488"/>
        </w:trPr>
        <w:tc>
          <w:tcPr>
            <w:tcW w:w="990" w:type="dxa"/>
            <w:vAlign w:val="center"/>
          </w:tcPr>
          <w:p w:rsidR="00A84316" w:rsidRPr="00A84316" w:rsidRDefault="00A84316" w:rsidP="00A84316">
            <w:pPr>
              <w:spacing w:after="0" w:line="240" w:lineRule="auto"/>
              <w:jc w:val="center"/>
              <w:rPr>
                <w:sz w:val="20"/>
                <w:szCs w:val="20"/>
              </w:rPr>
            </w:pPr>
            <w:r w:rsidRPr="00A84316">
              <w:rPr>
                <w:sz w:val="20"/>
                <w:szCs w:val="20"/>
              </w:rPr>
              <w:t>ELLs</w:t>
            </w:r>
          </w:p>
        </w:tc>
        <w:tc>
          <w:tcPr>
            <w:tcW w:w="990" w:type="dxa"/>
            <w:shd w:val="clear" w:color="auto" w:fill="auto"/>
            <w:vAlign w:val="center"/>
          </w:tcPr>
          <w:p w:rsidR="00A84316" w:rsidRPr="00A84316" w:rsidRDefault="00A84316" w:rsidP="00A84316">
            <w:pPr>
              <w:spacing w:after="0" w:line="240" w:lineRule="auto"/>
              <w:jc w:val="center"/>
              <w:rPr>
                <w:sz w:val="20"/>
                <w:szCs w:val="20"/>
              </w:rPr>
            </w:pPr>
            <w:r w:rsidRPr="00A84316">
              <w:rPr>
                <w:sz w:val="20"/>
                <w:szCs w:val="20"/>
              </w:rPr>
              <w:t>530</w:t>
            </w:r>
          </w:p>
        </w:tc>
        <w:tc>
          <w:tcPr>
            <w:tcW w:w="720" w:type="dxa"/>
            <w:shd w:val="clear" w:color="auto" w:fill="auto"/>
            <w:vAlign w:val="center"/>
          </w:tcPr>
          <w:p w:rsidR="00A84316" w:rsidRPr="00A84316" w:rsidRDefault="00A84316" w:rsidP="00A84316">
            <w:pPr>
              <w:spacing w:after="0" w:line="240" w:lineRule="auto"/>
              <w:jc w:val="center"/>
              <w:rPr>
                <w:sz w:val="20"/>
                <w:szCs w:val="20"/>
              </w:rPr>
            </w:pPr>
            <w:r w:rsidRPr="00A84316">
              <w:rPr>
                <w:sz w:val="20"/>
                <w:szCs w:val="20"/>
              </w:rPr>
              <w:t>70.4%</w:t>
            </w:r>
          </w:p>
        </w:tc>
        <w:tc>
          <w:tcPr>
            <w:tcW w:w="720" w:type="dxa"/>
            <w:shd w:val="clear" w:color="auto" w:fill="auto"/>
            <w:vAlign w:val="center"/>
          </w:tcPr>
          <w:p w:rsidR="00A84316" w:rsidRPr="00A84316" w:rsidRDefault="00A84316" w:rsidP="00A84316">
            <w:pPr>
              <w:spacing w:after="0" w:line="240" w:lineRule="auto"/>
              <w:jc w:val="center"/>
              <w:rPr>
                <w:sz w:val="20"/>
                <w:szCs w:val="20"/>
              </w:rPr>
            </w:pPr>
            <w:r w:rsidRPr="00A84316">
              <w:rPr>
                <w:sz w:val="20"/>
                <w:szCs w:val="20"/>
              </w:rPr>
              <w:t>75.8%</w:t>
            </w:r>
          </w:p>
        </w:tc>
        <w:tc>
          <w:tcPr>
            <w:tcW w:w="720" w:type="dxa"/>
            <w:shd w:val="clear" w:color="auto" w:fill="auto"/>
            <w:vAlign w:val="center"/>
          </w:tcPr>
          <w:p w:rsidR="00A84316" w:rsidRPr="00A84316" w:rsidRDefault="00A84316" w:rsidP="00A84316">
            <w:pPr>
              <w:spacing w:after="0" w:line="240" w:lineRule="auto"/>
              <w:jc w:val="center"/>
              <w:rPr>
                <w:sz w:val="20"/>
                <w:szCs w:val="20"/>
              </w:rPr>
            </w:pPr>
            <w:r w:rsidRPr="00A84316">
              <w:rPr>
                <w:sz w:val="20"/>
                <w:szCs w:val="20"/>
              </w:rPr>
              <w:t>75.2%</w:t>
            </w:r>
          </w:p>
        </w:tc>
        <w:tc>
          <w:tcPr>
            <w:tcW w:w="720" w:type="dxa"/>
            <w:shd w:val="clear" w:color="auto" w:fill="auto"/>
            <w:vAlign w:val="center"/>
          </w:tcPr>
          <w:p w:rsidR="00A84316" w:rsidRPr="00A84316" w:rsidRDefault="00A84316" w:rsidP="00A84316">
            <w:pPr>
              <w:spacing w:after="0" w:line="240" w:lineRule="auto"/>
              <w:jc w:val="center"/>
              <w:rPr>
                <w:sz w:val="20"/>
                <w:szCs w:val="20"/>
              </w:rPr>
            </w:pPr>
            <w:r w:rsidRPr="00A84316">
              <w:rPr>
                <w:sz w:val="20"/>
                <w:szCs w:val="20"/>
              </w:rPr>
              <w:t>74.3%</w:t>
            </w:r>
          </w:p>
        </w:tc>
        <w:tc>
          <w:tcPr>
            <w:tcW w:w="1170" w:type="dxa"/>
            <w:shd w:val="clear" w:color="auto" w:fill="auto"/>
            <w:vAlign w:val="center"/>
          </w:tcPr>
          <w:p w:rsidR="00A84316" w:rsidRPr="00A84316" w:rsidRDefault="00A84316" w:rsidP="00A84316">
            <w:pPr>
              <w:spacing w:after="0" w:line="240" w:lineRule="auto"/>
              <w:jc w:val="center"/>
              <w:rPr>
                <w:sz w:val="20"/>
                <w:szCs w:val="20"/>
              </w:rPr>
            </w:pPr>
            <w:r w:rsidRPr="00A84316">
              <w:rPr>
                <w:sz w:val="20"/>
                <w:szCs w:val="20"/>
              </w:rPr>
              <w:t>3.9</w:t>
            </w:r>
          </w:p>
        </w:tc>
        <w:tc>
          <w:tcPr>
            <w:tcW w:w="900" w:type="dxa"/>
            <w:shd w:val="clear" w:color="auto" w:fill="auto"/>
            <w:vAlign w:val="center"/>
          </w:tcPr>
          <w:p w:rsidR="00A84316" w:rsidRPr="00A84316" w:rsidRDefault="00A84316" w:rsidP="00A84316">
            <w:pPr>
              <w:spacing w:after="0" w:line="240" w:lineRule="auto"/>
              <w:jc w:val="center"/>
              <w:rPr>
                <w:sz w:val="20"/>
                <w:szCs w:val="20"/>
              </w:rPr>
            </w:pPr>
            <w:r w:rsidRPr="00A84316">
              <w:rPr>
                <w:sz w:val="20"/>
                <w:szCs w:val="20"/>
              </w:rPr>
              <w:t>5.5%</w:t>
            </w:r>
          </w:p>
        </w:tc>
        <w:tc>
          <w:tcPr>
            <w:tcW w:w="1170" w:type="dxa"/>
            <w:shd w:val="clear" w:color="auto" w:fill="auto"/>
            <w:vAlign w:val="center"/>
          </w:tcPr>
          <w:p w:rsidR="00A84316" w:rsidRPr="00A84316" w:rsidRDefault="00A84316" w:rsidP="00A84316">
            <w:pPr>
              <w:spacing w:after="0" w:line="240" w:lineRule="auto"/>
              <w:jc w:val="center"/>
              <w:rPr>
                <w:sz w:val="20"/>
                <w:szCs w:val="20"/>
              </w:rPr>
            </w:pPr>
            <w:r w:rsidRPr="00A84316">
              <w:rPr>
                <w:sz w:val="20"/>
                <w:szCs w:val="20"/>
              </w:rPr>
              <w:t>-0.9</w:t>
            </w:r>
          </w:p>
        </w:tc>
        <w:tc>
          <w:tcPr>
            <w:tcW w:w="900" w:type="dxa"/>
            <w:shd w:val="clear" w:color="auto" w:fill="auto"/>
            <w:vAlign w:val="center"/>
          </w:tcPr>
          <w:p w:rsidR="00A84316" w:rsidRPr="00A84316" w:rsidRDefault="00A84316" w:rsidP="00A84316">
            <w:pPr>
              <w:spacing w:after="0" w:line="240" w:lineRule="auto"/>
              <w:jc w:val="center"/>
              <w:rPr>
                <w:sz w:val="20"/>
                <w:szCs w:val="20"/>
              </w:rPr>
            </w:pPr>
            <w:r w:rsidRPr="00A84316">
              <w:rPr>
                <w:sz w:val="20"/>
                <w:szCs w:val="20"/>
              </w:rPr>
              <w:t>-1.2%</w:t>
            </w:r>
          </w:p>
        </w:tc>
        <w:tc>
          <w:tcPr>
            <w:tcW w:w="810" w:type="dxa"/>
            <w:shd w:val="clear" w:color="auto" w:fill="auto"/>
            <w:vAlign w:val="center"/>
          </w:tcPr>
          <w:p w:rsidR="00A84316" w:rsidRPr="00A84316" w:rsidRDefault="00A84316" w:rsidP="00A84316">
            <w:pPr>
              <w:spacing w:after="0" w:line="240" w:lineRule="auto"/>
              <w:jc w:val="center"/>
              <w:rPr>
                <w:sz w:val="20"/>
                <w:szCs w:val="20"/>
              </w:rPr>
            </w:pPr>
            <w:r w:rsidRPr="00A84316">
              <w:rPr>
                <w:sz w:val="20"/>
                <w:szCs w:val="20"/>
              </w:rPr>
              <w:t>64.1%</w:t>
            </w:r>
          </w:p>
        </w:tc>
      </w:tr>
      <w:tr w:rsidR="00A84316" w:rsidRPr="008502EB" w:rsidTr="00E560FD">
        <w:trPr>
          <w:trHeight w:val="488"/>
        </w:trPr>
        <w:tc>
          <w:tcPr>
            <w:tcW w:w="990" w:type="dxa"/>
            <w:shd w:val="clear" w:color="auto" w:fill="D9D9D9" w:themeFill="background1" w:themeFillShade="D9"/>
            <w:vAlign w:val="center"/>
          </w:tcPr>
          <w:p w:rsidR="00A84316" w:rsidRPr="00A84316" w:rsidRDefault="00A84316" w:rsidP="00A84316">
            <w:pPr>
              <w:spacing w:after="0" w:line="240" w:lineRule="auto"/>
              <w:jc w:val="center"/>
              <w:rPr>
                <w:sz w:val="20"/>
                <w:szCs w:val="20"/>
              </w:rPr>
            </w:pPr>
            <w:r w:rsidRPr="00A84316">
              <w:rPr>
                <w:sz w:val="20"/>
                <w:szCs w:val="20"/>
              </w:rPr>
              <w:t>SWD</w:t>
            </w:r>
          </w:p>
        </w:tc>
        <w:tc>
          <w:tcPr>
            <w:tcW w:w="990" w:type="dxa"/>
            <w:shd w:val="clear" w:color="auto" w:fill="D9D9D9" w:themeFill="background1" w:themeFillShade="D9"/>
            <w:vAlign w:val="center"/>
          </w:tcPr>
          <w:p w:rsidR="00A84316" w:rsidRPr="00A84316" w:rsidRDefault="00A84316" w:rsidP="00A84316">
            <w:pPr>
              <w:spacing w:after="0" w:line="240" w:lineRule="auto"/>
              <w:jc w:val="center"/>
              <w:rPr>
                <w:sz w:val="20"/>
                <w:szCs w:val="20"/>
              </w:rPr>
            </w:pPr>
            <w:r w:rsidRPr="00A84316">
              <w:rPr>
                <w:sz w:val="20"/>
                <w:szCs w:val="20"/>
              </w:rPr>
              <w:t>434</w:t>
            </w:r>
          </w:p>
        </w:tc>
        <w:tc>
          <w:tcPr>
            <w:tcW w:w="720" w:type="dxa"/>
            <w:shd w:val="clear" w:color="auto" w:fill="D9D9D9" w:themeFill="background1" w:themeFillShade="D9"/>
            <w:vAlign w:val="center"/>
          </w:tcPr>
          <w:p w:rsidR="00A84316" w:rsidRPr="00A84316" w:rsidRDefault="00A84316" w:rsidP="00A84316">
            <w:pPr>
              <w:spacing w:after="0" w:line="240" w:lineRule="auto"/>
              <w:jc w:val="center"/>
              <w:rPr>
                <w:sz w:val="20"/>
                <w:szCs w:val="20"/>
              </w:rPr>
            </w:pPr>
            <w:r w:rsidRPr="00A84316">
              <w:rPr>
                <w:sz w:val="20"/>
                <w:szCs w:val="20"/>
              </w:rPr>
              <w:t>53.0%</w:t>
            </w:r>
          </w:p>
        </w:tc>
        <w:tc>
          <w:tcPr>
            <w:tcW w:w="720" w:type="dxa"/>
            <w:shd w:val="clear" w:color="auto" w:fill="D9D9D9" w:themeFill="background1" w:themeFillShade="D9"/>
            <w:vAlign w:val="center"/>
          </w:tcPr>
          <w:p w:rsidR="00A84316" w:rsidRPr="00A84316" w:rsidRDefault="00A84316" w:rsidP="00A84316">
            <w:pPr>
              <w:spacing w:after="0" w:line="240" w:lineRule="auto"/>
              <w:jc w:val="center"/>
              <w:rPr>
                <w:sz w:val="20"/>
                <w:szCs w:val="20"/>
              </w:rPr>
            </w:pPr>
            <w:r w:rsidRPr="00A84316">
              <w:rPr>
                <w:sz w:val="20"/>
                <w:szCs w:val="20"/>
              </w:rPr>
              <w:t>63.1%</w:t>
            </w:r>
          </w:p>
        </w:tc>
        <w:tc>
          <w:tcPr>
            <w:tcW w:w="720" w:type="dxa"/>
            <w:shd w:val="clear" w:color="auto" w:fill="D9D9D9" w:themeFill="background1" w:themeFillShade="D9"/>
            <w:vAlign w:val="center"/>
          </w:tcPr>
          <w:p w:rsidR="00A84316" w:rsidRPr="00A84316" w:rsidRDefault="00A84316" w:rsidP="00A84316">
            <w:pPr>
              <w:spacing w:after="0" w:line="240" w:lineRule="auto"/>
              <w:jc w:val="center"/>
              <w:rPr>
                <w:sz w:val="20"/>
                <w:szCs w:val="20"/>
              </w:rPr>
            </w:pPr>
            <w:r w:rsidRPr="00A84316">
              <w:rPr>
                <w:sz w:val="20"/>
                <w:szCs w:val="20"/>
              </w:rPr>
              <w:t>62.4%</w:t>
            </w:r>
          </w:p>
        </w:tc>
        <w:tc>
          <w:tcPr>
            <w:tcW w:w="720" w:type="dxa"/>
            <w:shd w:val="clear" w:color="auto" w:fill="D9D9D9" w:themeFill="background1" w:themeFillShade="D9"/>
            <w:vAlign w:val="center"/>
          </w:tcPr>
          <w:p w:rsidR="00A84316" w:rsidRPr="00A84316" w:rsidRDefault="00A84316" w:rsidP="00A84316">
            <w:pPr>
              <w:spacing w:after="0" w:line="240" w:lineRule="auto"/>
              <w:jc w:val="center"/>
              <w:rPr>
                <w:sz w:val="20"/>
                <w:szCs w:val="20"/>
              </w:rPr>
            </w:pPr>
            <w:r w:rsidRPr="00A84316">
              <w:rPr>
                <w:sz w:val="20"/>
                <w:szCs w:val="20"/>
              </w:rPr>
              <w:t>61.5%</w:t>
            </w:r>
          </w:p>
        </w:tc>
        <w:tc>
          <w:tcPr>
            <w:tcW w:w="1170" w:type="dxa"/>
            <w:shd w:val="clear" w:color="auto" w:fill="D9D9D9" w:themeFill="background1" w:themeFillShade="D9"/>
            <w:vAlign w:val="center"/>
          </w:tcPr>
          <w:p w:rsidR="00A84316" w:rsidRPr="00A84316" w:rsidRDefault="00A84316" w:rsidP="00A84316">
            <w:pPr>
              <w:spacing w:after="0" w:line="240" w:lineRule="auto"/>
              <w:jc w:val="center"/>
              <w:rPr>
                <w:sz w:val="20"/>
                <w:szCs w:val="20"/>
              </w:rPr>
            </w:pPr>
            <w:r w:rsidRPr="00A84316">
              <w:rPr>
                <w:sz w:val="20"/>
                <w:szCs w:val="20"/>
              </w:rPr>
              <w:t>8.5</w:t>
            </w:r>
          </w:p>
        </w:tc>
        <w:tc>
          <w:tcPr>
            <w:tcW w:w="900" w:type="dxa"/>
            <w:shd w:val="clear" w:color="auto" w:fill="D9D9D9" w:themeFill="background1" w:themeFillShade="D9"/>
            <w:vAlign w:val="center"/>
          </w:tcPr>
          <w:p w:rsidR="00A84316" w:rsidRPr="00A84316" w:rsidRDefault="00A84316" w:rsidP="00A84316">
            <w:pPr>
              <w:spacing w:after="0" w:line="240" w:lineRule="auto"/>
              <w:jc w:val="center"/>
              <w:rPr>
                <w:sz w:val="20"/>
                <w:szCs w:val="20"/>
              </w:rPr>
            </w:pPr>
            <w:r w:rsidRPr="00A84316">
              <w:rPr>
                <w:sz w:val="20"/>
                <w:szCs w:val="20"/>
              </w:rPr>
              <w:t>16.0%</w:t>
            </w:r>
          </w:p>
        </w:tc>
        <w:tc>
          <w:tcPr>
            <w:tcW w:w="1170" w:type="dxa"/>
            <w:shd w:val="clear" w:color="auto" w:fill="D9D9D9" w:themeFill="background1" w:themeFillShade="D9"/>
            <w:vAlign w:val="center"/>
          </w:tcPr>
          <w:p w:rsidR="00A84316" w:rsidRPr="00A84316" w:rsidRDefault="00A84316" w:rsidP="00A84316">
            <w:pPr>
              <w:spacing w:after="0" w:line="240" w:lineRule="auto"/>
              <w:jc w:val="center"/>
              <w:rPr>
                <w:sz w:val="20"/>
                <w:szCs w:val="20"/>
              </w:rPr>
            </w:pPr>
            <w:r w:rsidRPr="00A84316">
              <w:rPr>
                <w:sz w:val="20"/>
                <w:szCs w:val="20"/>
              </w:rPr>
              <w:t>-0.9</w:t>
            </w:r>
          </w:p>
        </w:tc>
        <w:tc>
          <w:tcPr>
            <w:tcW w:w="900" w:type="dxa"/>
            <w:shd w:val="clear" w:color="auto" w:fill="D9D9D9" w:themeFill="background1" w:themeFillShade="D9"/>
            <w:vAlign w:val="center"/>
          </w:tcPr>
          <w:p w:rsidR="00A84316" w:rsidRPr="00A84316" w:rsidRDefault="00A84316" w:rsidP="00A84316">
            <w:pPr>
              <w:spacing w:after="0" w:line="240" w:lineRule="auto"/>
              <w:jc w:val="center"/>
              <w:rPr>
                <w:sz w:val="20"/>
                <w:szCs w:val="20"/>
              </w:rPr>
            </w:pPr>
            <w:r w:rsidRPr="00A84316">
              <w:rPr>
                <w:sz w:val="20"/>
                <w:szCs w:val="20"/>
              </w:rPr>
              <w:t>-1.4%</w:t>
            </w:r>
          </w:p>
        </w:tc>
        <w:tc>
          <w:tcPr>
            <w:tcW w:w="810" w:type="dxa"/>
            <w:shd w:val="clear" w:color="auto" w:fill="D9D9D9" w:themeFill="background1" w:themeFillShade="D9"/>
            <w:vAlign w:val="center"/>
          </w:tcPr>
          <w:p w:rsidR="00A84316" w:rsidRPr="00A84316" w:rsidRDefault="00A84316" w:rsidP="00A84316">
            <w:pPr>
              <w:spacing w:after="0" w:line="240" w:lineRule="auto"/>
              <w:jc w:val="center"/>
              <w:rPr>
                <w:sz w:val="20"/>
                <w:szCs w:val="20"/>
              </w:rPr>
            </w:pPr>
            <w:r w:rsidRPr="00A84316">
              <w:rPr>
                <w:sz w:val="20"/>
                <w:szCs w:val="20"/>
              </w:rPr>
              <w:t>71.8%</w:t>
            </w:r>
          </w:p>
        </w:tc>
      </w:tr>
      <w:tr w:rsidR="00A84316" w:rsidRPr="008502EB" w:rsidTr="00E560FD">
        <w:trPr>
          <w:trHeight w:val="489"/>
        </w:trPr>
        <w:tc>
          <w:tcPr>
            <w:tcW w:w="990" w:type="dxa"/>
            <w:tcBorders>
              <w:bottom w:val="single" w:sz="4" w:space="0" w:color="auto"/>
            </w:tcBorders>
            <w:vAlign w:val="center"/>
          </w:tcPr>
          <w:p w:rsidR="00A84316" w:rsidRPr="00A84316" w:rsidRDefault="00A84316" w:rsidP="00A84316">
            <w:pPr>
              <w:spacing w:after="0" w:line="240" w:lineRule="auto"/>
              <w:jc w:val="center"/>
              <w:rPr>
                <w:sz w:val="20"/>
                <w:szCs w:val="20"/>
              </w:rPr>
            </w:pPr>
            <w:r w:rsidRPr="00A84316">
              <w:rPr>
                <w:sz w:val="20"/>
                <w:szCs w:val="20"/>
              </w:rPr>
              <w:t>All students</w:t>
            </w:r>
          </w:p>
        </w:tc>
        <w:tc>
          <w:tcPr>
            <w:tcW w:w="990" w:type="dxa"/>
            <w:tcBorders>
              <w:bottom w:val="single" w:sz="4" w:space="0" w:color="auto"/>
            </w:tcBorders>
            <w:shd w:val="clear" w:color="auto" w:fill="auto"/>
            <w:vAlign w:val="center"/>
          </w:tcPr>
          <w:p w:rsidR="00A84316" w:rsidRPr="00A84316" w:rsidRDefault="00A84316" w:rsidP="00A84316">
            <w:pPr>
              <w:spacing w:after="0" w:line="240" w:lineRule="auto"/>
              <w:jc w:val="center"/>
              <w:rPr>
                <w:sz w:val="20"/>
                <w:szCs w:val="20"/>
              </w:rPr>
            </w:pPr>
            <w:r w:rsidRPr="00A84316">
              <w:rPr>
                <w:sz w:val="20"/>
                <w:szCs w:val="20"/>
              </w:rPr>
              <w:t>1,795</w:t>
            </w:r>
          </w:p>
        </w:tc>
        <w:tc>
          <w:tcPr>
            <w:tcW w:w="720" w:type="dxa"/>
            <w:tcBorders>
              <w:bottom w:val="single" w:sz="4" w:space="0" w:color="auto"/>
            </w:tcBorders>
            <w:shd w:val="clear" w:color="auto" w:fill="auto"/>
            <w:vAlign w:val="center"/>
          </w:tcPr>
          <w:p w:rsidR="00A84316" w:rsidRPr="00A84316" w:rsidRDefault="00A84316" w:rsidP="00A84316">
            <w:pPr>
              <w:spacing w:after="0" w:line="240" w:lineRule="auto"/>
              <w:jc w:val="center"/>
              <w:rPr>
                <w:sz w:val="20"/>
                <w:szCs w:val="20"/>
              </w:rPr>
            </w:pPr>
            <w:r w:rsidRPr="00A84316">
              <w:rPr>
                <w:sz w:val="20"/>
                <w:szCs w:val="20"/>
              </w:rPr>
              <w:t>73.4%</w:t>
            </w:r>
          </w:p>
        </w:tc>
        <w:tc>
          <w:tcPr>
            <w:tcW w:w="720" w:type="dxa"/>
            <w:tcBorders>
              <w:bottom w:val="single" w:sz="4" w:space="0" w:color="auto"/>
            </w:tcBorders>
            <w:shd w:val="clear" w:color="auto" w:fill="auto"/>
            <w:vAlign w:val="center"/>
          </w:tcPr>
          <w:p w:rsidR="00A84316" w:rsidRPr="00A84316" w:rsidRDefault="00A84316" w:rsidP="00A84316">
            <w:pPr>
              <w:spacing w:after="0" w:line="240" w:lineRule="auto"/>
              <w:jc w:val="center"/>
              <w:rPr>
                <w:sz w:val="20"/>
                <w:szCs w:val="20"/>
              </w:rPr>
            </w:pPr>
            <w:r w:rsidRPr="00A84316">
              <w:rPr>
                <w:sz w:val="20"/>
                <w:szCs w:val="20"/>
              </w:rPr>
              <w:t>79.2%</w:t>
            </w:r>
          </w:p>
        </w:tc>
        <w:tc>
          <w:tcPr>
            <w:tcW w:w="720" w:type="dxa"/>
            <w:tcBorders>
              <w:bottom w:val="single" w:sz="4" w:space="0" w:color="auto"/>
            </w:tcBorders>
            <w:shd w:val="clear" w:color="auto" w:fill="auto"/>
            <w:vAlign w:val="center"/>
          </w:tcPr>
          <w:p w:rsidR="00A84316" w:rsidRPr="00A84316" w:rsidRDefault="00A84316" w:rsidP="00A84316">
            <w:pPr>
              <w:spacing w:after="0" w:line="240" w:lineRule="auto"/>
              <w:jc w:val="center"/>
              <w:rPr>
                <w:sz w:val="20"/>
                <w:szCs w:val="20"/>
              </w:rPr>
            </w:pPr>
            <w:r w:rsidRPr="00A84316">
              <w:rPr>
                <w:sz w:val="20"/>
                <w:szCs w:val="20"/>
              </w:rPr>
              <w:t>80.8%</w:t>
            </w:r>
          </w:p>
        </w:tc>
        <w:tc>
          <w:tcPr>
            <w:tcW w:w="720" w:type="dxa"/>
            <w:tcBorders>
              <w:bottom w:val="single" w:sz="4" w:space="0" w:color="auto"/>
            </w:tcBorders>
            <w:shd w:val="clear" w:color="auto" w:fill="auto"/>
            <w:vAlign w:val="center"/>
          </w:tcPr>
          <w:p w:rsidR="00A84316" w:rsidRPr="00A84316" w:rsidRDefault="00A84316" w:rsidP="00A84316">
            <w:pPr>
              <w:spacing w:after="0" w:line="240" w:lineRule="auto"/>
              <w:jc w:val="center"/>
              <w:rPr>
                <w:sz w:val="20"/>
                <w:szCs w:val="20"/>
              </w:rPr>
            </w:pPr>
            <w:r w:rsidRPr="00A84316">
              <w:rPr>
                <w:sz w:val="20"/>
                <w:szCs w:val="20"/>
              </w:rPr>
              <w:t>81.9%</w:t>
            </w:r>
          </w:p>
        </w:tc>
        <w:tc>
          <w:tcPr>
            <w:tcW w:w="1170" w:type="dxa"/>
            <w:tcBorders>
              <w:bottom w:val="single" w:sz="4" w:space="0" w:color="auto"/>
            </w:tcBorders>
            <w:shd w:val="clear" w:color="auto" w:fill="auto"/>
            <w:vAlign w:val="center"/>
          </w:tcPr>
          <w:p w:rsidR="00A84316" w:rsidRPr="00A84316" w:rsidRDefault="00A84316" w:rsidP="00A84316">
            <w:pPr>
              <w:spacing w:after="0" w:line="240" w:lineRule="auto"/>
              <w:jc w:val="center"/>
              <w:rPr>
                <w:sz w:val="20"/>
                <w:szCs w:val="20"/>
              </w:rPr>
            </w:pPr>
            <w:r w:rsidRPr="00A84316">
              <w:rPr>
                <w:sz w:val="20"/>
                <w:szCs w:val="20"/>
              </w:rPr>
              <w:t>8.5</w:t>
            </w:r>
          </w:p>
        </w:tc>
        <w:tc>
          <w:tcPr>
            <w:tcW w:w="900" w:type="dxa"/>
            <w:tcBorders>
              <w:bottom w:val="single" w:sz="4" w:space="0" w:color="auto"/>
            </w:tcBorders>
            <w:shd w:val="clear" w:color="auto" w:fill="auto"/>
            <w:vAlign w:val="center"/>
          </w:tcPr>
          <w:p w:rsidR="00A84316" w:rsidRPr="00A84316" w:rsidRDefault="00A84316" w:rsidP="00A84316">
            <w:pPr>
              <w:spacing w:after="0" w:line="240" w:lineRule="auto"/>
              <w:jc w:val="center"/>
              <w:rPr>
                <w:sz w:val="20"/>
                <w:szCs w:val="20"/>
              </w:rPr>
            </w:pPr>
            <w:r w:rsidRPr="00A84316">
              <w:rPr>
                <w:sz w:val="20"/>
                <w:szCs w:val="20"/>
              </w:rPr>
              <w:t>11.6%</w:t>
            </w:r>
          </w:p>
        </w:tc>
        <w:tc>
          <w:tcPr>
            <w:tcW w:w="1170" w:type="dxa"/>
            <w:tcBorders>
              <w:bottom w:val="single" w:sz="4" w:space="0" w:color="auto"/>
            </w:tcBorders>
            <w:shd w:val="clear" w:color="auto" w:fill="auto"/>
            <w:vAlign w:val="center"/>
          </w:tcPr>
          <w:p w:rsidR="00A84316" w:rsidRPr="00A84316" w:rsidRDefault="00A84316" w:rsidP="00A84316">
            <w:pPr>
              <w:spacing w:after="0" w:line="240" w:lineRule="auto"/>
              <w:jc w:val="center"/>
              <w:rPr>
                <w:sz w:val="20"/>
                <w:szCs w:val="20"/>
              </w:rPr>
            </w:pPr>
            <w:r w:rsidRPr="00A84316">
              <w:rPr>
                <w:sz w:val="20"/>
                <w:szCs w:val="20"/>
              </w:rPr>
              <w:t>1.1</w:t>
            </w:r>
          </w:p>
        </w:tc>
        <w:tc>
          <w:tcPr>
            <w:tcW w:w="900" w:type="dxa"/>
            <w:tcBorders>
              <w:bottom w:val="single" w:sz="4" w:space="0" w:color="auto"/>
            </w:tcBorders>
            <w:shd w:val="clear" w:color="auto" w:fill="auto"/>
            <w:vAlign w:val="center"/>
          </w:tcPr>
          <w:p w:rsidR="00A84316" w:rsidRPr="00A84316" w:rsidRDefault="00A84316" w:rsidP="00A84316">
            <w:pPr>
              <w:spacing w:after="0" w:line="240" w:lineRule="auto"/>
              <w:jc w:val="center"/>
              <w:rPr>
                <w:sz w:val="20"/>
                <w:szCs w:val="20"/>
              </w:rPr>
            </w:pPr>
            <w:r w:rsidRPr="00A84316">
              <w:rPr>
                <w:sz w:val="20"/>
                <w:szCs w:val="20"/>
              </w:rPr>
              <w:t>1.4%</w:t>
            </w:r>
          </w:p>
        </w:tc>
        <w:tc>
          <w:tcPr>
            <w:tcW w:w="810" w:type="dxa"/>
            <w:tcBorders>
              <w:bottom w:val="single" w:sz="4" w:space="0" w:color="auto"/>
            </w:tcBorders>
            <w:shd w:val="clear" w:color="auto" w:fill="auto"/>
            <w:vAlign w:val="center"/>
          </w:tcPr>
          <w:p w:rsidR="00A84316" w:rsidRPr="00A84316" w:rsidRDefault="00A84316" w:rsidP="00A84316">
            <w:pPr>
              <w:spacing w:after="0" w:line="240" w:lineRule="auto"/>
              <w:jc w:val="center"/>
              <w:rPr>
                <w:sz w:val="20"/>
                <w:szCs w:val="20"/>
              </w:rPr>
            </w:pPr>
            <w:r w:rsidRPr="00A84316">
              <w:rPr>
                <w:sz w:val="20"/>
                <w:szCs w:val="20"/>
              </w:rPr>
              <w:t>87.5%</w:t>
            </w:r>
          </w:p>
        </w:tc>
      </w:tr>
    </w:tbl>
    <w:p w:rsidR="00A84316" w:rsidRPr="008502EB" w:rsidRDefault="00A84316" w:rsidP="00A84316">
      <w:pPr>
        <w:spacing w:after="0" w:line="240" w:lineRule="auto"/>
      </w:pPr>
    </w:p>
    <w:p w:rsidR="00DF71F0" w:rsidRDefault="00DF71F0" w:rsidP="0091151B">
      <w:pPr>
        <w:spacing w:after="0" w:line="240" w:lineRule="auto"/>
        <w:rPr>
          <w:b/>
        </w:rPr>
      </w:pPr>
    </w:p>
    <w:p w:rsidR="00DF71F0" w:rsidRDefault="00DF71F0" w:rsidP="0091151B">
      <w:pPr>
        <w:spacing w:after="0" w:line="240" w:lineRule="auto"/>
        <w:rPr>
          <w:b/>
        </w:rPr>
      </w:pPr>
    </w:p>
    <w:p w:rsidR="00DF71F0" w:rsidRDefault="00DF71F0" w:rsidP="0091151B">
      <w:pPr>
        <w:spacing w:after="0" w:line="240" w:lineRule="auto"/>
        <w:rPr>
          <w:b/>
        </w:rPr>
      </w:pPr>
    </w:p>
    <w:p w:rsidR="00DF71F0" w:rsidRDefault="00DF71F0" w:rsidP="0091151B">
      <w:pPr>
        <w:spacing w:after="0" w:line="240" w:lineRule="auto"/>
        <w:rPr>
          <w:b/>
        </w:rPr>
      </w:pPr>
    </w:p>
    <w:p w:rsidR="00DF71F0" w:rsidRDefault="00DF71F0" w:rsidP="0091151B">
      <w:pPr>
        <w:spacing w:after="0" w:line="240" w:lineRule="auto"/>
        <w:rPr>
          <w:b/>
        </w:rPr>
      </w:pPr>
    </w:p>
    <w:p w:rsidR="0091151B" w:rsidRDefault="0091151B" w:rsidP="0091151B">
      <w:pPr>
        <w:spacing w:after="0" w:line="240" w:lineRule="auto"/>
        <w:rPr>
          <w:b/>
        </w:rPr>
      </w:pPr>
      <w:r w:rsidRPr="008502EB">
        <w:rPr>
          <w:b/>
        </w:rPr>
        <w:lastRenderedPageBreak/>
        <w:t xml:space="preserve">Between 2012 and 2015, the district’s five-year cohort graduation rate improved by 6.8 percentage points for all students, and by 4.7 to 11.2 percentage points for high needs students, low income students, English language learners, </w:t>
      </w:r>
      <w:r>
        <w:rPr>
          <w:b/>
        </w:rPr>
        <w:t>and students with disabilities.</w:t>
      </w:r>
      <w:r w:rsidRPr="008502EB">
        <w:rPr>
          <w:b/>
        </w:rPr>
        <w:t xml:space="preserve"> The district did not reach the five-year cohort graduation target for all students or for any of the subgroups that make up the high needs population.</w:t>
      </w:r>
      <w:r w:rsidRPr="008502EB">
        <w:rPr>
          <w:vertAlign w:val="superscript"/>
        </w:rPr>
        <w:footnoteReference w:id="5"/>
      </w:r>
      <w:r w:rsidRPr="008502EB">
        <w:rPr>
          <w:b/>
        </w:rPr>
        <w:t xml:space="preserve"> </w:t>
      </w:r>
    </w:p>
    <w:p w:rsidR="00161A9E" w:rsidRDefault="00161A9E" w:rsidP="0091151B">
      <w:pPr>
        <w:spacing w:after="0" w:line="240" w:lineRule="auto"/>
        <w:rPr>
          <w:b/>
        </w:rPr>
      </w:pPr>
    </w:p>
    <w:tbl>
      <w:tblPr>
        <w:tblStyle w:val="TableGrid13"/>
        <w:tblW w:w="9810" w:type="dxa"/>
        <w:tblInd w:w="18" w:type="dxa"/>
        <w:tblLayout w:type="fixed"/>
        <w:tblLook w:val="04A0"/>
      </w:tblPr>
      <w:tblGrid>
        <w:gridCol w:w="990"/>
        <w:gridCol w:w="990"/>
        <w:gridCol w:w="720"/>
        <w:gridCol w:w="720"/>
        <w:gridCol w:w="720"/>
        <w:gridCol w:w="720"/>
        <w:gridCol w:w="1170"/>
        <w:gridCol w:w="900"/>
        <w:gridCol w:w="1170"/>
        <w:gridCol w:w="900"/>
        <w:gridCol w:w="810"/>
      </w:tblGrid>
      <w:tr w:rsidR="005C55C9" w:rsidRPr="008502EB" w:rsidTr="00E560FD">
        <w:tc>
          <w:tcPr>
            <w:tcW w:w="9810" w:type="dxa"/>
            <w:gridSpan w:val="11"/>
            <w:tcBorders>
              <w:top w:val="nil"/>
              <w:left w:val="nil"/>
              <w:right w:val="nil"/>
            </w:tcBorders>
            <w:shd w:val="clear" w:color="auto" w:fill="auto"/>
            <w:vAlign w:val="center"/>
          </w:tcPr>
          <w:p w:rsidR="005C55C9" w:rsidRPr="008502EB" w:rsidRDefault="005C55C9" w:rsidP="005C55C9">
            <w:pPr>
              <w:spacing w:after="0" w:line="240" w:lineRule="auto"/>
              <w:jc w:val="center"/>
              <w:rPr>
                <w:rFonts w:eastAsia="Calibri"/>
                <w:b/>
                <w:sz w:val="20"/>
                <w:szCs w:val="20"/>
              </w:rPr>
            </w:pPr>
            <w:r w:rsidRPr="008502EB">
              <w:rPr>
                <w:rFonts w:eastAsia="Calibri"/>
                <w:b/>
                <w:sz w:val="20"/>
                <w:szCs w:val="20"/>
              </w:rPr>
              <w:t xml:space="preserve">Table </w:t>
            </w:r>
            <w:r w:rsidR="005C7DC2">
              <w:rPr>
                <w:rFonts w:eastAsia="Calibri"/>
                <w:b/>
                <w:sz w:val="20"/>
                <w:szCs w:val="20"/>
              </w:rPr>
              <w:t>8</w:t>
            </w:r>
            <w:r w:rsidRPr="008502EB">
              <w:rPr>
                <w:rFonts w:eastAsia="Calibri"/>
                <w:b/>
                <w:sz w:val="20"/>
                <w:szCs w:val="20"/>
              </w:rPr>
              <w:t xml:space="preserve">: </w:t>
            </w:r>
            <w:r w:rsidRPr="008502EB">
              <w:rPr>
                <w:b/>
                <w:sz w:val="20"/>
                <w:szCs w:val="20"/>
              </w:rPr>
              <w:t>Worcester Public Schools</w:t>
            </w:r>
          </w:p>
          <w:p w:rsidR="005C55C9" w:rsidRPr="008502EB" w:rsidRDefault="005C55C9" w:rsidP="008E5E43">
            <w:pPr>
              <w:spacing w:after="0" w:line="240" w:lineRule="auto"/>
              <w:jc w:val="center"/>
              <w:rPr>
                <w:rFonts w:ascii="Calibri" w:hAnsi="Calibri"/>
                <w:b/>
                <w:sz w:val="20"/>
                <w:szCs w:val="20"/>
              </w:rPr>
            </w:pPr>
            <w:r w:rsidRPr="008502EB">
              <w:rPr>
                <w:rFonts w:eastAsia="Calibri"/>
                <w:b/>
                <w:sz w:val="20"/>
                <w:szCs w:val="20"/>
              </w:rPr>
              <w:t>Five-Year Cohort Graduation Rates 2012</w:t>
            </w:r>
            <w:r w:rsidR="008E5E43">
              <w:rPr>
                <w:rFonts w:eastAsia="Calibri"/>
                <w:b/>
                <w:sz w:val="20"/>
                <w:szCs w:val="20"/>
              </w:rPr>
              <w:t>–</w:t>
            </w:r>
            <w:r w:rsidRPr="008502EB">
              <w:rPr>
                <w:rFonts w:eastAsia="Calibri"/>
                <w:b/>
                <w:sz w:val="20"/>
                <w:szCs w:val="20"/>
              </w:rPr>
              <w:t>2015</w:t>
            </w:r>
          </w:p>
        </w:tc>
      </w:tr>
      <w:tr w:rsidR="005C55C9" w:rsidRPr="008502EB" w:rsidTr="00E560FD">
        <w:tc>
          <w:tcPr>
            <w:tcW w:w="990" w:type="dxa"/>
            <w:vMerge w:val="restart"/>
            <w:shd w:val="clear" w:color="auto" w:fill="D9D9D9" w:themeFill="background1" w:themeFillShade="D9"/>
            <w:vAlign w:val="center"/>
          </w:tcPr>
          <w:p w:rsidR="005C55C9" w:rsidRPr="008502EB" w:rsidRDefault="005C55C9" w:rsidP="005C55C9">
            <w:pPr>
              <w:spacing w:after="0" w:line="240" w:lineRule="auto"/>
              <w:rPr>
                <w:rFonts w:ascii="Calibri" w:hAnsi="Calibri"/>
                <w:b/>
                <w:sz w:val="20"/>
                <w:szCs w:val="20"/>
              </w:rPr>
            </w:pPr>
            <w:r w:rsidRPr="008502EB">
              <w:rPr>
                <w:rFonts w:ascii="Calibri" w:hAnsi="Calibri"/>
                <w:b/>
                <w:sz w:val="20"/>
                <w:szCs w:val="20"/>
              </w:rPr>
              <w:t>Group</w:t>
            </w:r>
          </w:p>
        </w:tc>
        <w:tc>
          <w:tcPr>
            <w:tcW w:w="990" w:type="dxa"/>
            <w:vMerge w:val="restart"/>
            <w:shd w:val="clear" w:color="auto" w:fill="D9D9D9" w:themeFill="background1" w:themeFillShade="D9"/>
          </w:tcPr>
          <w:p w:rsidR="005C55C9" w:rsidRPr="008502EB" w:rsidRDefault="005C55C9" w:rsidP="005C55C9">
            <w:pPr>
              <w:spacing w:after="0" w:line="240" w:lineRule="auto"/>
              <w:rPr>
                <w:rFonts w:ascii="Calibri" w:hAnsi="Calibri"/>
                <w:b/>
                <w:sz w:val="20"/>
                <w:szCs w:val="20"/>
              </w:rPr>
            </w:pPr>
            <w:r w:rsidRPr="008502EB">
              <w:rPr>
                <w:rFonts w:ascii="Calibri" w:hAnsi="Calibri"/>
                <w:b/>
                <w:sz w:val="20"/>
                <w:szCs w:val="20"/>
              </w:rPr>
              <w:t>Number Included (2015)</w:t>
            </w:r>
          </w:p>
        </w:tc>
        <w:tc>
          <w:tcPr>
            <w:tcW w:w="2880" w:type="dxa"/>
            <w:gridSpan w:val="4"/>
            <w:shd w:val="clear" w:color="auto" w:fill="D9D9D9" w:themeFill="background1" w:themeFillShade="D9"/>
          </w:tcPr>
          <w:p w:rsidR="005C55C9" w:rsidRPr="008502EB" w:rsidRDefault="005C55C9" w:rsidP="005C55C9">
            <w:pPr>
              <w:spacing w:after="0" w:line="240" w:lineRule="auto"/>
              <w:jc w:val="center"/>
              <w:rPr>
                <w:rFonts w:ascii="Calibri" w:hAnsi="Calibri"/>
                <w:b/>
                <w:sz w:val="20"/>
                <w:szCs w:val="20"/>
              </w:rPr>
            </w:pPr>
            <w:r w:rsidRPr="008502EB">
              <w:rPr>
                <w:rFonts w:ascii="Calibri" w:hAnsi="Calibri"/>
                <w:b/>
                <w:sz w:val="20"/>
                <w:szCs w:val="20"/>
              </w:rPr>
              <w:t>Cohort Year Ending</w:t>
            </w:r>
          </w:p>
        </w:tc>
        <w:tc>
          <w:tcPr>
            <w:tcW w:w="2070" w:type="dxa"/>
            <w:gridSpan w:val="2"/>
            <w:shd w:val="clear" w:color="auto" w:fill="D9D9D9" w:themeFill="background1" w:themeFillShade="D9"/>
          </w:tcPr>
          <w:p w:rsidR="005C55C9" w:rsidRPr="008502EB" w:rsidRDefault="005C55C9" w:rsidP="008E5E43">
            <w:pPr>
              <w:spacing w:after="0" w:line="240" w:lineRule="auto"/>
              <w:rPr>
                <w:rFonts w:ascii="Calibri" w:hAnsi="Calibri"/>
                <w:b/>
                <w:sz w:val="20"/>
                <w:szCs w:val="20"/>
              </w:rPr>
            </w:pPr>
            <w:r w:rsidRPr="008502EB">
              <w:rPr>
                <w:rFonts w:ascii="Calibri" w:hAnsi="Calibri"/>
                <w:b/>
                <w:sz w:val="20"/>
                <w:szCs w:val="20"/>
              </w:rPr>
              <w:t>Change 2012</w:t>
            </w:r>
            <w:r w:rsidR="008E5E43">
              <w:rPr>
                <w:rFonts w:ascii="Calibri" w:hAnsi="Calibri"/>
                <w:b/>
                <w:sz w:val="20"/>
                <w:szCs w:val="20"/>
              </w:rPr>
              <w:t>–</w:t>
            </w:r>
            <w:r w:rsidRPr="008502EB">
              <w:rPr>
                <w:rFonts w:ascii="Calibri" w:hAnsi="Calibri"/>
                <w:b/>
                <w:sz w:val="20"/>
                <w:szCs w:val="20"/>
              </w:rPr>
              <w:t>2015</w:t>
            </w:r>
          </w:p>
        </w:tc>
        <w:tc>
          <w:tcPr>
            <w:tcW w:w="2070" w:type="dxa"/>
            <w:gridSpan w:val="2"/>
            <w:shd w:val="clear" w:color="auto" w:fill="D9D9D9" w:themeFill="background1" w:themeFillShade="D9"/>
          </w:tcPr>
          <w:p w:rsidR="005C55C9" w:rsidRPr="008502EB" w:rsidRDefault="005C55C9" w:rsidP="008E5E43">
            <w:pPr>
              <w:spacing w:after="0" w:line="240" w:lineRule="auto"/>
              <w:rPr>
                <w:rFonts w:ascii="Calibri" w:hAnsi="Calibri"/>
                <w:b/>
                <w:sz w:val="20"/>
                <w:szCs w:val="20"/>
              </w:rPr>
            </w:pPr>
            <w:r w:rsidRPr="008502EB">
              <w:rPr>
                <w:rFonts w:ascii="Calibri" w:hAnsi="Calibri"/>
                <w:b/>
                <w:sz w:val="20"/>
                <w:szCs w:val="20"/>
              </w:rPr>
              <w:t>Change 2014</w:t>
            </w:r>
            <w:r w:rsidR="008E5E43">
              <w:rPr>
                <w:rFonts w:ascii="Calibri" w:hAnsi="Calibri"/>
                <w:b/>
                <w:sz w:val="20"/>
                <w:szCs w:val="20"/>
              </w:rPr>
              <w:t>–</w:t>
            </w:r>
            <w:r w:rsidRPr="008502EB">
              <w:rPr>
                <w:rFonts w:ascii="Calibri" w:hAnsi="Calibri"/>
                <w:b/>
                <w:sz w:val="20"/>
                <w:szCs w:val="20"/>
              </w:rPr>
              <w:t>2015</w:t>
            </w:r>
          </w:p>
        </w:tc>
        <w:tc>
          <w:tcPr>
            <w:tcW w:w="810" w:type="dxa"/>
            <w:vMerge w:val="restart"/>
            <w:shd w:val="clear" w:color="auto" w:fill="D9D9D9" w:themeFill="background1" w:themeFillShade="D9"/>
            <w:vAlign w:val="center"/>
          </w:tcPr>
          <w:p w:rsidR="005C55C9" w:rsidRPr="008502EB" w:rsidRDefault="005C55C9" w:rsidP="005C55C9">
            <w:pPr>
              <w:spacing w:after="0" w:line="240" w:lineRule="auto"/>
              <w:rPr>
                <w:rFonts w:ascii="Calibri" w:hAnsi="Calibri"/>
                <w:b/>
                <w:sz w:val="20"/>
                <w:szCs w:val="20"/>
              </w:rPr>
            </w:pPr>
            <w:r w:rsidRPr="008502EB">
              <w:rPr>
                <w:rFonts w:ascii="Calibri" w:hAnsi="Calibri"/>
                <w:b/>
                <w:sz w:val="20"/>
                <w:szCs w:val="20"/>
              </w:rPr>
              <w:t>State (2015)</w:t>
            </w:r>
          </w:p>
        </w:tc>
      </w:tr>
      <w:tr w:rsidR="005C55C9" w:rsidRPr="008502EB" w:rsidTr="00E560FD">
        <w:tc>
          <w:tcPr>
            <w:tcW w:w="990" w:type="dxa"/>
            <w:vMerge/>
            <w:shd w:val="clear" w:color="auto" w:fill="auto"/>
          </w:tcPr>
          <w:p w:rsidR="005C55C9" w:rsidRPr="008502EB" w:rsidRDefault="005C55C9" w:rsidP="005C55C9">
            <w:pPr>
              <w:spacing w:after="0" w:line="240" w:lineRule="auto"/>
              <w:rPr>
                <w:rFonts w:ascii="Calibri" w:hAnsi="Calibri"/>
                <w:sz w:val="20"/>
                <w:szCs w:val="20"/>
              </w:rPr>
            </w:pPr>
          </w:p>
        </w:tc>
        <w:tc>
          <w:tcPr>
            <w:tcW w:w="990" w:type="dxa"/>
            <w:vMerge/>
            <w:shd w:val="clear" w:color="auto" w:fill="D9D9D9" w:themeFill="background1" w:themeFillShade="D9"/>
            <w:vAlign w:val="center"/>
          </w:tcPr>
          <w:p w:rsidR="005C55C9" w:rsidRPr="008502EB" w:rsidRDefault="005C55C9" w:rsidP="005C55C9">
            <w:pPr>
              <w:spacing w:after="0" w:line="240" w:lineRule="auto"/>
              <w:rPr>
                <w:rFonts w:ascii="Calibri" w:hAnsi="Calibri"/>
                <w:b/>
                <w:sz w:val="20"/>
                <w:szCs w:val="20"/>
              </w:rPr>
            </w:pPr>
          </w:p>
        </w:tc>
        <w:tc>
          <w:tcPr>
            <w:tcW w:w="720" w:type="dxa"/>
            <w:shd w:val="clear" w:color="auto" w:fill="D9D9D9" w:themeFill="background1" w:themeFillShade="D9"/>
            <w:vAlign w:val="center"/>
          </w:tcPr>
          <w:p w:rsidR="005C55C9" w:rsidRPr="008502EB" w:rsidRDefault="005C55C9" w:rsidP="005C55C9">
            <w:pPr>
              <w:spacing w:after="0" w:line="240" w:lineRule="auto"/>
              <w:rPr>
                <w:rFonts w:ascii="Calibri" w:hAnsi="Calibri"/>
                <w:b/>
                <w:sz w:val="20"/>
                <w:szCs w:val="20"/>
              </w:rPr>
            </w:pPr>
            <w:r w:rsidRPr="008502EB">
              <w:rPr>
                <w:rFonts w:ascii="Calibri" w:hAnsi="Calibri"/>
                <w:b/>
                <w:sz w:val="20"/>
                <w:szCs w:val="20"/>
              </w:rPr>
              <w:t>2012</w:t>
            </w:r>
          </w:p>
        </w:tc>
        <w:tc>
          <w:tcPr>
            <w:tcW w:w="720" w:type="dxa"/>
            <w:shd w:val="clear" w:color="auto" w:fill="D9D9D9" w:themeFill="background1" w:themeFillShade="D9"/>
            <w:vAlign w:val="center"/>
          </w:tcPr>
          <w:p w:rsidR="005C55C9" w:rsidRPr="008502EB" w:rsidRDefault="005C55C9" w:rsidP="005C55C9">
            <w:pPr>
              <w:spacing w:after="0" w:line="240" w:lineRule="auto"/>
              <w:rPr>
                <w:rFonts w:ascii="Calibri" w:hAnsi="Calibri"/>
                <w:b/>
                <w:sz w:val="20"/>
                <w:szCs w:val="20"/>
              </w:rPr>
            </w:pPr>
            <w:r w:rsidRPr="008502EB">
              <w:rPr>
                <w:rFonts w:ascii="Calibri" w:hAnsi="Calibri"/>
                <w:b/>
                <w:sz w:val="20"/>
                <w:szCs w:val="20"/>
              </w:rPr>
              <w:t>2013</w:t>
            </w:r>
          </w:p>
        </w:tc>
        <w:tc>
          <w:tcPr>
            <w:tcW w:w="720" w:type="dxa"/>
            <w:shd w:val="clear" w:color="auto" w:fill="D9D9D9" w:themeFill="background1" w:themeFillShade="D9"/>
            <w:vAlign w:val="center"/>
          </w:tcPr>
          <w:p w:rsidR="005C55C9" w:rsidRPr="008502EB" w:rsidRDefault="005C55C9" w:rsidP="005C55C9">
            <w:pPr>
              <w:spacing w:after="0" w:line="240" w:lineRule="auto"/>
              <w:rPr>
                <w:rFonts w:ascii="Calibri" w:hAnsi="Calibri"/>
                <w:b/>
                <w:sz w:val="20"/>
                <w:szCs w:val="20"/>
              </w:rPr>
            </w:pPr>
            <w:r w:rsidRPr="008502EB">
              <w:rPr>
                <w:rFonts w:ascii="Calibri" w:hAnsi="Calibri"/>
                <w:b/>
                <w:sz w:val="20"/>
                <w:szCs w:val="20"/>
              </w:rPr>
              <w:t>2014</w:t>
            </w:r>
          </w:p>
        </w:tc>
        <w:tc>
          <w:tcPr>
            <w:tcW w:w="720" w:type="dxa"/>
            <w:shd w:val="clear" w:color="auto" w:fill="D9D9D9" w:themeFill="background1" w:themeFillShade="D9"/>
            <w:vAlign w:val="center"/>
          </w:tcPr>
          <w:p w:rsidR="005C55C9" w:rsidRPr="008502EB" w:rsidRDefault="005C55C9" w:rsidP="005C55C9">
            <w:pPr>
              <w:spacing w:after="0" w:line="240" w:lineRule="auto"/>
              <w:rPr>
                <w:rFonts w:ascii="Calibri" w:hAnsi="Calibri"/>
                <w:b/>
                <w:sz w:val="20"/>
                <w:szCs w:val="20"/>
              </w:rPr>
            </w:pPr>
            <w:r w:rsidRPr="008502EB">
              <w:rPr>
                <w:rFonts w:ascii="Calibri" w:hAnsi="Calibri"/>
                <w:b/>
                <w:sz w:val="20"/>
                <w:szCs w:val="20"/>
              </w:rPr>
              <w:t>2015</w:t>
            </w:r>
          </w:p>
        </w:tc>
        <w:tc>
          <w:tcPr>
            <w:tcW w:w="1170" w:type="dxa"/>
            <w:shd w:val="clear" w:color="auto" w:fill="D9D9D9" w:themeFill="background1" w:themeFillShade="D9"/>
            <w:vAlign w:val="center"/>
          </w:tcPr>
          <w:p w:rsidR="005C55C9" w:rsidRPr="008502EB" w:rsidRDefault="005C55C9" w:rsidP="005C55C9">
            <w:pPr>
              <w:spacing w:after="0" w:line="240" w:lineRule="auto"/>
              <w:jc w:val="center"/>
              <w:rPr>
                <w:rFonts w:ascii="Calibri" w:hAnsi="Calibri"/>
                <w:b/>
                <w:sz w:val="20"/>
                <w:szCs w:val="20"/>
              </w:rPr>
            </w:pPr>
            <w:r w:rsidRPr="008502EB">
              <w:rPr>
                <w:rFonts w:ascii="Calibri" w:hAnsi="Calibri"/>
                <w:b/>
                <w:sz w:val="20"/>
                <w:szCs w:val="20"/>
              </w:rPr>
              <w:t>Percentage Points</w:t>
            </w:r>
          </w:p>
        </w:tc>
        <w:tc>
          <w:tcPr>
            <w:tcW w:w="900" w:type="dxa"/>
            <w:tcBorders>
              <w:bottom w:val="single" w:sz="4" w:space="0" w:color="auto"/>
            </w:tcBorders>
            <w:shd w:val="clear" w:color="auto" w:fill="D9D9D9" w:themeFill="background1" w:themeFillShade="D9"/>
            <w:vAlign w:val="center"/>
          </w:tcPr>
          <w:p w:rsidR="005C55C9" w:rsidRPr="008502EB" w:rsidRDefault="005C55C9" w:rsidP="005C55C9">
            <w:pPr>
              <w:spacing w:after="0" w:line="240" w:lineRule="auto"/>
              <w:jc w:val="center"/>
              <w:rPr>
                <w:rFonts w:ascii="Calibri" w:hAnsi="Calibri"/>
                <w:b/>
                <w:sz w:val="20"/>
                <w:szCs w:val="20"/>
              </w:rPr>
            </w:pPr>
            <w:r w:rsidRPr="008502EB">
              <w:rPr>
                <w:rFonts w:ascii="Calibri" w:hAnsi="Calibri"/>
                <w:b/>
                <w:sz w:val="20"/>
                <w:szCs w:val="20"/>
              </w:rPr>
              <w:t>Percent Change</w:t>
            </w:r>
          </w:p>
        </w:tc>
        <w:tc>
          <w:tcPr>
            <w:tcW w:w="1170" w:type="dxa"/>
            <w:shd w:val="clear" w:color="auto" w:fill="D9D9D9" w:themeFill="background1" w:themeFillShade="D9"/>
            <w:vAlign w:val="center"/>
          </w:tcPr>
          <w:p w:rsidR="005C55C9" w:rsidRPr="008502EB" w:rsidRDefault="005C55C9" w:rsidP="005C55C9">
            <w:pPr>
              <w:spacing w:after="0" w:line="240" w:lineRule="auto"/>
              <w:jc w:val="center"/>
              <w:rPr>
                <w:rFonts w:ascii="Calibri" w:hAnsi="Calibri"/>
                <w:b/>
                <w:sz w:val="20"/>
                <w:szCs w:val="20"/>
              </w:rPr>
            </w:pPr>
            <w:r w:rsidRPr="008502EB">
              <w:rPr>
                <w:rFonts w:ascii="Calibri" w:hAnsi="Calibri"/>
                <w:b/>
                <w:sz w:val="20"/>
                <w:szCs w:val="20"/>
              </w:rPr>
              <w:t>Percentage Points</w:t>
            </w:r>
          </w:p>
        </w:tc>
        <w:tc>
          <w:tcPr>
            <w:tcW w:w="900" w:type="dxa"/>
            <w:tcBorders>
              <w:bottom w:val="single" w:sz="4" w:space="0" w:color="auto"/>
            </w:tcBorders>
            <w:shd w:val="clear" w:color="auto" w:fill="D9D9D9" w:themeFill="background1" w:themeFillShade="D9"/>
            <w:vAlign w:val="center"/>
          </w:tcPr>
          <w:p w:rsidR="005C55C9" w:rsidRPr="008502EB" w:rsidRDefault="005C55C9" w:rsidP="005C55C9">
            <w:pPr>
              <w:spacing w:after="0" w:line="240" w:lineRule="auto"/>
              <w:jc w:val="center"/>
              <w:rPr>
                <w:rFonts w:ascii="Calibri" w:hAnsi="Calibri"/>
                <w:b/>
                <w:sz w:val="20"/>
                <w:szCs w:val="20"/>
              </w:rPr>
            </w:pPr>
            <w:r w:rsidRPr="008502EB">
              <w:rPr>
                <w:rFonts w:ascii="Calibri" w:hAnsi="Calibri"/>
                <w:b/>
                <w:sz w:val="20"/>
                <w:szCs w:val="20"/>
              </w:rPr>
              <w:t>Percent Change</w:t>
            </w:r>
          </w:p>
        </w:tc>
        <w:tc>
          <w:tcPr>
            <w:tcW w:w="810" w:type="dxa"/>
            <w:vMerge/>
            <w:shd w:val="clear" w:color="auto" w:fill="auto"/>
          </w:tcPr>
          <w:p w:rsidR="005C55C9" w:rsidRPr="008502EB" w:rsidRDefault="005C55C9" w:rsidP="005C55C9">
            <w:pPr>
              <w:spacing w:after="0" w:line="240" w:lineRule="auto"/>
              <w:rPr>
                <w:rFonts w:ascii="Calibri" w:hAnsi="Calibri"/>
                <w:sz w:val="20"/>
                <w:szCs w:val="20"/>
              </w:rPr>
            </w:pPr>
          </w:p>
        </w:tc>
      </w:tr>
      <w:tr w:rsidR="005C55C9" w:rsidRPr="008502EB" w:rsidTr="00E560FD">
        <w:trPr>
          <w:trHeight w:val="488"/>
        </w:trPr>
        <w:tc>
          <w:tcPr>
            <w:tcW w:w="990" w:type="dxa"/>
            <w:shd w:val="clear" w:color="auto" w:fill="auto"/>
            <w:vAlign w:val="center"/>
          </w:tcPr>
          <w:p w:rsidR="005C55C9" w:rsidRPr="008502EB" w:rsidRDefault="005C55C9" w:rsidP="005C55C9">
            <w:pPr>
              <w:spacing w:after="0" w:line="240" w:lineRule="auto"/>
              <w:jc w:val="center"/>
              <w:rPr>
                <w:rFonts w:ascii="Calibri" w:hAnsi="Calibri"/>
                <w:sz w:val="20"/>
                <w:szCs w:val="20"/>
              </w:rPr>
            </w:pPr>
            <w:r w:rsidRPr="008502EB">
              <w:rPr>
                <w:rFonts w:ascii="Calibri" w:hAnsi="Calibri"/>
                <w:sz w:val="20"/>
                <w:szCs w:val="20"/>
              </w:rPr>
              <w:t>High needs</w:t>
            </w:r>
          </w:p>
        </w:tc>
        <w:tc>
          <w:tcPr>
            <w:tcW w:w="990" w:type="dxa"/>
            <w:shd w:val="clear" w:color="auto" w:fill="auto"/>
            <w:vAlign w:val="center"/>
          </w:tcPr>
          <w:p w:rsidR="005C55C9" w:rsidRPr="008502EB" w:rsidRDefault="005C55C9" w:rsidP="005C55C9">
            <w:pPr>
              <w:spacing w:after="0" w:line="240" w:lineRule="auto"/>
              <w:jc w:val="center"/>
              <w:rPr>
                <w:rFonts w:ascii="Calibri" w:hAnsi="Calibri"/>
                <w:sz w:val="20"/>
                <w:szCs w:val="20"/>
              </w:rPr>
            </w:pPr>
            <w:r w:rsidRPr="008502EB">
              <w:rPr>
                <w:rFonts w:ascii="Calibri" w:hAnsi="Calibri"/>
                <w:sz w:val="20"/>
                <w:szCs w:val="20"/>
              </w:rPr>
              <w:t>1,524</w:t>
            </w:r>
          </w:p>
        </w:tc>
        <w:tc>
          <w:tcPr>
            <w:tcW w:w="720" w:type="dxa"/>
            <w:shd w:val="clear" w:color="auto" w:fill="auto"/>
            <w:vAlign w:val="center"/>
          </w:tcPr>
          <w:p w:rsidR="005C55C9" w:rsidRPr="008502EB" w:rsidRDefault="005C55C9" w:rsidP="005C55C9">
            <w:pPr>
              <w:spacing w:after="0" w:line="240" w:lineRule="auto"/>
              <w:jc w:val="center"/>
              <w:rPr>
                <w:rFonts w:ascii="Calibri" w:hAnsi="Calibri"/>
                <w:sz w:val="20"/>
                <w:szCs w:val="20"/>
              </w:rPr>
            </w:pPr>
            <w:r w:rsidRPr="008502EB">
              <w:rPr>
                <w:rFonts w:ascii="Calibri" w:hAnsi="Calibri"/>
                <w:sz w:val="20"/>
                <w:szCs w:val="20"/>
              </w:rPr>
              <w:t>75.4%</w:t>
            </w:r>
          </w:p>
        </w:tc>
        <w:tc>
          <w:tcPr>
            <w:tcW w:w="720" w:type="dxa"/>
            <w:shd w:val="clear" w:color="auto" w:fill="auto"/>
            <w:vAlign w:val="center"/>
          </w:tcPr>
          <w:p w:rsidR="005C55C9" w:rsidRPr="008502EB" w:rsidRDefault="005C55C9" w:rsidP="005C55C9">
            <w:pPr>
              <w:spacing w:after="0" w:line="240" w:lineRule="auto"/>
              <w:jc w:val="center"/>
              <w:rPr>
                <w:rFonts w:ascii="Calibri" w:hAnsi="Calibri"/>
                <w:sz w:val="20"/>
                <w:szCs w:val="20"/>
              </w:rPr>
            </w:pPr>
            <w:r w:rsidRPr="008502EB">
              <w:rPr>
                <w:rFonts w:ascii="Calibri" w:hAnsi="Calibri"/>
                <w:sz w:val="20"/>
                <w:szCs w:val="20"/>
              </w:rPr>
              <w:t>76.3%</w:t>
            </w:r>
          </w:p>
        </w:tc>
        <w:tc>
          <w:tcPr>
            <w:tcW w:w="720" w:type="dxa"/>
            <w:shd w:val="clear" w:color="auto" w:fill="auto"/>
            <w:vAlign w:val="center"/>
          </w:tcPr>
          <w:p w:rsidR="005C55C9" w:rsidRPr="008502EB" w:rsidRDefault="005C55C9" w:rsidP="005C55C9">
            <w:pPr>
              <w:spacing w:after="0" w:line="240" w:lineRule="auto"/>
              <w:jc w:val="center"/>
              <w:rPr>
                <w:rFonts w:ascii="Calibri" w:hAnsi="Calibri"/>
                <w:sz w:val="20"/>
                <w:szCs w:val="20"/>
              </w:rPr>
            </w:pPr>
            <w:r w:rsidRPr="008502EB">
              <w:rPr>
                <w:rFonts w:ascii="Calibri" w:hAnsi="Calibri"/>
                <w:sz w:val="20"/>
                <w:szCs w:val="20"/>
              </w:rPr>
              <w:t>80.9%</w:t>
            </w:r>
          </w:p>
        </w:tc>
        <w:tc>
          <w:tcPr>
            <w:tcW w:w="720" w:type="dxa"/>
            <w:shd w:val="clear" w:color="auto" w:fill="auto"/>
            <w:vAlign w:val="center"/>
          </w:tcPr>
          <w:p w:rsidR="005C55C9" w:rsidRPr="008502EB" w:rsidRDefault="005C55C9" w:rsidP="005C55C9">
            <w:pPr>
              <w:spacing w:after="0" w:line="240" w:lineRule="auto"/>
              <w:jc w:val="center"/>
              <w:rPr>
                <w:rFonts w:ascii="Calibri" w:hAnsi="Calibri"/>
                <w:sz w:val="20"/>
                <w:szCs w:val="20"/>
              </w:rPr>
            </w:pPr>
            <w:r w:rsidRPr="008502EB">
              <w:rPr>
                <w:rFonts w:ascii="Calibri" w:hAnsi="Calibri"/>
                <w:sz w:val="20"/>
                <w:szCs w:val="20"/>
              </w:rPr>
              <w:t>82.5%</w:t>
            </w:r>
          </w:p>
        </w:tc>
        <w:tc>
          <w:tcPr>
            <w:tcW w:w="1170" w:type="dxa"/>
            <w:shd w:val="clear" w:color="auto" w:fill="auto"/>
            <w:vAlign w:val="center"/>
          </w:tcPr>
          <w:p w:rsidR="005C55C9" w:rsidRPr="008502EB" w:rsidRDefault="005C55C9" w:rsidP="005C55C9">
            <w:pPr>
              <w:spacing w:after="0" w:line="240" w:lineRule="auto"/>
              <w:jc w:val="center"/>
              <w:rPr>
                <w:rFonts w:ascii="Calibri" w:hAnsi="Calibri"/>
                <w:sz w:val="20"/>
                <w:szCs w:val="20"/>
              </w:rPr>
            </w:pPr>
            <w:r w:rsidRPr="008502EB">
              <w:rPr>
                <w:rFonts w:ascii="Calibri" w:hAnsi="Calibri"/>
                <w:sz w:val="20"/>
                <w:szCs w:val="20"/>
              </w:rPr>
              <w:t>7.1</w:t>
            </w:r>
          </w:p>
        </w:tc>
        <w:tc>
          <w:tcPr>
            <w:tcW w:w="900" w:type="dxa"/>
            <w:shd w:val="clear" w:color="auto" w:fill="auto"/>
            <w:vAlign w:val="center"/>
          </w:tcPr>
          <w:p w:rsidR="005C55C9" w:rsidRPr="008502EB" w:rsidRDefault="005C55C9" w:rsidP="005C55C9">
            <w:pPr>
              <w:spacing w:after="0" w:line="240" w:lineRule="auto"/>
              <w:jc w:val="center"/>
              <w:rPr>
                <w:rFonts w:ascii="Calibri" w:hAnsi="Calibri"/>
                <w:sz w:val="20"/>
                <w:szCs w:val="20"/>
              </w:rPr>
            </w:pPr>
            <w:r w:rsidRPr="008502EB">
              <w:rPr>
                <w:rFonts w:ascii="Calibri" w:hAnsi="Calibri"/>
                <w:sz w:val="20"/>
                <w:szCs w:val="20"/>
              </w:rPr>
              <w:t>9.4%</w:t>
            </w:r>
          </w:p>
        </w:tc>
        <w:tc>
          <w:tcPr>
            <w:tcW w:w="1170" w:type="dxa"/>
            <w:shd w:val="clear" w:color="auto" w:fill="auto"/>
            <w:vAlign w:val="center"/>
          </w:tcPr>
          <w:p w:rsidR="005C55C9" w:rsidRPr="008502EB" w:rsidRDefault="005C55C9" w:rsidP="005C55C9">
            <w:pPr>
              <w:spacing w:after="0" w:line="240" w:lineRule="auto"/>
              <w:jc w:val="center"/>
              <w:rPr>
                <w:rFonts w:ascii="Calibri" w:hAnsi="Calibri"/>
                <w:sz w:val="20"/>
                <w:szCs w:val="20"/>
              </w:rPr>
            </w:pPr>
            <w:r w:rsidRPr="008502EB">
              <w:rPr>
                <w:rFonts w:ascii="Calibri" w:hAnsi="Calibri"/>
                <w:sz w:val="20"/>
                <w:szCs w:val="20"/>
              </w:rPr>
              <w:t>1.6</w:t>
            </w:r>
          </w:p>
        </w:tc>
        <w:tc>
          <w:tcPr>
            <w:tcW w:w="900" w:type="dxa"/>
            <w:shd w:val="clear" w:color="auto" w:fill="auto"/>
            <w:vAlign w:val="center"/>
          </w:tcPr>
          <w:p w:rsidR="005C55C9" w:rsidRPr="008502EB" w:rsidRDefault="005C55C9" w:rsidP="005C55C9">
            <w:pPr>
              <w:spacing w:after="0" w:line="240" w:lineRule="auto"/>
              <w:jc w:val="center"/>
              <w:rPr>
                <w:rFonts w:ascii="Calibri" w:hAnsi="Calibri"/>
                <w:sz w:val="20"/>
                <w:szCs w:val="20"/>
              </w:rPr>
            </w:pPr>
            <w:r w:rsidRPr="008502EB">
              <w:rPr>
                <w:rFonts w:ascii="Calibri" w:hAnsi="Calibri"/>
                <w:sz w:val="20"/>
                <w:szCs w:val="20"/>
              </w:rPr>
              <w:t>2.0%</w:t>
            </w:r>
          </w:p>
        </w:tc>
        <w:tc>
          <w:tcPr>
            <w:tcW w:w="810" w:type="dxa"/>
            <w:shd w:val="clear" w:color="auto" w:fill="auto"/>
            <w:vAlign w:val="center"/>
          </w:tcPr>
          <w:p w:rsidR="005C55C9" w:rsidRPr="008502EB" w:rsidRDefault="005C55C9" w:rsidP="005C55C9">
            <w:pPr>
              <w:spacing w:after="0" w:line="240" w:lineRule="auto"/>
              <w:jc w:val="center"/>
              <w:rPr>
                <w:rFonts w:ascii="Calibri" w:hAnsi="Calibri"/>
                <w:sz w:val="20"/>
                <w:szCs w:val="20"/>
              </w:rPr>
            </w:pPr>
            <w:r w:rsidRPr="008502EB">
              <w:rPr>
                <w:rFonts w:ascii="Calibri" w:hAnsi="Calibri"/>
                <w:sz w:val="20"/>
                <w:szCs w:val="20"/>
              </w:rPr>
              <w:t>82.0%</w:t>
            </w:r>
          </w:p>
        </w:tc>
      </w:tr>
      <w:tr w:rsidR="005C55C9" w:rsidRPr="008502EB" w:rsidTr="00E560FD">
        <w:trPr>
          <w:trHeight w:val="488"/>
        </w:trPr>
        <w:tc>
          <w:tcPr>
            <w:tcW w:w="990" w:type="dxa"/>
            <w:shd w:val="clear" w:color="auto" w:fill="D9D9D9" w:themeFill="background1" w:themeFillShade="D9"/>
            <w:vAlign w:val="center"/>
          </w:tcPr>
          <w:p w:rsidR="005C55C9" w:rsidRPr="008502EB" w:rsidRDefault="005C55C9" w:rsidP="005C55C9">
            <w:pPr>
              <w:spacing w:after="0" w:line="240" w:lineRule="auto"/>
              <w:jc w:val="center"/>
              <w:rPr>
                <w:rFonts w:ascii="Calibri" w:hAnsi="Calibri"/>
                <w:sz w:val="20"/>
                <w:szCs w:val="20"/>
              </w:rPr>
            </w:pPr>
            <w:r w:rsidRPr="008502EB">
              <w:rPr>
                <w:rFonts w:ascii="Calibri" w:hAnsi="Calibri"/>
                <w:sz w:val="20"/>
                <w:szCs w:val="20"/>
              </w:rPr>
              <w:t>Low income</w:t>
            </w:r>
          </w:p>
        </w:tc>
        <w:tc>
          <w:tcPr>
            <w:tcW w:w="990" w:type="dxa"/>
            <w:shd w:val="clear" w:color="auto" w:fill="D9D9D9" w:themeFill="background1" w:themeFillShade="D9"/>
            <w:vAlign w:val="center"/>
          </w:tcPr>
          <w:p w:rsidR="005C55C9" w:rsidRPr="008502EB" w:rsidRDefault="005C55C9" w:rsidP="005C55C9">
            <w:pPr>
              <w:spacing w:after="0" w:line="240" w:lineRule="auto"/>
              <w:jc w:val="center"/>
              <w:rPr>
                <w:rFonts w:ascii="Calibri" w:hAnsi="Calibri"/>
                <w:sz w:val="20"/>
                <w:szCs w:val="20"/>
              </w:rPr>
            </w:pPr>
            <w:r w:rsidRPr="008502EB">
              <w:rPr>
                <w:rFonts w:ascii="Calibri" w:hAnsi="Calibri"/>
                <w:sz w:val="20"/>
                <w:szCs w:val="20"/>
              </w:rPr>
              <w:t>1,444</w:t>
            </w:r>
          </w:p>
        </w:tc>
        <w:tc>
          <w:tcPr>
            <w:tcW w:w="720" w:type="dxa"/>
            <w:shd w:val="clear" w:color="auto" w:fill="D9D9D9" w:themeFill="background1" w:themeFillShade="D9"/>
            <w:vAlign w:val="center"/>
          </w:tcPr>
          <w:p w:rsidR="005C55C9" w:rsidRPr="008502EB" w:rsidRDefault="005C55C9" w:rsidP="005C55C9">
            <w:pPr>
              <w:spacing w:after="0" w:line="240" w:lineRule="auto"/>
              <w:jc w:val="center"/>
              <w:rPr>
                <w:rFonts w:ascii="Calibri" w:hAnsi="Calibri"/>
                <w:sz w:val="20"/>
                <w:szCs w:val="20"/>
              </w:rPr>
            </w:pPr>
            <w:r w:rsidRPr="008502EB">
              <w:rPr>
                <w:rFonts w:ascii="Calibri" w:hAnsi="Calibri"/>
                <w:sz w:val="20"/>
                <w:szCs w:val="20"/>
              </w:rPr>
              <w:t>75.5%</w:t>
            </w:r>
          </w:p>
        </w:tc>
        <w:tc>
          <w:tcPr>
            <w:tcW w:w="720" w:type="dxa"/>
            <w:shd w:val="clear" w:color="auto" w:fill="D9D9D9" w:themeFill="background1" w:themeFillShade="D9"/>
            <w:vAlign w:val="center"/>
          </w:tcPr>
          <w:p w:rsidR="005C55C9" w:rsidRPr="008502EB" w:rsidRDefault="005C55C9" w:rsidP="005C55C9">
            <w:pPr>
              <w:spacing w:after="0" w:line="240" w:lineRule="auto"/>
              <w:jc w:val="center"/>
              <w:rPr>
                <w:rFonts w:ascii="Calibri" w:hAnsi="Calibri"/>
                <w:sz w:val="20"/>
                <w:szCs w:val="20"/>
              </w:rPr>
            </w:pPr>
            <w:r w:rsidRPr="008502EB">
              <w:rPr>
                <w:rFonts w:ascii="Calibri" w:hAnsi="Calibri"/>
                <w:sz w:val="20"/>
                <w:szCs w:val="20"/>
              </w:rPr>
              <w:t>76.4%</w:t>
            </w:r>
          </w:p>
        </w:tc>
        <w:tc>
          <w:tcPr>
            <w:tcW w:w="720" w:type="dxa"/>
            <w:shd w:val="clear" w:color="auto" w:fill="D9D9D9" w:themeFill="background1" w:themeFillShade="D9"/>
            <w:vAlign w:val="center"/>
          </w:tcPr>
          <w:p w:rsidR="005C55C9" w:rsidRPr="008502EB" w:rsidRDefault="005C55C9" w:rsidP="005C55C9">
            <w:pPr>
              <w:spacing w:after="0" w:line="240" w:lineRule="auto"/>
              <w:jc w:val="center"/>
              <w:rPr>
                <w:rFonts w:ascii="Calibri" w:hAnsi="Calibri"/>
                <w:sz w:val="20"/>
                <w:szCs w:val="20"/>
              </w:rPr>
            </w:pPr>
            <w:r w:rsidRPr="008502EB">
              <w:rPr>
                <w:rFonts w:ascii="Calibri" w:hAnsi="Calibri"/>
                <w:sz w:val="20"/>
                <w:szCs w:val="20"/>
              </w:rPr>
              <w:t>80.8%</w:t>
            </w:r>
          </w:p>
        </w:tc>
        <w:tc>
          <w:tcPr>
            <w:tcW w:w="720" w:type="dxa"/>
            <w:shd w:val="clear" w:color="auto" w:fill="D9D9D9" w:themeFill="background1" w:themeFillShade="D9"/>
            <w:vAlign w:val="center"/>
          </w:tcPr>
          <w:p w:rsidR="005C55C9" w:rsidRPr="008502EB" w:rsidRDefault="005C55C9" w:rsidP="005C55C9">
            <w:pPr>
              <w:spacing w:after="0" w:line="240" w:lineRule="auto"/>
              <w:jc w:val="center"/>
              <w:rPr>
                <w:rFonts w:ascii="Calibri" w:hAnsi="Calibri"/>
                <w:sz w:val="20"/>
                <w:szCs w:val="20"/>
              </w:rPr>
            </w:pPr>
            <w:r w:rsidRPr="008502EB">
              <w:rPr>
                <w:rFonts w:ascii="Calibri" w:hAnsi="Calibri"/>
                <w:sz w:val="20"/>
                <w:szCs w:val="20"/>
              </w:rPr>
              <w:t>83.0%</w:t>
            </w:r>
          </w:p>
        </w:tc>
        <w:tc>
          <w:tcPr>
            <w:tcW w:w="1170" w:type="dxa"/>
            <w:shd w:val="clear" w:color="auto" w:fill="D9D9D9" w:themeFill="background1" w:themeFillShade="D9"/>
            <w:vAlign w:val="center"/>
          </w:tcPr>
          <w:p w:rsidR="005C55C9" w:rsidRPr="008502EB" w:rsidRDefault="005C55C9" w:rsidP="005C55C9">
            <w:pPr>
              <w:spacing w:after="0" w:line="240" w:lineRule="auto"/>
              <w:jc w:val="center"/>
              <w:rPr>
                <w:rFonts w:ascii="Calibri" w:hAnsi="Calibri"/>
                <w:sz w:val="20"/>
                <w:szCs w:val="20"/>
              </w:rPr>
            </w:pPr>
            <w:r w:rsidRPr="008502EB">
              <w:rPr>
                <w:rFonts w:ascii="Calibri" w:hAnsi="Calibri"/>
                <w:sz w:val="20"/>
                <w:szCs w:val="20"/>
              </w:rPr>
              <w:t>7.5</w:t>
            </w:r>
          </w:p>
        </w:tc>
        <w:tc>
          <w:tcPr>
            <w:tcW w:w="900" w:type="dxa"/>
            <w:shd w:val="clear" w:color="auto" w:fill="D9D9D9" w:themeFill="background1" w:themeFillShade="D9"/>
            <w:vAlign w:val="center"/>
          </w:tcPr>
          <w:p w:rsidR="005C55C9" w:rsidRPr="008502EB" w:rsidRDefault="005C55C9" w:rsidP="005C55C9">
            <w:pPr>
              <w:spacing w:after="0" w:line="240" w:lineRule="auto"/>
              <w:jc w:val="center"/>
              <w:rPr>
                <w:rFonts w:ascii="Calibri" w:hAnsi="Calibri"/>
                <w:sz w:val="20"/>
                <w:szCs w:val="20"/>
              </w:rPr>
            </w:pPr>
            <w:r w:rsidRPr="008502EB">
              <w:rPr>
                <w:rFonts w:ascii="Calibri" w:hAnsi="Calibri"/>
                <w:sz w:val="20"/>
                <w:szCs w:val="20"/>
              </w:rPr>
              <w:t>9.9%</w:t>
            </w:r>
          </w:p>
        </w:tc>
        <w:tc>
          <w:tcPr>
            <w:tcW w:w="1170" w:type="dxa"/>
            <w:shd w:val="clear" w:color="auto" w:fill="D9D9D9" w:themeFill="background1" w:themeFillShade="D9"/>
            <w:vAlign w:val="center"/>
          </w:tcPr>
          <w:p w:rsidR="005C55C9" w:rsidRPr="008502EB" w:rsidRDefault="005C55C9" w:rsidP="005C55C9">
            <w:pPr>
              <w:spacing w:after="0" w:line="240" w:lineRule="auto"/>
              <w:jc w:val="center"/>
              <w:rPr>
                <w:rFonts w:ascii="Calibri" w:hAnsi="Calibri"/>
                <w:sz w:val="20"/>
                <w:szCs w:val="20"/>
              </w:rPr>
            </w:pPr>
            <w:r w:rsidRPr="008502EB">
              <w:rPr>
                <w:rFonts w:ascii="Calibri" w:hAnsi="Calibri"/>
                <w:sz w:val="20"/>
                <w:szCs w:val="20"/>
              </w:rPr>
              <w:t>2.2</w:t>
            </w:r>
          </w:p>
        </w:tc>
        <w:tc>
          <w:tcPr>
            <w:tcW w:w="900" w:type="dxa"/>
            <w:shd w:val="clear" w:color="auto" w:fill="D9D9D9" w:themeFill="background1" w:themeFillShade="D9"/>
            <w:vAlign w:val="center"/>
          </w:tcPr>
          <w:p w:rsidR="005C55C9" w:rsidRPr="008502EB" w:rsidRDefault="005C55C9" w:rsidP="005C55C9">
            <w:pPr>
              <w:spacing w:after="0" w:line="240" w:lineRule="auto"/>
              <w:jc w:val="center"/>
              <w:rPr>
                <w:rFonts w:ascii="Calibri" w:hAnsi="Calibri"/>
                <w:sz w:val="20"/>
                <w:szCs w:val="20"/>
              </w:rPr>
            </w:pPr>
            <w:r w:rsidRPr="008502EB">
              <w:rPr>
                <w:rFonts w:ascii="Calibri" w:hAnsi="Calibri"/>
                <w:sz w:val="20"/>
                <w:szCs w:val="20"/>
              </w:rPr>
              <w:t>2.7%</w:t>
            </w:r>
          </w:p>
        </w:tc>
        <w:tc>
          <w:tcPr>
            <w:tcW w:w="810" w:type="dxa"/>
            <w:shd w:val="clear" w:color="auto" w:fill="D9D9D9" w:themeFill="background1" w:themeFillShade="D9"/>
            <w:vAlign w:val="center"/>
          </w:tcPr>
          <w:p w:rsidR="005C55C9" w:rsidRPr="008502EB" w:rsidRDefault="005C55C9" w:rsidP="005C55C9">
            <w:pPr>
              <w:spacing w:after="0" w:line="240" w:lineRule="auto"/>
              <w:jc w:val="center"/>
              <w:rPr>
                <w:rFonts w:ascii="Calibri" w:hAnsi="Calibri"/>
                <w:sz w:val="20"/>
                <w:szCs w:val="20"/>
              </w:rPr>
            </w:pPr>
            <w:r w:rsidRPr="008502EB">
              <w:rPr>
                <w:rFonts w:ascii="Calibri" w:hAnsi="Calibri"/>
                <w:sz w:val="20"/>
                <w:szCs w:val="20"/>
              </w:rPr>
              <w:t>81.6%</w:t>
            </w:r>
          </w:p>
        </w:tc>
      </w:tr>
      <w:tr w:rsidR="005C55C9" w:rsidRPr="008502EB" w:rsidTr="00E560FD">
        <w:trPr>
          <w:trHeight w:val="488"/>
        </w:trPr>
        <w:tc>
          <w:tcPr>
            <w:tcW w:w="990" w:type="dxa"/>
            <w:shd w:val="clear" w:color="auto" w:fill="auto"/>
            <w:vAlign w:val="center"/>
          </w:tcPr>
          <w:p w:rsidR="005C55C9" w:rsidRPr="008502EB" w:rsidRDefault="005C55C9" w:rsidP="005C55C9">
            <w:pPr>
              <w:spacing w:after="0" w:line="240" w:lineRule="auto"/>
              <w:jc w:val="center"/>
              <w:rPr>
                <w:rFonts w:ascii="Calibri" w:hAnsi="Calibri"/>
                <w:sz w:val="20"/>
                <w:szCs w:val="20"/>
              </w:rPr>
            </w:pPr>
            <w:r w:rsidRPr="008502EB">
              <w:rPr>
                <w:rFonts w:ascii="Calibri" w:hAnsi="Calibri"/>
                <w:sz w:val="20"/>
                <w:szCs w:val="20"/>
              </w:rPr>
              <w:t>ELLs</w:t>
            </w:r>
          </w:p>
        </w:tc>
        <w:tc>
          <w:tcPr>
            <w:tcW w:w="990" w:type="dxa"/>
            <w:shd w:val="clear" w:color="auto" w:fill="auto"/>
            <w:vAlign w:val="center"/>
          </w:tcPr>
          <w:p w:rsidR="005C55C9" w:rsidRPr="008502EB" w:rsidRDefault="005C55C9" w:rsidP="005C55C9">
            <w:pPr>
              <w:spacing w:after="0" w:line="240" w:lineRule="auto"/>
              <w:jc w:val="center"/>
              <w:rPr>
                <w:rFonts w:ascii="Calibri" w:hAnsi="Calibri"/>
                <w:sz w:val="20"/>
                <w:szCs w:val="20"/>
              </w:rPr>
            </w:pPr>
            <w:r w:rsidRPr="008502EB">
              <w:rPr>
                <w:rFonts w:ascii="Calibri" w:hAnsi="Calibri"/>
                <w:sz w:val="20"/>
                <w:szCs w:val="20"/>
              </w:rPr>
              <w:t>568</w:t>
            </w:r>
          </w:p>
        </w:tc>
        <w:tc>
          <w:tcPr>
            <w:tcW w:w="720" w:type="dxa"/>
            <w:shd w:val="clear" w:color="auto" w:fill="auto"/>
            <w:vAlign w:val="center"/>
          </w:tcPr>
          <w:p w:rsidR="005C55C9" w:rsidRPr="008502EB" w:rsidRDefault="005C55C9" w:rsidP="005C55C9">
            <w:pPr>
              <w:spacing w:after="0" w:line="240" w:lineRule="auto"/>
              <w:jc w:val="center"/>
              <w:rPr>
                <w:rFonts w:ascii="Calibri" w:hAnsi="Calibri"/>
                <w:sz w:val="20"/>
                <w:szCs w:val="20"/>
              </w:rPr>
            </w:pPr>
            <w:r w:rsidRPr="008502EB">
              <w:rPr>
                <w:rFonts w:ascii="Calibri" w:hAnsi="Calibri"/>
                <w:sz w:val="20"/>
                <w:szCs w:val="20"/>
              </w:rPr>
              <w:t>69.1%</w:t>
            </w:r>
          </w:p>
        </w:tc>
        <w:tc>
          <w:tcPr>
            <w:tcW w:w="720" w:type="dxa"/>
            <w:shd w:val="clear" w:color="auto" w:fill="auto"/>
            <w:vAlign w:val="center"/>
          </w:tcPr>
          <w:p w:rsidR="005C55C9" w:rsidRPr="008502EB" w:rsidRDefault="005C55C9" w:rsidP="005C55C9">
            <w:pPr>
              <w:spacing w:after="0" w:line="240" w:lineRule="auto"/>
              <w:jc w:val="center"/>
              <w:rPr>
                <w:rFonts w:ascii="Calibri" w:hAnsi="Calibri"/>
                <w:sz w:val="20"/>
                <w:szCs w:val="20"/>
              </w:rPr>
            </w:pPr>
            <w:r w:rsidRPr="008502EB">
              <w:rPr>
                <w:rFonts w:ascii="Calibri" w:hAnsi="Calibri"/>
                <w:sz w:val="20"/>
                <w:szCs w:val="20"/>
              </w:rPr>
              <w:t>78.0%</w:t>
            </w:r>
          </w:p>
        </w:tc>
        <w:tc>
          <w:tcPr>
            <w:tcW w:w="720" w:type="dxa"/>
            <w:shd w:val="clear" w:color="auto" w:fill="auto"/>
            <w:vAlign w:val="center"/>
          </w:tcPr>
          <w:p w:rsidR="005C55C9" w:rsidRPr="008502EB" w:rsidRDefault="005C55C9" w:rsidP="005C55C9">
            <w:pPr>
              <w:spacing w:after="0" w:line="240" w:lineRule="auto"/>
              <w:jc w:val="center"/>
              <w:rPr>
                <w:rFonts w:ascii="Calibri" w:hAnsi="Calibri"/>
                <w:sz w:val="20"/>
                <w:szCs w:val="20"/>
              </w:rPr>
            </w:pPr>
            <w:r w:rsidRPr="008502EB">
              <w:rPr>
                <w:rFonts w:ascii="Calibri" w:hAnsi="Calibri"/>
                <w:sz w:val="20"/>
                <w:szCs w:val="20"/>
              </w:rPr>
              <w:t>81.2%</w:t>
            </w:r>
          </w:p>
        </w:tc>
        <w:tc>
          <w:tcPr>
            <w:tcW w:w="720" w:type="dxa"/>
            <w:shd w:val="clear" w:color="auto" w:fill="auto"/>
            <w:vAlign w:val="center"/>
          </w:tcPr>
          <w:p w:rsidR="005C55C9" w:rsidRPr="008502EB" w:rsidRDefault="005C55C9" w:rsidP="005C55C9">
            <w:pPr>
              <w:spacing w:after="0" w:line="240" w:lineRule="auto"/>
              <w:jc w:val="center"/>
              <w:rPr>
                <w:rFonts w:ascii="Calibri" w:hAnsi="Calibri"/>
                <w:sz w:val="20"/>
                <w:szCs w:val="20"/>
              </w:rPr>
            </w:pPr>
            <w:r w:rsidRPr="008502EB">
              <w:rPr>
                <w:rFonts w:ascii="Calibri" w:hAnsi="Calibri"/>
                <w:sz w:val="20"/>
                <w:szCs w:val="20"/>
              </w:rPr>
              <w:t>80.3%</w:t>
            </w:r>
          </w:p>
        </w:tc>
        <w:tc>
          <w:tcPr>
            <w:tcW w:w="1170" w:type="dxa"/>
            <w:shd w:val="clear" w:color="auto" w:fill="auto"/>
            <w:vAlign w:val="center"/>
          </w:tcPr>
          <w:p w:rsidR="005C55C9" w:rsidRPr="008502EB" w:rsidRDefault="005C55C9" w:rsidP="005C55C9">
            <w:pPr>
              <w:spacing w:after="0" w:line="240" w:lineRule="auto"/>
              <w:jc w:val="center"/>
              <w:rPr>
                <w:rFonts w:ascii="Calibri" w:hAnsi="Calibri"/>
                <w:sz w:val="20"/>
                <w:szCs w:val="20"/>
              </w:rPr>
            </w:pPr>
            <w:r w:rsidRPr="008502EB">
              <w:rPr>
                <w:rFonts w:ascii="Calibri" w:hAnsi="Calibri"/>
                <w:sz w:val="20"/>
                <w:szCs w:val="20"/>
              </w:rPr>
              <w:t>11.2</w:t>
            </w:r>
          </w:p>
        </w:tc>
        <w:tc>
          <w:tcPr>
            <w:tcW w:w="900" w:type="dxa"/>
            <w:shd w:val="clear" w:color="auto" w:fill="auto"/>
            <w:vAlign w:val="center"/>
          </w:tcPr>
          <w:p w:rsidR="005C55C9" w:rsidRPr="008502EB" w:rsidRDefault="005C55C9" w:rsidP="005C55C9">
            <w:pPr>
              <w:spacing w:after="0" w:line="240" w:lineRule="auto"/>
              <w:jc w:val="center"/>
              <w:rPr>
                <w:rFonts w:ascii="Calibri" w:hAnsi="Calibri"/>
                <w:sz w:val="20"/>
                <w:szCs w:val="20"/>
              </w:rPr>
            </w:pPr>
            <w:r w:rsidRPr="008502EB">
              <w:rPr>
                <w:rFonts w:ascii="Calibri" w:hAnsi="Calibri"/>
                <w:sz w:val="20"/>
                <w:szCs w:val="20"/>
              </w:rPr>
              <w:t>16.2%</w:t>
            </w:r>
          </w:p>
        </w:tc>
        <w:tc>
          <w:tcPr>
            <w:tcW w:w="1170" w:type="dxa"/>
            <w:shd w:val="clear" w:color="auto" w:fill="auto"/>
            <w:vAlign w:val="center"/>
          </w:tcPr>
          <w:p w:rsidR="005C55C9" w:rsidRPr="008502EB" w:rsidRDefault="005C55C9" w:rsidP="005C55C9">
            <w:pPr>
              <w:spacing w:after="0" w:line="240" w:lineRule="auto"/>
              <w:jc w:val="center"/>
              <w:rPr>
                <w:rFonts w:ascii="Calibri" w:hAnsi="Calibri"/>
                <w:sz w:val="20"/>
                <w:szCs w:val="20"/>
              </w:rPr>
            </w:pPr>
            <w:r w:rsidRPr="008502EB">
              <w:rPr>
                <w:rFonts w:ascii="Calibri" w:hAnsi="Calibri"/>
                <w:sz w:val="20"/>
                <w:szCs w:val="20"/>
              </w:rPr>
              <w:t>-0.9</w:t>
            </w:r>
          </w:p>
        </w:tc>
        <w:tc>
          <w:tcPr>
            <w:tcW w:w="900" w:type="dxa"/>
            <w:shd w:val="clear" w:color="auto" w:fill="auto"/>
            <w:vAlign w:val="center"/>
          </w:tcPr>
          <w:p w:rsidR="005C55C9" w:rsidRPr="008502EB" w:rsidRDefault="005C55C9" w:rsidP="005C55C9">
            <w:pPr>
              <w:spacing w:after="0" w:line="240" w:lineRule="auto"/>
              <w:jc w:val="center"/>
              <w:rPr>
                <w:rFonts w:ascii="Calibri" w:hAnsi="Calibri"/>
                <w:sz w:val="20"/>
                <w:szCs w:val="20"/>
              </w:rPr>
            </w:pPr>
            <w:r w:rsidRPr="008502EB">
              <w:rPr>
                <w:rFonts w:ascii="Calibri" w:hAnsi="Calibri"/>
                <w:sz w:val="20"/>
                <w:szCs w:val="20"/>
              </w:rPr>
              <w:t>-1.1%</w:t>
            </w:r>
          </w:p>
        </w:tc>
        <w:tc>
          <w:tcPr>
            <w:tcW w:w="810" w:type="dxa"/>
            <w:shd w:val="clear" w:color="auto" w:fill="auto"/>
            <w:vAlign w:val="center"/>
          </w:tcPr>
          <w:p w:rsidR="005C55C9" w:rsidRPr="008502EB" w:rsidRDefault="005C55C9" w:rsidP="005C55C9">
            <w:pPr>
              <w:spacing w:after="0" w:line="240" w:lineRule="auto"/>
              <w:jc w:val="center"/>
              <w:rPr>
                <w:rFonts w:ascii="Calibri" w:hAnsi="Calibri"/>
                <w:sz w:val="20"/>
                <w:szCs w:val="20"/>
              </w:rPr>
            </w:pPr>
            <w:r w:rsidRPr="008502EB">
              <w:rPr>
                <w:rFonts w:ascii="Calibri" w:hAnsi="Calibri"/>
                <w:sz w:val="20"/>
                <w:szCs w:val="20"/>
              </w:rPr>
              <w:t>70.2%</w:t>
            </w:r>
          </w:p>
        </w:tc>
      </w:tr>
      <w:tr w:rsidR="005C55C9" w:rsidRPr="008502EB" w:rsidTr="00E560FD">
        <w:trPr>
          <w:trHeight w:val="488"/>
        </w:trPr>
        <w:tc>
          <w:tcPr>
            <w:tcW w:w="990" w:type="dxa"/>
            <w:shd w:val="clear" w:color="auto" w:fill="D9D9D9" w:themeFill="background1" w:themeFillShade="D9"/>
            <w:vAlign w:val="center"/>
          </w:tcPr>
          <w:p w:rsidR="005C55C9" w:rsidRPr="008502EB" w:rsidRDefault="005C55C9" w:rsidP="005C55C9">
            <w:pPr>
              <w:spacing w:after="0" w:line="240" w:lineRule="auto"/>
              <w:jc w:val="center"/>
              <w:rPr>
                <w:rFonts w:ascii="Calibri" w:hAnsi="Calibri"/>
                <w:sz w:val="20"/>
                <w:szCs w:val="20"/>
              </w:rPr>
            </w:pPr>
            <w:r w:rsidRPr="008502EB">
              <w:rPr>
                <w:rFonts w:ascii="Calibri" w:hAnsi="Calibri"/>
                <w:sz w:val="20"/>
                <w:szCs w:val="20"/>
              </w:rPr>
              <w:t>SWD</w:t>
            </w:r>
          </w:p>
        </w:tc>
        <w:tc>
          <w:tcPr>
            <w:tcW w:w="990" w:type="dxa"/>
            <w:shd w:val="clear" w:color="auto" w:fill="D9D9D9" w:themeFill="background1" w:themeFillShade="D9"/>
            <w:vAlign w:val="center"/>
          </w:tcPr>
          <w:p w:rsidR="005C55C9" w:rsidRPr="008502EB" w:rsidRDefault="005C55C9" w:rsidP="005C55C9">
            <w:pPr>
              <w:spacing w:after="0" w:line="240" w:lineRule="auto"/>
              <w:jc w:val="center"/>
              <w:rPr>
                <w:rFonts w:ascii="Calibri" w:hAnsi="Calibri"/>
                <w:sz w:val="20"/>
                <w:szCs w:val="20"/>
              </w:rPr>
            </w:pPr>
            <w:r w:rsidRPr="008502EB">
              <w:rPr>
                <w:rFonts w:ascii="Calibri" w:hAnsi="Calibri"/>
                <w:sz w:val="20"/>
                <w:szCs w:val="20"/>
              </w:rPr>
              <w:t>434</w:t>
            </w:r>
          </w:p>
        </w:tc>
        <w:tc>
          <w:tcPr>
            <w:tcW w:w="720" w:type="dxa"/>
            <w:shd w:val="clear" w:color="auto" w:fill="D9D9D9" w:themeFill="background1" w:themeFillShade="D9"/>
            <w:vAlign w:val="center"/>
          </w:tcPr>
          <w:p w:rsidR="005C55C9" w:rsidRPr="008502EB" w:rsidRDefault="005C55C9" w:rsidP="005C55C9">
            <w:pPr>
              <w:spacing w:after="0" w:line="240" w:lineRule="auto"/>
              <w:jc w:val="center"/>
              <w:rPr>
                <w:rFonts w:ascii="Calibri" w:hAnsi="Calibri"/>
                <w:sz w:val="20"/>
                <w:szCs w:val="20"/>
              </w:rPr>
            </w:pPr>
            <w:r w:rsidRPr="008502EB">
              <w:rPr>
                <w:rFonts w:ascii="Calibri" w:hAnsi="Calibri"/>
                <w:sz w:val="20"/>
                <w:szCs w:val="20"/>
              </w:rPr>
              <w:t>62.6%</w:t>
            </w:r>
          </w:p>
        </w:tc>
        <w:tc>
          <w:tcPr>
            <w:tcW w:w="720" w:type="dxa"/>
            <w:shd w:val="clear" w:color="auto" w:fill="D9D9D9" w:themeFill="background1" w:themeFillShade="D9"/>
            <w:vAlign w:val="center"/>
          </w:tcPr>
          <w:p w:rsidR="005C55C9" w:rsidRPr="008502EB" w:rsidRDefault="005C55C9" w:rsidP="005C55C9">
            <w:pPr>
              <w:spacing w:after="0" w:line="240" w:lineRule="auto"/>
              <w:jc w:val="center"/>
              <w:rPr>
                <w:rFonts w:ascii="Calibri" w:hAnsi="Calibri"/>
                <w:sz w:val="20"/>
                <w:szCs w:val="20"/>
              </w:rPr>
            </w:pPr>
            <w:r w:rsidRPr="008502EB">
              <w:rPr>
                <w:rFonts w:ascii="Calibri" w:hAnsi="Calibri"/>
                <w:sz w:val="20"/>
                <w:szCs w:val="20"/>
              </w:rPr>
              <w:t>60.3%</w:t>
            </w:r>
          </w:p>
        </w:tc>
        <w:tc>
          <w:tcPr>
            <w:tcW w:w="720" w:type="dxa"/>
            <w:shd w:val="clear" w:color="auto" w:fill="D9D9D9" w:themeFill="background1" w:themeFillShade="D9"/>
            <w:vAlign w:val="center"/>
          </w:tcPr>
          <w:p w:rsidR="005C55C9" w:rsidRPr="008502EB" w:rsidRDefault="005C55C9" w:rsidP="005C55C9">
            <w:pPr>
              <w:spacing w:after="0" w:line="240" w:lineRule="auto"/>
              <w:jc w:val="center"/>
              <w:rPr>
                <w:rFonts w:ascii="Calibri" w:hAnsi="Calibri"/>
                <w:sz w:val="20"/>
                <w:szCs w:val="20"/>
              </w:rPr>
            </w:pPr>
            <w:r w:rsidRPr="008502EB">
              <w:rPr>
                <w:rFonts w:ascii="Calibri" w:hAnsi="Calibri"/>
                <w:sz w:val="20"/>
                <w:szCs w:val="20"/>
              </w:rPr>
              <w:t>67.6%</w:t>
            </w:r>
          </w:p>
        </w:tc>
        <w:tc>
          <w:tcPr>
            <w:tcW w:w="720" w:type="dxa"/>
            <w:shd w:val="clear" w:color="auto" w:fill="D9D9D9" w:themeFill="background1" w:themeFillShade="D9"/>
            <w:vAlign w:val="center"/>
          </w:tcPr>
          <w:p w:rsidR="005C55C9" w:rsidRPr="008502EB" w:rsidRDefault="005C55C9" w:rsidP="005C55C9">
            <w:pPr>
              <w:spacing w:after="0" w:line="240" w:lineRule="auto"/>
              <w:jc w:val="center"/>
              <w:rPr>
                <w:rFonts w:ascii="Calibri" w:hAnsi="Calibri"/>
                <w:sz w:val="20"/>
                <w:szCs w:val="20"/>
              </w:rPr>
            </w:pPr>
            <w:r w:rsidRPr="008502EB">
              <w:rPr>
                <w:rFonts w:ascii="Calibri" w:hAnsi="Calibri"/>
                <w:sz w:val="20"/>
                <w:szCs w:val="20"/>
              </w:rPr>
              <w:t>67.3%</w:t>
            </w:r>
          </w:p>
        </w:tc>
        <w:tc>
          <w:tcPr>
            <w:tcW w:w="1170" w:type="dxa"/>
            <w:shd w:val="clear" w:color="auto" w:fill="D9D9D9" w:themeFill="background1" w:themeFillShade="D9"/>
            <w:vAlign w:val="center"/>
          </w:tcPr>
          <w:p w:rsidR="005C55C9" w:rsidRPr="008502EB" w:rsidRDefault="005C55C9" w:rsidP="005C55C9">
            <w:pPr>
              <w:spacing w:after="0" w:line="240" w:lineRule="auto"/>
              <w:jc w:val="center"/>
              <w:rPr>
                <w:rFonts w:ascii="Calibri" w:hAnsi="Calibri"/>
                <w:sz w:val="20"/>
                <w:szCs w:val="20"/>
              </w:rPr>
            </w:pPr>
            <w:r w:rsidRPr="008502EB">
              <w:rPr>
                <w:rFonts w:ascii="Calibri" w:hAnsi="Calibri"/>
                <w:sz w:val="20"/>
                <w:szCs w:val="20"/>
              </w:rPr>
              <w:t>4.7</w:t>
            </w:r>
          </w:p>
        </w:tc>
        <w:tc>
          <w:tcPr>
            <w:tcW w:w="900" w:type="dxa"/>
            <w:shd w:val="clear" w:color="auto" w:fill="D9D9D9" w:themeFill="background1" w:themeFillShade="D9"/>
            <w:vAlign w:val="center"/>
          </w:tcPr>
          <w:p w:rsidR="005C55C9" w:rsidRPr="008502EB" w:rsidRDefault="005C55C9" w:rsidP="005C55C9">
            <w:pPr>
              <w:spacing w:after="0" w:line="240" w:lineRule="auto"/>
              <w:jc w:val="center"/>
              <w:rPr>
                <w:rFonts w:ascii="Calibri" w:hAnsi="Calibri"/>
                <w:sz w:val="20"/>
                <w:szCs w:val="20"/>
              </w:rPr>
            </w:pPr>
            <w:r w:rsidRPr="008502EB">
              <w:rPr>
                <w:rFonts w:ascii="Calibri" w:hAnsi="Calibri"/>
                <w:sz w:val="20"/>
                <w:szCs w:val="20"/>
              </w:rPr>
              <w:t>7.5%</w:t>
            </w:r>
          </w:p>
        </w:tc>
        <w:tc>
          <w:tcPr>
            <w:tcW w:w="1170" w:type="dxa"/>
            <w:shd w:val="clear" w:color="auto" w:fill="D9D9D9" w:themeFill="background1" w:themeFillShade="D9"/>
            <w:vAlign w:val="center"/>
          </w:tcPr>
          <w:p w:rsidR="005C55C9" w:rsidRPr="008502EB" w:rsidRDefault="005C55C9" w:rsidP="005C55C9">
            <w:pPr>
              <w:spacing w:after="0" w:line="240" w:lineRule="auto"/>
              <w:jc w:val="center"/>
              <w:rPr>
                <w:rFonts w:ascii="Calibri" w:hAnsi="Calibri"/>
                <w:sz w:val="20"/>
                <w:szCs w:val="20"/>
              </w:rPr>
            </w:pPr>
            <w:r w:rsidRPr="008502EB">
              <w:rPr>
                <w:rFonts w:ascii="Calibri" w:hAnsi="Calibri"/>
                <w:sz w:val="20"/>
                <w:szCs w:val="20"/>
              </w:rPr>
              <w:t>-0.3</w:t>
            </w:r>
          </w:p>
        </w:tc>
        <w:tc>
          <w:tcPr>
            <w:tcW w:w="900" w:type="dxa"/>
            <w:shd w:val="clear" w:color="auto" w:fill="D9D9D9" w:themeFill="background1" w:themeFillShade="D9"/>
            <w:vAlign w:val="center"/>
          </w:tcPr>
          <w:p w:rsidR="005C55C9" w:rsidRPr="008502EB" w:rsidRDefault="005C55C9" w:rsidP="005C55C9">
            <w:pPr>
              <w:spacing w:after="0" w:line="240" w:lineRule="auto"/>
              <w:jc w:val="center"/>
              <w:rPr>
                <w:rFonts w:ascii="Calibri" w:hAnsi="Calibri"/>
                <w:sz w:val="20"/>
                <w:szCs w:val="20"/>
              </w:rPr>
            </w:pPr>
            <w:r w:rsidRPr="008502EB">
              <w:rPr>
                <w:rFonts w:ascii="Calibri" w:hAnsi="Calibri"/>
                <w:sz w:val="20"/>
                <w:szCs w:val="20"/>
              </w:rPr>
              <w:t>-0.4%</w:t>
            </w:r>
          </w:p>
        </w:tc>
        <w:tc>
          <w:tcPr>
            <w:tcW w:w="810" w:type="dxa"/>
            <w:shd w:val="clear" w:color="auto" w:fill="D9D9D9" w:themeFill="background1" w:themeFillShade="D9"/>
            <w:vAlign w:val="center"/>
          </w:tcPr>
          <w:p w:rsidR="005C55C9" w:rsidRPr="008502EB" w:rsidRDefault="005C55C9" w:rsidP="005C55C9">
            <w:pPr>
              <w:spacing w:after="0" w:line="240" w:lineRule="auto"/>
              <w:jc w:val="center"/>
              <w:rPr>
                <w:rFonts w:ascii="Calibri" w:hAnsi="Calibri"/>
                <w:sz w:val="20"/>
                <w:szCs w:val="20"/>
              </w:rPr>
            </w:pPr>
            <w:r w:rsidRPr="008502EB">
              <w:rPr>
                <w:rFonts w:ascii="Calibri" w:hAnsi="Calibri"/>
                <w:sz w:val="20"/>
                <w:szCs w:val="20"/>
              </w:rPr>
              <w:t>74.5%</w:t>
            </w:r>
          </w:p>
        </w:tc>
      </w:tr>
      <w:tr w:rsidR="005C55C9" w:rsidRPr="008502EB" w:rsidTr="00E560FD">
        <w:trPr>
          <w:trHeight w:val="489"/>
        </w:trPr>
        <w:tc>
          <w:tcPr>
            <w:tcW w:w="990" w:type="dxa"/>
            <w:tcBorders>
              <w:bottom w:val="single" w:sz="4" w:space="0" w:color="auto"/>
            </w:tcBorders>
            <w:shd w:val="clear" w:color="auto" w:fill="auto"/>
            <w:vAlign w:val="center"/>
          </w:tcPr>
          <w:p w:rsidR="005C55C9" w:rsidRPr="008502EB" w:rsidRDefault="005C55C9" w:rsidP="005C55C9">
            <w:pPr>
              <w:spacing w:after="0" w:line="240" w:lineRule="auto"/>
              <w:jc w:val="center"/>
              <w:rPr>
                <w:rFonts w:ascii="Calibri" w:hAnsi="Calibri"/>
                <w:sz w:val="20"/>
                <w:szCs w:val="20"/>
              </w:rPr>
            </w:pPr>
            <w:r w:rsidRPr="008502EB">
              <w:rPr>
                <w:rFonts w:ascii="Calibri" w:hAnsi="Calibri"/>
                <w:sz w:val="20"/>
                <w:szCs w:val="20"/>
              </w:rPr>
              <w:t>All students</w:t>
            </w:r>
          </w:p>
        </w:tc>
        <w:tc>
          <w:tcPr>
            <w:tcW w:w="990" w:type="dxa"/>
            <w:tcBorders>
              <w:bottom w:val="single" w:sz="4" w:space="0" w:color="auto"/>
            </w:tcBorders>
            <w:shd w:val="clear" w:color="auto" w:fill="auto"/>
            <w:vAlign w:val="center"/>
          </w:tcPr>
          <w:p w:rsidR="005C55C9" w:rsidRPr="008502EB" w:rsidRDefault="005C55C9" w:rsidP="005C55C9">
            <w:pPr>
              <w:spacing w:after="0" w:line="240" w:lineRule="auto"/>
              <w:jc w:val="center"/>
              <w:rPr>
                <w:rFonts w:ascii="Calibri" w:hAnsi="Calibri"/>
                <w:sz w:val="20"/>
                <w:szCs w:val="20"/>
              </w:rPr>
            </w:pPr>
            <w:r w:rsidRPr="008502EB">
              <w:rPr>
                <w:rFonts w:ascii="Calibri" w:hAnsi="Calibri"/>
                <w:sz w:val="20"/>
                <w:szCs w:val="20"/>
              </w:rPr>
              <w:t>1,780</w:t>
            </w:r>
          </w:p>
        </w:tc>
        <w:tc>
          <w:tcPr>
            <w:tcW w:w="720" w:type="dxa"/>
            <w:tcBorders>
              <w:bottom w:val="single" w:sz="4" w:space="0" w:color="auto"/>
            </w:tcBorders>
            <w:shd w:val="clear" w:color="auto" w:fill="auto"/>
            <w:vAlign w:val="center"/>
          </w:tcPr>
          <w:p w:rsidR="005C55C9" w:rsidRPr="008502EB" w:rsidRDefault="005C55C9" w:rsidP="005C55C9">
            <w:pPr>
              <w:spacing w:after="0" w:line="240" w:lineRule="auto"/>
              <w:jc w:val="center"/>
              <w:rPr>
                <w:rFonts w:ascii="Calibri" w:hAnsi="Calibri"/>
                <w:sz w:val="20"/>
                <w:szCs w:val="20"/>
              </w:rPr>
            </w:pPr>
            <w:r w:rsidRPr="008502EB">
              <w:rPr>
                <w:rFonts w:ascii="Calibri" w:hAnsi="Calibri"/>
                <w:sz w:val="20"/>
                <w:szCs w:val="20"/>
              </w:rPr>
              <w:t>77.6%</w:t>
            </w:r>
          </w:p>
        </w:tc>
        <w:tc>
          <w:tcPr>
            <w:tcW w:w="720" w:type="dxa"/>
            <w:tcBorders>
              <w:bottom w:val="single" w:sz="4" w:space="0" w:color="auto"/>
            </w:tcBorders>
            <w:shd w:val="clear" w:color="auto" w:fill="auto"/>
            <w:vAlign w:val="center"/>
          </w:tcPr>
          <w:p w:rsidR="005C55C9" w:rsidRPr="008502EB" w:rsidRDefault="005C55C9" w:rsidP="005C55C9">
            <w:pPr>
              <w:spacing w:after="0" w:line="240" w:lineRule="auto"/>
              <w:jc w:val="center"/>
              <w:rPr>
                <w:rFonts w:ascii="Calibri" w:hAnsi="Calibri"/>
                <w:sz w:val="20"/>
                <w:szCs w:val="20"/>
              </w:rPr>
            </w:pPr>
            <w:r w:rsidRPr="008502EB">
              <w:rPr>
                <w:rFonts w:ascii="Calibri" w:hAnsi="Calibri"/>
                <w:sz w:val="20"/>
                <w:szCs w:val="20"/>
              </w:rPr>
              <w:t>78.7%</w:t>
            </w:r>
          </w:p>
        </w:tc>
        <w:tc>
          <w:tcPr>
            <w:tcW w:w="720" w:type="dxa"/>
            <w:tcBorders>
              <w:bottom w:val="single" w:sz="4" w:space="0" w:color="auto"/>
            </w:tcBorders>
            <w:shd w:val="clear" w:color="auto" w:fill="auto"/>
            <w:vAlign w:val="center"/>
          </w:tcPr>
          <w:p w:rsidR="005C55C9" w:rsidRPr="008502EB" w:rsidRDefault="005C55C9" w:rsidP="005C55C9">
            <w:pPr>
              <w:spacing w:after="0" w:line="240" w:lineRule="auto"/>
              <w:jc w:val="center"/>
              <w:rPr>
                <w:rFonts w:ascii="Calibri" w:hAnsi="Calibri"/>
                <w:sz w:val="20"/>
                <w:szCs w:val="20"/>
              </w:rPr>
            </w:pPr>
            <w:r w:rsidRPr="008502EB">
              <w:rPr>
                <w:rFonts w:ascii="Calibri" w:hAnsi="Calibri"/>
                <w:sz w:val="20"/>
                <w:szCs w:val="20"/>
              </w:rPr>
              <w:t>82.5%</w:t>
            </w:r>
          </w:p>
        </w:tc>
        <w:tc>
          <w:tcPr>
            <w:tcW w:w="720" w:type="dxa"/>
            <w:tcBorders>
              <w:bottom w:val="single" w:sz="4" w:space="0" w:color="auto"/>
            </w:tcBorders>
            <w:shd w:val="clear" w:color="auto" w:fill="auto"/>
            <w:vAlign w:val="center"/>
          </w:tcPr>
          <w:p w:rsidR="005C55C9" w:rsidRPr="008502EB" w:rsidRDefault="005C55C9" w:rsidP="005C55C9">
            <w:pPr>
              <w:spacing w:after="0" w:line="240" w:lineRule="auto"/>
              <w:jc w:val="center"/>
              <w:rPr>
                <w:rFonts w:ascii="Calibri" w:hAnsi="Calibri"/>
                <w:sz w:val="20"/>
                <w:szCs w:val="20"/>
              </w:rPr>
            </w:pPr>
            <w:r w:rsidRPr="008502EB">
              <w:rPr>
                <w:rFonts w:ascii="Calibri" w:hAnsi="Calibri"/>
                <w:sz w:val="20"/>
                <w:szCs w:val="20"/>
              </w:rPr>
              <w:t>84.4%</w:t>
            </w:r>
          </w:p>
        </w:tc>
        <w:tc>
          <w:tcPr>
            <w:tcW w:w="1170" w:type="dxa"/>
            <w:tcBorders>
              <w:bottom w:val="single" w:sz="4" w:space="0" w:color="auto"/>
            </w:tcBorders>
            <w:shd w:val="clear" w:color="auto" w:fill="auto"/>
            <w:vAlign w:val="center"/>
          </w:tcPr>
          <w:p w:rsidR="005C55C9" w:rsidRPr="008502EB" w:rsidRDefault="005C55C9" w:rsidP="005C55C9">
            <w:pPr>
              <w:spacing w:after="0" w:line="240" w:lineRule="auto"/>
              <w:jc w:val="center"/>
              <w:rPr>
                <w:rFonts w:ascii="Calibri" w:hAnsi="Calibri"/>
                <w:sz w:val="20"/>
                <w:szCs w:val="20"/>
              </w:rPr>
            </w:pPr>
            <w:r w:rsidRPr="008502EB">
              <w:rPr>
                <w:rFonts w:ascii="Calibri" w:hAnsi="Calibri"/>
                <w:sz w:val="20"/>
                <w:szCs w:val="20"/>
              </w:rPr>
              <w:t>6.8</w:t>
            </w:r>
          </w:p>
        </w:tc>
        <w:tc>
          <w:tcPr>
            <w:tcW w:w="900" w:type="dxa"/>
            <w:tcBorders>
              <w:bottom w:val="single" w:sz="4" w:space="0" w:color="auto"/>
            </w:tcBorders>
            <w:shd w:val="clear" w:color="auto" w:fill="auto"/>
            <w:vAlign w:val="center"/>
          </w:tcPr>
          <w:p w:rsidR="005C55C9" w:rsidRPr="008502EB" w:rsidRDefault="005C55C9" w:rsidP="005C55C9">
            <w:pPr>
              <w:spacing w:after="0" w:line="240" w:lineRule="auto"/>
              <w:jc w:val="center"/>
              <w:rPr>
                <w:rFonts w:ascii="Calibri" w:hAnsi="Calibri"/>
                <w:sz w:val="20"/>
                <w:szCs w:val="20"/>
              </w:rPr>
            </w:pPr>
            <w:r w:rsidRPr="008502EB">
              <w:rPr>
                <w:rFonts w:ascii="Calibri" w:hAnsi="Calibri"/>
                <w:sz w:val="20"/>
                <w:szCs w:val="20"/>
              </w:rPr>
              <w:t>8.8%</w:t>
            </w:r>
          </w:p>
        </w:tc>
        <w:tc>
          <w:tcPr>
            <w:tcW w:w="1170" w:type="dxa"/>
            <w:tcBorders>
              <w:bottom w:val="single" w:sz="4" w:space="0" w:color="auto"/>
            </w:tcBorders>
            <w:shd w:val="clear" w:color="auto" w:fill="auto"/>
            <w:vAlign w:val="center"/>
          </w:tcPr>
          <w:p w:rsidR="005C55C9" w:rsidRPr="008502EB" w:rsidRDefault="005C55C9" w:rsidP="005C55C9">
            <w:pPr>
              <w:spacing w:after="0" w:line="240" w:lineRule="auto"/>
              <w:jc w:val="center"/>
              <w:rPr>
                <w:rFonts w:ascii="Calibri" w:hAnsi="Calibri"/>
                <w:sz w:val="20"/>
                <w:szCs w:val="20"/>
              </w:rPr>
            </w:pPr>
            <w:r w:rsidRPr="008502EB">
              <w:rPr>
                <w:rFonts w:ascii="Calibri" w:hAnsi="Calibri"/>
                <w:sz w:val="20"/>
                <w:szCs w:val="20"/>
              </w:rPr>
              <w:t>1.9</w:t>
            </w:r>
          </w:p>
        </w:tc>
        <w:tc>
          <w:tcPr>
            <w:tcW w:w="900" w:type="dxa"/>
            <w:tcBorders>
              <w:bottom w:val="single" w:sz="4" w:space="0" w:color="auto"/>
            </w:tcBorders>
            <w:shd w:val="clear" w:color="auto" w:fill="auto"/>
            <w:vAlign w:val="center"/>
          </w:tcPr>
          <w:p w:rsidR="005C55C9" w:rsidRPr="008502EB" w:rsidRDefault="005C55C9" w:rsidP="005C55C9">
            <w:pPr>
              <w:spacing w:after="0" w:line="240" w:lineRule="auto"/>
              <w:jc w:val="center"/>
              <w:rPr>
                <w:rFonts w:ascii="Calibri" w:hAnsi="Calibri"/>
                <w:sz w:val="20"/>
                <w:szCs w:val="20"/>
              </w:rPr>
            </w:pPr>
            <w:r w:rsidRPr="008502EB">
              <w:rPr>
                <w:rFonts w:ascii="Calibri" w:hAnsi="Calibri"/>
                <w:sz w:val="20"/>
                <w:szCs w:val="20"/>
              </w:rPr>
              <w:t>2.3%</w:t>
            </w:r>
          </w:p>
        </w:tc>
        <w:tc>
          <w:tcPr>
            <w:tcW w:w="810" w:type="dxa"/>
            <w:tcBorders>
              <w:bottom w:val="single" w:sz="4" w:space="0" w:color="auto"/>
            </w:tcBorders>
            <w:shd w:val="clear" w:color="auto" w:fill="auto"/>
            <w:vAlign w:val="center"/>
          </w:tcPr>
          <w:p w:rsidR="005C55C9" w:rsidRPr="008502EB" w:rsidRDefault="005C55C9" w:rsidP="005C55C9">
            <w:pPr>
              <w:spacing w:after="0" w:line="240" w:lineRule="auto"/>
              <w:jc w:val="center"/>
              <w:rPr>
                <w:rFonts w:ascii="Calibri" w:hAnsi="Calibri"/>
                <w:sz w:val="20"/>
                <w:szCs w:val="20"/>
              </w:rPr>
            </w:pPr>
            <w:r w:rsidRPr="008502EB">
              <w:rPr>
                <w:rFonts w:ascii="Calibri" w:hAnsi="Calibri"/>
                <w:sz w:val="20"/>
                <w:szCs w:val="20"/>
              </w:rPr>
              <w:t>89.4%</w:t>
            </w:r>
          </w:p>
        </w:tc>
      </w:tr>
    </w:tbl>
    <w:p w:rsidR="00E434F6" w:rsidRDefault="00E434F6" w:rsidP="000E4BE0">
      <w:pPr>
        <w:spacing w:after="0" w:line="240" w:lineRule="auto"/>
        <w:rPr>
          <w:rFonts w:eastAsia="Times New Roman" w:cs="Times New Roman"/>
          <w:b/>
        </w:rPr>
      </w:pPr>
    </w:p>
    <w:p w:rsidR="001601B3" w:rsidRDefault="001601B3" w:rsidP="000E4BE0">
      <w:pPr>
        <w:spacing w:after="0" w:line="240" w:lineRule="auto"/>
        <w:rPr>
          <w:rFonts w:eastAsia="Times New Roman" w:cs="Times New Roman"/>
          <w:b/>
        </w:rPr>
      </w:pPr>
    </w:p>
    <w:p w:rsidR="000E4BE0" w:rsidRDefault="000E4BE0" w:rsidP="000E4BE0">
      <w:pPr>
        <w:spacing w:after="0" w:line="240" w:lineRule="auto"/>
        <w:rPr>
          <w:rFonts w:eastAsia="Times New Roman" w:cs="Times New Roman"/>
          <w:b/>
        </w:rPr>
      </w:pPr>
      <w:r>
        <w:rPr>
          <w:rFonts w:eastAsia="Times New Roman" w:cs="Times New Roman"/>
          <w:b/>
        </w:rPr>
        <w:t>B</w:t>
      </w:r>
      <w:r w:rsidRPr="008502EB">
        <w:rPr>
          <w:rFonts w:eastAsia="Times New Roman" w:cs="Times New Roman"/>
          <w:b/>
        </w:rPr>
        <w:t>etween 2012 and 2015</w:t>
      </w:r>
      <w:r>
        <w:rPr>
          <w:rFonts w:eastAsia="Times New Roman" w:cs="Times New Roman"/>
          <w:b/>
        </w:rPr>
        <w:t>,</w:t>
      </w:r>
      <w:r w:rsidRPr="008502EB">
        <w:rPr>
          <w:rFonts w:eastAsia="Times New Roman" w:cs="Times New Roman"/>
          <w:b/>
        </w:rPr>
        <w:t xml:space="preserve"> Worcester’s drop-out rate declined for the district as a whole and for each subgroup that make</w:t>
      </w:r>
      <w:r>
        <w:rPr>
          <w:rFonts w:eastAsia="Times New Roman" w:cs="Times New Roman"/>
          <w:b/>
        </w:rPr>
        <w:t>s up the high needs population.</w:t>
      </w:r>
      <w:r w:rsidRPr="008502EB">
        <w:rPr>
          <w:rFonts w:eastAsia="Times New Roman" w:cs="Times New Roman"/>
          <w:b/>
        </w:rPr>
        <w:t xml:space="preserve"> In 2015, the district’s drop-out rate for all students and the drop-out rate for each group that makes up the high needs population were below the state rate</w:t>
      </w:r>
      <w:r>
        <w:rPr>
          <w:rFonts w:eastAsia="Times New Roman" w:cs="Times New Roman"/>
          <w:b/>
        </w:rPr>
        <w:t>s</w:t>
      </w:r>
      <w:r w:rsidRPr="008502EB">
        <w:rPr>
          <w:rFonts w:eastAsia="Times New Roman" w:cs="Times New Roman"/>
          <w:b/>
        </w:rPr>
        <w:t xml:space="preserve">. </w:t>
      </w:r>
    </w:p>
    <w:p w:rsidR="00B81C31" w:rsidRDefault="00B81C31" w:rsidP="000E4BE0">
      <w:pPr>
        <w:spacing w:after="0" w:line="240" w:lineRule="auto"/>
        <w:rPr>
          <w:rFonts w:eastAsia="Times New Roman" w:cs="Times New Roman"/>
          <w:b/>
        </w:rPr>
      </w:pPr>
    </w:p>
    <w:tbl>
      <w:tblPr>
        <w:tblStyle w:val="TableGrid14"/>
        <w:tblW w:w="0" w:type="auto"/>
        <w:tblInd w:w="18" w:type="dxa"/>
        <w:tblBorders>
          <w:top w:val="none" w:sz="0" w:space="0" w:color="auto"/>
          <w:left w:val="none" w:sz="0" w:space="0" w:color="auto"/>
          <w:right w:val="none" w:sz="0" w:space="0" w:color="auto"/>
        </w:tblBorders>
        <w:tblLook w:val="04A0"/>
      </w:tblPr>
      <w:tblGrid>
        <w:gridCol w:w="1701"/>
        <w:gridCol w:w="1567"/>
        <w:gridCol w:w="1568"/>
        <w:gridCol w:w="1568"/>
        <w:gridCol w:w="1568"/>
        <w:gridCol w:w="1568"/>
      </w:tblGrid>
      <w:tr w:rsidR="000E4BE0" w:rsidRPr="000E4BE0" w:rsidTr="002D70FA">
        <w:tc>
          <w:tcPr>
            <w:tcW w:w="9540" w:type="dxa"/>
            <w:gridSpan w:val="6"/>
            <w:shd w:val="clear" w:color="auto" w:fill="auto"/>
          </w:tcPr>
          <w:p w:rsidR="000E4BE0" w:rsidRPr="000E4BE0" w:rsidRDefault="000E4BE0" w:rsidP="000E4BE0">
            <w:pPr>
              <w:spacing w:after="0" w:line="240" w:lineRule="auto"/>
              <w:jc w:val="center"/>
              <w:rPr>
                <w:rFonts w:eastAsia="Times New Roman" w:cs="Times New Roman"/>
                <w:b/>
                <w:sz w:val="20"/>
                <w:szCs w:val="20"/>
              </w:rPr>
            </w:pPr>
            <w:r w:rsidRPr="000E4BE0">
              <w:rPr>
                <w:rFonts w:eastAsia="Times New Roman" w:cs="Times New Roman"/>
                <w:b/>
                <w:sz w:val="20"/>
                <w:szCs w:val="20"/>
              </w:rPr>
              <w:t xml:space="preserve">Table </w:t>
            </w:r>
            <w:r w:rsidR="005C7DC2">
              <w:rPr>
                <w:rFonts w:eastAsia="Times New Roman" w:cs="Times New Roman"/>
                <w:b/>
                <w:sz w:val="20"/>
                <w:szCs w:val="20"/>
              </w:rPr>
              <w:t>9</w:t>
            </w:r>
            <w:r w:rsidRPr="000E4BE0">
              <w:rPr>
                <w:rFonts w:eastAsia="Times New Roman" w:cs="Times New Roman"/>
                <w:b/>
                <w:sz w:val="20"/>
                <w:szCs w:val="20"/>
              </w:rPr>
              <w:t xml:space="preserve">: </w:t>
            </w:r>
            <w:r w:rsidRPr="000E4BE0">
              <w:rPr>
                <w:b/>
                <w:sz w:val="20"/>
                <w:szCs w:val="20"/>
              </w:rPr>
              <w:t>Worcester Public Schools</w:t>
            </w:r>
          </w:p>
          <w:p w:rsidR="000E4BE0" w:rsidRPr="000E4BE0" w:rsidRDefault="000E4BE0" w:rsidP="000E4BE0">
            <w:pPr>
              <w:spacing w:after="0" w:line="240" w:lineRule="auto"/>
              <w:jc w:val="center"/>
              <w:rPr>
                <w:rFonts w:eastAsia="Times New Roman" w:cs="Times New Roman"/>
                <w:b/>
                <w:sz w:val="20"/>
                <w:szCs w:val="20"/>
              </w:rPr>
            </w:pPr>
            <w:r w:rsidRPr="000E4BE0">
              <w:rPr>
                <w:rFonts w:eastAsia="Times New Roman" w:cs="Times New Roman"/>
                <w:b/>
                <w:sz w:val="20"/>
                <w:szCs w:val="20"/>
              </w:rPr>
              <w:t>Drop-out Rates by Subgroup 2012–2015</w:t>
            </w:r>
            <w:r w:rsidRPr="000E4BE0">
              <w:rPr>
                <w:rFonts w:eastAsia="Times New Roman" w:cs="Times New Roman"/>
                <w:sz w:val="20"/>
                <w:vertAlign w:val="superscript"/>
              </w:rPr>
              <w:footnoteReference w:id="6"/>
            </w:r>
          </w:p>
        </w:tc>
      </w:tr>
      <w:tr w:rsidR="000E4BE0" w:rsidRPr="000E4BE0" w:rsidTr="002D70FA">
        <w:tc>
          <w:tcPr>
            <w:tcW w:w="1701" w:type="dxa"/>
            <w:tcBorders>
              <w:top w:val="single" w:sz="4" w:space="0" w:color="auto"/>
              <w:left w:val="single" w:sz="4" w:space="0" w:color="auto"/>
            </w:tcBorders>
            <w:shd w:val="clear" w:color="auto" w:fill="BFBFBF" w:themeFill="background1" w:themeFillShade="BF"/>
          </w:tcPr>
          <w:p w:rsidR="000E4BE0" w:rsidRPr="000E4BE0" w:rsidRDefault="000E4BE0" w:rsidP="000E4BE0">
            <w:pPr>
              <w:spacing w:after="0" w:line="240" w:lineRule="auto"/>
              <w:rPr>
                <w:rFonts w:eastAsia="Times New Roman" w:cs="Times New Roman"/>
                <w:sz w:val="20"/>
                <w:szCs w:val="20"/>
              </w:rPr>
            </w:pPr>
          </w:p>
        </w:tc>
        <w:tc>
          <w:tcPr>
            <w:tcW w:w="1567" w:type="dxa"/>
            <w:shd w:val="clear" w:color="auto" w:fill="BFBFBF" w:themeFill="background1" w:themeFillShade="BF"/>
          </w:tcPr>
          <w:p w:rsidR="000E4BE0" w:rsidRPr="000E4BE0" w:rsidRDefault="000E4BE0" w:rsidP="000E4BE0">
            <w:pPr>
              <w:spacing w:after="0" w:line="240" w:lineRule="auto"/>
              <w:jc w:val="center"/>
              <w:rPr>
                <w:rFonts w:eastAsia="Times New Roman" w:cs="Times New Roman"/>
                <w:b/>
                <w:sz w:val="20"/>
                <w:szCs w:val="20"/>
              </w:rPr>
            </w:pPr>
            <w:r w:rsidRPr="000E4BE0">
              <w:rPr>
                <w:rFonts w:eastAsia="Times New Roman" w:cs="Times New Roman"/>
                <w:b/>
                <w:sz w:val="20"/>
                <w:szCs w:val="20"/>
              </w:rPr>
              <w:t>2012</w:t>
            </w:r>
          </w:p>
        </w:tc>
        <w:tc>
          <w:tcPr>
            <w:tcW w:w="1568" w:type="dxa"/>
            <w:shd w:val="clear" w:color="auto" w:fill="BFBFBF" w:themeFill="background1" w:themeFillShade="BF"/>
          </w:tcPr>
          <w:p w:rsidR="000E4BE0" w:rsidRPr="000E4BE0" w:rsidRDefault="000E4BE0" w:rsidP="000E4BE0">
            <w:pPr>
              <w:spacing w:after="0" w:line="240" w:lineRule="auto"/>
              <w:jc w:val="center"/>
              <w:rPr>
                <w:rFonts w:eastAsia="Times New Roman" w:cs="Times New Roman"/>
                <w:b/>
                <w:sz w:val="20"/>
                <w:szCs w:val="20"/>
              </w:rPr>
            </w:pPr>
            <w:r w:rsidRPr="000E4BE0">
              <w:rPr>
                <w:rFonts w:eastAsia="Times New Roman" w:cs="Times New Roman"/>
                <w:b/>
                <w:sz w:val="20"/>
                <w:szCs w:val="20"/>
              </w:rPr>
              <w:t>2013</w:t>
            </w:r>
          </w:p>
        </w:tc>
        <w:tc>
          <w:tcPr>
            <w:tcW w:w="1568" w:type="dxa"/>
            <w:shd w:val="clear" w:color="auto" w:fill="BFBFBF" w:themeFill="background1" w:themeFillShade="BF"/>
          </w:tcPr>
          <w:p w:rsidR="000E4BE0" w:rsidRPr="000E4BE0" w:rsidRDefault="000E4BE0" w:rsidP="000E4BE0">
            <w:pPr>
              <w:spacing w:after="0" w:line="240" w:lineRule="auto"/>
              <w:jc w:val="center"/>
              <w:rPr>
                <w:rFonts w:eastAsia="Times New Roman" w:cs="Times New Roman"/>
                <w:b/>
                <w:sz w:val="20"/>
                <w:szCs w:val="20"/>
              </w:rPr>
            </w:pPr>
            <w:r w:rsidRPr="000E4BE0">
              <w:rPr>
                <w:rFonts w:eastAsia="Times New Roman" w:cs="Times New Roman"/>
                <w:b/>
                <w:sz w:val="20"/>
                <w:szCs w:val="20"/>
              </w:rPr>
              <w:t>2014</w:t>
            </w:r>
          </w:p>
        </w:tc>
        <w:tc>
          <w:tcPr>
            <w:tcW w:w="1568" w:type="dxa"/>
            <w:shd w:val="clear" w:color="auto" w:fill="BFBFBF" w:themeFill="background1" w:themeFillShade="BF"/>
          </w:tcPr>
          <w:p w:rsidR="000E4BE0" w:rsidRPr="000E4BE0" w:rsidRDefault="000E4BE0" w:rsidP="000E4BE0">
            <w:pPr>
              <w:spacing w:after="0" w:line="240" w:lineRule="auto"/>
              <w:jc w:val="center"/>
              <w:rPr>
                <w:rFonts w:eastAsia="Times New Roman" w:cs="Times New Roman"/>
                <w:b/>
                <w:sz w:val="20"/>
                <w:szCs w:val="20"/>
              </w:rPr>
            </w:pPr>
            <w:r w:rsidRPr="000E4BE0">
              <w:rPr>
                <w:rFonts w:eastAsia="Times New Roman" w:cs="Times New Roman"/>
                <w:b/>
                <w:sz w:val="20"/>
                <w:szCs w:val="20"/>
              </w:rPr>
              <w:t>2015</w:t>
            </w:r>
          </w:p>
        </w:tc>
        <w:tc>
          <w:tcPr>
            <w:tcW w:w="1568" w:type="dxa"/>
            <w:tcBorders>
              <w:top w:val="single" w:sz="4" w:space="0" w:color="auto"/>
              <w:right w:val="single" w:sz="4" w:space="0" w:color="auto"/>
            </w:tcBorders>
            <w:shd w:val="clear" w:color="auto" w:fill="BFBFBF" w:themeFill="background1" w:themeFillShade="BF"/>
          </w:tcPr>
          <w:p w:rsidR="000E4BE0" w:rsidRPr="000E4BE0" w:rsidRDefault="000E4BE0" w:rsidP="000E4BE0">
            <w:pPr>
              <w:spacing w:after="0" w:line="240" w:lineRule="auto"/>
              <w:jc w:val="center"/>
              <w:rPr>
                <w:rFonts w:eastAsia="Times New Roman" w:cs="Times New Roman"/>
                <w:b/>
                <w:sz w:val="20"/>
                <w:szCs w:val="20"/>
              </w:rPr>
            </w:pPr>
            <w:r w:rsidRPr="000E4BE0">
              <w:rPr>
                <w:rFonts w:eastAsia="Times New Roman" w:cs="Times New Roman"/>
                <w:b/>
                <w:sz w:val="20"/>
                <w:szCs w:val="20"/>
              </w:rPr>
              <w:t xml:space="preserve">State </w:t>
            </w:r>
            <w:r w:rsidR="00B81C31">
              <w:rPr>
                <w:rFonts w:eastAsia="Times New Roman" w:cs="Times New Roman"/>
                <w:b/>
                <w:sz w:val="20"/>
                <w:szCs w:val="20"/>
              </w:rPr>
              <w:t>(</w:t>
            </w:r>
            <w:r w:rsidRPr="000E4BE0">
              <w:rPr>
                <w:rFonts w:eastAsia="Times New Roman" w:cs="Times New Roman"/>
                <w:b/>
                <w:sz w:val="20"/>
                <w:szCs w:val="20"/>
              </w:rPr>
              <w:t>2015</w:t>
            </w:r>
            <w:r w:rsidR="00B81C31">
              <w:rPr>
                <w:rFonts w:eastAsia="Times New Roman" w:cs="Times New Roman"/>
                <w:b/>
                <w:sz w:val="20"/>
                <w:szCs w:val="20"/>
              </w:rPr>
              <w:t>)</w:t>
            </w:r>
          </w:p>
        </w:tc>
      </w:tr>
      <w:tr w:rsidR="000E4BE0" w:rsidRPr="000E4BE0" w:rsidTr="002D70FA">
        <w:tc>
          <w:tcPr>
            <w:tcW w:w="1701" w:type="dxa"/>
            <w:tcBorders>
              <w:top w:val="single" w:sz="4" w:space="0" w:color="auto"/>
              <w:left w:val="single" w:sz="4" w:space="0" w:color="auto"/>
            </w:tcBorders>
            <w:vAlign w:val="center"/>
          </w:tcPr>
          <w:p w:rsidR="000E4BE0" w:rsidRPr="000E4BE0" w:rsidRDefault="000E4BE0" w:rsidP="000E4BE0">
            <w:pPr>
              <w:spacing w:after="0" w:line="240" w:lineRule="auto"/>
              <w:jc w:val="center"/>
              <w:rPr>
                <w:rFonts w:eastAsia="Times New Roman" w:cs="Times New Roman"/>
                <w:sz w:val="20"/>
                <w:szCs w:val="20"/>
              </w:rPr>
            </w:pPr>
            <w:r w:rsidRPr="000E4BE0">
              <w:rPr>
                <w:rFonts w:eastAsia="Times New Roman" w:cs="Times New Roman"/>
                <w:sz w:val="20"/>
                <w:szCs w:val="20"/>
              </w:rPr>
              <w:t>High Needs</w:t>
            </w:r>
          </w:p>
        </w:tc>
        <w:tc>
          <w:tcPr>
            <w:tcW w:w="1567" w:type="dxa"/>
            <w:vAlign w:val="bottom"/>
          </w:tcPr>
          <w:p w:rsidR="000E4BE0" w:rsidRPr="000E4BE0" w:rsidRDefault="000E4BE0" w:rsidP="000E4BE0">
            <w:pPr>
              <w:spacing w:after="0" w:line="240" w:lineRule="auto"/>
              <w:jc w:val="center"/>
              <w:rPr>
                <w:rFonts w:ascii="Calibri" w:hAnsi="Calibri"/>
                <w:sz w:val="20"/>
                <w:szCs w:val="20"/>
              </w:rPr>
            </w:pPr>
            <w:r w:rsidRPr="000E4BE0">
              <w:rPr>
                <w:rFonts w:ascii="Calibri" w:hAnsi="Calibri"/>
                <w:sz w:val="20"/>
                <w:szCs w:val="20"/>
              </w:rPr>
              <w:t>4.5%</w:t>
            </w:r>
          </w:p>
        </w:tc>
        <w:tc>
          <w:tcPr>
            <w:tcW w:w="1568" w:type="dxa"/>
            <w:vAlign w:val="bottom"/>
          </w:tcPr>
          <w:p w:rsidR="000E4BE0" w:rsidRPr="000E4BE0" w:rsidRDefault="000E4BE0" w:rsidP="000E4BE0">
            <w:pPr>
              <w:spacing w:after="0" w:line="240" w:lineRule="auto"/>
              <w:jc w:val="center"/>
              <w:rPr>
                <w:rFonts w:ascii="Calibri" w:hAnsi="Calibri"/>
                <w:sz w:val="20"/>
                <w:szCs w:val="20"/>
              </w:rPr>
            </w:pPr>
            <w:r w:rsidRPr="000E4BE0">
              <w:rPr>
                <w:rFonts w:ascii="Calibri" w:hAnsi="Calibri"/>
                <w:sz w:val="20"/>
                <w:szCs w:val="20"/>
              </w:rPr>
              <w:t>3.4%</w:t>
            </w:r>
          </w:p>
        </w:tc>
        <w:tc>
          <w:tcPr>
            <w:tcW w:w="1568" w:type="dxa"/>
            <w:vAlign w:val="bottom"/>
          </w:tcPr>
          <w:p w:rsidR="000E4BE0" w:rsidRPr="000E4BE0" w:rsidRDefault="000E4BE0" w:rsidP="000E4BE0">
            <w:pPr>
              <w:spacing w:after="0" w:line="240" w:lineRule="auto"/>
              <w:jc w:val="center"/>
              <w:rPr>
                <w:rFonts w:ascii="Calibri" w:hAnsi="Calibri"/>
                <w:sz w:val="20"/>
                <w:szCs w:val="20"/>
              </w:rPr>
            </w:pPr>
            <w:r w:rsidRPr="000E4BE0">
              <w:rPr>
                <w:rFonts w:ascii="Calibri" w:hAnsi="Calibri"/>
                <w:sz w:val="20"/>
                <w:szCs w:val="20"/>
              </w:rPr>
              <w:t>2.6%</w:t>
            </w:r>
          </w:p>
        </w:tc>
        <w:tc>
          <w:tcPr>
            <w:tcW w:w="1568" w:type="dxa"/>
            <w:vAlign w:val="bottom"/>
          </w:tcPr>
          <w:p w:rsidR="000E4BE0" w:rsidRPr="000E4BE0" w:rsidRDefault="000E4BE0" w:rsidP="000E4BE0">
            <w:pPr>
              <w:spacing w:after="0" w:line="240" w:lineRule="auto"/>
              <w:jc w:val="center"/>
              <w:rPr>
                <w:rFonts w:ascii="Calibri" w:hAnsi="Calibri"/>
                <w:sz w:val="20"/>
                <w:szCs w:val="20"/>
              </w:rPr>
            </w:pPr>
            <w:r w:rsidRPr="000E4BE0">
              <w:rPr>
                <w:rFonts w:ascii="Calibri" w:hAnsi="Calibri"/>
                <w:sz w:val="20"/>
                <w:szCs w:val="20"/>
              </w:rPr>
              <w:t>1.8%</w:t>
            </w:r>
          </w:p>
        </w:tc>
        <w:tc>
          <w:tcPr>
            <w:tcW w:w="1568" w:type="dxa"/>
            <w:tcBorders>
              <w:top w:val="single" w:sz="4" w:space="0" w:color="auto"/>
              <w:right w:val="single" w:sz="4" w:space="0" w:color="auto"/>
            </w:tcBorders>
            <w:vAlign w:val="bottom"/>
          </w:tcPr>
          <w:p w:rsidR="000E4BE0" w:rsidRPr="000E4BE0" w:rsidRDefault="000E4BE0" w:rsidP="000E4BE0">
            <w:pPr>
              <w:spacing w:after="0" w:line="240" w:lineRule="auto"/>
              <w:jc w:val="center"/>
              <w:rPr>
                <w:rFonts w:ascii="Calibri" w:hAnsi="Calibri"/>
                <w:sz w:val="20"/>
                <w:szCs w:val="20"/>
              </w:rPr>
            </w:pPr>
            <w:r w:rsidRPr="000E4BE0">
              <w:rPr>
                <w:rFonts w:ascii="Calibri" w:hAnsi="Calibri"/>
                <w:sz w:val="20"/>
                <w:szCs w:val="20"/>
              </w:rPr>
              <w:t>3.4%</w:t>
            </w:r>
          </w:p>
        </w:tc>
      </w:tr>
      <w:tr w:rsidR="000E4BE0" w:rsidRPr="000E4BE0" w:rsidTr="002D70FA">
        <w:tc>
          <w:tcPr>
            <w:tcW w:w="1701" w:type="dxa"/>
            <w:tcBorders>
              <w:top w:val="single" w:sz="4" w:space="0" w:color="auto"/>
              <w:left w:val="single" w:sz="4" w:space="0" w:color="auto"/>
            </w:tcBorders>
            <w:shd w:val="clear" w:color="auto" w:fill="BFBFBF" w:themeFill="background1" w:themeFillShade="BF"/>
            <w:vAlign w:val="center"/>
          </w:tcPr>
          <w:p w:rsidR="000E4BE0" w:rsidRPr="000E4BE0" w:rsidRDefault="000E4BE0" w:rsidP="000E4BE0">
            <w:pPr>
              <w:spacing w:after="0" w:line="240" w:lineRule="auto"/>
              <w:jc w:val="center"/>
              <w:rPr>
                <w:rFonts w:eastAsia="Times New Roman" w:cs="Times New Roman"/>
                <w:sz w:val="20"/>
                <w:szCs w:val="20"/>
              </w:rPr>
            </w:pPr>
            <w:r w:rsidRPr="000E4BE0">
              <w:rPr>
                <w:rFonts w:eastAsia="Times New Roman" w:cs="Times New Roman"/>
                <w:sz w:val="20"/>
                <w:szCs w:val="20"/>
              </w:rPr>
              <w:t>Econ. Disad.</w:t>
            </w:r>
            <w:r w:rsidRPr="000E4BE0">
              <w:rPr>
                <w:rFonts w:eastAsia="Times New Roman" w:cs="Times New Roman"/>
                <w:sz w:val="20"/>
                <w:vertAlign w:val="superscript"/>
              </w:rPr>
              <w:footnoteReference w:id="7"/>
            </w:r>
          </w:p>
        </w:tc>
        <w:tc>
          <w:tcPr>
            <w:tcW w:w="1567" w:type="dxa"/>
            <w:shd w:val="clear" w:color="auto" w:fill="BFBFBF" w:themeFill="background1" w:themeFillShade="BF"/>
            <w:vAlign w:val="bottom"/>
          </w:tcPr>
          <w:p w:rsidR="000E4BE0" w:rsidRPr="000E4BE0" w:rsidRDefault="000E4BE0" w:rsidP="000E4BE0">
            <w:pPr>
              <w:spacing w:after="0" w:line="240" w:lineRule="auto"/>
              <w:jc w:val="center"/>
              <w:rPr>
                <w:rFonts w:ascii="Calibri" w:hAnsi="Calibri"/>
                <w:sz w:val="20"/>
                <w:szCs w:val="20"/>
              </w:rPr>
            </w:pPr>
            <w:r w:rsidRPr="000E4BE0">
              <w:rPr>
                <w:rFonts w:ascii="Calibri" w:hAnsi="Calibri"/>
                <w:sz w:val="20"/>
                <w:szCs w:val="20"/>
              </w:rPr>
              <w:t>4.5%</w:t>
            </w:r>
          </w:p>
        </w:tc>
        <w:tc>
          <w:tcPr>
            <w:tcW w:w="1568" w:type="dxa"/>
            <w:shd w:val="clear" w:color="auto" w:fill="BFBFBF" w:themeFill="background1" w:themeFillShade="BF"/>
            <w:vAlign w:val="bottom"/>
          </w:tcPr>
          <w:p w:rsidR="000E4BE0" w:rsidRPr="000E4BE0" w:rsidRDefault="000E4BE0" w:rsidP="000E4BE0">
            <w:pPr>
              <w:spacing w:after="0" w:line="240" w:lineRule="auto"/>
              <w:jc w:val="center"/>
              <w:rPr>
                <w:rFonts w:ascii="Calibri" w:hAnsi="Calibri"/>
                <w:sz w:val="20"/>
                <w:szCs w:val="20"/>
              </w:rPr>
            </w:pPr>
            <w:r w:rsidRPr="000E4BE0">
              <w:rPr>
                <w:rFonts w:ascii="Calibri" w:hAnsi="Calibri"/>
                <w:sz w:val="20"/>
                <w:szCs w:val="20"/>
              </w:rPr>
              <w:t>3.3%</w:t>
            </w:r>
          </w:p>
        </w:tc>
        <w:tc>
          <w:tcPr>
            <w:tcW w:w="1568" w:type="dxa"/>
            <w:shd w:val="clear" w:color="auto" w:fill="BFBFBF" w:themeFill="background1" w:themeFillShade="BF"/>
            <w:vAlign w:val="bottom"/>
          </w:tcPr>
          <w:p w:rsidR="000E4BE0" w:rsidRPr="000E4BE0" w:rsidRDefault="000E4BE0" w:rsidP="000E4BE0">
            <w:pPr>
              <w:spacing w:after="0" w:line="240" w:lineRule="auto"/>
              <w:jc w:val="center"/>
              <w:rPr>
                <w:rFonts w:ascii="Calibri" w:hAnsi="Calibri"/>
                <w:sz w:val="20"/>
                <w:szCs w:val="20"/>
              </w:rPr>
            </w:pPr>
            <w:r w:rsidRPr="000E4BE0">
              <w:rPr>
                <w:rFonts w:ascii="Calibri" w:hAnsi="Calibri"/>
                <w:sz w:val="20"/>
                <w:szCs w:val="20"/>
              </w:rPr>
              <w:t>2.5%</w:t>
            </w:r>
          </w:p>
        </w:tc>
        <w:tc>
          <w:tcPr>
            <w:tcW w:w="1568" w:type="dxa"/>
            <w:shd w:val="clear" w:color="auto" w:fill="BFBFBF" w:themeFill="background1" w:themeFillShade="BF"/>
            <w:vAlign w:val="bottom"/>
          </w:tcPr>
          <w:p w:rsidR="000E4BE0" w:rsidRPr="000E4BE0" w:rsidRDefault="000E4BE0" w:rsidP="000E4BE0">
            <w:pPr>
              <w:spacing w:after="0" w:line="240" w:lineRule="auto"/>
              <w:jc w:val="center"/>
              <w:rPr>
                <w:rFonts w:ascii="Calibri" w:hAnsi="Calibri"/>
                <w:sz w:val="20"/>
                <w:szCs w:val="20"/>
              </w:rPr>
            </w:pPr>
            <w:r w:rsidRPr="000E4BE0">
              <w:rPr>
                <w:rFonts w:ascii="Calibri" w:hAnsi="Calibri"/>
                <w:sz w:val="20"/>
                <w:szCs w:val="20"/>
              </w:rPr>
              <w:t>1.8%</w:t>
            </w:r>
          </w:p>
        </w:tc>
        <w:tc>
          <w:tcPr>
            <w:tcW w:w="1568" w:type="dxa"/>
            <w:tcBorders>
              <w:top w:val="single" w:sz="4" w:space="0" w:color="auto"/>
              <w:right w:val="single" w:sz="4" w:space="0" w:color="auto"/>
            </w:tcBorders>
            <w:shd w:val="clear" w:color="auto" w:fill="BFBFBF" w:themeFill="background1" w:themeFillShade="BF"/>
            <w:vAlign w:val="bottom"/>
          </w:tcPr>
          <w:p w:rsidR="000E4BE0" w:rsidRPr="000E4BE0" w:rsidRDefault="000E4BE0" w:rsidP="000E4BE0">
            <w:pPr>
              <w:spacing w:after="0" w:line="240" w:lineRule="auto"/>
              <w:jc w:val="center"/>
              <w:rPr>
                <w:rFonts w:ascii="Calibri" w:hAnsi="Calibri"/>
                <w:sz w:val="20"/>
                <w:szCs w:val="20"/>
              </w:rPr>
            </w:pPr>
            <w:r w:rsidRPr="000E4BE0">
              <w:rPr>
                <w:rFonts w:ascii="Calibri" w:hAnsi="Calibri"/>
                <w:sz w:val="20"/>
                <w:szCs w:val="20"/>
              </w:rPr>
              <w:t>3.3%</w:t>
            </w:r>
          </w:p>
        </w:tc>
      </w:tr>
      <w:tr w:rsidR="000E4BE0" w:rsidRPr="000E4BE0" w:rsidTr="002D70FA">
        <w:tc>
          <w:tcPr>
            <w:tcW w:w="1701" w:type="dxa"/>
            <w:tcBorders>
              <w:top w:val="single" w:sz="4" w:space="0" w:color="auto"/>
              <w:left w:val="single" w:sz="4" w:space="0" w:color="auto"/>
            </w:tcBorders>
            <w:shd w:val="clear" w:color="auto" w:fill="auto"/>
            <w:vAlign w:val="center"/>
          </w:tcPr>
          <w:p w:rsidR="000E4BE0" w:rsidRPr="000E4BE0" w:rsidRDefault="000E4BE0" w:rsidP="000E4BE0">
            <w:pPr>
              <w:spacing w:after="0" w:line="240" w:lineRule="auto"/>
              <w:jc w:val="center"/>
              <w:rPr>
                <w:rFonts w:eastAsia="Times New Roman" w:cs="Times New Roman"/>
                <w:sz w:val="20"/>
                <w:szCs w:val="20"/>
              </w:rPr>
            </w:pPr>
            <w:r w:rsidRPr="000E4BE0">
              <w:rPr>
                <w:rFonts w:eastAsia="Times New Roman" w:cs="Times New Roman"/>
                <w:sz w:val="20"/>
                <w:szCs w:val="20"/>
              </w:rPr>
              <w:t>SWD</w:t>
            </w:r>
          </w:p>
        </w:tc>
        <w:tc>
          <w:tcPr>
            <w:tcW w:w="1567" w:type="dxa"/>
            <w:shd w:val="clear" w:color="auto" w:fill="auto"/>
            <w:vAlign w:val="bottom"/>
          </w:tcPr>
          <w:p w:rsidR="000E4BE0" w:rsidRPr="000E4BE0" w:rsidRDefault="000E4BE0" w:rsidP="000E4BE0">
            <w:pPr>
              <w:spacing w:after="0" w:line="240" w:lineRule="auto"/>
              <w:jc w:val="center"/>
              <w:rPr>
                <w:rFonts w:ascii="Calibri" w:hAnsi="Calibri"/>
                <w:sz w:val="20"/>
                <w:szCs w:val="20"/>
              </w:rPr>
            </w:pPr>
            <w:r w:rsidRPr="000E4BE0">
              <w:rPr>
                <w:rFonts w:ascii="Calibri" w:hAnsi="Calibri"/>
                <w:sz w:val="20"/>
                <w:szCs w:val="20"/>
              </w:rPr>
              <w:t>5.0%</w:t>
            </w:r>
          </w:p>
        </w:tc>
        <w:tc>
          <w:tcPr>
            <w:tcW w:w="1568" w:type="dxa"/>
            <w:shd w:val="clear" w:color="auto" w:fill="auto"/>
            <w:vAlign w:val="bottom"/>
          </w:tcPr>
          <w:p w:rsidR="000E4BE0" w:rsidRPr="000E4BE0" w:rsidRDefault="000E4BE0" w:rsidP="000E4BE0">
            <w:pPr>
              <w:spacing w:after="0" w:line="240" w:lineRule="auto"/>
              <w:jc w:val="center"/>
              <w:rPr>
                <w:rFonts w:ascii="Calibri" w:hAnsi="Calibri"/>
                <w:sz w:val="20"/>
                <w:szCs w:val="20"/>
              </w:rPr>
            </w:pPr>
            <w:r w:rsidRPr="000E4BE0">
              <w:rPr>
                <w:rFonts w:ascii="Calibri" w:hAnsi="Calibri"/>
                <w:sz w:val="20"/>
                <w:szCs w:val="20"/>
              </w:rPr>
              <w:t>3.6%</w:t>
            </w:r>
          </w:p>
        </w:tc>
        <w:tc>
          <w:tcPr>
            <w:tcW w:w="1568" w:type="dxa"/>
            <w:shd w:val="clear" w:color="auto" w:fill="auto"/>
            <w:vAlign w:val="bottom"/>
          </w:tcPr>
          <w:p w:rsidR="000E4BE0" w:rsidRPr="000E4BE0" w:rsidRDefault="000E4BE0" w:rsidP="000E4BE0">
            <w:pPr>
              <w:spacing w:after="0" w:line="240" w:lineRule="auto"/>
              <w:jc w:val="center"/>
              <w:rPr>
                <w:rFonts w:ascii="Calibri" w:hAnsi="Calibri"/>
                <w:sz w:val="20"/>
                <w:szCs w:val="20"/>
              </w:rPr>
            </w:pPr>
            <w:r w:rsidRPr="000E4BE0">
              <w:rPr>
                <w:rFonts w:ascii="Calibri" w:hAnsi="Calibri"/>
                <w:sz w:val="20"/>
                <w:szCs w:val="20"/>
              </w:rPr>
              <w:t>2.7%</w:t>
            </w:r>
          </w:p>
        </w:tc>
        <w:tc>
          <w:tcPr>
            <w:tcW w:w="1568" w:type="dxa"/>
            <w:shd w:val="clear" w:color="auto" w:fill="auto"/>
            <w:vAlign w:val="bottom"/>
          </w:tcPr>
          <w:p w:rsidR="000E4BE0" w:rsidRPr="000E4BE0" w:rsidRDefault="000E4BE0" w:rsidP="000E4BE0">
            <w:pPr>
              <w:spacing w:after="0" w:line="240" w:lineRule="auto"/>
              <w:jc w:val="center"/>
              <w:rPr>
                <w:rFonts w:ascii="Calibri" w:hAnsi="Calibri"/>
                <w:sz w:val="20"/>
                <w:szCs w:val="20"/>
              </w:rPr>
            </w:pPr>
            <w:r w:rsidRPr="000E4BE0">
              <w:rPr>
                <w:rFonts w:ascii="Calibri" w:hAnsi="Calibri"/>
                <w:sz w:val="20"/>
                <w:szCs w:val="20"/>
              </w:rPr>
              <w:t>2.0%</w:t>
            </w:r>
          </w:p>
        </w:tc>
        <w:tc>
          <w:tcPr>
            <w:tcW w:w="1568" w:type="dxa"/>
            <w:tcBorders>
              <w:top w:val="single" w:sz="4" w:space="0" w:color="auto"/>
              <w:right w:val="single" w:sz="4" w:space="0" w:color="auto"/>
            </w:tcBorders>
            <w:shd w:val="clear" w:color="auto" w:fill="auto"/>
            <w:vAlign w:val="bottom"/>
          </w:tcPr>
          <w:p w:rsidR="000E4BE0" w:rsidRPr="000E4BE0" w:rsidRDefault="000E4BE0" w:rsidP="000E4BE0">
            <w:pPr>
              <w:spacing w:after="0" w:line="240" w:lineRule="auto"/>
              <w:jc w:val="center"/>
              <w:rPr>
                <w:rFonts w:ascii="Calibri" w:hAnsi="Calibri"/>
                <w:sz w:val="20"/>
                <w:szCs w:val="20"/>
              </w:rPr>
            </w:pPr>
            <w:r w:rsidRPr="000E4BE0">
              <w:rPr>
                <w:rFonts w:ascii="Calibri" w:hAnsi="Calibri"/>
                <w:sz w:val="20"/>
                <w:szCs w:val="20"/>
              </w:rPr>
              <w:t>3.5%</w:t>
            </w:r>
          </w:p>
        </w:tc>
      </w:tr>
      <w:tr w:rsidR="000E4BE0" w:rsidRPr="000E4BE0" w:rsidTr="002D70FA">
        <w:tc>
          <w:tcPr>
            <w:tcW w:w="1701" w:type="dxa"/>
            <w:tcBorders>
              <w:top w:val="single" w:sz="4" w:space="0" w:color="auto"/>
              <w:left w:val="single" w:sz="4" w:space="0" w:color="auto"/>
            </w:tcBorders>
            <w:shd w:val="clear" w:color="auto" w:fill="BFBFBF" w:themeFill="background1" w:themeFillShade="BF"/>
            <w:vAlign w:val="center"/>
          </w:tcPr>
          <w:p w:rsidR="000E4BE0" w:rsidRPr="000E4BE0" w:rsidRDefault="000E4BE0" w:rsidP="000E4BE0">
            <w:pPr>
              <w:spacing w:after="0" w:line="240" w:lineRule="auto"/>
              <w:jc w:val="center"/>
              <w:rPr>
                <w:rFonts w:eastAsia="Times New Roman" w:cs="Times New Roman"/>
                <w:sz w:val="20"/>
                <w:szCs w:val="20"/>
              </w:rPr>
            </w:pPr>
            <w:r w:rsidRPr="000E4BE0">
              <w:rPr>
                <w:rFonts w:eastAsia="Times New Roman" w:cs="Times New Roman"/>
                <w:sz w:val="20"/>
                <w:szCs w:val="20"/>
              </w:rPr>
              <w:t>ELLs</w:t>
            </w:r>
          </w:p>
        </w:tc>
        <w:tc>
          <w:tcPr>
            <w:tcW w:w="1567" w:type="dxa"/>
            <w:shd w:val="clear" w:color="auto" w:fill="BFBFBF" w:themeFill="background1" w:themeFillShade="BF"/>
            <w:vAlign w:val="bottom"/>
          </w:tcPr>
          <w:p w:rsidR="000E4BE0" w:rsidRPr="000E4BE0" w:rsidRDefault="000E4BE0" w:rsidP="000E4BE0">
            <w:pPr>
              <w:spacing w:after="0" w:line="240" w:lineRule="auto"/>
              <w:jc w:val="center"/>
              <w:rPr>
                <w:rFonts w:ascii="Calibri" w:hAnsi="Calibri"/>
                <w:sz w:val="20"/>
                <w:szCs w:val="20"/>
              </w:rPr>
            </w:pPr>
            <w:r w:rsidRPr="000E4BE0">
              <w:rPr>
                <w:rFonts w:ascii="Calibri" w:hAnsi="Calibri"/>
                <w:sz w:val="20"/>
                <w:szCs w:val="20"/>
              </w:rPr>
              <w:t>4.8%</w:t>
            </w:r>
          </w:p>
        </w:tc>
        <w:tc>
          <w:tcPr>
            <w:tcW w:w="1568" w:type="dxa"/>
            <w:shd w:val="clear" w:color="auto" w:fill="BFBFBF" w:themeFill="background1" w:themeFillShade="BF"/>
            <w:vAlign w:val="bottom"/>
          </w:tcPr>
          <w:p w:rsidR="000E4BE0" w:rsidRPr="000E4BE0" w:rsidRDefault="000E4BE0" w:rsidP="000E4BE0">
            <w:pPr>
              <w:spacing w:after="0" w:line="240" w:lineRule="auto"/>
              <w:jc w:val="center"/>
              <w:rPr>
                <w:rFonts w:ascii="Calibri" w:hAnsi="Calibri"/>
                <w:sz w:val="20"/>
                <w:szCs w:val="20"/>
              </w:rPr>
            </w:pPr>
            <w:r w:rsidRPr="000E4BE0">
              <w:rPr>
                <w:rFonts w:ascii="Calibri" w:hAnsi="Calibri"/>
                <w:sz w:val="20"/>
                <w:szCs w:val="20"/>
              </w:rPr>
              <w:t>4.3%</w:t>
            </w:r>
          </w:p>
        </w:tc>
        <w:tc>
          <w:tcPr>
            <w:tcW w:w="1568" w:type="dxa"/>
            <w:shd w:val="clear" w:color="auto" w:fill="BFBFBF" w:themeFill="background1" w:themeFillShade="BF"/>
            <w:vAlign w:val="bottom"/>
          </w:tcPr>
          <w:p w:rsidR="000E4BE0" w:rsidRPr="000E4BE0" w:rsidRDefault="000E4BE0" w:rsidP="000E4BE0">
            <w:pPr>
              <w:spacing w:after="0" w:line="240" w:lineRule="auto"/>
              <w:jc w:val="center"/>
              <w:rPr>
                <w:rFonts w:ascii="Calibri" w:hAnsi="Calibri"/>
                <w:sz w:val="20"/>
                <w:szCs w:val="20"/>
              </w:rPr>
            </w:pPr>
            <w:r w:rsidRPr="000E4BE0">
              <w:rPr>
                <w:rFonts w:ascii="Calibri" w:hAnsi="Calibri"/>
                <w:sz w:val="20"/>
                <w:szCs w:val="20"/>
              </w:rPr>
              <w:t>3.3%</w:t>
            </w:r>
          </w:p>
        </w:tc>
        <w:tc>
          <w:tcPr>
            <w:tcW w:w="1568" w:type="dxa"/>
            <w:shd w:val="clear" w:color="auto" w:fill="BFBFBF" w:themeFill="background1" w:themeFillShade="BF"/>
            <w:vAlign w:val="bottom"/>
          </w:tcPr>
          <w:p w:rsidR="000E4BE0" w:rsidRPr="000E4BE0" w:rsidRDefault="000E4BE0" w:rsidP="000E4BE0">
            <w:pPr>
              <w:spacing w:after="0" w:line="240" w:lineRule="auto"/>
              <w:jc w:val="center"/>
              <w:rPr>
                <w:rFonts w:ascii="Calibri" w:hAnsi="Calibri"/>
                <w:sz w:val="20"/>
                <w:szCs w:val="20"/>
              </w:rPr>
            </w:pPr>
            <w:r w:rsidRPr="000E4BE0">
              <w:rPr>
                <w:rFonts w:ascii="Calibri" w:hAnsi="Calibri"/>
                <w:sz w:val="20"/>
                <w:szCs w:val="20"/>
              </w:rPr>
              <w:t>1.9%</w:t>
            </w:r>
          </w:p>
        </w:tc>
        <w:tc>
          <w:tcPr>
            <w:tcW w:w="1568" w:type="dxa"/>
            <w:tcBorders>
              <w:top w:val="single" w:sz="4" w:space="0" w:color="auto"/>
              <w:right w:val="single" w:sz="4" w:space="0" w:color="auto"/>
            </w:tcBorders>
            <w:shd w:val="clear" w:color="auto" w:fill="BFBFBF" w:themeFill="background1" w:themeFillShade="BF"/>
            <w:vAlign w:val="bottom"/>
          </w:tcPr>
          <w:p w:rsidR="000E4BE0" w:rsidRPr="000E4BE0" w:rsidRDefault="000E4BE0" w:rsidP="000E4BE0">
            <w:pPr>
              <w:spacing w:after="0" w:line="240" w:lineRule="auto"/>
              <w:jc w:val="center"/>
              <w:rPr>
                <w:rFonts w:ascii="Calibri" w:hAnsi="Calibri"/>
                <w:sz w:val="20"/>
                <w:szCs w:val="20"/>
              </w:rPr>
            </w:pPr>
            <w:r w:rsidRPr="000E4BE0">
              <w:rPr>
                <w:rFonts w:ascii="Calibri" w:hAnsi="Calibri"/>
                <w:sz w:val="20"/>
                <w:szCs w:val="20"/>
              </w:rPr>
              <w:t>5.7%</w:t>
            </w:r>
          </w:p>
        </w:tc>
      </w:tr>
      <w:tr w:rsidR="000E4BE0" w:rsidRPr="000E4BE0" w:rsidTr="002D70FA">
        <w:tc>
          <w:tcPr>
            <w:tcW w:w="1701" w:type="dxa"/>
            <w:tcBorders>
              <w:top w:val="single" w:sz="4" w:space="0" w:color="auto"/>
              <w:left w:val="single" w:sz="4" w:space="0" w:color="auto"/>
            </w:tcBorders>
            <w:vAlign w:val="center"/>
          </w:tcPr>
          <w:p w:rsidR="000E4BE0" w:rsidRPr="000E4BE0" w:rsidRDefault="000E4BE0" w:rsidP="000E4BE0">
            <w:pPr>
              <w:spacing w:after="0" w:line="240" w:lineRule="auto"/>
              <w:jc w:val="center"/>
              <w:rPr>
                <w:rFonts w:eastAsia="Times New Roman" w:cs="Times New Roman"/>
                <w:sz w:val="20"/>
                <w:szCs w:val="20"/>
              </w:rPr>
            </w:pPr>
            <w:r w:rsidRPr="000E4BE0">
              <w:rPr>
                <w:rFonts w:eastAsia="Times New Roman" w:cs="Times New Roman"/>
                <w:sz w:val="20"/>
                <w:szCs w:val="20"/>
              </w:rPr>
              <w:t>All students</w:t>
            </w:r>
          </w:p>
        </w:tc>
        <w:tc>
          <w:tcPr>
            <w:tcW w:w="1567" w:type="dxa"/>
            <w:vAlign w:val="bottom"/>
          </w:tcPr>
          <w:p w:rsidR="000E4BE0" w:rsidRPr="000E4BE0" w:rsidRDefault="000E4BE0" w:rsidP="000E4BE0">
            <w:pPr>
              <w:spacing w:after="0" w:line="240" w:lineRule="auto"/>
              <w:jc w:val="center"/>
              <w:rPr>
                <w:rFonts w:ascii="Calibri" w:hAnsi="Calibri"/>
                <w:sz w:val="20"/>
                <w:szCs w:val="20"/>
              </w:rPr>
            </w:pPr>
            <w:r w:rsidRPr="000E4BE0">
              <w:rPr>
                <w:rFonts w:ascii="Calibri" w:hAnsi="Calibri"/>
                <w:sz w:val="20"/>
                <w:szCs w:val="20"/>
              </w:rPr>
              <w:t>4.1%</w:t>
            </w:r>
          </w:p>
        </w:tc>
        <w:tc>
          <w:tcPr>
            <w:tcW w:w="1568" w:type="dxa"/>
            <w:vAlign w:val="bottom"/>
          </w:tcPr>
          <w:p w:rsidR="000E4BE0" w:rsidRPr="000E4BE0" w:rsidRDefault="000E4BE0" w:rsidP="000E4BE0">
            <w:pPr>
              <w:spacing w:after="0" w:line="240" w:lineRule="auto"/>
              <w:jc w:val="center"/>
              <w:rPr>
                <w:rFonts w:ascii="Calibri" w:hAnsi="Calibri"/>
                <w:sz w:val="20"/>
                <w:szCs w:val="20"/>
              </w:rPr>
            </w:pPr>
            <w:r w:rsidRPr="000E4BE0">
              <w:rPr>
                <w:rFonts w:ascii="Calibri" w:hAnsi="Calibri"/>
                <w:sz w:val="20"/>
                <w:szCs w:val="20"/>
              </w:rPr>
              <w:t>3.4%</w:t>
            </w:r>
          </w:p>
        </w:tc>
        <w:tc>
          <w:tcPr>
            <w:tcW w:w="1568" w:type="dxa"/>
            <w:vAlign w:val="bottom"/>
          </w:tcPr>
          <w:p w:rsidR="000E4BE0" w:rsidRPr="000E4BE0" w:rsidRDefault="000E4BE0" w:rsidP="000E4BE0">
            <w:pPr>
              <w:spacing w:after="0" w:line="240" w:lineRule="auto"/>
              <w:jc w:val="center"/>
              <w:rPr>
                <w:rFonts w:ascii="Calibri" w:hAnsi="Calibri"/>
                <w:sz w:val="20"/>
                <w:szCs w:val="20"/>
              </w:rPr>
            </w:pPr>
            <w:r w:rsidRPr="000E4BE0">
              <w:rPr>
                <w:rFonts w:ascii="Calibri" w:hAnsi="Calibri"/>
                <w:sz w:val="20"/>
                <w:szCs w:val="20"/>
              </w:rPr>
              <w:t>2.4%</w:t>
            </w:r>
          </w:p>
        </w:tc>
        <w:tc>
          <w:tcPr>
            <w:tcW w:w="1568" w:type="dxa"/>
            <w:vAlign w:val="bottom"/>
          </w:tcPr>
          <w:p w:rsidR="000E4BE0" w:rsidRPr="000E4BE0" w:rsidRDefault="000E4BE0" w:rsidP="000E4BE0">
            <w:pPr>
              <w:spacing w:after="0" w:line="240" w:lineRule="auto"/>
              <w:jc w:val="center"/>
              <w:rPr>
                <w:rFonts w:ascii="Calibri" w:hAnsi="Calibri"/>
                <w:sz w:val="20"/>
                <w:szCs w:val="20"/>
              </w:rPr>
            </w:pPr>
            <w:r w:rsidRPr="000E4BE0">
              <w:rPr>
                <w:rFonts w:ascii="Calibri" w:hAnsi="Calibri"/>
                <w:sz w:val="20"/>
                <w:szCs w:val="20"/>
              </w:rPr>
              <w:t>1.7%</w:t>
            </w:r>
          </w:p>
        </w:tc>
        <w:tc>
          <w:tcPr>
            <w:tcW w:w="1568" w:type="dxa"/>
            <w:tcBorders>
              <w:top w:val="single" w:sz="4" w:space="0" w:color="auto"/>
              <w:right w:val="single" w:sz="4" w:space="0" w:color="auto"/>
            </w:tcBorders>
            <w:vAlign w:val="bottom"/>
          </w:tcPr>
          <w:p w:rsidR="000E4BE0" w:rsidRPr="000E4BE0" w:rsidRDefault="000E4BE0" w:rsidP="000E4BE0">
            <w:pPr>
              <w:spacing w:after="0" w:line="240" w:lineRule="auto"/>
              <w:jc w:val="center"/>
              <w:rPr>
                <w:rFonts w:ascii="Calibri" w:hAnsi="Calibri"/>
                <w:sz w:val="20"/>
                <w:szCs w:val="20"/>
              </w:rPr>
            </w:pPr>
            <w:r w:rsidRPr="000E4BE0">
              <w:rPr>
                <w:rFonts w:ascii="Calibri" w:hAnsi="Calibri"/>
                <w:sz w:val="20"/>
                <w:szCs w:val="20"/>
              </w:rPr>
              <w:t>1.9%</w:t>
            </w:r>
          </w:p>
        </w:tc>
      </w:tr>
    </w:tbl>
    <w:p w:rsidR="0091151B" w:rsidRDefault="0091151B" w:rsidP="0091151B">
      <w:pPr>
        <w:spacing w:after="0" w:line="240" w:lineRule="auto"/>
      </w:pPr>
    </w:p>
    <w:p w:rsidR="001601B3" w:rsidRPr="008502EB" w:rsidRDefault="001601B3" w:rsidP="0091151B">
      <w:pPr>
        <w:spacing w:after="0" w:line="240" w:lineRule="auto"/>
      </w:pPr>
    </w:p>
    <w:p w:rsidR="0091151B" w:rsidRPr="008502EB" w:rsidRDefault="0091151B" w:rsidP="0091151B">
      <w:pPr>
        <w:spacing w:after="0" w:line="240" w:lineRule="auto"/>
        <w:rPr>
          <w:b/>
        </w:rPr>
      </w:pPr>
      <w:r w:rsidRPr="008502EB">
        <w:rPr>
          <w:b/>
        </w:rPr>
        <w:t xml:space="preserve">School </w:t>
      </w:r>
      <w:r>
        <w:rPr>
          <w:b/>
        </w:rPr>
        <w:t xml:space="preserve">and Subgroup </w:t>
      </w:r>
      <w:r w:rsidRPr="008502EB">
        <w:rPr>
          <w:b/>
        </w:rPr>
        <w:t>Results</w:t>
      </w:r>
    </w:p>
    <w:p w:rsidR="0091151B" w:rsidRDefault="0091151B" w:rsidP="0091151B">
      <w:pPr>
        <w:spacing w:after="0" w:line="240" w:lineRule="auto"/>
        <w:jc w:val="center"/>
        <w:rPr>
          <w:b/>
        </w:rPr>
      </w:pPr>
    </w:p>
    <w:p w:rsidR="0091151B" w:rsidRPr="00D45669" w:rsidRDefault="0091151B" w:rsidP="0091151B">
      <w:pPr>
        <w:spacing w:after="0" w:line="240" w:lineRule="auto"/>
        <w:rPr>
          <w:rFonts w:eastAsia="Times New Roman" w:cs="Times New Roman"/>
          <w:b/>
        </w:rPr>
      </w:pPr>
      <w:r w:rsidRPr="00D45669">
        <w:rPr>
          <w:rFonts w:eastAsia="Times New Roman" w:cs="Times New Roman"/>
          <w:b/>
        </w:rPr>
        <w:t>Between 2013 and 2016, ELA CPI for all students improved by 2.4 points, from 77.1 in 2013 to 79.5 in 2016, and also improved between 2013 and 2016 in each grade that took the MCAS and in each grade that took PARCC except the 4</w:t>
      </w:r>
      <w:r w:rsidRPr="00D45669">
        <w:rPr>
          <w:rFonts w:eastAsia="Times New Roman" w:cs="Times New Roman"/>
          <w:b/>
          <w:vertAlign w:val="superscript"/>
        </w:rPr>
        <w:t>th</w:t>
      </w:r>
      <w:r w:rsidRPr="00D45669">
        <w:rPr>
          <w:rFonts w:eastAsia="Times New Roman" w:cs="Times New Roman"/>
          <w:b/>
        </w:rPr>
        <w:t xml:space="preserve"> grade.</w:t>
      </w:r>
    </w:p>
    <w:p w:rsidR="0091151B" w:rsidRPr="00D45669" w:rsidRDefault="0091151B" w:rsidP="0091151B">
      <w:pPr>
        <w:spacing w:after="0" w:line="240" w:lineRule="auto"/>
        <w:rPr>
          <w:rFonts w:eastAsia="Times New Roman" w:cs="Times New Roman"/>
        </w:rPr>
      </w:pPr>
    </w:p>
    <w:p w:rsidR="0091151B" w:rsidRPr="00230B26" w:rsidRDefault="0091151B" w:rsidP="0091151B">
      <w:pPr>
        <w:numPr>
          <w:ilvl w:val="0"/>
          <w:numId w:val="59"/>
        </w:numPr>
        <w:spacing w:after="0" w:line="240" w:lineRule="auto"/>
        <w:contextualSpacing/>
        <w:rPr>
          <w:rFonts w:eastAsia="Times New Roman" w:cs="Times New Roman"/>
        </w:rPr>
      </w:pPr>
      <w:r w:rsidRPr="00D45669">
        <w:rPr>
          <w:rFonts w:eastAsia="Times New Roman" w:cs="Times New Roman"/>
        </w:rPr>
        <w:lastRenderedPageBreak/>
        <w:t>ELA CPI</w:t>
      </w:r>
      <w:r>
        <w:rPr>
          <w:rFonts w:eastAsia="Times New Roman" w:cs="Times New Roman"/>
        </w:rPr>
        <w:t xml:space="preserve"> in grades that took the MCAS improved between 2013 and 2016</w:t>
      </w:r>
      <w:r w:rsidRPr="00D45669">
        <w:rPr>
          <w:rFonts w:eastAsia="Times New Roman" w:cs="Times New Roman"/>
        </w:rPr>
        <w:t xml:space="preserve"> by 3.8 points in the 3</w:t>
      </w:r>
      <w:r w:rsidRPr="00D45669">
        <w:rPr>
          <w:rFonts w:eastAsia="Times New Roman" w:cs="Times New Roman"/>
          <w:vertAlign w:val="superscript"/>
        </w:rPr>
        <w:t>rd</w:t>
      </w:r>
      <w:r w:rsidRPr="00D45669">
        <w:rPr>
          <w:rFonts w:eastAsia="Times New Roman" w:cs="Times New Roman"/>
        </w:rPr>
        <w:t xml:space="preserve"> grade, by 6.4 points in the 4</w:t>
      </w:r>
      <w:r w:rsidRPr="00D45669">
        <w:rPr>
          <w:rFonts w:eastAsia="Times New Roman" w:cs="Times New Roman"/>
          <w:vertAlign w:val="superscript"/>
        </w:rPr>
        <w:t>th</w:t>
      </w:r>
      <w:r w:rsidRPr="00D45669">
        <w:rPr>
          <w:rFonts w:eastAsia="Times New Roman" w:cs="Times New Roman"/>
        </w:rPr>
        <w:t xml:space="preserve"> grade, by 8.1 points in the 5</w:t>
      </w:r>
      <w:r w:rsidRPr="00D45669">
        <w:rPr>
          <w:rFonts w:eastAsia="Times New Roman" w:cs="Times New Roman"/>
          <w:vertAlign w:val="superscript"/>
        </w:rPr>
        <w:t>th</w:t>
      </w:r>
      <w:r w:rsidRPr="00D45669">
        <w:rPr>
          <w:rFonts w:eastAsia="Times New Roman" w:cs="Times New Roman"/>
        </w:rPr>
        <w:t xml:space="preserve"> </w:t>
      </w:r>
      <w:r w:rsidRPr="00230B26">
        <w:rPr>
          <w:rFonts w:eastAsia="Times New Roman" w:cs="Times New Roman"/>
        </w:rPr>
        <w:t>grade, by 5.2 points in the 6</w:t>
      </w:r>
      <w:r w:rsidRPr="00230B26">
        <w:rPr>
          <w:rFonts w:eastAsia="Times New Roman" w:cs="Times New Roman"/>
          <w:vertAlign w:val="superscript"/>
        </w:rPr>
        <w:t>th</w:t>
      </w:r>
      <w:r w:rsidRPr="00230B26">
        <w:rPr>
          <w:rFonts w:eastAsia="Times New Roman" w:cs="Times New Roman"/>
        </w:rPr>
        <w:t xml:space="preserve"> grade, and by 0.6 points in the 10</w:t>
      </w:r>
      <w:r w:rsidRPr="00230B26">
        <w:rPr>
          <w:rFonts w:eastAsia="Times New Roman" w:cs="Times New Roman"/>
          <w:vertAlign w:val="superscript"/>
        </w:rPr>
        <w:t>th</w:t>
      </w:r>
      <w:r w:rsidRPr="00230B26">
        <w:rPr>
          <w:rFonts w:eastAsia="Times New Roman" w:cs="Times New Roman"/>
        </w:rPr>
        <w:t xml:space="preserve"> grade.</w:t>
      </w:r>
    </w:p>
    <w:p w:rsidR="0091151B" w:rsidRPr="00230B26" w:rsidRDefault="0091151B" w:rsidP="0091151B">
      <w:pPr>
        <w:numPr>
          <w:ilvl w:val="1"/>
          <w:numId w:val="59"/>
        </w:numPr>
        <w:spacing w:after="0" w:line="240" w:lineRule="auto"/>
        <w:contextualSpacing/>
        <w:rPr>
          <w:rFonts w:eastAsia="Times New Roman" w:cs="Times New Roman"/>
        </w:rPr>
      </w:pPr>
      <w:r w:rsidRPr="00230B26">
        <w:rPr>
          <w:rFonts w:eastAsia="Times New Roman" w:cs="Times New Roman"/>
        </w:rPr>
        <w:t>ELA CPI in the 10</w:t>
      </w:r>
      <w:r w:rsidRPr="00230B26">
        <w:rPr>
          <w:rFonts w:eastAsia="Times New Roman" w:cs="Times New Roman"/>
          <w:vertAlign w:val="superscript"/>
        </w:rPr>
        <w:t>th</w:t>
      </w:r>
      <w:r w:rsidRPr="00230B26">
        <w:rPr>
          <w:rFonts w:eastAsia="Times New Roman" w:cs="Times New Roman"/>
        </w:rPr>
        <w:t xml:space="preserve"> grade was 92.7 in 2016, 4.0 points below the 2016 state CPI of 96.7.</w:t>
      </w:r>
    </w:p>
    <w:p w:rsidR="0091151B" w:rsidRPr="00230B26" w:rsidRDefault="0091151B" w:rsidP="0091151B">
      <w:pPr>
        <w:spacing w:after="0" w:line="240" w:lineRule="auto"/>
        <w:contextualSpacing/>
        <w:rPr>
          <w:rFonts w:eastAsia="Times New Roman" w:cs="Times New Roman"/>
        </w:rPr>
      </w:pPr>
    </w:p>
    <w:p w:rsidR="0091151B" w:rsidRPr="00230B26" w:rsidRDefault="0091151B" w:rsidP="0091151B">
      <w:pPr>
        <w:numPr>
          <w:ilvl w:val="0"/>
          <w:numId w:val="59"/>
        </w:numPr>
        <w:spacing w:after="0" w:line="240" w:lineRule="auto"/>
        <w:contextualSpacing/>
        <w:rPr>
          <w:rFonts w:eastAsia="Times New Roman" w:cs="Times New Roman"/>
        </w:rPr>
      </w:pPr>
      <w:r w:rsidRPr="00230B26">
        <w:rPr>
          <w:rFonts w:eastAsia="Times New Roman" w:cs="Times New Roman"/>
        </w:rPr>
        <w:t>ELA CPI in grades that took PARCC improved between 2013 and 2016 by 1.6 points in the 3</w:t>
      </w:r>
      <w:r w:rsidRPr="00230B26">
        <w:rPr>
          <w:rFonts w:eastAsia="Times New Roman" w:cs="Times New Roman"/>
          <w:vertAlign w:val="superscript"/>
        </w:rPr>
        <w:t>rd</w:t>
      </w:r>
      <w:r w:rsidRPr="00230B26">
        <w:rPr>
          <w:rFonts w:eastAsia="Times New Roman" w:cs="Times New Roman"/>
        </w:rPr>
        <w:t xml:space="preserve"> grade, by 3.5 points in the 5</w:t>
      </w:r>
      <w:r w:rsidRPr="00230B26">
        <w:rPr>
          <w:rFonts w:eastAsia="Times New Roman" w:cs="Times New Roman"/>
          <w:vertAlign w:val="superscript"/>
        </w:rPr>
        <w:t>th</w:t>
      </w:r>
      <w:r w:rsidRPr="00230B26">
        <w:rPr>
          <w:rFonts w:eastAsia="Times New Roman" w:cs="Times New Roman"/>
        </w:rPr>
        <w:t xml:space="preserve"> grade, by 4.0 points in the 6</w:t>
      </w:r>
      <w:r w:rsidRPr="00230B26">
        <w:rPr>
          <w:rFonts w:eastAsia="Times New Roman" w:cs="Times New Roman"/>
          <w:vertAlign w:val="superscript"/>
        </w:rPr>
        <w:t>th</w:t>
      </w:r>
      <w:r w:rsidRPr="00230B26">
        <w:rPr>
          <w:rFonts w:eastAsia="Times New Roman" w:cs="Times New Roman"/>
        </w:rPr>
        <w:t xml:space="preserve"> grade, by 1.1 points in the 7</w:t>
      </w:r>
      <w:r w:rsidRPr="00230B26">
        <w:rPr>
          <w:rFonts w:eastAsia="Times New Roman" w:cs="Times New Roman"/>
          <w:vertAlign w:val="superscript"/>
        </w:rPr>
        <w:t>th</w:t>
      </w:r>
      <w:r w:rsidRPr="00230B26">
        <w:rPr>
          <w:rFonts w:eastAsia="Times New Roman" w:cs="Times New Roman"/>
        </w:rPr>
        <w:t xml:space="preserve"> grade, and by 7.4 points in the 8</w:t>
      </w:r>
      <w:r w:rsidRPr="00230B26">
        <w:rPr>
          <w:rFonts w:eastAsia="Times New Roman" w:cs="Times New Roman"/>
          <w:vertAlign w:val="superscript"/>
        </w:rPr>
        <w:t>th</w:t>
      </w:r>
      <w:r w:rsidRPr="00230B26">
        <w:rPr>
          <w:rFonts w:eastAsia="Times New Roman" w:cs="Times New Roman"/>
        </w:rPr>
        <w:t xml:space="preserve"> grade.</w:t>
      </w:r>
    </w:p>
    <w:p w:rsidR="0091151B" w:rsidRPr="00230B26" w:rsidRDefault="0091151B" w:rsidP="0091151B">
      <w:pPr>
        <w:spacing w:after="0" w:line="240" w:lineRule="auto"/>
        <w:contextualSpacing/>
        <w:rPr>
          <w:rFonts w:eastAsia="Times New Roman" w:cs="Times New Roman"/>
        </w:rPr>
      </w:pPr>
    </w:p>
    <w:p w:rsidR="0091151B" w:rsidRDefault="0091151B" w:rsidP="0091151B">
      <w:pPr>
        <w:numPr>
          <w:ilvl w:val="0"/>
          <w:numId w:val="59"/>
        </w:numPr>
        <w:spacing w:after="0" w:line="240" w:lineRule="auto"/>
        <w:contextualSpacing/>
        <w:rPr>
          <w:rFonts w:eastAsia="Times New Roman" w:cs="Times New Roman"/>
        </w:rPr>
      </w:pPr>
      <w:r w:rsidRPr="00D45669">
        <w:rPr>
          <w:rFonts w:eastAsia="Times New Roman" w:cs="Times New Roman"/>
        </w:rPr>
        <w:t>ELA CPI declined by 6.1 points in the 4</w:t>
      </w:r>
      <w:r w:rsidRPr="00D45669">
        <w:rPr>
          <w:rFonts w:eastAsia="Times New Roman" w:cs="Times New Roman"/>
          <w:vertAlign w:val="superscript"/>
        </w:rPr>
        <w:t>th</w:t>
      </w:r>
      <w:r w:rsidRPr="00D45669">
        <w:rPr>
          <w:rFonts w:eastAsia="Times New Roman" w:cs="Times New Roman"/>
        </w:rPr>
        <w:t xml:space="preserve"> grade on the PARCC assessment from 67.2 </w:t>
      </w:r>
      <w:r w:rsidR="00161A9E">
        <w:rPr>
          <w:rFonts w:eastAsia="Times New Roman" w:cs="Times New Roman"/>
        </w:rPr>
        <w:t xml:space="preserve">in 2013 </w:t>
      </w:r>
      <w:r w:rsidRPr="00D45669">
        <w:rPr>
          <w:rFonts w:eastAsia="Times New Roman" w:cs="Times New Roman"/>
        </w:rPr>
        <w:t>to a transitional CPI of 61.1 in 2016.</w:t>
      </w:r>
    </w:p>
    <w:p w:rsidR="00217963" w:rsidRDefault="00217963" w:rsidP="00217963">
      <w:pPr>
        <w:pStyle w:val="ListParagraph"/>
        <w:rPr>
          <w:rFonts w:eastAsia="Times New Roman" w:cs="Times New Roman"/>
        </w:rPr>
      </w:pPr>
    </w:p>
    <w:p w:rsidR="0091151B" w:rsidRPr="009E7B3E" w:rsidRDefault="0091151B" w:rsidP="0091151B">
      <w:pPr>
        <w:spacing w:after="0" w:line="240" w:lineRule="auto"/>
        <w:jc w:val="center"/>
        <w:rPr>
          <w:b/>
          <w:sz w:val="20"/>
          <w:szCs w:val="20"/>
        </w:rPr>
      </w:pPr>
      <w:r w:rsidRPr="009E7B3E">
        <w:rPr>
          <w:b/>
          <w:sz w:val="20"/>
          <w:szCs w:val="20"/>
        </w:rPr>
        <w:t xml:space="preserve">Table </w:t>
      </w:r>
      <w:r w:rsidR="005C7DC2">
        <w:rPr>
          <w:b/>
          <w:sz w:val="20"/>
          <w:szCs w:val="20"/>
        </w:rPr>
        <w:t>10</w:t>
      </w:r>
      <w:r w:rsidRPr="009E7B3E">
        <w:rPr>
          <w:b/>
          <w:sz w:val="20"/>
          <w:szCs w:val="20"/>
        </w:rPr>
        <w:t>: Worcester Public Schools</w:t>
      </w:r>
    </w:p>
    <w:p w:rsidR="0091151B" w:rsidRPr="009E7B3E" w:rsidRDefault="0091151B" w:rsidP="0091151B">
      <w:pPr>
        <w:spacing w:after="0" w:line="240" w:lineRule="auto"/>
        <w:jc w:val="center"/>
        <w:rPr>
          <w:rFonts w:ascii="Calibri" w:eastAsia="Calibri" w:hAnsi="Calibri" w:cs="Times New Roman"/>
          <w:b/>
          <w:sz w:val="20"/>
        </w:rPr>
      </w:pPr>
      <w:r w:rsidRPr="009E7B3E">
        <w:rPr>
          <w:b/>
          <w:sz w:val="20"/>
          <w:szCs w:val="20"/>
        </w:rPr>
        <w:t>ELA Composite Performance Index (CPI) by Grade 2013–2016</w:t>
      </w:r>
    </w:p>
    <w:tbl>
      <w:tblPr>
        <w:tblStyle w:val="TableGrid"/>
        <w:tblW w:w="9576" w:type="dxa"/>
        <w:tblLook w:val="04A0"/>
      </w:tblPr>
      <w:tblGrid>
        <w:gridCol w:w="452"/>
        <w:gridCol w:w="1430"/>
        <w:gridCol w:w="1013"/>
        <w:gridCol w:w="818"/>
        <w:gridCol w:w="818"/>
        <w:gridCol w:w="843"/>
        <w:gridCol w:w="833"/>
        <w:gridCol w:w="1319"/>
        <w:gridCol w:w="1025"/>
        <w:gridCol w:w="1025"/>
      </w:tblGrid>
      <w:tr w:rsidR="00D6070A" w:rsidRPr="009E7B3E" w:rsidTr="00D6070A">
        <w:tc>
          <w:tcPr>
            <w:tcW w:w="1882" w:type="dxa"/>
            <w:gridSpan w:val="2"/>
            <w:vMerge w:val="restart"/>
            <w:vAlign w:val="center"/>
          </w:tcPr>
          <w:p w:rsidR="00D6070A" w:rsidRPr="00A7283B" w:rsidRDefault="00D6070A" w:rsidP="00B81C31">
            <w:pPr>
              <w:spacing w:after="0" w:line="240" w:lineRule="auto"/>
              <w:jc w:val="center"/>
              <w:rPr>
                <w:rFonts w:ascii="Calibri" w:hAnsi="Calibri"/>
                <w:b/>
                <w:sz w:val="20"/>
                <w:szCs w:val="20"/>
              </w:rPr>
            </w:pPr>
            <w:r w:rsidRPr="00A7283B">
              <w:rPr>
                <w:rFonts w:ascii="Calibri" w:hAnsi="Calibri"/>
                <w:b/>
                <w:sz w:val="20"/>
                <w:szCs w:val="20"/>
              </w:rPr>
              <w:t>Grade and Assessment</w:t>
            </w:r>
          </w:p>
        </w:tc>
        <w:tc>
          <w:tcPr>
            <w:tcW w:w="1013" w:type="dxa"/>
            <w:vMerge w:val="restart"/>
            <w:vAlign w:val="center"/>
          </w:tcPr>
          <w:p w:rsidR="00D6070A" w:rsidRPr="00A7283B" w:rsidRDefault="00D6070A" w:rsidP="00B81C31">
            <w:pPr>
              <w:spacing w:after="0" w:line="240" w:lineRule="auto"/>
              <w:jc w:val="center"/>
              <w:rPr>
                <w:rFonts w:ascii="Calibri" w:hAnsi="Calibri"/>
                <w:b/>
                <w:sz w:val="20"/>
                <w:szCs w:val="20"/>
              </w:rPr>
            </w:pPr>
            <w:r w:rsidRPr="00A7283B">
              <w:rPr>
                <w:rFonts w:ascii="Calibri" w:hAnsi="Calibri"/>
                <w:b/>
                <w:sz w:val="20"/>
                <w:szCs w:val="20"/>
              </w:rPr>
              <w:t>Number Included (2016)</w:t>
            </w:r>
          </w:p>
        </w:tc>
        <w:tc>
          <w:tcPr>
            <w:tcW w:w="1636" w:type="dxa"/>
            <w:gridSpan w:val="2"/>
            <w:vMerge w:val="restart"/>
            <w:vAlign w:val="center"/>
          </w:tcPr>
          <w:p w:rsidR="00D6070A" w:rsidRPr="00A7283B" w:rsidRDefault="00D6070A" w:rsidP="00B81C31">
            <w:pPr>
              <w:spacing w:after="0" w:line="240" w:lineRule="auto"/>
              <w:jc w:val="center"/>
              <w:rPr>
                <w:rFonts w:ascii="Calibri" w:hAnsi="Calibri"/>
                <w:b/>
                <w:sz w:val="20"/>
                <w:szCs w:val="20"/>
              </w:rPr>
            </w:pPr>
            <w:r w:rsidRPr="00A7283B">
              <w:rPr>
                <w:rFonts w:ascii="Calibri" w:hAnsi="Calibri"/>
                <w:b/>
                <w:sz w:val="20"/>
                <w:szCs w:val="20"/>
              </w:rPr>
              <w:t>MCAS Year</w:t>
            </w:r>
          </w:p>
        </w:tc>
        <w:tc>
          <w:tcPr>
            <w:tcW w:w="1676" w:type="dxa"/>
            <w:gridSpan w:val="2"/>
            <w:vMerge w:val="restart"/>
            <w:vAlign w:val="center"/>
          </w:tcPr>
          <w:p w:rsidR="00D6070A" w:rsidRPr="00A7283B" w:rsidRDefault="00D6070A" w:rsidP="00B81C31">
            <w:pPr>
              <w:spacing w:after="0" w:line="240" w:lineRule="auto"/>
              <w:jc w:val="center"/>
              <w:rPr>
                <w:rFonts w:ascii="Calibri" w:hAnsi="Calibri"/>
                <w:b/>
                <w:sz w:val="20"/>
                <w:szCs w:val="20"/>
              </w:rPr>
            </w:pPr>
            <w:r w:rsidRPr="00A7283B">
              <w:rPr>
                <w:rFonts w:ascii="Calibri" w:hAnsi="Calibri"/>
                <w:b/>
                <w:sz w:val="20"/>
                <w:szCs w:val="20"/>
              </w:rPr>
              <w:t>MCAS/PARCC</w:t>
            </w:r>
          </w:p>
        </w:tc>
        <w:tc>
          <w:tcPr>
            <w:tcW w:w="1319" w:type="dxa"/>
            <w:vMerge w:val="restart"/>
          </w:tcPr>
          <w:p w:rsidR="00D6070A" w:rsidRPr="00A7283B" w:rsidRDefault="00D6070A" w:rsidP="00B81C31">
            <w:pPr>
              <w:spacing w:after="0" w:line="240" w:lineRule="auto"/>
              <w:jc w:val="center"/>
              <w:rPr>
                <w:rFonts w:ascii="Calibri" w:hAnsi="Calibri"/>
                <w:b/>
                <w:sz w:val="20"/>
                <w:szCs w:val="20"/>
              </w:rPr>
            </w:pPr>
          </w:p>
        </w:tc>
        <w:tc>
          <w:tcPr>
            <w:tcW w:w="2050" w:type="dxa"/>
            <w:gridSpan w:val="2"/>
          </w:tcPr>
          <w:p w:rsidR="00D6070A" w:rsidRPr="00A7283B" w:rsidRDefault="00D6070A" w:rsidP="00B81C31">
            <w:pPr>
              <w:spacing w:after="0" w:line="240" w:lineRule="auto"/>
              <w:jc w:val="center"/>
              <w:rPr>
                <w:rFonts w:ascii="Calibri" w:hAnsi="Calibri"/>
                <w:b/>
                <w:sz w:val="20"/>
                <w:szCs w:val="20"/>
              </w:rPr>
            </w:pPr>
            <w:r w:rsidRPr="00A7283B">
              <w:rPr>
                <w:rFonts w:ascii="Calibri" w:hAnsi="Calibri"/>
                <w:b/>
                <w:sz w:val="20"/>
                <w:szCs w:val="20"/>
              </w:rPr>
              <w:t>Gains and Declines</w:t>
            </w:r>
          </w:p>
        </w:tc>
      </w:tr>
      <w:tr w:rsidR="00D6070A" w:rsidRPr="009E7B3E" w:rsidTr="00D6070A">
        <w:trPr>
          <w:trHeight w:val="269"/>
        </w:trPr>
        <w:tc>
          <w:tcPr>
            <w:tcW w:w="1882" w:type="dxa"/>
            <w:gridSpan w:val="2"/>
            <w:vMerge/>
          </w:tcPr>
          <w:p w:rsidR="00D6070A" w:rsidRPr="00A7283B" w:rsidRDefault="00D6070A" w:rsidP="00B81C31">
            <w:pPr>
              <w:spacing w:after="0" w:line="240" w:lineRule="auto"/>
              <w:rPr>
                <w:rFonts w:ascii="Calibri" w:hAnsi="Calibri"/>
                <w:b/>
                <w:sz w:val="20"/>
                <w:szCs w:val="20"/>
              </w:rPr>
            </w:pPr>
          </w:p>
        </w:tc>
        <w:tc>
          <w:tcPr>
            <w:tcW w:w="1013" w:type="dxa"/>
            <w:vMerge/>
          </w:tcPr>
          <w:p w:rsidR="00D6070A" w:rsidRPr="00A7283B" w:rsidRDefault="00D6070A" w:rsidP="00B81C31">
            <w:pPr>
              <w:spacing w:after="0" w:line="240" w:lineRule="auto"/>
              <w:rPr>
                <w:rFonts w:ascii="Calibri" w:hAnsi="Calibri"/>
                <w:b/>
                <w:sz w:val="20"/>
                <w:szCs w:val="20"/>
              </w:rPr>
            </w:pPr>
          </w:p>
        </w:tc>
        <w:tc>
          <w:tcPr>
            <w:tcW w:w="1636" w:type="dxa"/>
            <w:gridSpan w:val="2"/>
            <w:vMerge/>
          </w:tcPr>
          <w:p w:rsidR="00D6070A" w:rsidRPr="00A7283B" w:rsidRDefault="00D6070A" w:rsidP="00B81C31">
            <w:pPr>
              <w:spacing w:after="0" w:line="240" w:lineRule="auto"/>
              <w:rPr>
                <w:rFonts w:ascii="Calibri" w:hAnsi="Calibri"/>
                <w:b/>
                <w:sz w:val="20"/>
                <w:szCs w:val="20"/>
              </w:rPr>
            </w:pPr>
          </w:p>
        </w:tc>
        <w:tc>
          <w:tcPr>
            <w:tcW w:w="1676" w:type="dxa"/>
            <w:gridSpan w:val="2"/>
            <w:vMerge/>
          </w:tcPr>
          <w:p w:rsidR="00D6070A" w:rsidRPr="00A7283B" w:rsidRDefault="00D6070A" w:rsidP="00B81C31">
            <w:pPr>
              <w:spacing w:after="0" w:line="240" w:lineRule="auto"/>
              <w:rPr>
                <w:rFonts w:ascii="Calibri" w:hAnsi="Calibri"/>
                <w:b/>
                <w:sz w:val="20"/>
                <w:szCs w:val="20"/>
              </w:rPr>
            </w:pPr>
          </w:p>
        </w:tc>
        <w:tc>
          <w:tcPr>
            <w:tcW w:w="1319" w:type="dxa"/>
            <w:vMerge/>
          </w:tcPr>
          <w:p w:rsidR="00D6070A" w:rsidRPr="00A7283B" w:rsidRDefault="00D6070A" w:rsidP="00B81C31">
            <w:pPr>
              <w:spacing w:after="0" w:line="240" w:lineRule="auto"/>
              <w:jc w:val="center"/>
              <w:rPr>
                <w:rFonts w:ascii="Calibri" w:hAnsi="Calibri"/>
                <w:b/>
                <w:sz w:val="20"/>
                <w:szCs w:val="20"/>
              </w:rPr>
            </w:pPr>
          </w:p>
        </w:tc>
        <w:tc>
          <w:tcPr>
            <w:tcW w:w="1025" w:type="dxa"/>
            <w:vMerge w:val="restart"/>
            <w:vAlign w:val="center"/>
          </w:tcPr>
          <w:p w:rsidR="00D6070A" w:rsidRPr="00A7283B" w:rsidRDefault="00D6070A" w:rsidP="00B81C31">
            <w:pPr>
              <w:spacing w:after="0" w:line="240" w:lineRule="auto"/>
              <w:jc w:val="center"/>
              <w:rPr>
                <w:rFonts w:ascii="Calibri" w:hAnsi="Calibri"/>
                <w:b/>
                <w:sz w:val="20"/>
                <w:szCs w:val="20"/>
              </w:rPr>
            </w:pPr>
            <w:r w:rsidRPr="00A7283B">
              <w:rPr>
                <w:rFonts w:ascii="Calibri" w:hAnsi="Calibri"/>
                <w:b/>
                <w:sz w:val="20"/>
                <w:szCs w:val="20"/>
              </w:rPr>
              <w:t>4-Year Trend</w:t>
            </w:r>
          </w:p>
        </w:tc>
        <w:tc>
          <w:tcPr>
            <w:tcW w:w="1025" w:type="dxa"/>
            <w:vMerge w:val="restart"/>
            <w:vAlign w:val="center"/>
          </w:tcPr>
          <w:p w:rsidR="00D6070A" w:rsidRPr="00A7283B" w:rsidRDefault="00D6070A" w:rsidP="00B81C31">
            <w:pPr>
              <w:spacing w:after="0" w:line="240" w:lineRule="auto"/>
              <w:jc w:val="center"/>
              <w:rPr>
                <w:rFonts w:ascii="Calibri" w:hAnsi="Calibri"/>
                <w:b/>
                <w:sz w:val="20"/>
                <w:szCs w:val="20"/>
              </w:rPr>
            </w:pPr>
            <w:r w:rsidRPr="00A7283B">
              <w:rPr>
                <w:rFonts w:ascii="Calibri" w:hAnsi="Calibri"/>
                <w:b/>
                <w:sz w:val="20"/>
                <w:szCs w:val="20"/>
              </w:rPr>
              <w:t>2-Year Trend</w:t>
            </w:r>
          </w:p>
        </w:tc>
      </w:tr>
      <w:tr w:rsidR="0091151B" w:rsidRPr="009E7B3E" w:rsidTr="00D6070A">
        <w:tc>
          <w:tcPr>
            <w:tcW w:w="1882" w:type="dxa"/>
            <w:gridSpan w:val="2"/>
            <w:vMerge/>
          </w:tcPr>
          <w:p w:rsidR="0091151B" w:rsidRPr="00A7283B" w:rsidRDefault="0091151B" w:rsidP="00B81C31">
            <w:pPr>
              <w:spacing w:after="0" w:line="240" w:lineRule="auto"/>
              <w:rPr>
                <w:rFonts w:ascii="Calibri" w:hAnsi="Calibri"/>
                <w:sz w:val="20"/>
                <w:szCs w:val="20"/>
              </w:rPr>
            </w:pPr>
          </w:p>
        </w:tc>
        <w:tc>
          <w:tcPr>
            <w:tcW w:w="1013" w:type="dxa"/>
            <w:vMerge/>
          </w:tcPr>
          <w:p w:rsidR="0091151B" w:rsidRPr="00A7283B" w:rsidRDefault="0091151B" w:rsidP="00B81C31">
            <w:pPr>
              <w:spacing w:after="0" w:line="240" w:lineRule="auto"/>
              <w:rPr>
                <w:rFonts w:ascii="Calibri" w:hAnsi="Calibri"/>
                <w:sz w:val="20"/>
                <w:szCs w:val="20"/>
              </w:rPr>
            </w:pPr>
          </w:p>
        </w:tc>
        <w:tc>
          <w:tcPr>
            <w:tcW w:w="818" w:type="dxa"/>
            <w:vAlign w:val="center"/>
          </w:tcPr>
          <w:p w:rsidR="0091151B" w:rsidRPr="00A7283B" w:rsidRDefault="0091151B" w:rsidP="00B81C31">
            <w:pPr>
              <w:spacing w:after="0" w:line="240" w:lineRule="auto"/>
              <w:jc w:val="center"/>
              <w:rPr>
                <w:rFonts w:ascii="Calibri" w:hAnsi="Calibri"/>
                <w:b/>
                <w:sz w:val="20"/>
                <w:szCs w:val="20"/>
              </w:rPr>
            </w:pPr>
            <w:r w:rsidRPr="00A7283B">
              <w:rPr>
                <w:rFonts w:ascii="Calibri" w:hAnsi="Calibri"/>
                <w:b/>
                <w:sz w:val="20"/>
                <w:szCs w:val="20"/>
              </w:rPr>
              <w:t>2013</w:t>
            </w:r>
          </w:p>
        </w:tc>
        <w:tc>
          <w:tcPr>
            <w:tcW w:w="818" w:type="dxa"/>
            <w:vAlign w:val="center"/>
          </w:tcPr>
          <w:p w:rsidR="0091151B" w:rsidRPr="00A7283B" w:rsidRDefault="0091151B" w:rsidP="00B81C31">
            <w:pPr>
              <w:spacing w:after="0" w:line="240" w:lineRule="auto"/>
              <w:jc w:val="center"/>
              <w:rPr>
                <w:rFonts w:ascii="Calibri" w:hAnsi="Calibri"/>
                <w:b/>
                <w:sz w:val="20"/>
                <w:szCs w:val="20"/>
              </w:rPr>
            </w:pPr>
            <w:r w:rsidRPr="00A7283B">
              <w:rPr>
                <w:rFonts w:ascii="Calibri" w:hAnsi="Calibri"/>
                <w:b/>
                <w:sz w:val="20"/>
                <w:szCs w:val="20"/>
              </w:rPr>
              <w:t>2014</w:t>
            </w:r>
          </w:p>
        </w:tc>
        <w:tc>
          <w:tcPr>
            <w:tcW w:w="843" w:type="dxa"/>
            <w:vAlign w:val="center"/>
          </w:tcPr>
          <w:p w:rsidR="0091151B" w:rsidRPr="00A7283B" w:rsidRDefault="0091151B" w:rsidP="00B81C31">
            <w:pPr>
              <w:spacing w:after="0" w:line="240" w:lineRule="auto"/>
              <w:jc w:val="center"/>
              <w:rPr>
                <w:rFonts w:ascii="Calibri" w:hAnsi="Calibri"/>
                <w:b/>
                <w:sz w:val="20"/>
                <w:szCs w:val="20"/>
              </w:rPr>
            </w:pPr>
            <w:r w:rsidRPr="00A7283B">
              <w:rPr>
                <w:rFonts w:ascii="Calibri" w:hAnsi="Calibri"/>
                <w:b/>
                <w:sz w:val="20"/>
                <w:szCs w:val="20"/>
              </w:rPr>
              <w:t>2015</w:t>
            </w:r>
          </w:p>
        </w:tc>
        <w:tc>
          <w:tcPr>
            <w:tcW w:w="833" w:type="dxa"/>
            <w:vAlign w:val="center"/>
          </w:tcPr>
          <w:p w:rsidR="0091151B" w:rsidRPr="00A7283B" w:rsidRDefault="0091151B" w:rsidP="00B81C31">
            <w:pPr>
              <w:spacing w:after="0" w:line="240" w:lineRule="auto"/>
              <w:jc w:val="center"/>
              <w:rPr>
                <w:rFonts w:ascii="Calibri" w:hAnsi="Calibri"/>
                <w:b/>
                <w:sz w:val="20"/>
                <w:szCs w:val="20"/>
              </w:rPr>
            </w:pPr>
            <w:r w:rsidRPr="00A7283B">
              <w:rPr>
                <w:rFonts w:ascii="Calibri" w:hAnsi="Calibri"/>
                <w:b/>
                <w:sz w:val="20"/>
                <w:szCs w:val="20"/>
              </w:rPr>
              <w:t>2016</w:t>
            </w:r>
          </w:p>
        </w:tc>
        <w:tc>
          <w:tcPr>
            <w:tcW w:w="1319" w:type="dxa"/>
          </w:tcPr>
          <w:p w:rsidR="0091151B" w:rsidRPr="00A7283B" w:rsidRDefault="0091151B" w:rsidP="00B81C31">
            <w:pPr>
              <w:spacing w:after="0" w:line="240" w:lineRule="auto"/>
              <w:jc w:val="center"/>
              <w:rPr>
                <w:rFonts w:ascii="Calibri" w:hAnsi="Calibri"/>
                <w:b/>
                <w:sz w:val="20"/>
                <w:szCs w:val="20"/>
              </w:rPr>
            </w:pPr>
            <w:r w:rsidRPr="00A7283B">
              <w:rPr>
                <w:rFonts w:ascii="Calibri" w:hAnsi="Calibri"/>
                <w:b/>
                <w:sz w:val="20"/>
                <w:szCs w:val="20"/>
              </w:rPr>
              <w:t>State (2016)</w:t>
            </w:r>
          </w:p>
        </w:tc>
        <w:tc>
          <w:tcPr>
            <w:tcW w:w="1025" w:type="dxa"/>
            <w:vMerge/>
          </w:tcPr>
          <w:p w:rsidR="0091151B" w:rsidRPr="00A7283B" w:rsidRDefault="0091151B" w:rsidP="00B81C31">
            <w:pPr>
              <w:spacing w:after="0" w:line="240" w:lineRule="auto"/>
              <w:rPr>
                <w:rFonts w:ascii="Calibri" w:hAnsi="Calibri"/>
                <w:sz w:val="20"/>
                <w:szCs w:val="20"/>
              </w:rPr>
            </w:pPr>
          </w:p>
        </w:tc>
        <w:tc>
          <w:tcPr>
            <w:tcW w:w="1025" w:type="dxa"/>
            <w:vMerge/>
          </w:tcPr>
          <w:p w:rsidR="0091151B" w:rsidRPr="00A7283B" w:rsidRDefault="0091151B" w:rsidP="00B81C31">
            <w:pPr>
              <w:spacing w:after="0" w:line="240" w:lineRule="auto"/>
              <w:rPr>
                <w:rFonts w:ascii="Calibri" w:hAnsi="Calibri"/>
                <w:sz w:val="20"/>
                <w:szCs w:val="20"/>
              </w:rPr>
            </w:pPr>
          </w:p>
        </w:tc>
      </w:tr>
      <w:tr w:rsidR="0091151B" w:rsidRPr="009E7B3E" w:rsidTr="00D6070A">
        <w:tc>
          <w:tcPr>
            <w:tcW w:w="452" w:type="dxa"/>
            <w:vMerge w:val="restart"/>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3</w:t>
            </w:r>
          </w:p>
        </w:tc>
        <w:tc>
          <w:tcPr>
            <w:tcW w:w="1430" w:type="dxa"/>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MCAS</w:t>
            </w:r>
          </w:p>
        </w:tc>
        <w:tc>
          <w:tcPr>
            <w:tcW w:w="1013" w:type="dxa"/>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734</w:t>
            </w:r>
          </w:p>
        </w:tc>
        <w:tc>
          <w:tcPr>
            <w:tcW w:w="818" w:type="dxa"/>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71.7</w:t>
            </w:r>
          </w:p>
        </w:tc>
        <w:tc>
          <w:tcPr>
            <w:tcW w:w="818" w:type="dxa"/>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70.2</w:t>
            </w:r>
          </w:p>
        </w:tc>
        <w:tc>
          <w:tcPr>
            <w:tcW w:w="843" w:type="dxa"/>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71.4</w:t>
            </w:r>
          </w:p>
        </w:tc>
        <w:tc>
          <w:tcPr>
            <w:tcW w:w="833" w:type="dxa"/>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75.5</w:t>
            </w:r>
          </w:p>
        </w:tc>
        <w:tc>
          <w:tcPr>
            <w:tcW w:w="1319" w:type="dxa"/>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w:t>
            </w:r>
          </w:p>
        </w:tc>
        <w:tc>
          <w:tcPr>
            <w:tcW w:w="1025" w:type="dxa"/>
            <w:vAlign w:val="bottom"/>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3.8</w:t>
            </w:r>
          </w:p>
        </w:tc>
        <w:tc>
          <w:tcPr>
            <w:tcW w:w="1025" w:type="dxa"/>
            <w:vAlign w:val="bottom"/>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4.1</w:t>
            </w:r>
          </w:p>
        </w:tc>
      </w:tr>
      <w:tr w:rsidR="0091151B" w:rsidRPr="009E7B3E" w:rsidTr="00D6070A">
        <w:tc>
          <w:tcPr>
            <w:tcW w:w="452" w:type="dxa"/>
            <w:vMerge/>
            <w:vAlign w:val="center"/>
          </w:tcPr>
          <w:p w:rsidR="0091151B" w:rsidRPr="00A7283B" w:rsidRDefault="0091151B" w:rsidP="00B81C31">
            <w:pPr>
              <w:spacing w:after="0" w:line="240" w:lineRule="auto"/>
              <w:jc w:val="center"/>
              <w:rPr>
                <w:rFonts w:ascii="Calibri" w:hAnsi="Calibri"/>
                <w:sz w:val="20"/>
                <w:szCs w:val="20"/>
              </w:rPr>
            </w:pPr>
          </w:p>
        </w:tc>
        <w:tc>
          <w:tcPr>
            <w:tcW w:w="1430" w:type="dxa"/>
            <w:shd w:val="clear" w:color="auto" w:fill="D9D9D9" w:themeFill="background1" w:themeFillShade="D9"/>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PARCC</w:t>
            </w:r>
          </w:p>
        </w:tc>
        <w:tc>
          <w:tcPr>
            <w:tcW w:w="1013" w:type="dxa"/>
            <w:shd w:val="clear" w:color="auto" w:fill="D9D9D9" w:themeFill="background1" w:themeFillShade="D9"/>
            <w:vAlign w:val="bottom"/>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1,076</w:t>
            </w:r>
          </w:p>
        </w:tc>
        <w:tc>
          <w:tcPr>
            <w:tcW w:w="818" w:type="dxa"/>
            <w:shd w:val="clear" w:color="auto" w:fill="D9D9D9" w:themeFill="background1" w:themeFillShade="D9"/>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71.7</w:t>
            </w:r>
          </w:p>
        </w:tc>
        <w:tc>
          <w:tcPr>
            <w:tcW w:w="818" w:type="dxa"/>
            <w:shd w:val="clear" w:color="auto" w:fill="D9D9D9" w:themeFill="background1" w:themeFillShade="D9"/>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70.2</w:t>
            </w:r>
          </w:p>
        </w:tc>
        <w:tc>
          <w:tcPr>
            <w:tcW w:w="843" w:type="dxa"/>
            <w:shd w:val="clear" w:color="auto" w:fill="D9D9D9" w:themeFill="background1" w:themeFillShade="D9"/>
            <w:vAlign w:val="bottom"/>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69.8</w:t>
            </w:r>
          </w:p>
        </w:tc>
        <w:tc>
          <w:tcPr>
            <w:tcW w:w="833" w:type="dxa"/>
            <w:shd w:val="clear" w:color="auto" w:fill="D9D9D9" w:themeFill="background1" w:themeFillShade="D9"/>
            <w:vAlign w:val="bottom"/>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73.3</w:t>
            </w:r>
          </w:p>
        </w:tc>
        <w:tc>
          <w:tcPr>
            <w:tcW w:w="1319" w:type="dxa"/>
            <w:shd w:val="clear" w:color="auto" w:fill="D9D9D9" w:themeFill="background1" w:themeFillShade="D9"/>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w:t>
            </w:r>
          </w:p>
        </w:tc>
        <w:tc>
          <w:tcPr>
            <w:tcW w:w="1025" w:type="dxa"/>
            <w:shd w:val="clear" w:color="auto" w:fill="D9D9D9" w:themeFill="background1" w:themeFillShade="D9"/>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1.6</w:t>
            </w:r>
          </w:p>
        </w:tc>
        <w:tc>
          <w:tcPr>
            <w:tcW w:w="1025" w:type="dxa"/>
            <w:shd w:val="clear" w:color="auto" w:fill="D9D9D9" w:themeFill="background1" w:themeFillShade="D9"/>
            <w:vAlign w:val="bottom"/>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3.5</w:t>
            </w:r>
          </w:p>
        </w:tc>
      </w:tr>
      <w:tr w:rsidR="0091151B" w:rsidRPr="009E7B3E" w:rsidTr="00D6070A">
        <w:tc>
          <w:tcPr>
            <w:tcW w:w="452" w:type="dxa"/>
            <w:vMerge w:val="restart"/>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4</w:t>
            </w:r>
          </w:p>
        </w:tc>
        <w:tc>
          <w:tcPr>
            <w:tcW w:w="1430" w:type="dxa"/>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MCAS</w:t>
            </w:r>
          </w:p>
        </w:tc>
        <w:tc>
          <w:tcPr>
            <w:tcW w:w="1013" w:type="dxa"/>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753</w:t>
            </w:r>
          </w:p>
        </w:tc>
        <w:tc>
          <w:tcPr>
            <w:tcW w:w="818" w:type="dxa"/>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67.2</w:t>
            </w:r>
          </w:p>
        </w:tc>
        <w:tc>
          <w:tcPr>
            <w:tcW w:w="818" w:type="dxa"/>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67.3</w:t>
            </w:r>
          </w:p>
        </w:tc>
        <w:tc>
          <w:tcPr>
            <w:tcW w:w="843" w:type="dxa"/>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73.8</w:t>
            </w:r>
          </w:p>
        </w:tc>
        <w:tc>
          <w:tcPr>
            <w:tcW w:w="833" w:type="dxa"/>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73.6</w:t>
            </w:r>
          </w:p>
        </w:tc>
        <w:tc>
          <w:tcPr>
            <w:tcW w:w="1319" w:type="dxa"/>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w:t>
            </w:r>
          </w:p>
        </w:tc>
        <w:tc>
          <w:tcPr>
            <w:tcW w:w="1025" w:type="dxa"/>
            <w:vAlign w:val="bottom"/>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6.4</w:t>
            </w:r>
          </w:p>
        </w:tc>
        <w:tc>
          <w:tcPr>
            <w:tcW w:w="1025" w:type="dxa"/>
            <w:vAlign w:val="bottom"/>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-0.2</w:t>
            </w:r>
          </w:p>
        </w:tc>
      </w:tr>
      <w:tr w:rsidR="0091151B" w:rsidRPr="009E7B3E" w:rsidTr="00D6070A">
        <w:tc>
          <w:tcPr>
            <w:tcW w:w="452" w:type="dxa"/>
            <w:vMerge/>
            <w:vAlign w:val="center"/>
          </w:tcPr>
          <w:p w:rsidR="0091151B" w:rsidRPr="00A7283B" w:rsidRDefault="0091151B" w:rsidP="00B81C31">
            <w:pPr>
              <w:spacing w:after="0" w:line="240" w:lineRule="auto"/>
              <w:jc w:val="center"/>
              <w:rPr>
                <w:rFonts w:ascii="Calibri" w:hAnsi="Calibri"/>
                <w:sz w:val="20"/>
                <w:szCs w:val="20"/>
              </w:rPr>
            </w:pPr>
          </w:p>
        </w:tc>
        <w:tc>
          <w:tcPr>
            <w:tcW w:w="1430" w:type="dxa"/>
            <w:shd w:val="clear" w:color="auto" w:fill="D9D9D9" w:themeFill="background1" w:themeFillShade="D9"/>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PARCC</w:t>
            </w:r>
          </w:p>
        </w:tc>
        <w:tc>
          <w:tcPr>
            <w:tcW w:w="1013" w:type="dxa"/>
            <w:shd w:val="clear" w:color="auto" w:fill="D9D9D9" w:themeFill="background1" w:themeFillShade="D9"/>
            <w:vAlign w:val="bottom"/>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1,122</w:t>
            </w:r>
          </w:p>
        </w:tc>
        <w:tc>
          <w:tcPr>
            <w:tcW w:w="818" w:type="dxa"/>
            <w:shd w:val="clear" w:color="auto" w:fill="D9D9D9" w:themeFill="background1" w:themeFillShade="D9"/>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67.2</w:t>
            </w:r>
          </w:p>
        </w:tc>
        <w:tc>
          <w:tcPr>
            <w:tcW w:w="818" w:type="dxa"/>
            <w:shd w:val="clear" w:color="auto" w:fill="D9D9D9" w:themeFill="background1" w:themeFillShade="D9"/>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67.3</w:t>
            </w:r>
          </w:p>
        </w:tc>
        <w:tc>
          <w:tcPr>
            <w:tcW w:w="843" w:type="dxa"/>
            <w:shd w:val="clear" w:color="auto" w:fill="D9D9D9" w:themeFill="background1" w:themeFillShade="D9"/>
            <w:vAlign w:val="bottom"/>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63.4</w:t>
            </w:r>
          </w:p>
        </w:tc>
        <w:tc>
          <w:tcPr>
            <w:tcW w:w="833" w:type="dxa"/>
            <w:shd w:val="clear" w:color="auto" w:fill="D9D9D9" w:themeFill="background1" w:themeFillShade="D9"/>
            <w:vAlign w:val="bottom"/>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61.1</w:t>
            </w:r>
          </w:p>
        </w:tc>
        <w:tc>
          <w:tcPr>
            <w:tcW w:w="1319" w:type="dxa"/>
            <w:shd w:val="clear" w:color="auto" w:fill="D9D9D9" w:themeFill="background1" w:themeFillShade="D9"/>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w:t>
            </w:r>
          </w:p>
        </w:tc>
        <w:tc>
          <w:tcPr>
            <w:tcW w:w="1025" w:type="dxa"/>
            <w:shd w:val="clear" w:color="auto" w:fill="D9D9D9" w:themeFill="background1" w:themeFillShade="D9"/>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-6.1</w:t>
            </w:r>
          </w:p>
        </w:tc>
        <w:tc>
          <w:tcPr>
            <w:tcW w:w="1025" w:type="dxa"/>
            <w:shd w:val="clear" w:color="auto" w:fill="D9D9D9" w:themeFill="background1" w:themeFillShade="D9"/>
            <w:vAlign w:val="bottom"/>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-2.3</w:t>
            </w:r>
          </w:p>
        </w:tc>
      </w:tr>
      <w:tr w:rsidR="0091151B" w:rsidRPr="009E7B3E" w:rsidTr="00D6070A">
        <w:tc>
          <w:tcPr>
            <w:tcW w:w="452" w:type="dxa"/>
            <w:vMerge w:val="restart"/>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5</w:t>
            </w:r>
          </w:p>
        </w:tc>
        <w:tc>
          <w:tcPr>
            <w:tcW w:w="1430" w:type="dxa"/>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MCAS</w:t>
            </w:r>
          </w:p>
        </w:tc>
        <w:tc>
          <w:tcPr>
            <w:tcW w:w="1013" w:type="dxa"/>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698</w:t>
            </w:r>
          </w:p>
        </w:tc>
        <w:tc>
          <w:tcPr>
            <w:tcW w:w="818" w:type="dxa"/>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75.2</w:t>
            </w:r>
          </w:p>
        </w:tc>
        <w:tc>
          <w:tcPr>
            <w:tcW w:w="818" w:type="dxa"/>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74.3</w:t>
            </w:r>
          </w:p>
        </w:tc>
        <w:tc>
          <w:tcPr>
            <w:tcW w:w="843" w:type="dxa"/>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79</w:t>
            </w:r>
          </w:p>
        </w:tc>
        <w:tc>
          <w:tcPr>
            <w:tcW w:w="833" w:type="dxa"/>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83.3</w:t>
            </w:r>
          </w:p>
        </w:tc>
        <w:tc>
          <w:tcPr>
            <w:tcW w:w="1319" w:type="dxa"/>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w:t>
            </w:r>
          </w:p>
        </w:tc>
        <w:tc>
          <w:tcPr>
            <w:tcW w:w="1025" w:type="dxa"/>
            <w:vAlign w:val="bottom"/>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8.1</w:t>
            </w:r>
          </w:p>
        </w:tc>
        <w:tc>
          <w:tcPr>
            <w:tcW w:w="1025" w:type="dxa"/>
            <w:vAlign w:val="bottom"/>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4.3</w:t>
            </w:r>
          </w:p>
        </w:tc>
      </w:tr>
      <w:tr w:rsidR="0091151B" w:rsidRPr="009E7B3E" w:rsidTr="00D6070A">
        <w:tc>
          <w:tcPr>
            <w:tcW w:w="452" w:type="dxa"/>
            <w:vMerge/>
            <w:vAlign w:val="center"/>
          </w:tcPr>
          <w:p w:rsidR="0091151B" w:rsidRPr="00A7283B" w:rsidRDefault="0091151B" w:rsidP="00B81C31">
            <w:pPr>
              <w:spacing w:after="0" w:line="240" w:lineRule="auto"/>
              <w:jc w:val="center"/>
              <w:rPr>
                <w:rFonts w:ascii="Calibri" w:hAnsi="Calibri"/>
                <w:sz w:val="20"/>
                <w:szCs w:val="20"/>
              </w:rPr>
            </w:pPr>
          </w:p>
        </w:tc>
        <w:tc>
          <w:tcPr>
            <w:tcW w:w="1430" w:type="dxa"/>
            <w:shd w:val="clear" w:color="auto" w:fill="D9D9D9" w:themeFill="background1" w:themeFillShade="D9"/>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PARCC</w:t>
            </w:r>
          </w:p>
        </w:tc>
        <w:tc>
          <w:tcPr>
            <w:tcW w:w="1013" w:type="dxa"/>
            <w:shd w:val="clear" w:color="auto" w:fill="D9D9D9" w:themeFill="background1" w:themeFillShade="D9"/>
            <w:vAlign w:val="bottom"/>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1,059</w:t>
            </w:r>
          </w:p>
        </w:tc>
        <w:tc>
          <w:tcPr>
            <w:tcW w:w="818" w:type="dxa"/>
            <w:shd w:val="clear" w:color="auto" w:fill="D9D9D9" w:themeFill="background1" w:themeFillShade="D9"/>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75.2</w:t>
            </w:r>
          </w:p>
        </w:tc>
        <w:tc>
          <w:tcPr>
            <w:tcW w:w="818" w:type="dxa"/>
            <w:shd w:val="clear" w:color="auto" w:fill="D9D9D9" w:themeFill="background1" w:themeFillShade="D9"/>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74.3</w:t>
            </w:r>
          </w:p>
        </w:tc>
        <w:tc>
          <w:tcPr>
            <w:tcW w:w="843" w:type="dxa"/>
            <w:shd w:val="clear" w:color="auto" w:fill="D9D9D9" w:themeFill="background1" w:themeFillShade="D9"/>
            <w:vAlign w:val="bottom"/>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72.8</w:t>
            </w:r>
          </w:p>
        </w:tc>
        <w:tc>
          <w:tcPr>
            <w:tcW w:w="833" w:type="dxa"/>
            <w:shd w:val="clear" w:color="auto" w:fill="D9D9D9" w:themeFill="background1" w:themeFillShade="D9"/>
            <w:vAlign w:val="bottom"/>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78.7</w:t>
            </w:r>
          </w:p>
        </w:tc>
        <w:tc>
          <w:tcPr>
            <w:tcW w:w="1319" w:type="dxa"/>
            <w:shd w:val="clear" w:color="auto" w:fill="D9D9D9" w:themeFill="background1" w:themeFillShade="D9"/>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w:t>
            </w:r>
          </w:p>
        </w:tc>
        <w:tc>
          <w:tcPr>
            <w:tcW w:w="1025" w:type="dxa"/>
            <w:shd w:val="clear" w:color="auto" w:fill="D9D9D9" w:themeFill="background1" w:themeFillShade="D9"/>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3.5</w:t>
            </w:r>
          </w:p>
        </w:tc>
        <w:tc>
          <w:tcPr>
            <w:tcW w:w="1025" w:type="dxa"/>
            <w:shd w:val="clear" w:color="auto" w:fill="D9D9D9" w:themeFill="background1" w:themeFillShade="D9"/>
            <w:vAlign w:val="bottom"/>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5.9</w:t>
            </w:r>
          </w:p>
        </w:tc>
      </w:tr>
      <w:tr w:rsidR="0091151B" w:rsidRPr="009E7B3E" w:rsidTr="00D6070A">
        <w:tc>
          <w:tcPr>
            <w:tcW w:w="452" w:type="dxa"/>
            <w:vMerge w:val="restart"/>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6</w:t>
            </w:r>
          </w:p>
        </w:tc>
        <w:tc>
          <w:tcPr>
            <w:tcW w:w="1430" w:type="dxa"/>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MCAS</w:t>
            </w:r>
          </w:p>
        </w:tc>
        <w:tc>
          <w:tcPr>
            <w:tcW w:w="1013" w:type="dxa"/>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637</w:t>
            </w:r>
          </w:p>
        </w:tc>
        <w:tc>
          <w:tcPr>
            <w:tcW w:w="818" w:type="dxa"/>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76.9</w:t>
            </w:r>
          </w:p>
        </w:tc>
        <w:tc>
          <w:tcPr>
            <w:tcW w:w="818" w:type="dxa"/>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79.6</w:t>
            </w:r>
          </w:p>
        </w:tc>
        <w:tc>
          <w:tcPr>
            <w:tcW w:w="843" w:type="dxa"/>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83.4</w:t>
            </w:r>
          </w:p>
        </w:tc>
        <w:tc>
          <w:tcPr>
            <w:tcW w:w="833" w:type="dxa"/>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82.1</w:t>
            </w:r>
          </w:p>
        </w:tc>
        <w:tc>
          <w:tcPr>
            <w:tcW w:w="1319" w:type="dxa"/>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w:t>
            </w:r>
          </w:p>
        </w:tc>
        <w:tc>
          <w:tcPr>
            <w:tcW w:w="1025" w:type="dxa"/>
            <w:vAlign w:val="bottom"/>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5.2</w:t>
            </w:r>
          </w:p>
        </w:tc>
        <w:tc>
          <w:tcPr>
            <w:tcW w:w="1025" w:type="dxa"/>
            <w:vAlign w:val="bottom"/>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-1.3</w:t>
            </w:r>
          </w:p>
        </w:tc>
      </w:tr>
      <w:tr w:rsidR="0091151B" w:rsidRPr="009E7B3E" w:rsidTr="00D6070A">
        <w:tc>
          <w:tcPr>
            <w:tcW w:w="452" w:type="dxa"/>
            <w:vMerge/>
            <w:vAlign w:val="center"/>
          </w:tcPr>
          <w:p w:rsidR="0091151B" w:rsidRPr="00A7283B" w:rsidRDefault="0091151B" w:rsidP="00B81C31">
            <w:pPr>
              <w:spacing w:after="0" w:line="240" w:lineRule="auto"/>
              <w:jc w:val="center"/>
              <w:rPr>
                <w:rFonts w:ascii="Calibri" w:hAnsi="Calibri"/>
                <w:sz w:val="20"/>
                <w:szCs w:val="20"/>
              </w:rPr>
            </w:pPr>
          </w:p>
        </w:tc>
        <w:tc>
          <w:tcPr>
            <w:tcW w:w="1430" w:type="dxa"/>
            <w:shd w:val="clear" w:color="auto" w:fill="D9D9D9" w:themeFill="background1" w:themeFillShade="D9"/>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PARCC</w:t>
            </w:r>
          </w:p>
        </w:tc>
        <w:tc>
          <w:tcPr>
            <w:tcW w:w="1013" w:type="dxa"/>
            <w:shd w:val="clear" w:color="auto" w:fill="D9D9D9" w:themeFill="background1" w:themeFillShade="D9"/>
            <w:vAlign w:val="bottom"/>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1,034</w:t>
            </w:r>
          </w:p>
        </w:tc>
        <w:tc>
          <w:tcPr>
            <w:tcW w:w="818" w:type="dxa"/>
            <w:shd w:val="clear" w:color="auto" w:fill="D9D9D9" w:themeFill="background1" w:themeFillShade="D9"/>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76.9</w:t>
            </w:r>
          </w:p>
        </w:tc>
        <w:tc>
          <w:tcPr>
            <w:tcW w:w="818" w:type="dxa"/>
            <w:shd w:val="clear" w:color="auto" w:fill="D9D9D9" w:themeFill="background1" w:themeFillShade="D9"/>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79.6</w:t>
            </w:r>
          </w:p>
        </w:tc>
        <w:tc>
          <w:tcPr>
            <w:tcW w:w="843" w:type="dxa"/>
            <w:shd w:val="clear" w:color="auto" w:fill="D9D9D9" w:themeFill="background1" w:themeFillShade="D9"/>
            <w:vAlign w:val="bottom"/>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76.6</w:t>
            </w:r>
          </w:p>
        </w:tc>
        <w:tc>
          <w:tcPr>
            <w:tcW w:w="833" w:type="dxa"/>
            <w:shd w:val="clear" w:color="auto" w:fill="D9D9D9" w:themeFill="background1" w:themeFillShade="D9"/>
            <w:vAlign w:val="bottom"/>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80.9</w:t>
            </w:r>
          </w:p>
        </w:tc>
        <w:tc>
          <w:tcPr>
            <w:tcW w:w="1319" w:type="dxa"/>
            <w:shd w:val="clear" w:color="auto" w:fill="D9D9D9" w:themeFill="background1" w:themeFillShade="D9"/>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w:t>
            </w:r>
          </w:p>
        </w:tc>
        <w:tc>
          <w:tcPr>
            <w:tcW w:w="1025" w:type="dxa"/>
            <w:shd w:val="clear" w:color="auto" w:fill="D9D9D9" w:themeFill="background1" w:themeFillShade="D9"/>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4.0</w:t>
            </w:r>
          </w:p>
        </w:tc>
        <w:tc>
          <w:tcPr>
            <w:tcW w:w="1025" w:type="dxa"/>
            <w:shd w:val="clear" w:color="auto" w:fill="D9D9D9" w:themeFill="background1" w:themeFillShade="D9"/>
            <w:vAlign w:val="bottom"/>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4.3</w:t>
            </w:r>
          </w:p>
        </w:tc>
      </w:tr>
      <w:tr w:rsidR="0091151B" w:rsidRPr="009E7B3E" w:rsidTr="00D6070A">
        <w:tc>
          <w:tcPr>
            <w:tcW w:w="452" w:type="dxa"/>
            <w:vMerge w:val="restart"/>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7</w:t>
            </w:r>
          </w:p>
        </w:tc>
        <w:tc>
          <w:tcPr>
            <w:tcW w:w="1430" w:type="dxa"/>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MCAS</w:t>
            </w:r>
          </w:p>
        </w:tc>
        <w:tc>
          <w:tcPr>
            <w:tcW w:w="1013" w:type="dxa"/>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w:t>
            </w:r>
          </w:p>
        </w:tc>
        <w:tc>
          <w:tcPr>
            <w:tcW w:w="818" w:type="dxa"/>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78.9</w:t>
            </w:r>
          </w:p>
        </w:tc>
        <w:tc>
          <w:tcPr>
            <w:tcW w:w="818" w:type="dxa"/>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79.1</w:t>
            </w:r>
          </w:p>
        </w:tc>
        <w:tc>
          <w:tcPr>
            <w:tcW w:w="843" w:type="dxa"/>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77.7</w:t>
            </w:r>
          </w:p>
        </w:tc>
        <w:tc>
          <w:tcPr>
            <w:tcW w:w="833" w:type="dxa"/>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w:t>
            </w:r>
          </w:p>
        </w:tc>
        <w:tc>
          <w:tcPr>
            <w:tcW w:w="1319" w:type="dxa"/>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w:t>
            </w:r>
          </w:p>
        </w:tc>
        <w:tc>
          <w:tcPr>
            <w:tcW w:w="1025" w:type="dxa"/>
            <w:vAlign w:val="bottom"/>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w:t>
            </w:r>
          </w:p>
        </w:tc>
        <w:tc>
          <w:tcPr>
            <w:tcW w:w="1025" w:type="dxa"/>
            <w:vAlign w:val="bottom"/>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w:t>
            </w:r>
          </w:p>
        </w:tc>
      </w:tr>
      <w:tr w:rsidR="0091151B" w:rsidRPr="009E7B3E" w:rsidTr="00D6070A">
        <w:tc>
          <w:tcPr>
            <w:tcW w:w="452" w:type="dxa"/>
            <w:vMerge/>
            <w:vAlign w:val="center"/>
          </w:tcPr>
          <w:p w:rsidR="0091151B" w:rsidRPr="00A7283B" w:rsidRDefault="0091151B" w:rsidP="00B81C31">
            <w:pPr>
              <w:spacing w:after="0" w:line="240" w:lineRule="auto"/>
              <w:jc w:val="center"/>
              <w:rPr>
                <w:rFonts w:ascii="Calibri" w:hAnsi="Calibri"/>
                <w:sz w:val="20"/>
                <w:szCs w:val="20"/>
              </w:rPr>
            </w:pPr>
          </w:p>
        </w:tc>
        <w:tc>
          <w:tcPr>
            <w:tcW w:w="1430" w:type="dxa"/>
            <w:shd w:val="clear" w:color="auto" w:fill="D9D9D9" w:themeFill="background1" w:themeFillShade="D9"/>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PARCC</w:t>
            </w:r>
          </w:p>
        </w:tc>
        <w:tc>
          <w:tcPr>
            <w:tcW w:w="1013" w:type="dxa"/>
            <w:shd w:val="clear" w:color="auto" w:fill="D9D9D9" w:themeFill="background1" w:themeFillShade="D9"/>
            <w:vAlign w:val="bottom"/>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1,545</w:t>
            </w:r>
          </w:p>
        </w:tc>
        <w:tc>
          <w:tcPr>
            <w:tcW w:w="818" w:type="dxa"/>
            <w:shd w:val="clear" w:color="auto" w:fill="D9D9D9" w:themeFill="background1" w:themeFillShade="D9"/>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78.9</w:t>
            </w:r>
          </w:p>
        </w:tc>
        <w:tc>
          <w:tcPr>
            <w:tcW w:w="818" w:type="dxa"/>
            <w:shd w:val="clear" w:color="auto" w:fill="D9D9D9" w:themeFill="background1" w:themeFillShade="D9"/>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79.1</w:t>
            </w:r>
          </w:p>
        </w:tc>
        <w:tc>
          <w:tcPr>
            <w:tcW w:w="843" w:type="dxa"/>
            <w:shd w:val="clear" w:color="auto" w:fill="D9D9D9" w:themeFill="background1" w:themeFillShade="D9"/>
            <w:vAlign w:val="bottom"/>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79.8</w:t>
            </w:r>
          </w:p>
        </w:tc>
        <w:tc>
          <w:tcPr>
            <w:tcW w:w="833" w:type="dxa"/>
            <w:shd w:val="clear" w:color="auto" w:fill="D9D9D9" w:themeFill="background1" w:themeFillShade="D9"/>
            <w:vAlign w:val="bottom"/>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80.0</w:t>
            </w:r>
          </w:p>
        </w:tc>
        <w:tc>
          <w:tcPr>
            <w:tcW w:w="1319" w:type="dxa"/>
            <w:shd w:val="clear" w:color="auto" w:fill="D9D9D9" w:themeFill="background1" w:themeFillShade="D9"/>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w:t>
            </w:r>
          </w:p>
        </w:tc>
        <w:tc>
          <w:tcPr>
            <w:tcW w:w="1025" w:type="dxa"/>
            <w:shd w:val="clear" w:color="auto" w:fill="D9D9D9" w:themeFill="background1" w:themeFillShade="D9"/>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1.1</w:t>
            </w:r>
          </w:p>
        </w:tc>
        <w:tc>
          <w:tcPr>
            <w:tcW w:w="1025" w:type="dxa"/>
            <w:shd w:val="clear" w:color="auto" w:fill="D9D9D9" w:themeFill="background1" w:themeFillShade="D9"/>
            <w:vAlign w:val="bottom"/>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0.2</w:t>
            </w:r>
          </w:p>
        </w:tc>
      </w:tr>
      <w:tr w:rsidR="0091151B" w:rsidRPr="009E7B3E" w:rsidTr="00D6070A">
        <w:tc>
          <w:tcPr>
            <w:tcW w:w="452" w:type="dxa"/>
            <w:vMerge w:val="restart"/>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8</w:t>
            </w:r>
          </w:p>
        </w:tc>
        <w:tc>
          <w:tcPr>
            <w:tcW w:w="1430" w:type="dxa"/>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MCAS</w:t>
            </w:r>
          </w:p>
        </w:tc>
        <w:tc>
          <w:tcPr>
            <w:tcW w:w="1013" w:type="dxa"/>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w:t>
            </w:r>
          </w:p>
        </w:tc>
        <w:tc>
          <w:tcPr>
            <w:tcW w:w="818" w:type="dxa"/>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79.5</w:t>
            </w:r>
          </w:p>
        </w:tc>
        <w:tc>
          <w:tcPr>
            <w:tcW w:w="818" w:type="dxa"/>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80.6</w:t>
            </w:r>
          </w:p>
        </w:tc>
        <w:tc>
          <w:tcPr>
            <w:tcW w:w="843" w:type="dxa"/>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81.3</w:t>
            </w:r>
          </w:p>
        </w:tc>
        <w:tc>
          <w:tcPr>
            <w:tcW w:w="833" w:type="dxa"/>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w:t>
            </w:r>
          </w:p>
        </w:tc>
        <w:tc>
          <w:tcPr>
            <w:tcW w:w="1319" w:type="dxa"/>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w:t>
            </w:r>
          </w:p>
        </w:tc>
        <w:tc>
          <w:tcPr>
            <w:tcW w:w="1025" w:type="dxa"/>
            <w:vAlign w:val="bottom"/>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w:t>
            </w:r>
          </w:p>
        </w:tc>
        <w:tc>
          <w:tcPr>
            <w:tcW w:w="1025" w:type="dxa"/>
            <w:vAlign w:val="bottom"/>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w:t>
            </w:r>
          </w:p>
        </w:tc>
      </w:tr>
      <w:tr w:rsidR="0091151B" w:rsidRPr="009E7B3E" w:rsidTr="00D6070A">
        <w:tc>
          <w:tcPr>
            <w:tcW w:w="452" w:type="dxa"/>
            <w:vMerge/>
            <w:vAlign w:val="center"/>
          </w:tcPr>
          <w:p w:rsidR="0091151B" w:rsidRPr="00A7283B" w:rsidRDefault="0091151B" w:rsidP="00B81C31">
            <w:pPr>
              <w:spacing w:after="0" w:line="240" w:lineRule="auto"/>
              <w:jc w:val="center"/>
              <w:rPr>
                <w:rFonts w:ascii="Calibri" w:hAnsi="Calibri"/>
                <w:sz w:val="20"/>
                <w:szCs w:val="20"/>
              </w:rPr>
            </w:pPr>
          </w:p>
        </w:tc>
        <w:tc>
          <w:tcPr>
            <w:tcW w:w="1430" w:type="dxa"/>
            <w:shd w:val="clear" w:color="auto" w:fill="D9D9D9" w:themeFill="background1" w:themeFillShade="D9"/>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PARCC</w:t>
            </w:r>
          </w:p>
        </w:tc>
        <w:tc>
          <w:tcPr>
            <w:tcW w:w="1013" w:type="dxa"/>
            <w:shd w:val="clear" w:color="auto" w:fill="D9D9D9" w:themeFill="background1" w:themeFillShade="D9"/>
            <w:vAlign w:val="bottom"/>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1,553</w:t>
            </w:r>
          </w:p>
        </w:tc>
        <w:tc>
          <w:tcPr>
            <w:tcW w:w="818" w:type="dxa"/>
            <w:shd w:val="clear" w:color="auto" w:fill="D9D9D9" w:themeFill="background1" w:themeFillShade="D9"/>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79.5</w:t>
            </w:r>
          </w:p>
        </w:tc>
        <w:tc>
          <w:tcPr>
            <w:tcW w:w="818" w:type="dxa"/>
            <w:shd w:val="clear" w:color="auto" w:fill="D9D9D9" w:themeFill="background1" w:themeFillShade="D9"/>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80.6</w:t>
            </w:r>
          </w:p>
        </w:tc>
        <w:tc>
          <w:tcPr>
            <w:tcW w:w="843" w:type="dxa"/>
            <w:shd w:val="clear" w:color="auto" w:fill="D9D9D9" w:themeFill="background1" w:themeFillShade="D9"/>
            <w:vAlign w:val="bottom"/>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87.5</w:t>
            </w:r>
          </w:p>
        </w:tc>
        <w:tc>
          <w:tcPr>
            <w:tcW w:w="833" w:type="dxa"/>
            <w:shd w:val="clear" w:color="auto" w:fill="D9D9D9" w:themeFill="background1" w:themeFillShade="D9"/>
            <w:vAlign w:val="bottom"/>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86.9</w:t>
            </w:r>
          </w:p>
        </w:tc>
        <w:tc>
          <w:tcPr>
            <w:tcW w:w="1319" w:type="dxa"/>
            <w:shd w:val="clear" w:color="auto" w:fill="D9D9D9" w:themeFill="background1" w:themeFillShade="D9"/>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w:t>
            </w:r>
          </w:p>
        </w:tc>
        <w:tc>
          <w:tcPr>
            <w:tcW w:w="1025" w:type="dxa"/>
            <w:shd w:val="clear" w:color="auto" w:fill="D9D9D9" w:themeFill="background1" w:themeFillShade="D9"/>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7.4</w:t>
            </w:r>
          </w:p>
        </w:tc>
        <w:tc>
          <w:tcPr>
            <w:tcW w:w="1025" w:type="dxa"/>
            <w:shd w:val="clear" w:color="auto" w:fill="D9D9D9" w:themeFill="background1" w:themeFillShade="D9"/>
            <w:vAlign w:val="bottom"/>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-0.6</w:t>
            </w:r>
          </w:p>
        </w:tc>
      </w:tr>
      <w:tr w:rsidR="0091151B" w:rsidRPr="009E7B3E" w:rsidTr="00D6070A">
        <w:tc>
          <w:tcPr>
            <w:tcW w:w="452" w:type="dxa"/>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10</w:t>
            </w:r>
          </w:p>
        </w:tc>
        <w:tc>
          <w:tcPr>
            <w:tcW w:w="1430" w:type="dxa"/>
            <w:shd w:val="clear" w:color="auto" w:fill="auto"/>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MCAS</w:t>
            </w:r>
          </w:p>
        </w:tc>
        <w:tc>
          <w:tcPr>
            <w:tcW w:w="1013" w:type="dxa"/>
            <w:shd w:val="clear" w:color="auto" w:fill="auto"/>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1,730</w:t>
            </w:r>
          </w:p>
        </w:tc>
        <w:tc>
          <w:tcPr>
            <w:tcW w:w="818" w:type="dxa"/>
            <w:shd w:val="clear" w:color="auto" w:fill="auto"/>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92.1</w:t>
            </w:r>
          </w:p>
        </w:tc>
        <w:tc>
          <w:tcPr>
            <w:tcW w:w="818" w:type="dxa"/>
            <w:shd w:val="clear" w:color="auto" w:fill="auto"/>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89.6</w:t>
            </w:r>
          </w:p>
        </w:tc>
        <w:tc>
          <w:tcPr>
            <w:tcW w:w="843" w:type="dxa"/>
            <w:shd w:val="clear" w:color="auto" w:fill="auto"/>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92.0</w:t>
            </w:r>
          </w:p>
        </w:tc>
        <w:tc>
          <w:tcPr>
            <w:tcW w:w="833" w:type="dxa"/>
            <w:shd w:val="clear" w:color="auto" w:fill="auto"/>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92.7</w:t>
            </w:r>
          </w:p>
        </w:tc>
        <w:tc>
          <w:tcPr>
            <w:tcW w:w="1319" w:type="dxa"/>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96.7</w:t>
            </w:r>
          </w:p>
        </w:tc>
        <w:tc>
          <w:tcPr>
            <w:tcW w:w="1025" w:type="dxa"/>
            <w:shd w:val="clear" w:color="auto" w:fill="auto"/>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0.6</w:t>
            </w:r>
          </w:p>
        </w:tc>
        <w:tc>
          <w:tcPr>
            <w:tcW w:w="1025" w:type="dxa"/>
            <w:shd w:val="clear" w:color="auto" w:fill="auto"/>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0.7</w:t>
            </w:r>
          </w:p>
        </w:tc>
      </w:tr>
      <w:tr w:rsidR="0091151B" w:rsidRPr="009E7B3E" w:rsidTr="00D6070A">
        <w:tc>
          <w:tcPr>
            <w:tcW w:w="452" w:type="dxa"/>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All</w:t>
            </w:r>
          </w:p>
        </w:tc>
        <w:tc>
          <w:tcPr>
            <w:tcW w:w="1430" w:type="dxa"/>
            <w:shd w:val="clear" w:color="auto" w:fill="D9D9D9" w:themeFill="background1" w:themeFillShade="D9"/>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MCAS/PARCC</w:t>
            </w:r>
          </w:p>
        </w:tc>
        <w:tc>
          <w:tcPr>
            <w:tcW w:w="1013" w:type="dxa"/>
            <w:shd w:val="clear" w:color="auto" w:fill="D9D9D9" w:themeFill="background1" w:themeFillShade="D9"/>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12,107</w:t>
            </w:r>
          </w:p>
        </w:tc>
        <w:tc>
          <w:tcPr>
            <w:tcW w:w="818" w:type="dxa"/>
            <w:shd w:val="clear" w:color="auto" w:fill="D9D9D9" w:themeFill="background1" w:themeFillShade="D9"/>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77.1</w:t>
            </w:r>
          </w:p>
        </w:tc>
        <w:tc>
          <w:tcPr>
            <w:tcW w:w="818" w:type="dxa"/>
            <w:shd w:val="clear" w:color="auto" w:fill="D9D9D9" w:themeFill="background1" w:themeFillShade="D9"/>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77.1</w:t>
            </w:r>
          </w:p>
        </w:tc>
        <w:tc>
          <w:tcPr>
            <w:tcW w:w="843" w:type="dxa"/>
            <w:shd w:val="clear" w:color="auto" w:fill="D9D9D9" w:themeFill="background1" w:themeFillShade="D9"/>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77.9</w:t>
            </w:r>
          </w:p>
        </w:tc>
        <w:tc>
          <w:tcPr>
            <w:tcW w:w="833" w:type="dxa"/>
            <w:shd w:val="clear" w:color="auto" w:fill="D9D9D9" w:themeFill="background1" w:themeFillShade="D9"/>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79.5</w:t>
            </w:r>
          </w:p>
        </w:tc>
        <w:tc>
          <w:tcPr>
            <w:tcW w:w="1319" w:type="dxa"/>
            <w:shd w:val="clear" w:color="auto" w:fill="D9D9D9" w:themeFill="background1" w:themeFillShade="D9"/>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87.2</w:t>
            </w:r>
          </w:p>
        </w:tc>
        <w:tc>
          <w:tcPr>
            <w:tcW w:w="1025" w:type="dxa"/>
            <w:shd w:val="clear" w:color="auto" w:fill="D9D9D9" w:themeFill="background1" w:themeFillShade="D9"/>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2.4</w:t>
            </w:r>
          </w:p>
        </w:tc>
        <w:tc>
          <w:tcPr>
            <w:tcW w:w="1025" w:type="dxa"/>
            <w:shd w:val="clear" w:color="auto" w:fill="D9D9D9" w:themeFill="background1" w:themeFillShade="D9"/>
            <w:vAlign w:val="center"/>
          </w:tcPr>
          <w:p w:rsidR="0091151B" w:rsidRPr="00A7283B" w:rsidRDefault="0091151B" w:rsidP="00B81C31">
            <w:pPr>
              <w:spacing w:after="0" w:line="240" w:lineRule="auto"/>
              <w:jc w:val="center"/>
              <w:rPr>
                <w:rFonts w:ascii="Calibri" w:hAnsi="Calibri"/>
                <w:sz w:val="20"/>
                <w:szCs w:val="20"/>
              </w:rPr>
            </w:pPr>
            <w:r w:rsidRPr="00A7283B">
              <w:rPr>
                <w:rFonts w:ascii="Calibri" w:hAnsi="Calibri"/>
                <w:sz w:val="20"/>
                <w:szCs w:val="20"/>
              </w:rPr>
              <w:t>1.6</w:t>
            </w:r>
          </w:p>
        </w:tc>
      </w:tr>
    </w:tbl>
    <w:p w:rsidR="0091151B" w:rsidRDefault="0091151B" w:rsidP="0091151B">
      <w:pPr>
        <w:spacing w:after="0" w:line="240" w:lineRule="auto"/>
        <w:rPr>
          <w:rFonts w:eastAsia="Times New Roman" w:cs="Times New Roman"/>
          <w:b/>
        </w:rPr>
      </w:pPr>
    </w:p>
    <w:p w:rsidR="001601B3" w:rsidRDefault="001601B3" w:rsidP="0091151B">
      <w:pPr>
        <w:spacing w:after="0" w:line="240" w:lineRule="auto"/>
        <w:rPr>
          <w:rFonts w:eastAsia="Times New Roman" w:cs="Times New Roman"/>
          <w:b/>
        </w:rPr>
      </w:pPr>
    </w:p>
    <w:p w:rsidR="0091151B" w:rsidRDefault="0091151B" w:rsidP="0091151B">
      <w:pPr>
        <w:spacing w:after="0" w:line="240" w:lineRule="auto"/>
        <w:rPr>
          <w:b/>
        </w:rPr>
      </w:pPr>
      <w:r w:rsidRPr="008502EB">
        <w:rPr>
          <w:b/>
        </w:rPr>
        <w:t xml:space="preserve">Between 2013 and 2016, ELA CPI improved by 0.2 to 20.7 points in 20 of 33 elementary schools with reportable data.  ELA CPI improved in all 4 middle schools by 1.9 to 7.1 points and declined in both middle-high schools by 0.5 and 1.5 points.  ELA CPI improved </w:t>
      </w:r>
      <w:r w:rsidR="00161A9E" w:rsidRPr="008502EB">
        <w:rPr>
          <w:b/>
        </w:rPr>
        <w:t xml:space="preserve">by 0.4 to 1.8 points </w:t>
      </w:r>
      <w:r w:rsidRPr="008502EB">
        <w:rPr>
          <w:b/>
        </w:rPr>
        <w:t>in 4 of the 5 high schools.</w:t>
      </w:r>
    </w:p>
    <w:p w:rsidR="001601B3" w:rsidRPr="008502EB" w:rsidRDefault="001601B3" w:rsidP="0091151B">
      <w:pPr>
        <w:spacing w:after="0" w:line="240" w:lineRule="auto"/>
        <w:rPr>
          <w:b/>
        </w:rPr>
      </w:pPr>
    </w:p>
    <w:p w:rsidR="0091151B" w:rsidRPr="008502EB" w:rsidRDefault="0091151B" w:rsidP="0091151B">
      <w:pPr>
        <w:numPr>
          <w:ilvl w:val="0"/>
          <w:numId w:val="62"/>
        </w:numPr>
        <w:spacing w:after="0" w:line="240" w:lineRule="auto"/>
        <w:contextualSpacing/>
      </w:pPr>
      <w:r w:rsidRPr="008502EB">
        <w:t xml:space="preserve">ELA CPI for high needs students improved by 0.7 to 20.6 points in 19 </w:t>
      </w:r>
      <w:r w:rsidR="00E90ED4">
        <w:t>of</w:t>
      </w:r>
      <w:r w:rsidR="00E90ED4" w:rsidRPr="008502EB">
        <w:t xml:space="preserve"> </w:t>
      </w:r>
      <w:r w:rsidRPr="008502EB">
        <w:t xml:space="preserve">33 elementary schools with reportable data.  ELA CPI improved </w:t>
      </w:r>
      <w:r w:rsidR="00161A9E" w:rsidRPr="008502EB">
        <w:t xml:space="preserve">by 1.3 to 6.0 points </w:t>
      </w:r>
      <w:r w:rsidRPr="008502EB">
        <w:t xml:space="preserve">in 3 of 4 middle schools and declined </w:t>
      </w:r>
      <w:r w:rsidR="00161A9E" w:rsidRPr="008502EB">
        <w:t xml:space="preserve">by 2.1 and 3.6 points </w:t>
      </w:r>
      <w:r w:rsidRPr="008502EB">
        <w:t xml:space="preserve">in both middle-high schools. </w:t>
      </w:r>
      <w:r w:rsidR="00E434F6" w:rsidRPr="008502EB">
        <w:t xml:space="preserve">ELA CPI </w:t>
      </w:r>
      <w:r w:rsidR="00E434F6">
        <w:t>for high needs students</w:t>
      </w:r>
      <w:r w:rsidRPr="008502EB">
        <w:t xml:space="preserve"> improved </w:t>
      </w:r>
      <w:r w:rsidR="00161A9E" w:rsidRPr="008502EB">
        <w:t xml:space="preserve">by 0.8 to 2.2 points </w:t>
      </w:r>
      <w:r w:rsidRPr="008502EB">
        <w:t>in 3 of 5 high schools.</w:t>
      </w:r>
    </w:p>
    <w:p w:rsidR="0091151B" w:rsidRPr="008502EB" w:rsidRDefault="0091151B" w:rsidP="0091151B">
      <w:pPr>
        <w:numPr>
          <w:ilvl w:val="0"/>
          <w:numId w:val="62"/>
        </w:numPr>
        <w:spacing w:after="0" w:line="240" w:lineRule="auto"/>
        <w:contextualSpacing/>
      </w:pPr>
      <w:r w:rsidRPr="008502EB">
        <w:t xml:space="preserve">ELA CPI for English language learners improved </w:t>
      </w:r>
      <w:r w:rsidR="00161A9E" w:rsidRPr="008502EB">
        <w:t xml:space="preserve">by 1.9 to 24.2 points </w:t>
      </w:r>
      <w:r w:rsidRPr="008502EB">
        <w:t>in 19 of the 33 elementary schools with reportable data.</w:t>
      </w:r>
      <w:r w:rsidRPr="008502EB">
        <w:rPr>
          <w:b/>
        </w:rPr>
        <w:t xml:space="preserve">  </w:t>
      </w:r>
      <w:r w:rsidRPr="008502EB">
        <w:t xml:space="preserve">ELA CPI improved </w:t>
      </w:r>
      <w:r w:rsidR="00161A9E" w:rsidRPr="008502EB">
        <w:t xml:space="preserve">by 0.2 to 5.8 points </w:t>
      </w:r>
      <w:r w:rsidRPr="008502EB">
        <w:t xml:space="preserve">in 3 of the 4 middle schools and declined in both middle-high schools by 2.3 and 5.1 points.  ELA CPI </w:t>
      </w:r>
      <w:r w:rsidR="00E434F6">
        <w:t xml:space="preserve">for </w:t>
      </w:r>
      <w:r w:rsidR="00E434F6" w:rsidRPr="008502EB">
        <w:t xml:space="preserve">English language learners </w:t>
      </w:r>
      <w:r w:rsidRPr="008502EB">
        <w:t xml:space="preserve">declined </w:t>
      </w:r>
      <w:r w:rsidR="00161A9E" w:rsidRPr="008502EB">
        <w:t xml:space="preserve">by 2.3 and 5.1 points </w:t>
      </w:r>
      <w:r w:rsidRPr="008502EB">
        <w:t>in 3 of 5 high schools.</w:t>
      </w:r>
    </w:p>
    <w:p w:rsidR="0091151B" w:rsidRDefault="0091151B" w:rsidP="0091151B">
      <w:pPr>
        <w:numPr>
          <w:ilvl w:val="0"/>
          <w:numId w:val="62"/>
        </w:numPr>
        <w:spacing w:after="0" w:line="240" w:lineRule="auto"/>
        <w:contextualSpacing/>
      </w:pPr>
      <w:r w:rsidRPr="008502EB">
        <w:t xml:space="preserve">ELA CPI for students with disabilities improved by 1.0 to 24.3 points in 21 of the 32 elementary schools with reportable data. </w:t>
      </w:r>
      <w:r w:rsidRPr="008502EB">
        <w:rPr>
          <w:b/>
        </w:rPr>
        <w:t xml:space="preserve"> </w:t>
      </w:r>
      <w:r w:rsidRPr="008502EB">
        <w:t xml:space="preserve">ELA CPI improved </w:t>
      </w:r>
      <w:r w:rsidR="00161A9E" w:rsidRPr="008502EB">
        <w:t xml:space="preserve">by 6.4 to 7.5 points </w:t>
      </w:r>
      <w:r w:rsidRPr="008502EB">
        <w:t xml:space="preserve">in all 4 middle schools and </w:t>
      </w:r>
      <w:r w:rsidRPr="008502EB">
        <w:lastRenderedPageBreak/>
        <w:t xml:space="preserve">improved </w:t>
      </w:r>
      <w:r w:rsidR="00161A9E" w:rsidRPr="008502EB">
        <w:t xml:space="preserve">by 9.2 points </w:t>
      </w:r>
      <w:r w:rsidRPr="008502EB">
        <w:t xml:space="preserve">in one middle-high school. ELA CPI </w:t>
      </w:r>
      <w:r w:rsidR="00E434F6">
        <w:t>for s</w:t>
      </w:r>
      <w:r w:rsidR="00E434F6" w:rsidRPr="008502EB">
        <w:t>tudents with disabilities</w:t>
      </w:r>
      <w:r w:rsidR="00E434F6">
        <w:t xml:space="preserve"> </w:t>
      </w:r>
      <w:r w:rsidR="0010596A">
        <w:t xml:space="preserve">improved </w:t>
      </w:r>
      <w:r w:rsidR="00161A9E" w:rsidRPr="008502EB">
        <w:t xml:space="preserve">by 3.1 to 10.6 points </w:t>
      </w:r>
      <w:r w:rsidRPr="008502EB">
        <w:t>in all 5 high schools.</w:t>
      </w:r>
    </w:p>
    <w:p w:rsidR="0010596A" w:rsidRPr="008502EB" w:rsidRDefault="0010596A" w:rsidP="00090DBD">
      <w:pPr>
        <w:spacing w:after="0" w:line="240" w:lineRule="auto"/>
        <w:ind w:left="360"/>
        <w:contextualSpacing/>
      </w:pPr>
    </w:p>
    <w:p w:rsidR="0091151B" w:rsidRPr="008502EB" w:rsidRDefault="0091151B" w:rsidP="0091151B">
      <w:pPr>
        <w:spacing w:after="0" w:line="240" w:lineRule="auto"/>
      </w:pPr>
      <w:r w:rsidRPr="00F87053">
        <w:rPr>
          <w:b/>
        </w:rPr>
        <w:t>For ELA Composite Performance Index (CPI) by school and subgroup, 2013–2016, see Appendix B, Table B3.</w:t>
      </w:r>
    </w:p>
    <w:p w:rsidR="0091151B" w:rsidRPr="008502EB" w:rsidRDefault="0091151B" w:rsidP="0091151B">
      <w:pPr>
        <w:spacing w:after="0" w:line="240" w:lineRule="auto"/>
        <w:rPr>
          <w:rFonts w:eastAsia="Times New Roman" w:cs="Times New Roman"/>
          <w:b/>
        </w:rPr>
      </w:pPr>
    </w:p>
    <w:p w:rsidR="0091151B" w:rsidRPr="008502EB" w:rsidRDefault="0091151B" w:rsidP="0091151B">
      <w:pPr>
        <w:spacing w:after="0" w:line="240" w:lineRule="auto"/>
      </w:pPr>
      <w:r w:rsidRPr="008502EB">
        <w:rPr>
          <w:b/>
        </w:rPr>
        <w:t xml:space="preserve">The percentage of students meeting or exceeding expectations in </w:t>
      </w:r>
      <w:r w:rsidRPr="001A2167">
        <w:rPr>
          <w:b/>
        </w:rPr>
        <w:t xml:space="preserve">ELA on the PARCC assessment ranged from 15 </w:t>
      </w:r>
      <w:r w:rsidR="00161A9E">
        <w:rPr>
          <w:b/>
        </w:rPr>
        <w:t xml:space="preserve">percent </w:t>
      </w:r>
      <w:r w:rsidRPr="001A2167">
        <w:rPr>
          <w:b/>
        </w:rPr>
        <w:t>to 91 percent in the 3</w:t>
      </w:r>
      <w:r w:rsidRPr="001A2167">
        <w:rPr>
          <w:b/>
          <w:vertAlign w:val="superscript"/>
        </w:rPr>
        <w:t>rd</w:t>
      </w:r>
      <w:r w:rsidRPr="001A2167">
        <w:rPr>
          <w:b/>
        </w:rPr>
        <w:t xml:space="preserve"> grade, from 6 </w:t>
      </w:r>
      <w:r w:rsidR="00161A9E">
        <w:rPr>
          <w:b/>
        </w:rPr>
        <w:t xml:space="preserve">percent </w:t>
      </w:r>
      <w:r w:rsidRPr="001A2167">
        <w:rPr>
          <w:b/>
        </w:rPr>
        <w:t>to 83 percen</w:t>
      </w:r>
      <w:r w:rsidRPr="008502EB">
        <w:rPr>
          <w:b/>
        </w:rPr>
        <w:t>t in the 4</w:t>
      </w:r>
      <w:r w:rsidRPr="008502EB">
        <w:rPr>
          <w:b/>
          <w:vertAlign w:val="superscript"/>
        </w:rPr>
        <w:t>th</w:t>
      </w:r>
      <w:r w:rsidRPr="008502EB">
        <w:rPr>
          <w:b/>
        </w:rPr>
        <w:t xml:space="preserve"> grade, from 9 </w:t>
      </w:r>
      <w:r w:rsidR="00161A9E">
        <w:rPr>
          <w:b/>
        </w:rPr>
        <w:t xml:space="preserve">percent </w:t>
      </w:r>
      <w:r w:rsidRPr="008502EB">
        <w:rPr>
          <w:b/>
        </w:rPr>
        <w:t>to 85 percent in the 5</w:t>
      </w:r>
      <w:r w:rsidRPr="008502EB">
        <w:rPr>
          <w:b/>
          <w:vertAlign w:val="superscript"/>
        </w:rPr>
        <w:t>th</w:t>
      </w:r>
      <w:r w:rsidRPr="008502EB">
        <w:rPr>
          <w:b/>
        </w:rPr>
        <w:t xml:space="preserve"> grade, from 18 </w:t>
      </w:r>
      <w:r w:rsidR="00161A9E">
        <w:rPr>
          <w:b/>
        </w:rPr>
        <w:t xml:space="preserve">percent </w:t>
      </w:r>
      <w:r w:rsidRPr="008502EB">
        <w:rPr>
          <w:b/>
        </w:rPr>
        <w:t>to 100 percent in the 6</w:t>
      </w:r>
      <w:r w:rsidRPr="008502EB">
        <w:rPr>
          <w:b/>
          <w:vertAlign w:val="superscript"/>
        </w:rPr>
        <w:t>th</w:t>
      </w:r>
      <w:r w:rsidRPr="008502EB">
        <w:rPr>
          <w:b/>
        </w:rPr>
        <w:t xml:space="preserve"> grade, from 27 </w:t>
      </w:r>
      <w:r w:rsidR="00161A9E">
        <w:rPr>
          <w:b/>
        </w:rPr>
        <w:t xml:space="preserve">percent </w:t>
      </w:r>
      <w:r w:rsidRPr="008502EB">
        <w:rPr>
          <w:b/>
        </w:rPr>
        <w:t>to 53 percent in the 7</w:t>
      </w:r>
      <w:r w:rsidRPr="008502EB">
        <w:rPr>
          <w:b/>
          <w:vertAlign w:val="superscript"/>
        </w:rPr>
        <w:t>th</w:t>
      </w:r>
      <w:r w:rsidRPr="008502EB">
        <w:rPr>
          <w:b/>
        </w:rPr>
        <w:t xml:space="preserve"> grade, and from 31 </w:t>
      </w:r>
      <w:r w:rsidR="00161A9E">
        <w:rPr>
          <w:b/>
        </w:rPr>
        <w:t xml:space="preserve">percent </w:t>
      </w:r>
      <w:r w:rsidRPr="008502EB">
        <w:rPr>
          <w:b/>
        </w:rPr>
        <w:t>to 60 percent in the 8</w:t>
      </w:r>
      <w:r w:rsidRPr="008502EB">
        <w:rPr>
          <w:b/>
          <w:vertAlign w:val="superscript"/>
        </w:rPr>
        <w:t>th</w:t>
      </w:r>
      <w:r w:rsidRPr="008502EB">
        <w:rPr>
          <w:b/>
        </w:rPr>
        <w:t xml:space="preserve"> grade. </w:t>
      </w:r>
    </w:p>
    <w:p w:rsidR="0091151B" w:rsidRPr="008502EB" w:rsidRDefault="0091151B" w:rsidP="0091151B">
      <w:pPr>
        <w:spacing w:after="0" w:line="240" w:lineRule="auto"/>
      </w:pPr>
    </w:p>
    <w:tbl>
      <w:tblPr>
        <w:tblStyle w:val="TableGrid16"/>
        <w:tblW w:w="0" w:type="auto"/>
        <w:tblInd w:w="18" w:type="dxa"/>
        <w:tblLayout w:type="fixed"/>
        <w:tblLook w:val="04A0"/>
      </w:tblPr>
      <w:tblGrid>
        <w:gridCol w:w="3330"/>
        <w:gridCol w:w="778"/>
        <w:gridCol w:w="779"/>
        <w:gridCol w:w="778"/>
        <w:gridCol w:w="779"/>
        <w:gridCol w:w="778"/>
        <w:gridCol w:w="779"/>
        <w:gridCol w:w="1539"/>
      </w:tblGrid>
      <w:tr w:rsidR="0091151B" w:rsidRPr="008502EB" w:rsidTr="0091151B">
        <w:tc>
          <w:tcPr>
            <w:tcW w:w="9540" w:type="dxa"/>
            <w:gridSpan w:val="8"/>
            <w:tcBorders>
              <w:top w:val="nil"/>
              <w:left w:val="nil"/>
              <w:right w:val="nil"/>
            </w:tcBorders>
            <w:shd w:val="clear" w:color="auto" w:fill="auto"/>
          </w:tcPr>
          <w:p w:rsidR="0091151B" w:rsidRPr="008502EB" w:rsidRDefault="0091151B" w:rsidP="00217963">
            <w:pPr>
              <w:spacing w:after="0" w:line="240" w:lineRule="auto"/>
              <w:jc w:val="center"/>
              <w:rPr>
                <w:rFonts w:eastAsia="Times New Roman" w:cs="Times New Roman"/>
                <w:b/>
                <w:sz w:val="20"/>
                <w:szCs w:val="20"/>
              </w:rPr>
            </w:pPr>
            <w:r w:rsidRPr="008502EB">
              <w:rPr>
                <w:rFonts w:eastAsia="Times New Roman" w:cs="Times New Roman"/>
                <w:b/>
                <w:sz w:val="20"/>
                <w:szCs w:val="20"/>
              </w:rPr>
              <w:t xml:space="preserve">Table </w:t>
            </w:r>
            <w:r w:rsidR="005C7DC2">
              <w:rPr>
                <w:rFonts w:eastAsia="Times New Roman" w:cs="Times New Roman"/>
                <w:b/>
                <w:sz w:val="20"/>
                <w:szCs w:val="20"/>
              </w:rPr>
              <w:t>11</w:t>
            </w:r>
            <w:r w:rsidRPr="008502EB">
              <w:rPr>
                <w:rFonts w:eastAsia="Times New Roman" w:cs="Times New Roman"/>
                <w:b/>
                <w:sz w:val="20"/>
                <w:szCs w:val="20"/>
              </w:rPr>
              <w:t>: Worcester Public Schools</w:t>
            </w:r>
          </w:p>
          <w:p w:rsidR="0091151B" w:rsidRPr="008502EB" w:rsidRDefault="0091151B" w:rsidP="008E5E43">
            <w:pPr>
              <w:spacing w:after="0" w:line="240" w:lineRule="auto"/>
              <w:jc w:val="center"/>
              <w:rPr>
                <w:rFonts w:eastAsia="Times New Roman" w:cs="Times New Roman"/>
                <w:b/>
                <w:sz w:val="20"/>
                <w:szCs w:val="20"/>
              </w:rPr>
            </w:pPr>
            <w:r w:rsidRPr="008502EB">
              <w:rPr>
                <w:rFonts w:eastAsia="Times New Roman" w:cs="Times New Roman"/>
                <w:b/>
                <w:sz w:val="20"/>
                <w:szCs w:val="20"/>
              </w:rPr>
              <w:t>ELA Meeting or Exceeding Expectations by School and Grade 2015</w:t>
            </w:r>
            <w:r w:rsidR="008E5E43">
              <w:rPr>
                <w:rFonts w:eastAsia="Times New Roman" w:cs="Times New Roman"/>
                <w:b/>
                <w:sz w:val="20"/>
                <w:szCs w:val="20"/>
              </w:rPr>
              <w:t>–</w:t>
            </w:r>
            <w:r w:rsidRPr="008502EB">
              <w:rPr>
                <w:rFonts w:eastAsia="Times New Roman" w:cs="Times New Roman"/>
                <w:b/>
                <w:sz w:val="20"/>
                <w:szCs w:val="20"/>
              </w:rPr>
              <w:t>2016</w:t>
            </w:r>
          </w:p>
        </w:tc>
      </w:tr>
      <w:tr w:rsidR="0091151B" w:rsidRPr="008502EB" w:rsidTr="0091151B">
        <w:tc>
          <w:tcPr>
            <w:tcW w:w="3330" w:type="dxa"/>
            <w:shd w:val="clear" w:color="auto" w:fill="D9D9D9" w:themeFill="background1" w:themeFillShade="D9"/>
          </w:tcPr>
          <w:p w:rsidR="0091151B" w:rsidRPr="008502EB" w:rsidRDefault="0091151B" w:rsidP="0048725E">
            <w:pPr>
              <w:spacing w:after="0" w:line="240" w:lineRule="auto"/>
              <w:rPr>
                <w:rFonts w:eastAsia="Times New Roman" w:cs="Times New Roman"/>
                <w:b/>
                <w:sz w:val="20"/>
                <w:szCs w:val="20"/>
              </w:rPr>
            </w:pPr>
            <w:r w:rsidRPr="008502EB">
              <w:rPr>
                <w:rFonts w:eastAsia="Times New Roman" w:cs="Times New Roman"/>
                <w:b/>
                <w:sz w:val="20"/>
                <w:szCs w:val="20"/>
              </w:rPr>
              <w:t>School</w:t>
            </w:r>
          </w:p>
        </w:tc>
        <w:tc>
          <w:tcPr>
            <w:tcW w:w="778" w:type="dxa"/>
            <w:shd w:val="clear" w:color="auto" w:fill="D9D9D9" w:themeFill="background1" w:themeFillShade="D9"/>
          </w:tcPr>
          <w:p w:rsidR="0091151B" w:rsidRPr="008502EB" w:rsidRDefault="0091151B" w:rsidP="0048725E">
            <w:pPr>
              <w:spacing w:after="0" w:line="240" w:lineRule="auto"/>
              <w:jc w:val="center"/>
              <w:rPr>
                <w:rFonts w:eastAsia="Times New Roman" w:cs="Times New Roman"/>
                <w:b/>
                <w:sz w:val="20"/>
                <w:szCs w:val="20"/>
              </w:rPr>
            </w:pPr>
            <w:r w:rsidRPr="008502EB">
              <w:rPr>
                <w:rFonts w:eastAsia="Times New Roman" w:cs="Times New Roman"/>
                <w:b/>
                <w:sz w:val="20"/>
                <w:szCs w:val="20"/>
              </w:rPr>
              <w:t>3</w:t>
            </w:r>
          </w:p>
        </w:tc>
        <w:tc>
          <w:tcPr>
            <w:tcW w:w="779" w:type="dxa"/>
            <w:shd w:val="clear" w:color="auto" w:fill="D9D9D9" w:themeFill="background1" w:themeFillShade="D9"/>
          </w:tcPr>
          <w:p w:rsidR="0091151B" w:rsidRPr="008502EB" w:rsidRDefault="0091151B" w:rsidP="0048725E">
            <w:pPr>
              <w:spacing w:after="0" w:line="240" w:lineRule="auto"/>
              <w:jc w:val="center"/>
              <w:rPr>
                <w:rFonts w:eastAsia="Times New Roman" w:cs="Times New Roman"/>
                <w:b/>
                <w:sz w:val="20"/>
                <w:szCs w:val="20"/>
              </w:rPr>
            </w:pPr>
            <w:r w:rsidRPr="008502EB">
              <w:rPr>
                <w:rFonts w:eastAsia="Times New Roman" w:cs="Times New Roman"/>
                <w:b/>
                <w:sz w:val="20"/>
                <w:szCs w:val="20"/>
              </w:rPr>
              <w:t>4</w:t>
            </w:r>
          </w:p>
        </w:tc>
        <w:tc>
          <w:tcPr>
            <w:tcW w:w="778" w:type="dxa"/>
            <w:shd w:val="clear" w:color="auto" w:fill="D9D9D9" w:themeFill="background1" w:themeFillShade="D9"/>
          </w:tcPr>
          <w:p w:rsidR="0091151B" w:rsidRPr="008502EB" w:rsidRDefault="0091151B" w:rsidP="0048725E">
            <w:pPr>
              <w:spacing w:after="0" w:line="240" w:lineRule="auto"/>
              <w:jc w:val="center"/>
              <w:rPr>
                <w:rFonts w:eastAsia="Times New Roman" w:cs="Times New Roman"/>
                <w:b/>
                <w:sz w:val="20"/>
                <w:szCs w:val="20"/>
              </w:rPr>
            </w:pPr>
            <w:r w:rsidRPr="008502EB">
              <w:rPr>
                <w:rFonts w:eastAsia="Times New Roman" w:cs="Times New Roman"/>
                <w:b/>
                <w:sz w:val="20"/>
                <w:szCs w:val="20"/>
              </w:rPr>
              <w:t>5</w:t>
            </w:r>
          </w:p>
        </w:tc>
        <w:tc>
          <w:tcPr>
            <w:tcW w:w="779" w:type="dxa"/>
            <w:shd w:val="clear" w:color="auto" w:fill="D9D9D9" w:themeFill="background1" w:themeFillShade="D9"/>
          </w:tcPr>
          <w:p w:rsidR="0091151B" w:rsidRPr="008502EB" w:rsidRDefault="0091151B" w:rsidP="0048725E">
            <w:pPr>
              <w:spacing w:after="0" w:line="240" w:lineRule="auto"/>
              <w:jc w:val="center"/>
              <w:rPr>
                <w:rFonts w:eastAsia="Times New Roman" w:cs="Times New Roman"/>
                <w:b/>
                <w:sz w:val="20"/>
                <w:szCs w:val="20"/>
              </w:rPr>
            </w:pPr>
            <w:r w:rsidRPr="008502EB">
              <w:rPr>
                <w:rFonts w:eastAsia="Times New Roman" w:cs="Times New Roman"/>
                <w:b/>
                <w:sz w:val="20"/>
                <w:szCs w:val="20"/>
              </w:rPr>
              <w:t>6</w:t>
            </w:r>
          </w:p>
        </w:tc>
        <w:tc>
          <w:tcPr>
            <w:tcW w:w="778" w:type="dxa"/>
            <w:shd w:val="clear" w:color="auto" w:fill="D9D9D9" w:themeFill="background1" w:themeFillShade="D9"/>
          </w:tcPr>
          <w:p w:rsidR="0091151B" w:rsidRPr="008502EB" w:rsidRDefault="0091151B" w:rsidP="0048725E">
            <w:pPr>
              <w:spacing w:after="0" w:line="240" w:lineRule="auto"/>
              <w:jc w:val="center"/>
              <w:rPr>
                <w:rFonts w:eastAsia="Times New Roman" w:cs="Times New Roman"/>
                <w:b/>
                <w:sz w:val="20"/>
                <w:szCs w:val="20"/>
              </w:rPr>
            </w:pPr>
            <w:r w:rsidRPr="008502EB">
              <w:rPr>
                <w:rFonts w:eastAsia="Times New Roman" w:cs="Times New Roman"/>
                <w:b/>
                <w:sz w:val="20"/>
                <w:szCs w:val="20"/>
              </w:rPr>
              <w:t>7</w:t>
            </w:r>
          </w:p>
        </w:tc>
        <w:tc>
          <w:tcPr>
            <w:tcW w:w="779" w:type="dxa"/>
            <w:shd w:val="clear" w:color="auto" w:fill="D9D9D9" w:themeFill="background1" w:themeFillShade="D9"/>
          </w:tcPr>
          <w:p w:rsidR="0091151B" w:rsidRPr="008502EB" w:rsidRDefault="0091151B" w:rsidP="0048725E">
            <w:pPr>
              <w:spacing w:after="0" w:line="240" w:lineRule="auto"/>
              <w:jc w:val="center"/>
              <w:rPr>
                <w:rFonts w:eastAsia="Times New Roman" w:cs="Times New Roman"/>
                <w:b/>
                <w:sz w:val="20"/>
                <w:szCs w:val="20"/>
              </w:rPr>
            </w:pPr>
            <w:r w:rsidRPr="008502EB">
              <w:rPr>
                <w:rFonts w:eastAsia="Times New Roman" w:cs="Times New Roman"/>
                <w:b/>
                <w:sz w:val="20"/>
                <w:szCs w:val="20"/>
              </w:rPr>
              <w:t>8</w:t>
            </w:r>
          </w:p>
        </w:tc>
        <w:tc>
          <w:tcPr>
            <w:tcW w:w="1539" w:type="dxa"/>
            <w:shd w:val="clear" w:color="auto" w:fill="D9D9D9" w:themeFill="background1" w:themeFillShade="D9"/>
          </w:tcPr>
          <w:p w:rsidR="0091151B" w:rsidRPr="008502EB" w:rsidRDefault="0091151B" w:rsidP="0048725E">
            <w:pPr>
              <w:spacing w:after="0" w:line="240" w:lineRule="auto"/>
              <w:jc w:val="center"/>
              <w:rPr>
                <w:rFonts w:eastAsia="Times New Roman" w:cs="Times New Roman"/>
                <w:b/>
                <w:sz w:val="20"/>
                <w:szCs w:val="20"/>
              </w:rPr>
            </w:pPr>
            <w:r w:rsidRPr="008502EB">
              <w:rPr>
                <w:rFonts w:eastAsia="Times New Roman" w:cs="Times New Roman"/>
                <w:b/>
                <w:sz w:val="20"/>
                <w:szCs w:val="20"/>
              </w:rPr>
              <w:t>Total</w:t>
            </w:r>
          </w:p>
        </w:tc>
      </w:tr>
      <w:tr w:rsidR="0091151B" w:rsidRPr="008502EB" w:rsidTr="0091151B">
        <w:tc>
          <w:tcPr>
            <w:tcW w:w="3330"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 xml:space="preserve">Belmont </w:t>
            </w:r>
            <w:r w:rsidR="00161A9E">
              <w:rPr>
                <w:rFonts w:ascii="Calibri" w:hAnsi="Calibri"/>
                <w:sz w:val="20"/>
                <w:szCs w:val="20"/>
              </w:rPr>
              <w:t xml:space="preserve">Street </w:t>
            </w:r>
            <w:r w:rsidRPr="008502EB">
              <w:rPr>
                <w:rFonts w:ascii="Calibri" w:hAnsi="Calibri"/>
                <w:sz w:val="20"/>
                <w:szCs w:val="20"/>
              </w:rPr>
              <w:t>Community ES</w:t>
            </w:r>
          </w:p>
        </w:tc>
        <w:tc>
          <w:tcPr>
            <w:tcW w:w="778"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15%</w:t>
            </w:r>
          </w:p>
        </w:tc>
        <w:tc>
          <w:tcPr>
            <w:tcW w:w="779"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18%</w:t>
            </w:r>
          </w:p>
        </w:tc>
        <w:tc>
          <w:tcPr>
            <w:tcW w:w="778"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35%</w:t>
            </w:r>
          </w:p>
        </w:tc>
        <w:tc>
          <w:tcPr>
            <w:tcW w:w="779"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34%</w:t>
            </w:r>
          </w:p>
        </w:tc>
        <w:tc>
          <w:tcPr>
            <w:tcW w:w="778"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1539"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25%</w:t>
            </w:r>
          </w:p>
        </w:tc>
      </w:tr>
      <w:tr w:rsidR="0091151B" w:rsidRPr="008502EB" w:rsidTr="0091151B">
        <w:tc>
          <w:tcPr>
            <w:tcW w:w="3330"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Wawecus Road ES</w:t>
            </w:r>
          </w:p>
        </w:tc>
        <w:tc>
          <w:tcPr>
            <w:tcW w:w="778"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15%</w:t>
            </w:r>
          </w:p>
        </w:tc>
        <w:tc>
          <w:tcPr>
            <w:tcW w:w="779"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25%</w:t>
            </w:r>
          </w:p>
        </w:tc>
        <w:tc>
          <w:tcPr>
            <w:tcW w:w="778"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46%</w:t>
            </w:r>
          </w:p>
        </w:tc>
        <w:tc>
          <w:tcPr>
            <w:tcW w:w="779"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42%</w:t>
            </w:r>
          </w:p>
        </w:tc>
        <w:tc>
          <w:tcPr>
            <w:tcW w:w="778"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1539"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31%</w:t>
            </w:r>
          </w:p>
        </w:tc>
      </w:tr>
      <w:tr w:rsidR="0091151B" w:rsidRPr="008502EB" w:rsidTr="0091151B">
        <w:tc>
          <w:tcPr>
            <w:tcW w:w="3330"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Woodland Academy</w:t>
            </w:r>
            <w:r w:rsidR="00F5032B">
              <w:rPr>
                <w:rFonts w:ascii="Calibri" w:hAnsi="Calibri"/>
                <w:sz w:val="20"/>
                <w:szCs w:val="20"/>
              </w:rPr>
              <w:t xml:space="preserve"> ES</w:t>
            </w:r>
          </w:p>
        </w:tc>
        <w:tc>
          <w:tcPr>
            <w:tcW w:w="778"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28%</w:t>
            </w:r>
          </w:p>
        </w:tc>
        <w:tc>
          <w:tcPr>
            <w:tcW w:w="779"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27%</w:t>
            </w:r>
          </w:p>
        </w:tc>
        <w:tc>
          <w:tcPr>
            <w:tcW w:w="778"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39%</w:t>
            </w:r>
          </w:p>
        </w:tc>
        <w:tc>
          <w:tcPr>
            <w:tcW w:w="779"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52%</w:t>
            </w:r>
          </w:p>
        </w:tc>
        <w:tc>
          <w:tcPr>
            <w:tcW w:w="778"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1539"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36%</w:t>
            </w:r>
          </w:p>
        </w:tc>
      </w:tr>
      <w:tr w:rsidR="0091151B" w:rsidRPr="008502EB" w:rsidTr="0091151B">
        <w:tc>
          <w:tcPr>
            <w:tcW w:w="3330"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Chandler Magnet</w:t>
            </w:r>
            <w:r w:rsidR="00F5032B">
              <w:rPr>
                <w:rFonts w:ascii="Calibri" w:hAnsi="Calibri"/>
                <w:sz w:val="20"/>
                <w:szCs w:val="20"/>
              </w:rPr>
              <w:t xml:space="preserve"> ES</w:t>
            </w:r>
          </w:p>
        </w:tc>
        <w:tc>
          <w:tcPr>
            <w:tcW w:w="778"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20%</w:t>
            </w:r>
          </w:p>
        </w:tc>
        <w:tc>
          <w:tcPr>
            <w:tcW w:w="779"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16%</w:t>
            </w:r>
          </w:p>
        </w:tc>
        <w:tc>
          <w:tcPr>
            <w:tcW w:w="778"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9%</w:t>
            </w:r>
          </w:p>
        </w:tc>
        <w:tc>
          <w:tcPr>
            <w:tcW w:w="779"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29%</w:t>
            </w:r>
          </w:p>
        </w:tc>
        <w:tc>
          <w:tcPr>
            <w:tcW w:w="778"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1539"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19%</w:t>
            </w:r>
          </w:p>
        </w:tc>
      </w:tr>
      <w:tr w:rsidR="0091151B" w:rsidRPr="008502EB" w:rsidTr="0091151B">
        <w:tc>
          <w:tcPr>
            <w:tcW w:w="3330" w:type="dxa"/>
            <w:tcBorders>
              <w:bottom w:val="single" w:sz="4" w:space="0" w:color="auto"/>
            </w:tcBorders>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City View ES</w:t>
            </w:r>
          </w:p>
        </w:tc>
        <w:tc>
          <w:tcPr>
            <w:tcW w:w="778" w:type="dxa"/>
            <w:tcBorders>
              <w:bottom w:val="single" w:sz="4" w:space="0" w:color="auto"/>
            </w:tcBorders>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29%</w:t>
            </w:r>
          </w:p>
        </w:tc>
        <w:tc>
          <w:tcPr>
            <w:tcW w:w="779" w:type="dxa"/>
            <w:tcBorders>
              <w:bottom w:val="single" w:sz="4" w:space="0" w:color="auto"/>
            </w:tcBorders>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42%</w:t>
            </w:r>
          </w:p>
        </w:tc>
        <w:tc>
          <w:tcPr>
            <w:tcW w:w="778" w:type="dxa"/>
            <w:tcBorders>
              <w:bottom w:val="single" w:sz="4" w:space="0" w:color="auto"/>
            </w:tcBorders>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42%</w:t>
            </w:r>
          </w:p>
        </w:tc>
        <w:tc>
          <w:tcPr>
            <w:tcW w:w="779" w:type="dxa"/>
            <w:tcBorders>
              <w:bottom w:val="single" w:sz="4" w:space="0" w:color="auto"/>
            </w:tcBorders>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43%</w:t>
            </w:r>
          </w:p>
        </w:tc>
        <w:tc>
          <w:tcPr>
            <w:tcW w:w="778" w:type="dxa"/>
            <w:tcBorders>
              <w:bottom w:val="single" w:sz="4" w:space="0" w:color="auto"/>
            </w:tcBorders>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779" w:type="dxa"/>
            <w:tcBorders>
              <w:bottom w:val="single" w:sz="4" w:space="0" w:color="auto"/>
            </w:tcBorders>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1539" w:type="dxa"/>
            <w:tcBorders>
              <w:bottom w:val="single" w:sz="4" w:space="0" w:color="auto"/>
            </w:tcBorders>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39%</w:t>
            </w:r>
          </w:p>
        </w:tc>
      </w:tr>
      <w:tr w:rsidR="0091151B" w:rsidRPr="008502EB" w:rsidTr="0091151B">
        <w:tc>
          <w:tcPr>
            <w:tcW w:w="3330"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Clark St</w:t>
            </w:r>
            <w:r w:rsidR="00F5032B">
              <w:rPr>
                <w:rFonts w:ascii="Calibri" w:hAnsi="Calibri"/>
                <w:sz w:val="20"/>
                <w:szCs w:val="20"/>
              </w:rPr>
              <w:t>reet</w:t>
            </w:r>
            <w:r w:rsidRPr="008502EB">
              <w:rPr>
                <w:rFonts w:ascii="Calibri" w:hAnsi="Calibri"/>
                <w:sz w:val="20"/>
                <w:szCs w:val="20"/>
              </w:rPr>
              <w:t xml:space="preserve"> Community</w:t>
            </w:r>
            <w:r w:rsidR="00F5032B">
              <w:rPr>
                <w:rFonts w:ascii="Calibri" w:hAnsi="Calibri"/>
                <w:sz w:val="20"/>
                <w:szCs w:val="20"/>
              </w:rPr>
              <w:t xml:space="preserve"> ES</w:t>
            </w:r>
          </w:p>
        </w:tc>
        <w:tc>
          <w:tcPr>
            <w:tcW w:w="778"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36%</w:t>
            </w:r>
          </w:p>
        </w:tc>
        <w:tc>
          <w:tcPr>
            <w:tcW w:w="779"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6%</w:t>
            </w:r>
          </w:p>
        </w:tc>
        <w:tc>
          <w:tcPr>
            <w:tcW w:w="778"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30%</w:t>
            </w:r>
          </w:p>
        </w:tc>
        <w:tc>
          <w:tcPr>
            <w:tcW w:w="779"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28%</w:t>
            </w:r>
          </w:p>
        </w:tc>
        <w:tc>
          <w:tcPr>
            <w:tcW w:w="778"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1539"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24%</w:t>
            </w:r>
          </w:p>
        </w:tc>
      </w:tr>
      <w:tr w:rsidR="0091151B" w:rsidRPr="008502EB" w:rsidTr="0091151B">
        <w:tc>
          <w:tcPr>
            <w:tcW w:w="3330" w:type="dxa"/>
            <w:tcBorders>
              <w:bottom w:val="single" w:sz="4" w:space="0" w:color="auto"/>
            </w:tcBorders>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Columbus Park ES</w:t>
            </w:r>
          </w:p>
        </w:tc>
        <w:tc>
          <w:tcPr>
            <w:tcW w:w="778" w:type="dxa"/>
            <w:tcBorders>
              <w:bottom w:val="single" w:sz="4" w:space="0" w:color="auto"/>
            </w:tcBorders>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37%</w:t>
            </w:r>
          </w:p>
        </w:tc>
        <w:tc>
          <w:tcPr>
            <w:tcW w:w="779" w:type="dxa"/>
            <w:tcBorders>
              <w:bottom w:val="single" w:sz="4" w:space="0" w:color="auto"/>
            </w:tcBorders>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37%</w:t>
            </w:r>
          </w:p>
        </w:tc>
        <w:tc>
          <w:tcPr>
            <w:tcW w:w="778" w:type="dxa"/>
            <w:tcBorders>
              <w:bottom w:val="single" w:sz="4" w:space="0" w:color="auto"/>
            </w:tcBorders>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34%</w:t>
            </w:r>
          </w:p>
        </w:tc>
        <w:tc>
          <w:tcPr>
            <w:tcW w:w="779" w:type="dxa"/>
            <w:tcBorders>
              <w:bottom w:val="single" w:sz="4" w:space="0" w:color="auto"/>
            </w:tcBorders>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37%</w:t>
            </w:r>
          </w:p>
        </w:tc>
        <w:tc>
          <w:tcPr>
            <w:tcW w:w="778" w:type="dxa"/>
            <w:tcBorders>
              <w:bottom w:val="single" w:sz="4" w:space="0" w:color="auto"/>
            </w:tcBorders>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779" w:type="dxa"/>
            <w:tcBorders>
              <w:bottom w:val="single" w:sz="4" w:space="0" w:color="auto"/>
            </w:tcBorders>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1539" w:type="dxa"/>
            <w:tcBorders>
              <w:bottom w:val="single" w:sz="4" w:space="0" w:color="auto"/>
            </w:tcBorders>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36%</w:t>
            </w:r>
          </w:p>
        </w:tc>
      </w:tr>
      <w:tr w:rsidR="0091151B" w:rsidRPr="008502EB" w:rsidTr="0091151B">
        <w:tc>
          <w:tcPr>
            <w:tcW w:w="3330" w:type="dxa"/>
            <w:tcBorders>
              <w:bottom w:val="single" w:sz="4" w:space="0" w:color="auto"/>
            </w:tcBorders>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 xml:space="preserve">Elm Park </w:t>
            </w:r>
            <w:r w:rsidR="00F5032B">
              <w:rPr>
                <w:rFonts w:ascii="Calibri" w:hAnsi="Calibri"/>
                <w:sz w:val="20"/>
                <w:szCs w:val="20"/>
              </w:rPr>
              <w:t xml:space="preserve"> Community ES</w:t>
            </w:r>
          </w:p>
        </w:tc>
        <w:tc>
          <w:tcPr>
            <w:tcW w:w="778" w:type="dxa"/>
            <w:tcBorders>
              <w:bottom w:val="single" w:sz="4" w:space="0" w:color="auto"/>
            </w:tcBorders>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28%</w:t>
            </w:r>
          </w:p>
        </w:tc>
        <w:tc>
          <w:tcPr>
            <w:tcW w:w="779" w:type="dxa"/>
            <w:tcBorders>
              <w:bottom w:val="single" w:sz="4" w:space="0" w:color="auto"/>
            </w:tcBorders>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14%</w:t>
            </w:r>
          </w:p>
        </w:tc>
        <w:tc>
          <w:tcPr>
            <w:tcW w:w="778" w:type="dxa"/>
            <w:tcBorders>
              <w:bottom w:val="single" w:sz="4" w:space="0" w:color="auto"/>
            </w:tcBorders>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21%</w:t>
            </w:r>
          </w:p>
        </w:tc>
        <w:tc>
          <w:tcPr>
            <w:tcW w:w="779" w:type="dxa"/>
            <w:tcBorders>
              <w:bottom w:val="single" w:sz="4" w:space="0" w:color="auto"/>
            </w:tcBorders>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22%</w:t>
            </w:r>
          </w:p>
        </w:tc>
        <w:tc>
          <w:tcPr>
            <w:tcW w:w="778" w:type="dxa"/>
            <w:tcBorders>
              <w:bottom w:val="single" w:sz="4" w:space="0" w:color="auto"/>
            </w:tcBorders>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779" w:type="dxa"/>
            <w:tcBorders>
              <w:bottom w:val="single" w:sz="4" w:space="0" w:color="auto"/>
            </w:tcBorders>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1539" w:type="dxa"/>
            <w:tcBorders>
              <w:bottom w:val="single" w:sz="4" w:space="0" w:color="auto"/>
            </w:tcBorders>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22%</w:t>
            </w:r>
          </w:p>
        </w:tc>
      </w:tr>
      <w:tr w:rsidR="0091151B" w:rsidRPr="008502EB" w:rsidTr="0091151B">
        <w:tc>
          <w:tcPr>
            <w:tcW w:w="3330" w:type="dxa"/>
            <w:tcBorders>
              <w:bottom w:val="single" w:sz="4" w:space="0" w:color="auto"/>
            </w:tcBorders>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Goddard</w:t>
            </w:r>
            <w:r w:rsidR="00F5032B">
              <w:rPr>
                <w:rFonts w:ascii="Calibri" w:hAnsi="Calibri"/>
                <w:sz w:val="20"/>
                <w:szCs w:val="20"/>
              </w:rPr>
              <w:t xml:space="preserve"> ES</w:t>
            </w:r>
          </w:p>
        </w:tc>
        <w:tc>
          <w:tcPr>
            <w:tcW w:w="778" w:type="dxa"/>
            <w:tcBorders>
              <w:bottom w:val="single" w:sz="4" w:space="0" w:color="auto"/>
            </w:tcBorders>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16%</w:t>
            </w:r>
          </w:p>
        </w:tc>
        <w:tc>
          <w:tcPr>
            <w:tcW w:w="779" w:type="dxa"/>
            <w:tcBorders>
              <w:bottom w:val="single" w:sz="4" w:space="0" w:color="auto"/>
            </w:tcBorders>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10%</w:t>
            </w:r>
          </w:p>
        </w:tc>
        <w:tc>
          <w:tcPr>
            <w:tcW w:w="778" w:type="dxa"/>
            <w:tcBorders>
              <w:bottom w:val="single" w:sz="4" w:space="0" w:color="auto"/>
            </w:tcBorders>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38%</w:t>
            </w:r>
          </w:p>
        </w:tc>
        <w:tc>
          <w:tcPr>
            <w:tcW w:w="779" w:type="dxa"/>
            <w:tcBorders>
              <w:bottom w:val="single" w:sz="4" w:space="0" w:color="auto"/>
            </w:tcBorders>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18%</w:t>
            </w:r>
          </w:p>
        </w:tc>
        <w:tc>
          <w:tcPr>
            <w:tcW w:w="778" w:type="dxa"/>
            <w:tcBorders>
              <w:bottom w:val="single" w:sz="4" w:space="0" w:color="auto"/>
            </w:tcBorders>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779" w:type="dxa"/>
            <w:tcBorders>
              <w:bottom w:val="single" w:sz="4" w:space="0" w:color="auto"/>
            </w:tcBorders>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1539" w:type="dxa"/>
            <w:tcBorders>
              <w:bottom w:val="single" w:sz="4" w:space="0" w:color="auto"/>
            </w:tcBorders>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19%</w:t>
            </w:r>
          </w:p>
        </w:tc>
      </w:tr>
      <w:tr w:rsidR="0091151B" w:rsidRPr="008502EB" w:rsidTr="0091151B">
        <w:tc>
          <w:tcPr>
            <w:tcW w:w="3330"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Gates Lane</w:t>
            </w:r>
            <w:r w:rsidR="00F5032B">
              <w:rPr>
                <w:rFonts w:ascii="Calibri" w:hAnsi="Calibri"/>
                <w:sz w:val="20"/>
                <w:szCs w:val="20"/>
              </w:rPr>
              <w:t xml:space="preserve"> ES</w:t>
            </w:r>
          </w:p>
        </w:tc>
        <w:tc>
          <w:tcPr>
            <w:tcW w:w="778"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45%</w:t>
            </w:r>
          </w:p>
        </w:tc>
        <w:tc>
          <w:tcPr>
            <w:tcW w:w="779"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23%</w:t>
            </w:r>
          </w:p>
        </w:tc>
        <w:tc>
          <w:tcPr>
            <w:tcW w:w="778"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34%</w:t>
            </w:r>
          </w:p>
        </w:tc>
        <w:tc>
          <w:tcPr>
            <w:tcW w:w="779"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56%</w:t>
            </w:r>
          </w:p>
        </w:tc>
        <w:tc>
          <w:tcPr>
            <w:tcW w:w="778"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1539"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39%</w:t>
            </w:r>
          </w:p>
        </w:tc>
      </w:tr>
      <w:tr w:rsidR="0091151B" w:rsidRPr="008502EB" w:rsidTr="0091151B">
        <w:tc>
          <w:tcPr>
            <w:tcW w:w="3330"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Grafton Street ES</w:t>
            </w:r>
          </w:p>
        </w:tc>
        <w:tc>
          <w:tcPr>
            <w:tcW w:w="778"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22%</w:t>
            </w:r>
          </w:p>
        </w:tc>
        <w:tc>
          <w:tcPr>
            <w:tcW w:w="779"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14%</w:t>
            </w:r>
          </w:p>
        </w:tc>
        <w:tc>
          <w:tcPr>
            <w:tcW w:w="778"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26%</w:t>
            </w:r>
          </w:p>
        </w:tc>
        <w:tc>
          <w:tcPr>
            <w:tcW w:w="779"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24%</w:t>
            </w:r>
          </w:p>
        </w:tc>
        <w:tc>
          <w:tcPr>
            <w:tcW w:w="778"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1539"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21%</w:t>
            </w:r>
          </w:p>
        </w:tc>
      </w:tr>
      <w:tr w:rsidR="0091151B" w:rsidRPr="008502EB" w:rsidTr="0091151B">
        <w:tc>
          <w:tcPr>
            <w:tcW w:w="3330"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Lake View ES</w:t>
            </w:r>
          </w:p>
        </w:tc>
        <w:tc>
          <w:tcPr>
            <w:tcW w:w="778"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46%</w:t>
            </w:r>
          </w:p>
        </w:tc>
        <w:tc>
          <w:tcPr>
            <w:tcW w:w="779"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47%</w:t>
            </w:r>
          </w:p>
        </w:tc>
        <w:tc>
          <w:tcPr>
            <w:tcW w:w="778"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71%</w:t>
            </w:r>
          </w:p>
        </w:tc>
        <w:tc>
          <w:tcPr>
            <w:tcW w:w="779"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79%</w:t>
            </w:r>
          </w:p>
        </w:tc>
        <w:tc>
          <w:tcPr>
            <w:tcW w:w="778"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1539"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58%</w:t>
            </w:r>
          </w:p>
        </w:tc>
      </w:tr>
      <w:tr w:rsidR="0091151B" w:rsidRPr="008502EB" w:rsidTr="0091151B">
        <w:tc>
          <w:tcPr>
            <w:tcW w:w="3330"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Lincoln Street ES</w:t>
            </w:r>
          </w:p>
        </w:tc>
        <w:tc>
          <w:tcPr>
            <w:tcW w:w="778"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21%</w:t>
            </w:r>
          </w:p>
        </w:tc>
        <w:tc>
          <w:tcPr>
            <w:tcW w:w="779"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19%</w:t>
            </w:r>
          </w:p>
        </w:tc>
        <w:tc>
          <w:tcPr>
            <w:tcW w:w="778"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17%</w:t>
            </w:r>
          </w:p>
        </w:tc>
        <w:tc>
          <w:tcPr>
            <w:tcW w:w="779"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23%</w:t>
            </w:r>
          </w:p>
        </w:tc>
        <w:tc>
          <w:tcPr>
            <w:tcW w:w="778"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1539"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20%</w:t>
            </w:r>
          </w:p>
        </w:tc>
      </w:tr>
      <w:tr w:rsidR="0091151B" w:rsidRPr="008502EB" w:rsidTr="0091151B">
        <w:tc>
          <w:tcPr>
            <w:tcW w:w="3330"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May Street ES</w:t>
            </w:r>
          </w:p>
        </w:tc>
        <w:tc>
          <w:tcPr>
            <w:tcW w:w="778"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44%</w:t>
            </w:r>
          </w:p>
        </w:tc>
        <w:tc>
          <w:tcPr>
            <w:tcW w:w="779"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42%</w:t>
            </w:r>
          </w:p>
        </w:tc>
        <w:tc>
          <w:tcPr>
            <w:tcW w:w="778"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58%</w:t>
            </w:r>
          </w:p>
        </w:tc>
        <w:tc>
          <w:tcPr>
            <w:tcW w:w="779"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52%</w:t>
            </w:r>
          </w:p>
        </w:tc>
        <w:tc>
          <w:tcPr>
            <w:tcW w:w="778"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1539"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49%</w:t>
            </w:r>
          </w:p>
        </w:tc>
      </w:tr>
      <w:tr w:rsidR="0091151B" w:rsidRPr="008502EB" w:rsidTr="0091151B">
        <w:tc>
          <w:tcPr>
            <w:tcW w:w="3330"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McGrath ES</w:t>
            </w:r>
          </w:p>
        </w:tc>
        <w:tc>
          <w:tcPr>
            <w:tcW w:w="778"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33%</w:t>
            </w:r>
          </w:p>
        </w:tc>
        <w:tc>
          <w:tcPr>
            <w:tcW w:w="779"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30%</w:t>
            </w:r>
          </w:p>
        </w:tc>
        <w:tc>
          <w:tcPr>
            <w:tcW w:w="778"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34%</w:t>
            </w:r>
          </w:p>
        </w:tc>
        <w:tc>
          <w:tcPr>
            <w:tcW w:w="779"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50%</w:t>
            </w:r>
          </w:p>
        </w:tc>
        <w:tc>
          <w:tcPr>
            <w:tcW w:w="778"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1539"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37%</w:t>
            </w:r>
          </w:p>
        </w:tc>
      </w:tr>
      <w:tr w:rsidR="0091151B" w:rsidRPr="008502EB" w:rsidTr="0091151B">
        <w:tc>
          <w:tcPr>
            <w:tcW w:w="3330"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Midland Street ES</w:t>
            </w:r>
          </w:p>
        </w:tc>
        <w:tc>
          <w:tcPr>
            <w:tcW w:w="778"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63%</w:t>
            </w:r>
          </w:p>
        </w:tc>
        <w:tc>
          <w:tcPr>
            <w:tcW w:w="779"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63%</w:t>
            </w:r>
          </w:p>
        </w:tc>
        <w:tc>
          <w:tcPr>
            <w:tcW w:w="778"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62%</w:t>
            </w:r>
          </w:p>
        </w:tc>
        <w:tc>
          <w:tcPr>
            <w:tcW w:w="779"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92%</w:t>
            </w:r>
          </w:p>
        </w:tc>
        <w:tc>
          <w:tcPr>
            <w:tcW w:w="778"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1539"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68%</w:t>
            </w:r>
          </w:p>
        </w:tc>
      </w:tr>
      <w:tr w:rsidR="0091151B" w:rsidRPr="008502EB" w:rsidTr="0091151B">
        <w:tc>
          <w:tcPr>
            <w:tcW w:w="3330"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Quinsigamond ES</w:t>
            </w:r>
          </w:p>
        </w:tc>
        <w:tc>
          <w:tcPr>
            <w:tcW w:w="778"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25%</w:t>
            </w:r>
          </w:p>
        </w:tc>
        <w:tc>
          <w:tcPr>
            <w:tcW w:w="779"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30%</w:t>
            </w:r>
          </w:p>
        </w:tc>
        <w:tc>
          <w:tcPr>
            <w:tcW w:w="778"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28%</w:t>
            </w:r>
          </w:p>
        </w:tc>
        <w:tc>
          <w:tcPr>
            <w:tcW w:w="779"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39%</w:t>
            </w:r>
          </w:p>
        </w:tc>
        <w:tc>
          <w:tcPr>
            <w:tcW w:w="778"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1539"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30%</w:t>
            </w:r>
          </w:p>
        </w:tc>
      </w:tr>
      <w:tr w:rsidR="0091151B" w:rsidRPr="008502EB" w:rsidTr="0091151B">
        <w:tc>
          <w:tcPr>
            <w:tcW w:w="3330"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Roosevelt ES</w:t>
            </w:r>
          </w:p>
        </w:tc>
        <w:tc>
          <w:tcPr>
            <w:tcW w:w="778"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65%</w:t>
            </w:r>
          </w:p>
        </w:tc>
        <w:tc>
          <w:tcPr>
            <w:tcW w:w="779"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62%</w:t>
            </w:r>
          </w:p>
        </w:tc>
        <w:tc>
          <w:tcPr>
            <w:tcW w:w="778"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65%</w:t>
            </w:r>
          </w:p>
        </w:tc>
        <w:tc>
          <w:tcPr>
            <w:tcW w:w="779"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59%</w:t>
            </w:r>
          </w:p>
        </w:tc>
        <w:tc>
          <w:tcPr>
            <w:tcW w:w="778"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1539"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63%</w:t>
            </w:r>
          </w:p>
        </w:tc>
      </w:tr>
      <w:tr w:rsidR="0091151B" w:rsidRPr="008502EB" w:rsidTr="0091151B">
        <w:tc>
          <w:tcPr>
            <w:tcW w:w="3330"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Worcester Arts Magnet ES</w:t>
            </w:r>
          </w:p>
        </w:tc>
        <w:tc>
          <w:tcPr>
            <w:tcW w:w="778"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91%</w:t>
            </w:r>
          </w:p>
        </w:tc>
        <w:tc>
          <w:tcPr>
            <w:tcW w:w="779"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83%</w:t>
            </w:r>
          </w:p>
        </w:tc>
        <w:tc>
          <w:tcPr>
            <w:tcW w:w="778"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85%</w:t>
            </w:r>
          </w:p>
        </w:tc>
        <w:tc>
          <w:tcPr>
            <w:tcW w:w="779"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86%</w:t>
            </w:r>
          </w:p>
        </w:tc>
        <w:tc>
          <w:tcPr>
            <w:tcW w:w="778"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1539"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87%</w:t>
            </w:r>
          </w:p>
        </w:tc>
      </w:tr>
      <w:tr w:rsidR="0091151B" w:rsidRPr="008502EB" w:rsidTr="0091151B">
        <w:tc>
          <w:tcPr>
            <w:tcW w:w="3330"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Thorndyke Road ES</w:t>
            </w:r>
          </w:p>
        </w:tc>
        <w:tc>
          <w:tcPr>
            <w:tcW w:w="778"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43%</w:t>
            </w:r>
          </w:p>
        </w:tc>
        <w:tc>
          <w:tcPr>
            <w:tcW w:w="779"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57%</w:t>
            </w:r>
          </w:p>
        </w:tc>
        <w:tc>
          <w:tcPr>
            <w:tcW w:w="778"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63%</w:t>
            </w:r>
          </w:p>
        </w:tc>
        <w:tc>
          <w:tcPr>
            <w:tcW w:w="779"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72%</w:t>
            </w:r>
          </w:p>
        </w:tc>
        <w:tc>
          <w:tcPr>
            <w:tcW w:w="778"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1539"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59%</w:t>
            </w:r>
          </w:p>
        </w:tc>
      </w:tr>
      <w:tr w:rsidR="0091151B" w:rsidRPr="008502EB" w:rsidTr="0091151B">
        <w:tc>
          <w:tcPr>
            <w:tcW w:w="3330"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highlight w:val="yellow"/>
              </w:rPr>
            </w:pPr>
            <w:r w:rsidRPr="008502EB">
              <w:rPr>
                <w:rFonts w:ascii="Calibri" w:hAnsi="Calibri"/>
                <w:sz w:val="20"/>
                <w:szCs w:val="20"/>
              </w:rPr>
              <w:t>Worcester East MS</w:t>
            </w:r>
          </w:p>
        </w:tc>
        <w:tc>
          <w:tcPr>
            <w:tcW w:w="778"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54%</w:t>
            </w:r>
          </w:p>
        </w:tc>
        <w:tc>
          <w:tcPr>
            <w:tcW w:w="778"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44%</w:t>
            </w:r>
          </w:p>
        </w:tc>
        <w:tc>
          <w:tcPr>
            <w:tcW w:w="779"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52%</w:t>
            </w:r>
          </w:p>
        </w:tc>
        <w:tc>
          <w:tcPr>
            <w:tcW w:w="1539"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49%</w:t>
            </w:r>
          </w:p>
        </w:tc>
      </w:tr>
      <w:tr w:rsidR="0091151B" w:rsidRPr="008502EB" w:rsidTr="0091151B">
        <w:tc>
          <w:tcPr>
            <w:tcW w:w="3330"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Sullivan MS</w:t>
            </w:r>
          </w:p>
        </w:tc>
        <w:tc>
          <w:tcPr>
            <w:tcW w:w="778"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100%</w:t>
            </w:r>
          </w:p>
        </w:tc>
        <w:tc>
          <w:tcPr>
            <w:tcW w:w="778"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42%</w:t>
            </w:r>
          </w:p>
        </w:tc>
        <w:tc>
          <w:tcPr>
            <w:tcW w:w="779"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43%</w:t>
            </w:r>
          </w:p>
        </w:tc>
        <w:tc>
          <w:tcPr>
            <w:tcW w:w="1539"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47%</w:t>
            </w:r>
          </w:p>
        </w:tc>
      </w:tr>
      <w:tr w:rsidR="0091151B" w:rsidRPr="008502EB" w:rsidTr="0091151B">
        <w:tc>
          <w:tcPr>
            <w:tcW w:w="3330"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highlight w:val="yellow"/>
              </w:rPr>
            </w:pPr>
            <w:r w:rsidRPr="008502EB">
              <w:rPr>
                <w:rFonts w:ascii="Calibri" w:hAnsi="Calibri"/>
                <w:sz w:val="20"/>
                <w:szCs w:val="20"/>
              </w:rPr>
              <w:t>Burncoat MS</w:t>
            </w:r>
          </w:p>
        </w:tc>
        <w:tc>
          <w:tcPr>
            <w:tcW w:w="778"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50%</w:t>
            </w:r>
          </w:p>
        </w:tc>
        <w:tc>
          <w:tcPr>
            <w:tcW w:w="779"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59%</w:t>
            </w:r>
          </w:p>
        </w:tc>
        <w:tc>
          <w:tcPr>
            <w:tcW w:w="1539"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54%</w:t>
            </w:r>
          </w:p>
        </w:tc>
      </w:tr>
      <w:tr w:rsidR="0091151B" w:rsidRPr="008502EB" w:rsidTr="0091151B">
        <w:tc>
          <w:tcPr>
            <w:tcW w:w="3330"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Forest Grove MS</w:t>
            </w:r>
          </w:p>
        </w:tc>
        <w:tc>
          <w:tcPr>
            <w:tcW w:w="778"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53%</w:t>
            </w:r>
          </w:p>
        </w:tc>
        <w:tc>
          <w:tcPr>
            <w:tcW w:w="779"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60%</w:t>
            </w:r>
          </w:p>
        </w:tc>
        <w:tc>
          <w:tcPr>
            <w:tcW w:w="1539"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56%</w:t>
            </w:r>
          </w:p>
        </w:tc>
      </w:tr>
      <w:tr w:rsidR="0091151B" w:rsidRPr="008502EB" w:rsidTr="0091151B">
        <w:tc>
          <w:tcPr>
            <w:tcW w:w="3330"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University Park MSHS</w:t>
            </w:r>
          </w:p>
        </w:tc>
        <w:tc>
          <w:tcPr>
            <w:tcW w:w="778"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44%</w:t>
            </w:r>
          </w:p>
        </w:tc>
        <w:tc>
          <w:tcPr>
            <w:tcW w:w="779"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31%</w:t>
            </w:r>
          </w:p>
        </w:tc>
        <w:tc>
          <w:tcPr>
            <w:tcW w:w="1539"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38%</w:t>
            </w:r>
          </w:p>
        </w:tc>
      </w:tr>
      <w:tr w:rsidR="0091151B" w:rsidRPr="008502EB" w:rsidTr="0091151B">
        <w:tc>
          <w:tcPr>
            <w:tcW w:w="3330"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Claremont Academy MSHS</w:t>
            </w:r>
          </w:p>
        </w:tc>
        <w:tc>
          <w:tcPr>
            <w:tcW w:w="778"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27%</w:t>
            </w:r>
          </w:p>
        </w:tc>
        <w:tc>
          <w:tcPr>
            <w:tcW w:w="779"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33%</w:t>
            </w:r>
          </w:p>
        </w:tc>
        <w:tc>
          <w:tcPr>
            <w:tcW w:w="1539" w:type="dxa"/>
            <w:shd w:val="clear" w:color="auto" w:fill="auto"/>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31%</w:t>
            </w:r>
          </w:p>
        </w:tc>
      </w:tr>
      <w:tr w:rsidR="0091151B" w:rsidRPr="008502EB" w:rsidTr="0091151B">
        <w:tc>
          <w:tcPr>
            <w:tcW w:w="3330"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District</w:t>
            </w:r>
          </w:p>
        </w:tc>
        <w:tc>
          <w:tcPr>
            <w:tcW w:w="778"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36%</w:t>
            </w:r>
          </w:p>
        </w:tc>
        <w:tc>
          <w:tcPr>
            <w:tcW w:w="779"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33%</w:t>
            </w:r>
          </w:p>
        </w:tc>
        <w:tc>
          <w:tcPr>
            <w:tcW w:w="778"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41%</w:t>
            </w:r>
          </w:p>
        </w:tc>
        <w:tc>
          <w:tcPr>
            <w:tcW w:w="779"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49%</w:t>
            </w:r>
          </w:p>
        </w:tc>
        <w:tc>
          <w:tcPr>
            <w:tcW w:w="778"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46%</w:t>
            </w:r>
          </w:p>
        </w:tc>
        <w:tc>
          <w:tcPr>
            <w:tcW w:w="779"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50%</w:t>
            </w:r>
          </w:p>
        </w:tc>
        <w:tc>
          <w:tcPr>
            <w:tcW w:w="1539" w:type="dxa"/>
            <w:shd w:val="clear" w:color="auto" w:fill="D9D9D9" w:themeFill="background1" w:themeFillShade="D9"/>
            <w:vAlign w:val="bottom"/>
          </w:tcPr>
          <w:p w:rsidR="0091151B" w:rsidRPr="008502EB" w:rsidRDefault="0091151B" w:rsidP="0048725E">
            <w:pPr>
              <w:spacing w:after="0" w:line="240" w:lineRule="auto"/>
              <w:jc w:val="center"/>
              <w:rPr>
                <w:rFonts w:ascii="Calibri" w:hAnsi="Calibri"/>
                <w:sz w:val="20"/>
                <w:szCs w:val="20"/>
              </w:rPr>
            </w:pPr>
            <w:r w:rsidRPr="008502EB">
              <w:rPr>
                <w:rFonts w:ascii="Calibri" w:hAnsi="Calibri"/>
                <w:sz w:val="20"/>
                <w:szCs w:val="20"/>
              </w:rPr>
              <w:t>43%</w:t>
            </w:r>
          </w:p>
        </w:tc>
      </w:tr>
    </w:tbl>
    <w:p w:rsidR="0091151B" w:rsidRPr="008502EB" w:rsidRDefault="0091151B" w:rsidP="0091151B">
      <w:pPr>
        <w:spacing w:after="0" w:line="240" w:lineRule="auto"/>
      </w:pPr>
    </w:p>
    <w:p w:rsidR="0091151B" w:rsidRPr="008502EB" w:rsidRDefault="0091151B" w:rsidP="0091151B">
      <w:pPr>
        <w:spacing w:after="0" w:line="240" w:lineRule="auto"/>
      </w:pPr>
    </w:p>
    <w:p w:rsidR="0091151B" w:rsidRDefault="0091151B" w:rsidP="0091151B">
      <w:pPr>
        <w:spacing w:after="0" w:line="240" w:lineRule="auto"/>
        <w:rPr>
          <w:b/>
        </w:rPr>
      </w:pPr>
      <w:r w:rsidRPr="008502EB">
        <w:rPr>
          <w:b/>
        </w:rPr>
        <w:t>The percentage of students scoring proficien</w:t>
      </w:r>
      <w:r>
        <w:rPr>
          <w:b/>
        </w:rPr>
        <w:t>t</w:t>
      </w:r>
      <w:r w:rsidRPr="008502EB">
        <w:rPr>
          <w:b/>
        </w:rPr>
        <w:t xml:space="preserve"> or </w:t>
      </w:r>
      <w:r w:rsidRPr="001A2167">
        <w:rPr>
          <w:b/>
        </w:rPr>
        <w:t>advanced in ELA on the MCAS ranged</w:t>
      </w:r>
      <w:r w:rsidRPr="008502EB">
        <w:rPr>
          <w:b/>
        </w:rPr>
        <w:t xml:space="preserve"> from 12 to 85 percent in the 3</w:t>
      </w:r>
      <w:r w:rsidRPr="008502EB">
        <w:rPr>
          <w:b/>
          <w:vertAlign w:val="superscript"/>
        </w:rPr>
        <w:t>rd</w:t>
      </w:r>
      <w:r w:rsidRPr="008502EB">
        <w:rPr>
          <w:b/>
        </w:rPr>
        <w:t xml:space="preserve"> grade, from 20 to 79 percent in the 4</w:t>
      </w:r>
      <w:r w:rsidRPr="008502EB">
        <w:rPr>
          <w:b/>
          <w:vertAlign w:val="superscript"/>
        </w:rPr>
        <w:t>th</w:t>
      </w:r>
      <w:r w:rsidRPr="008502EB">
        <w:rPr>
          <w:b/>
        </w:rPr>
        <w:t xml:space="preserve"> grade, from 40 to 89 percent in the 5</w:t>
      </w:r>
      <w:r w:rsidRPr="008502EB">
        <w:rPr>
          <w:b/>
          <w:vertAlign w:val="superscript"/>
        </w:rPr>
        <w:t>th</w:t>
      </w:r>
      <w:r w:rsidRPr="008502EB">
        <w:rPr>
          <w:b/>
        </w:rPr>
        <w:t xml:space="preserve"> grade, and from 40 to 85 percent in the 6</w:t>
      </w:r>
      <w:r w:rsidRPr="008502EB">
        <w:rPr>
          <w:b/>
          <w:vertAlign w:val="superscript"/>
        </w:rPr>
        <w:t>th</w:t>
      </w:r>
      <w:r>
        <w:rPr>
          <w:b/>
        </w:rPr>
        <w:t xml:space="preserve"> grade.</w:t>
      </w:r>
      <w:r w:rsidRPr="008502EB">
        <w:rPr>
          <w:b/>
        </w:rPr>
        <w:t xml:space="preserve"> The percentage of students scoring proficient or advanced in ELA in the 10</w:t>
      </w:r>
      <w:r w:rsidRPr="008502EB">
        <w:rPr>
          <w:b/>
          <w:vertAlign w:val="superscript"/>
        </w:rPr>
        <w:t>th</w:t>
      </w:r>
      <w:r w:rsidRPr="008502EB">
        <w:rPr>
          <w:b/>
        </w:rPr>
        <w:t xml:space="preserve"> grade ranged from 73 to 97 percent.</w:t>
      </w:r>
    </w:p>
    <w:p w:rsidR="00C64026" w:rsidRDefault="00C64026" w:rsidP="0091151B">
      <w:pPr>
        <w:spacing w:after="0" w:line="240" w:lineRule="auto"/>
        <w:rPr>
          <w:b/>
        </w:rPr>
      </w:pPr>
    </w:p>
    <w:p w:rsidR="00C64026" w:rsidRPr="008502EB" w:rsidRDefault="00C64026" w:rsidP="0091151B">
      <w:pPr>
        <w:spacing w:after="0" w:line="240" w:lineRule="auto"/>
        <w:rPr>
          <w:b/>
        </w:rPr>
      </w:pPr>
    </w:p>
    <w:tbl>
      <w:tblPr>
        <w:tblStyle w:val="TableGrid16"/>
        <w:tblW w:w="0" w:type="auto"/>
        <w:tblInd w:w="18" w:type="dxa"/>
        <w:tblLayout w:type="fixed"/>
        <w:tblLook w:val="04A0"/>
      </w:tblPr>
      <w:tblGrid>
        <w:gridCol w:w="3330"/>
        <w:gridCol w:w="778"/>
        <w:gridCol w:w="779"/>
        <w:gridCol w:w="778"/>
        <w:gridCol w:w="779"/>
        <w:gridCol w:w="778"/>
        <w:gridCol w:w="779"/>
        <w:gridCol w:w="778"/>
        <w:gridCol w:w="779"/>
      </w:tblGrid>
      <w:tr w:rsidR="0091151B" w:rsidRPr="008502EB" w:rsidTr="0091151B">
        <w:tc>
          <w:tcPr>
            <w:tcW w:w="9558" w:type="dxa"/>
            <w:gridSpan w:val="9"/>
            <w:tcBorders>
              <w:top w:val="nil"/>
              <w:left w:val="nil"/>
              <w:right w:val="nil"/>
            </w:tcBorders>
          </w:tcPr>
          <w:p w:rsidR="0091151B" w:rsidRPr="008502EB" w:rsidRDefault="0091151B" w:rsidP="00217963">
            <w:pPr>
              <w:spacing w:after="0" w:line="240" w:lineRule="auto"/>
              <w:jc w:val="center"/>
              <w:rPr>
                <w:rFonts w:eastAsia="Times New Roman" w:cs="Times New Roman"/>
                <w:b/>
                <w:sz w:val="20"/>
                <w:szCs w:val="20"/>
              </w:rPr>
            </w:pPr>
            <w:r w:rsidRPr="008502EB">
              <w:rPr>
                <w:rFonts w:eastAsia="Times New Roman" w:cs="Times New Roman"/>
                <w:b/>
                <w:sz w:val="20"/>
                <w:szCs w:val="20"/>
              </w:rPr>
              <w:lastRenderedPageBreak/>
              <w:t xml:space="preserve">Table </w:t>
            </w:r>
            <w:r w:rsidR="005C7DC2">
              <w:rPr>
                <w:rFonts w:eastAsia="Times New Roman" w:cs="Times New Roman"/>
                <w:b/>
                <w:sz w:val="20"/>
                <w:szCs w:val="20"/>
              </w:rPr>
              <w:t>12</w:t>
            </w:r>
            <w:r w:rsidRPr="008502EB">
              <w:rPr>
                <w:rFonts w:eastAsia="Times New Roman" w:cs="Times New Roman"/>
                <w:b/>
                <w:sz w:val="20"/>
                <w:szCs w:val="20"/>
              </w:rPr>
              <w:t>: Worcester Public Schools</w:t>
            </w:r>
          </w:p>
          <w:p w:rsidR="0091151B" w:rsidRPr="008502EB" w:rsidRDefault="0091151B" w:rsidP="00C64026">
            <w:pPr>
              <w:spacing w:after="0" w:line="240" w:lineRule="auto"/>
              <w:jc w:val="center"/>
              <w:rPr>
                <w:rFonts w:eastAsia="Times New Roman" w:cs="Times New Roman"/>
                <w:b/>
                <w:sz w:val="20"/>
                <w:szCs w:val="20"/>
              </w:rPr>
            </w:pPr>
            <w:r w:rsidRPr="008502EB">
              <w:rPr>
                <w:rFonts w:eastAsia="Times New Roman" w:cs="Times New Roman"/>
                <w:b/>
                <w:sz w:val="20"/>
                <w:szCs w:val="20"/>
              </w:rPr>
              <w:t>ELA Proficient or Advanced by School and Grade 2015</w:t>
            </w:r>
            <w:r w:rsidR="00C64026">
              <w:rPr>
                <w:rFonts w:eastAsia="Times New Roman" w:cs="Times New Roman"/>
                <w:b/>
                <w:sz w:val="20"/>
                <w:szCs w:val="20"/>
              </w:rPr>
              <w:t>–</w:t>
            </w:r>
            <w:r w:rsidRPr="008502EB">
              <w:rPr>
                <w:rFonts w:eastAsia="Times New Roman" w:cs="Times New Roman"/>
                <w:b/>
                <w:sz w:val="20"/>
                <w:szCs w:val="20"/>
              </w:rPr>
              <w:t>2016</w:t>
            </w:r>
          </w:p>
        </w:tc>
      </w:tr>
      <w:tr w:rsidR="0091151B" w:rsidRPr="008502EB" w:rsidTr="0091151B">
        <w:tc>
          <w:tcPr>
            <w:tcW w:w="3330" w:type="dxa"/>
            <w:shd w:val="clear" w:color="auto" w:fill="D9D9D9" w:themeFill="background1" w:themeFillShade="D9"/>
          </w:tcPr>
          <w:p w:rsidR="0091151B" w:rsidRPr="008502EB" w:rsidRDefault="0091151B" w:rsidP="00CE2CAB">
            <w:pPr>
              <w:spacing w:after="0" w:line="240" w:lineRule="auto"/>
              <w:rPr>
                <w:rFonts w:eastAsia="Times New Roman" w:cs="Times New Roman"/>
                <w:b/>
                <w:sz w:val="20"/>
                <w:szCs w:val="20"/>
              </w:rPr>
            </w:pPr>
            <w:r w:rsidRPr="008502EB">
              <w:rPr>
                <w:rFonts w:eastAsia="Times New Roman" w:cs="Times New Roman"/>
                <w:b/>
                <w:sz w:val="20"/>
                <w:szCs w:val="20"/>
              </w:rPr>
              <w:t>School</w:t>
            </w:r>
          </w:p>
        </w:tc>
        <w:tc>
          <w:tcPr>
            <w:tcW w:w="778" w:type="dxa"/>
            <w:shd w:val="clear" w:color="auto" w:fill="D9D9D9" w:themeFill="background1" w:themeFillShade="D9"/>
          </w:tcPr>
          <w:p w:rsidR="0091151B" w:rsidRPr="008502EB" w:rsidRDefault="0091151B" w:rsidP="00CE2CAB">
            <w:pPr>
              <w:spacing w:after="0" w:line="240" w:lineRule="auto"/>
              <w:jc w:val="center"/>
              <w:rPr>
                <w:rFonts w:eastAsia="Times New Roman" w:cs="Times New Roman"/>
                <w:b/>
                <w:sz w:val="20"/>
                <w:szCs w:val="20"/>
              </w:rPr>
            </w:pPr>
            <w:r w:rsidRPr="008502EB">
              <w:rPr>
                <w:rFonts w:eastAsia="Times New Roman" w:cs="Times New Roman"/>
                <w:b/>
                <w:sz w:val="20"/>
                <w:szCs w:val="20"/>
              </w:rPr>
              <w:t>3</w:t>
            </w:r>
          </w:p>
        </w:tc>
        <w:tc>
          <w:tcPr>
            <w:tcW w:w="779" w:type="dxa"/>
            <w:shd w:val="clear" w:color="auto" w:fill="D9D9D9" w:themeFill="background1" w:themeFillShade="D9"/>
          </w:tcPr>
          <w:p w:rsidR="0091151B" w:rsidRPr="008502EB" w:rsidRDefault="0091151B" w:rsidP="00CE2CAB">
            <w:pPr>
              <w:spacing w:after="0" w:line="240" w:lineRule="auto"/>
              <w:jc w:val="center"/>
              <w:rPr>
                <w:rFonts w:eastAsia="Times New Roman" w:cs="Times New Roman"/>
                <w:b/>
                <w:sz w:val="20"/>
                <w:szCs w:val="20"/>
              </w:rPr>
            </w:pPr>
            <w:r w:rsidRPr="008502EB">
              <w:rPr>
                <w:rFonts w:eastAsia="Times New Roman" w:cs="Times New Roman"/>
                <w:b/>
                <w:sz w:val="20"/>
                <w:szCs w:val="20"/>
              </w:rPr>
              <w:t>4</w:t>
            </w:r>
          </w:p>
        </w:tc>
        <w:tc>
          <w:tcPr>
            <w:tcW w:w="778" w:type="dxa"/>
            <w:shd w:val="clear" w:color="auto" w:fill="D9D9D9" w:themeFill="background1" w:themeFillShade="D9"/>
          </w:tcPr>
          <w:p w:rsidR="0091151B" w:rsidRPr="008502EB" w:rsidRDefault="0091151B" w:rsidP="00CE2CAB">
            <w:pPr>
              <w:spacing w:after="0" w:line="240" w:lineRule="auto"/>
              <w:jc w:val="center"/>
              <w:rPr>
                <w:rFonts w:eastAsia="Times New Roman" w:cs="Times New Roman"/>
                <w:b/>
                <w:sz w:val="20"/>
                <w:szCs w:val="20"/>
              </w:rPr>
            </w:pPr>
            <w:r w:rsidRPr="008502EB">
              <w:rPr>
                <w:rFonts w:eastAsia="Times New Roman" w:cs="Times New Roman"/>
                <w:b/>
                <w:sz w:val="20"/>
                <w:szCs w:val="20"/>
              </w:rPr>
              <w:t>5</w:t>
            </w:r>
          </w:p>
        </w:tc>
        <w:tc>
          <w:tcPr>
            <w:tcW w:w="779" w:type="dxa"/>
            <w:shd w:val="clear" w:color="auto" w:fill="D9D9D9" w:themeFill="background1" w:themeFillShade="D9"/>
          </w:tcPr>
          <w:p w:rsidR="0091151B" w:rsidRPr="008502EB" w:rsidRDefault="0091151B" w:rsidP="00CE2CAB">
            <w:pPr>
              <w:spacing w:after="0" w:line="240" w:lineRule="auto"/>
              <w:jc w:val="center"/>
              <w:rPr>
                <w:rFonts w:eastAsia="Times New Roman" w:cs="Times New Roman"/>
                <w:b/>
                <w:sz w:val="20"/>
                <w:szCs w:val="20"/>
              </w:rPr>
            </w:pPr>
            <w:r w:rsidRPr="008502EB">
              <w:rPr>
                <w:rFonts w:eastAsia="Times New Roman" w:cs="Times New Roman"/>
                <w:b/>
                <w:sz w:val="20"/>
                <w:szCs w:val="20"/>
              </w:rPr>
              <w:t>6</w:t>
            </w:r>
          </w:p>
        </w:tc>
        <w:tc>
          <w:tcPr>
            <w:tcW w:w="778" w:type="dxa"/>
            <w:shd w:val="clear" w:color="auto" w:fill="D9D9D9" w:themeFill="background1" w:themeFillShade="D9"/>
          </w:tcPr>
          <w:p w:rsidR="0091151B" w:rsidRPr="008502EB" w:rsidRDefault="0091151B" w:rsidP="00CE2CAB">
            <w:pPr>
              <w:spacing w:after="0" w:line="240" w:lineRule="auto"/>
              <w:jc w:val="center"/>
              <w:rPr>
                <w:rFonts w:eastAsia="Times New Roman" w:cs="Times New Roman"/>
                <w:b/>
                <w:sz w:val="20"/>
                <w:szCs w:val="20"/>
              </w:rPr>
            </w:pPr>
            <w:r w:rsidRPr="008502EB">
              <w:rPr>
                <w:rFonts w:eastAsia="Times New Roman" w:cs="Times New Roman"/>
                <w:b/>
                <w:sz w:val="20"/>
                <w:szCs w:val="20"/>
              </w:rPr>
              <w:t>7</w:t>
            </w:r>
          </w:p>
        </w:tc>
        <w:tc>
          <w:tcPr>
            <w:tcW w:w="779" w:type="dxa"/>
            <w:shd w:val="clear" w:color="auto" w:fill="D9D9D9" w:themeFill="background1" w:themeFillShade="D9"/>
          </w:tcPr>
          <w:p w:rsidR="0091151B" w:rsidRPr="008502EB" w:rsidRDefault="0091151B" w:rsidP="00CE2CAB">
            <w:pPr>
              <w:spacing w:after="0" w:line="240" w:lineRule="auto"/>
              <w:jc w:val="center"/>
              <w:rPr>
                <w:rFonts w:eastAsia="Times New Roman" w:cs="Times New Roman"/>
                <w:b/>
                <w:sz w:val="20"/>
                <w:szCs w:val="20"/>
              </w:rPr>
            </w:pPr>
            <w:r w:rsidRPr="008502EB">
              <w:rPr>
                <w:rFonts w:eastAsia="Times New Roman" w:cs="Times New Roman"/>
                <w:b/>
                <w:sz w:val="20"/>
                <w:szCs w:val="20"/>
              </w:rPr>
              <w:t>8</w:t>
            </w:r>
          </w:p>
        </w:tc>
        <w:tc>
          <w:tcPr>
            <w:tcW w:w="778" w:type="dxa"/>
            <w:shd w:val="clear" w:color="auto" w:fill="D9D9D9" w:themeFill="background1" w:themeFillShade="D9"/>
          </w:tcPr>
          <w:p w:rsidR="0091151B" w:rsidRPr="008502EB" w:rsidRDefault="0091151B" w:rsidP="00CE2CAB">
            <w:pPr>
              <w:spacing w:after="0" w:line="240" w:lineRule="auto"/>
              <w:jc w:val="center"/>
              <w:rPr>
                <w:rFonts w:eastAsia="Times New Roman" w:cs="Times New Roman"/>
                <w:b/>
                <w:sz w:val="20"/>
                <w:szCs w:val="20"/>
              </w:rPr>
            </w:pPr>
            <w:r w:rsidRPr="008502EB">
              <w:rPr>
                <w:rFonts w:eastAsia="Times New Roman" w:cs="Times New Roman"/>
                <w:b/>
                <w:sz w:val="20"/>
                <w:szCs w:val="20"/>
              </w:rPr>
              <w:t>10</w:t>
            </w:r>
          </w:p>
        </w:tc>
        <w:tc>
          <w:tcPr>
            <w:tcW w:w="779" w:type="dxa"/>
            <w:shd w:val="clear" w:color="auto" w:fill="D9D9D9" w:themeFill="background1" w:themeFillShade="D9"/>
          </w:tcPr>
          <w:p w:rsidR="0091151B" w:rsidRPr="008502EB" w:rsidRDefault="0091151B" w:rsidP="00CE2CAB">
            <w:pPr>
              <w:spacing w:after="0" w:line="240" w:lineRule="auto"/>
              <w:jc w:val="center"/>
              <w:rPr>
                <w:rFonts w:eastAsia="Times New Roman" w:cs="Times New Roman"/>
                <w:b/>
                <w:sz w:val="20"/>
                <w:szCs w:val="20"/>
              </w:rPr>
            </w:pPr>
            <w:r w:rsidRPr="008502EB">
              <w:rPr>
                <w:rFonts w:eastAsia="Times New Roman" w:cs="Times New Roman"/>
                <w:b/>
                <w:sz w:val="20"/>
                <w:szCs w:val="20"/>
              </w:rPr>
              <w:t>Total</w:t>
            </w:r>
          </w:p>
        </w:tc>
      </w:tr>
      <w:tr w:rsidR="0091151B" w:rsidRPr="008502EB" w:rsidTr="0091151B">
        <w:tc>
          <w:tcPr>
            <w:tcW w:w="3330"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 xml:space="preserve">Burncoat </w:t>
            </w:r>
            <w:r w:rsidR="00F5032B">
              <w:rPr>
                <w:rFonts w:ascii="Calibri" w:hAnsi="Calibri"/>
                <w:sz w:val="20"/>
                <w:szCs w:val="20"/>
              </w:rPr>
              <w:t>Street</w:t>
            </w:r>
            <w:r w:rsidR="00CE2CAB">
              <w:rPr>
                <w:rFonts w:ascii="Calibri" w:hAnsi="Calibri"/>
                <w:sz w:val="20"/>
                <w:szCs w:val="20"/>
              </w:rPr>
              <w:t xml:space="preserve"> </w:t>
            </w:r>
            <w:r w:rsidRPr="008502EB">
              <w:rPr>
                <w:rFonts w:ascii="Calibri" w:hAnsi="Calibri"/>
                <w:sz w:val="20"/>
                <w:szCs w:val="20"/>
              </w:rPr>
              <w:t>ES</w:t>
            </w:r>
          </w:p>
        </w:tc>
        <w:tc>
          <w:tcPr>
            <w:tcW w:w="778"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29%</w:t>
            </w:r>
          </w:p>
        </w:tc>
        <w:tc>
          <w:tcPr>
            <w:tcW w:w="779"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35%</w:t>
            </w:r>
          </w:p>
        </w:tc>
        <w:tc>
          <w:tcPr>
            <w:tcW w:w="778"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55%</w:t>
            </w:r>
          </w:p>
        </w:tc>
        <w:tc>
          <w:tcPr>
            <w:tcW w:w="779"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45%</w:t>
            </w:r>
          </w:p>
        </w:tc>
        <w:tc>
          <w:tcPr>
            <w:tcW w:w="778"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41%</w:t>
            </w:r>
          </w:p>
        </w:tc>
      </w:tr>
      <w:tr w:rsidR="0091151B" w:rsidRPr="008502EB" w:rsidTr="0091151B">
        <w:tc>
          <w:tcPr>
            <w:tcW w:w="3330" w:type="dxa"/>
            <w:tcBorders>
              <w:bottom w:val="single" w:sz="4" w:space="0" w:color="auto"/>
            </w:tcBorders>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Canterbury Magnet ES</w:t>
            </w:r>
          </w:p>
        </w:tc>
        <w:tc>
          <w:tcPr>
            <w:tcW w:w="778" w:type="dxa"/>
            <w:tcBorders>
              <w:bottom w:val="single" w:sz="4" w:space="0" w:color="auto"/>
            </w:tcBorders>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12%</w:t>
            </w:r>
          </w:p>
        </w:tc>
        <w:tc>
          <w:tcPr>
            <w:tcW w:w="779" w:type="dxa"/>
            <w:tcBorders>
              <w:bottom w:val="single" w:sz="4" w:space="0" w:color="auto"/>
            </w:tcBorders>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24%</w:t>
            </w:r>
          </w:p>
        </w:tc>
        <w:tc>
          <w:tcPr>
            <w:tcW w:w="778" w:type="dxa"/>
            <w:tcBorders>
              <w:bottom w:val="single" w:sz="4" w:space="0" w:color="auto"/>
            </w:tcBorders>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46%</w:t>
            </w:r>
          </w:p>
        </w:tc>
        <w:tc>
          <w:tcPr>
            <w:tcW w:w="779" w:type="dxa"/>
            <w:tcBorders>
              <w:bottom w:val="single" w:sz="4" w:space="0" w:color="auto"/>
            </w:tcBorders>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50%</w:t>
            </w:r>
          </w:p>
        </w:tc>
        <w:tc>
          <w:tcPr>
            <w:tcW w:w="778" w:type="dxa"/>
            <w:tcBorders>
              <w:bottom w:val="single" w:sz="4" w:space="0" w:color="auto"/>
            </w:tcBorders>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9" w:type="dxa"/>
            <w:tcBorders>
              <w:bottom w:val="single" w:sz="4" w:space="0" w:color="auto"/>
            </w:tcBorders>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8" w:type="dxa"/>
            <w:tcBorders>
              <w:bottom w:val="single" w:sz="4" w:space="0" w:color="auto"/>
            </w:tcBorders>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9" w:type="dxa"/>
            <w:tcBorders>
              <w:bottom w:val="single" w:sz="4" w:space="0" w:color="auto"/>
            </w:tcBorders>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33%</w:t>
            </w:r>
          </w:p>
        </w:tc>
      </w:tr>
      <w:tr w:rsidR="0091151B" w:rsidRPr="008502EB" w:rsidTr="0091151B">
        <w:tc>
          <w:tcPr>
            <w:tcW w:w="3330" w:type="dxa"/>
            <w:tcBorders>
              <w:bottom w:val="single" w:sz="4" w:space="0" w:color="auto"/>
            </w:tcBorders>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Chandler Community ES</w:t>
            </w:r>
          </w:p>
        </w:tc>
        <w:tc>
          <w:tcPr>
            <w:tcW w:w="778" w:type="dxa"/>
            <w:tcBorders>
              <w:bottom w:val="single" w:sz="4" w:space="0" w:color="auto"/>
            </w:tcBorders>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52%</w:t>
            </w:r>
          </w:p>
        </w:tc>
        <w:tc>
          <w:tcPr>
            <w:tcW w:w="779" w:type="dxa"/>
            <w:tcBorders>
              <w:bottom w:val="single" w:sz="4" w:space="0" w:color="auto"/>
            </w:tcBorders>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60%</w:t>
            </w:r>
          </w:p>
        </w:tc>
        <w:tc>
          <w:tcPr>
            <w:tcW w:w="778" w:type="dxa"/>
            <w:tcBorders>
              <w:bottom w:val="single" w:sz="4" w:space="0" w:color="auto"/>
            </w:tcBorders>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67%</w:t>
            </w:r>
          </w:p>
        </w:tc>
        <w:tc>
          <w:tcPr>
            <w:tcW w:w="779" w:type="dxa"/>
            <w:tcBorders>
              <w:bottom w:val="single" w:sz="4" w:space="0" w:color="auto"/>
            </w:tcBorders>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58%</w:t>
            </w:r>
          </w:p>
        </w:tc>
        <w:tc>
          <w:tcPr>
            <w:tcW w:w="778" w:type="dxa"/>
            <w:tcBorders>
              <w:bottom w:val="single" w:sz="4" w:space="0" w:color="auto"/>
            </w:tcBorders>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9" w:type="dxa"/>
            <w:tcBorders>
              <w:bottom w:val="single" w:sz="4" w:space="0" w:color="auto"/>
            </w:tcBorders>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8" w:type="dxa"/>
            <w:tcBorders>
              <w:bottom w:val="single" w:sz="4" w:space="0" w:color="auto"/>
            </w:tcBorders>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9" w:type="dxa"/>
            <w:tcBorders>
              <w:bottom w:val="single" w:sz="4" w:space="0" w:color="auto"/>
            </w:tcBorders>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59%</w:t>
            </w:r>
          </w:p>
        </w:tc>
      </w:tr>
      <w:tr w:rsidR="0091151B" w:rsidRPr="008502EB" w:rsidTr="0091151B">
        <w:tc>
          <w:tcPr>
            <w:tcW w:w="3330"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Flagg Street ES</w:t>
            </w:r>
          </w:p>
        </w:tc>
        <w:tc>
          <w:tcPr>
            <w:tcW w:w="778"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65%</w:t>
            </w:r>
          </w:p>
        </w:tc>
        <w:tc>
          <w:tcPr>
            <w:tcW w:w="779"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69%</w:t>
            </w:r>
          </w:p>
        </w:tc>
        <w:tc>
          <w:tcPr>
            <w:tcW w:w="778"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82%</w:t>
            </w:r>
          </w:p>
        </w:tc>
        <w:tc>
          <w:tcPr>
            <w:tcW w:w="779"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86%</w:t>
            </w:r>
          </w:p>
        </w:tc>
        <w:tc>
          <w:tcPr>
            <w:tcW w:w="778"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76%</w:t>
            </w:r>
          </w:p>
        </w:tc>
      </w:tr>
      <w:tr w:rsidR="0091151B" w:rsidRPr="008502EB" w:rsidTr="0091151B">
        <w:tc>
          <w:tcPr>
            <w:tcW w:w="3330"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Heard Street ES</w:t>
            </w:r>
          </w:p>
        </w:tc>
        <w:tc>
          <w:tcPr>
            <w:tcW w:w="778"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49%</w:t>
            </w:r>
          </w:p>
        </w:tc>
        <w:tc>
          <w:tcPr>
            <w:tcW w:w="779"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63%</w:t>
            </w:r>
          </w:p>
        </w:tc>
        <w:tc>
          <w:tcPr>
            <w:tcW w:w="778"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71%</w:t>
            </w:r>
          </w:p>
        </w:tc>
        <w:tc>
          <w:tcPr>
            <w:tcW w:w="779"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74%</w:t>
            </w:r>
          </w:p>
        </w:tc>
        <w:tc>
          <w:tcPr>
            <w:tcW w:w="778"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64%</w:t>
            </w:r>
          </w:p>
        </w:tc>
      </w:tr>
      <w:tr w:rsidR="0091151B" w:rsidRPr="008502EB" w:rsidTr="0091151B">
        <w:tc>
          <w:tcPr>
            <w:tcW w:w="3330"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Hiatt Magnet ES</w:t>
            </w:r>
          </w:p>
        </w:tc>
        <w:tc>
          <w:tcPr>
            <w:tcW w:w="778"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39%</w:t>
            </w:r>
          </w:p>
        </w:tc>
        <w:tc>
          <w:tcPr>
            <w:tcW w:w="779"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33%</w:t>
            </w:r>
          </w:p>
        </w:tc>
        <w:tc>
          <w:tcPr>
            <w:tcW w:w="778"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65%</w:t>
            </w:r>
          </w:p>
        </w:tc>
        <w:tc>
          <w:tcPr>
            <w:tcW w:w="779"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62%</w:t>
            </w:r>
          </w:p>
        </w:tc>
        <w:tc>
          <w:tcPr>
            <w:tcW w:w="778"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48%</w:t>
            </w:r>
          </w:p>
        </w:tc>
      </w:tr>
      <w:tr w:rsidR="0091151B" w:rsidRPr="008502EB" w:rsidTr="0091151B">
        <w:tc>
          <w:tcPr>
            <w:tcW w:w="3330"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Nelson Place ES</w:t>
            </w:r>
          </w:p>
        </w:tc>
        <w:tc>
          <w:tcPr>
            <w:tcW w:w="778"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63%</w:t>
            </w:r>
          </w:p>
        </w:tc>
        <w:tc>
          <w:tcPr>
            <w:tcW w:w="779"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66%</w:t>
            </w:r>
          </w:p>
        </w:tc>
        <w:tc>
          <w:tcPr>
            <w:tcW w:w="778"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63%</w:t>
            </w:r>
          </w:p>
        </w:tc>
        <w:tc>
          <w:tcPr>
            <w:tcW w:w="779"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78%</w:t>
            </w:r>
          </w:p>
        </w:tc>
        <w:tc>
          <w:tcPr>
            <w:tcW w:w="778"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68%</w:t>
            </w:r>
          </w:p>
        </w:tc>
      </w:tr>
      <w:tr w:rsidR="0091151B" w:rsidRPr="008502EB" w:rsidTr="0091151B">
        <w:tc>
          <w:tcPr>
            <w:tcW w:w="3330"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Norrback Avenue ES</w:t>
            </w:r>
          </w:p>
        </w:tc>
        <w:tc>
          <w:tcPr>
            <w:tcW w:w="778"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48%</w:t>
            </w:r>
          </w:p>
        </w:tc>
        <w:tc>
          <w:tcPr>
            <w:tcW w:w="779"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46%</w:t>
            </w:r>
          </w:p>
        </w:tc>
        <w:tc>
          <w:tcPr>
            <w:tcW w:w="778"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65%</w:t>
            </w:r>
          </w:p>
        </w:tc>
        <w:tc>
          <w:tcPr>
            <w:tcW w:w="779"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63%</w:t>
            </w:r>
          </w:p>
        </w:tc>
        <w:tc>
          <w:tcPr>
            <w:tcW w:w="778"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55%</w:t>
            </w:r>
          </w:p>
        </w:tc>
      </w:tr>
      <w:tr w:rsidR="0091151B" w:rsidRPr="008502EB" w:rsidTr="0091151B">
        <w:tc>
          <w:tcPr>
            <w:tcW w:w="3330"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Rice Square ES</w:t>
            </w:r>
          </w:p>
        </w:tc>
        <w:tc>
          <w:tcPr>
            <w:tcW w:w="778"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26%</w:t>
            </w:r>
          </w:p>
        </w:tc>
        <w:tc>
          <w:tcPr>
            <w:tcW w:w="779"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44%</w:t>
            </w:r>
          </w:p>
        </w:tc>
        <w:tc>
          <w:tcPr>
            <w:tcW w:w="778"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40%</w:t>
            </w:r>
          </w:p>
        </w:tc>
        <w:tc>
          <w:tcPr>
            <w:tcW w:w="779"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50%</w:t>
            </w:r>
          </w:p>
        </w:tc>
        <w:tc>
          <w:tcPr>
            <w:tcW w:w="778"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39%</w:t>
            </w:r>
          </w:p>
        </w:tc>
      </w:tr>
      <w:tr w:rsidR="0091151B" w:rsidRPr="008502EB" w:rsidTr="0091151B">
        <w:tc>
          <w:tcPr>
            <w:tcW w:w="3330"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Tatnuck ES</w:t>
            </w:r>
          </w:p>
        </w:tc>
        <w:tc>
          <w:tcPr>
            <w:tcW w:w="778"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46%</w:t>
            </w:r>
          </w:p>
        </w:tc>
        <w:tc>
          <w:tcPr>
            <w:tcW w:w="779"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53%</w:t>
            </w:r>
          </w:p>
        </w:tc>
        <w:tc>
          <w:tcPr>
            <w:tcW w:w="778"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53%</w:t>
            </w:r>
          </w:p>
        </w:tc>
        <w:tc>
          <w:tcPr>
            <w:tcW w:w="779"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56%</w:t>
            </w:r>
          </w:p>
        </w:tc>
        <w:tc>
          <w:tcPr>
            <w:tcW w:w="778"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52%</w:t>
            </w:r>
          </w:p>
        </w:tc>
      </w:tr>
      <w:tr w:rsidR="0091151B" w:rsidRPr="008502EB" w:rsidTr="0091151B">
        <w:tc>
          <w:tcPr>
            <w:tcW w:w="3330"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Union Hill ES</w:t>
            </w:r>
          </w:p>
        </w:tc>
        <w:tc>
          <w:tcPr>
            <w:tcW w:w="778"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39%</w:t>
            </w:r>
          </w:p>
        </w:tc>
        <w:tc>
          <w:tcPr>
            <w:tcW w:w="779"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37%</w:t>
            </w:r>
          </w:p>
        </w:tc>
        <w:tc>
          <w:tcPr>
            <w:tcW w:w="778"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66%</w:t>
            </w:r>
          </w:p>
        </w:tc>
        <w:tc>
          <w:tcPr>
            <w:tcW w:w="779"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40%</w:t>
            </w:r>
          </w:p>
        </w:tc>
        <w:tc>
          <w:tcPr>
            <w:tcW w:w="778"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45%</w:t>
            </w:r>
          </w:p>
        </w:tc>
      </w:tr>
      <w:tr w:rsidR="0091151B" w:rsidRPr="008502EB" w:rsidTr="0091151B">
        <w:tc>
          <w:tcPr>
            <w:tcW w:w="3330"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West Tatnuck ES</w:t>
            </w:r>
          </w:p>
        </w:tc>
        <w:tc>
          <w:tcPr>
            <w:tcW w:w="778"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85%</w:t>
            </w:r>
          </w:p>
        </w:tc>
        <w:tc>
          <w:tcPr>
            <w:tcW w:w="779"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79%</w:t>
            </w:r>
          </w:p>
        </w:tc>
        <w:tc>
          <w:tcPr>
            <w:tcW w:w="778"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89%</w:t>
            </w:r>
          </w:p>
        </w:tc>
        <w:tc>
          <w:tcPr>
            <w:tcW w:w="779"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85%</w:t>
            </w:r>
          </w:p>
        </w:tc>
        <w:tc>
          <w:tcPr>
            <w:tcW w:w="778"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84%</w:t>
            </w:r>
          </w:p>
        </w:tc>
      </w:tr>
      <w:tr w:rsidR="0091151B" w:rsidRPr="008502EB" w:rsidTr="0091151B">
        <w:tc>
          <w:tcPr>
            <w:tcW w:w="3330"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Vernon Hill ES</w:t>
            </w:r>
          </w:p>
        </w:tc>
        <w:tc>
          <w:tcPr>
            <w:tcW w:w="778"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16%</w:t>
            </w:r>
          </w:p>
        </w:tc>
        <w:tc>
          <w:tcPr>
            <w:tcW w:w="779"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20%</w:t>
            </w:r>
          </w:p>
        </w:tc>
        <w:tc>
          <w:tcPr>
            <w:tcW w:w="778"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43%</w:t>
            </w:r>
          </w:p>
        </w:tc>
        <w:tc>
          <w:tcPr>
            <w:tcW w:w="779"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40%</w:t>
            </w:r>
          </w:p>
        </w:tc>
        <w:tc>
          <w:tcPr>
            <w:tcW w:w="778"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28%</w:t>
            </w:r>
          </w:p>
        </w:tc>
      </w:tr>
      <w:tr w:rsidR="0091151B" w:rsidRPr="008502EB" w:rsidTr="0091151B">
        <w:tc>
          <w:tcPr>
            <w:tcW w:w="3330"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University Park MSHS</w:t>
            </w:r>
          </w:p>
        </w:tc>
        <w:tc>
          <w:tcPr>
            <w:tcW w:w="778"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95%</w:t>
            </w:r>
          </w:p>
        </w:tc>
        <w:tc>
          <w:tcPr>
            <w:tcW w:w="779"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r>
      <w:tr w:rsidR="0091151B" w:rsidRPr="008502EB" w:rsidTr="0091151B">
        <w:tc>
          <w:tcPr>
            <w:tcW w:w="3330"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Claremont Academy MSHS</w:t>
            </w:r>
          </w:p>
        </w:tc>
        <w:tc>
          <w:tcPr>
            <w:tcW w:w="778"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85%</w:t>
            </w:r>
          </w:p>
        </w:tc>
        <w:tc>
          <w:tcPr>
            <w:tcW w:w="779"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r>
      <w:tr w:rsidR="0091151B" w:rsidRPr="008502EB" w:rsidTr="0091151B">
        <w:tc>
          <w:tcPr>
            <w:tcW w:w="3330"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Burncoat</w:t>
            </w:r>
            <w:r w:rsidR="00F5032B">
              <w:rPr>
                <w:rFonts w:ascii="Calibri" w:hAnsi="Calibri"/>
                <w:sz w:val="20"/>
                <w:szCs w:val="20"/>
              </w:rPr>
              <w:t xml:space="preserve"> Senior</w:t>
            </w:r>
            <w:r w:rsidRPr="008502EB">
              <w:rPr>
                <w:rFonts w:ascii="Calibri" w:hAnsi="Calibri"/>
                <w:sz w:val="20"/>
                <w:szCs w:val="20"/>
              </w:rPr>
              <w:t xml:space="preserve"> HS</w:t>
            </w:r>
          </w:p>
        </w:tc>
        <w:tc>
          <w:tcPr>
            <w:tcW w:w="778"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79%</w:t>
            </w:r>
          </w:p>
        </w:tc>
        <w:tc>
          <w:tcPr>
            <w:tcW w:w="779"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79%</w:t>
            </w:r>
          </w:p>
        </w:tc>
      </w:tr>
      <w:tr w:rsidR="0091151B" w:rsidRPr="008502EB" w:rsidTr="0091151B">
        <w:tc>
          <w:tcPr>
            <w:tcW w:w="3330"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Doherty Memorial HS</w:t>
            </w:r>
          </w:p>
        </w:tc>
        <w:tc>
          <w:tcPr>
            <w:tcW w:w="778"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83%</w:t>
            </w:r>
          </w:p>
        </w:tc>
        <w:tc>
          <w:tcPr>
            <w:tcW w:w="779"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83%</w:t>
            </w:r>
          </w:p>
        </w:tc>
      </w:tr>
      <w:tr w:rsidR="0091151B" w:rsidRPr="008502EB" w:rsidTr="0091151B">
        <w:tc>
          <w:tcPr>
            <w:tcW w:w="3330"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North HS</w:t>
            </w:r>
          </w:p>
        </w:tc>
        <w:tc>
          <w:tcPr>
            <w:tcW w:w="778"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73%</w:t>
            </w:r>
          </w:p>
        </w:tc>
        <w:tc>
          <w:tcPr>
            <w:tcW w:w="779"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73%</w:t>
            </w:r>
          </w:p>
        </w:tc>
      </w:tr>
      <w:tr w:rsidR="0091151B" w:rsidRPr="008502EB" w:rsidTr="0091151B">
        <w:tc>
          <w:tcPr>
            <w:tcW w:w="3330"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 xml:space="preserve">South </w:t>
            </w:r>
            <w:r w:rsidR="00F5032B">
              <w:rPr>
                <w:rFonts w:ascii="Calibri" w:hAnsi="Calibri"/>
                <w:sz w:val="20"/>
                <w:szCs w:val="20"/>
              </w:rPr>
              <w:t xml:space="preserve"> High Community </w:t>
            </w:r>
            <w:r w:rsidRPr="008502EB">
              <w:rPr>
                <w:rFonts w:ascii="Calibri" w:hAnsi="Calibri"/>
                <w:sz w:val="20"/>
                <w:szCs w:val="20"/>
              </w:rPr>
              <w:t>HS</w:t>
            </w:r>
          </w:p>
        </w:tc>
        <w:tc>
          <w:tcPr>
            <w:tcW w:w="778"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84%</w:t>
            </w:r>
          </w:p>
        </w:tc>
        <w:tc>
          <w:tcPr>
            <w:tcW w:w="779"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84%</w:t>
            </w:r>
          </w:p>
        </w:tc>
      </w:tr>
      <w:tr w:rsidR="0091151B" w:rsidRPr="008502EB" w:rsidTr="0091151B">
        <w:tc>
          <w:tcPr>
            <w:tcW w:w="3330"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Worcester Tech</w:t>
            </w:r>
            <w:r w:rsidR="00F5032B">
              <w:rPr>
                <w:rFonts w:ascii="Calibri" w:hAnsi="Calibri"/>
                <w:sz w:val="20"/>
                <w:szCs w:val="20"/>
              </w:rPr>
              <w:t>nical</w:t>
            </w:r>
            <w:r w:rsidRPr="008502EB">
              <w:rPr>
                <w:rFonts w:ascii="Calibri" w:hAnsi="Calibri"/>
                <w:sz w:val="20"/>
                <w:szCs w:val="20"/>
              </w:rPr>
              <w:t xml:space="preserve"> HS</w:t>
            </w:r>
          </w:p>
        </w:tc>
        <w:tc>
          <w:tcPr>
            <w:tcW w:w="778"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97%</w:t>
            </w:r>
          </w:p>
        </w:tc>
        <w:tc>
          <w:tcPr>
            <w:tcW w:w="779" w:type="dxa"/>
            <w:shd w:val="clear" w:color="auto" w:fill="D9D9D9" w:themeFill="background1" w:themeFillShade="D9"/>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97%</w:t>
            </w:r>
          </w:p>
        </w:tc>
      </w:tr>
      <w:tr w:rsidR="0091151B" w:rsidRPr="008502EB" w:rsidTr="0091151B">
        <w:tc>
          <w:tcPr>
            <w:tcW w:w="3330"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District</w:t>
            </w:r>
          </w:p>
        </w:tc>
        <w:tc>
          <w:tcPr>
            <w:tcW w:w="778"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43%</w:t>
            </w:r>
          </w:p>
        </w:tc>
        <w:tc>
          <w:tcPr>
            <w:tcW w:w="779"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48%</w:t>
            </w:r>
          </w:p>
        </w:tc>
        <w:tc>
          <w:tcPr>
            <w:tcW w:w="778"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61%</w:t>
            </w:r>
          </w:p>
        </w:tc>
        <w:tc>
          <w:tcPr>
            <w:tcW w:w="779"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60%</w:t>
            </w:r>
          </w:p>
        </w:tc>
        <w:tc>
          <w:tcPr>
            <w:tcW w:w="778"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82%</w:t>
            </w:r>
          </w:p>
        </w:tc>
        <w:tc>
          <w:tcPr>
            <w:tcW w:w="779" w:type="dxa"/>
            <w:shd w:val="clear" w:color="auto" w:fill="auto"/>
            <w:vAlign w:val="bottom"/>
          </w:tcPr>
          <w:p w:rsidR="0091151B" w:rsidRPr="008502EB" w:rsidRDefault="0091151B" w:rsidP="00CE2CAB">
            <w:pPr>
              <w:spacing w:after="0" w:line="240" w:lineRule="auto"/>
              <w:jc w:val="center"/>
              <w:rPr>
                <w:rFonts w:ascii="Calibri" w:hAnsi="Calibri"/>
                <w:sz w:val="20"/>
                <w:szCs w:val="20"/>
              </w:rPr>
            </w:pPr>
            <w:r w:rsidRPr="008502EB">
              <w:rPr>
                <w:rFonts w:ascii="Calibri" w:hAnsi="Calibri"/>
                <w:sz w:val="20"/>
                <w:szCs w:val="20"/>
              </w:rPr>
              <w:t>--</w:t>
            </w:r>
          </w:p>
        </w:tc>
      </w:tr>
    </w:tbl>
    <w:p w:rsidR="0091151B" w:rsidRPr="008502EB" w:rsidRDefault="0091151B" w:rsidP="0091151B">
      <w:pPr>
        <w:spacing w:after="0" w:line="240" w:lineRule="auto"/>
      </w:pPr>
    </w:p>
    <w:p w:rsidR="0091151B" w:rsidRPr="008502EB" w:rsidRDefault="0091151B" w:rsidP="0091151B">
      <w:pPr>
        <w:spacing w:after="0" w:line="240" w:lineRule="auto"/>
      </w:pPr>
    </w:p>
    <w:p w:rsidR="0091151B" w:rsidRPr="00EE48B0" w:rsidRDefault="0091151B" w:rsidP="0091151B">
      <w:pPr>
        <w:spacing w:after="0" w:line="240" w:lineRule="auto"/>
        <w:rPr>
          <w:rFonts w:eastAsia="Times New Roman" w:cs="Times New Roman"/>
          <w:b/>
        </w:rPr>
      </w:pPr>
      <w:r w:rsidRPr="00EE48B0">
        <w:rPr>
          <w:rFonts w:eastAsia="Times New Roman" w:cs="Times New Roman"/>
          <w:b/>
        </w:rPr>
        <w:t>Between 2013 and 2016, math CPI for all students improved by 0.1 point, from 68.0 in 2013 to 68.1 in 2016, and also improved between 2013 and 2016 in each grade that took the MCAS except the 10</w:t>
      </w:r>
      <w:r w:rsidRPr="00EE48B0">
        <w:rPr>
          <w:rFonts w:eastAsia="Times New Roman" w:cs="Times New Roman"/>
          <w:b/>
          <w:vertAlign w:val="superscript"/>
        </w:rPr>
        <w:t>th</w:t>
      </w:r>
      <w:r w:rsidRPr="00EE48B0">
        <w:rPr>
          <w:rFonts w:eastAsia="Times New Roman" w:cs="Times New Roman"/>
          <w:b/>
        </w:rPr>
        <w:t xml:space="preserve"> grade and in </w:t>
      </w:r>
      <w:r>
        <w:rPr>
          <w:rFonts w:eastAsia="Times New Roman" w:cs="Times New Roman"/>
          <w:b/>
        </w:rPr>
        <w:t xml:space="preserve">each grade that took PARCC except the </w:t>
      </w:r>
      <w:r w:rsidRPr="00EE48B0">
        <w:rPr>
          <w:rFonts w:eastAsia="Times New Roman" w:cs="Times New Roman"/>
          <w:b/>
        </w:rPr>
        <w:t>3</w:t>
      </w:r>
      <w:r w:rsidRPr="00EE48B0">
        <w:rPr>
          <w:rFonts w:eastAsia="Times New Roman" w:cs="Times New Roman"/>
          <w:b/>
          <w:vertAlign w:val="superscript"/>
        </w:rPr>
        <w:t>rd</w:t>
      </w:r>
      <w:r w:rsidRPr="00EE48B0">
        <w:rPr>
          <w:rFonts w:eastAsia="Times New Roman" w:cs="Times New Roman"/>
          <w:b/>
        </w:rPr>
        <w:t xml:space="preserve"> and 8</w:t>
      </w:r>
      <w:r w:rsidRPr="00EE48B0">
        <w:rPr>
          <w:rFonts w:eastAsia="Times New Roman" w:cs="Times New Roman"/>
          <w:b/>
          <w:vertAlign w:val="superscript"/>
        </w:rPr>
        <w:t>th</w:t>
      </w:r>
      <w:r w:rsidRPr="00EE48B0">
        <w:rPr>
          <w:rFonts w:eastAsia="Times New Roman" w:cs="Times New Roman"/>
          <w:b/>
        </w:rPr>
        <w:t xml:space="preserve"> grades.</w:t>
      </w:r>
    </w:p>
    <w:p w:rsidR="0091151B" w:rsidRPr="00EE48B0" w:rsidRDefault="0091151B" w:rsidP="0091151B">
      <w:pPr>
        <w:spacing w:after="0" w:line="240" w:lineRule="auto"/>
        <w:rPr>
          <w:rFonts w:eastAsia="Times New Roman" w:cs="Times New Roman"/>
        </w:rPr>
      </w:pPr>
    </w:p>
    <w:p w:rsidR="0091151B" w:rsidRPr="00CE1EF2" w:rsidRDefault="0091151B" w:rsidP="0091151B">
      <w:pPr>
        <w:numPr>
          <w:ilvl w:val="0"/>
          <w:numId w:val="59"/>
        </w:numPr>
        <w:spacing w:after="0" w:line="240" w:lineRule="auto"/>
        <w:contextualSpacing/>
        <w:rPr>
          <w:rFonts w:eastAsia="Times New Roman" w:cs="Times New Roman"/>
        </w:rPr>
      </w:pPr>
      <w:r w:rsidRPr="00CE1EF2">
        <w:rPr>
          <w:rFonts w:eastAsia="Times New Roman" w:cs="Times New Roman"/>
        </w:rPr>
        <w:t>Math CPI in grades that took the MCAS improved between 2013 and 2016 by 6.5 points in the 3</w:t>
      </w:r>
      <w:r w:rsidRPr="00CE1EF2">
        <w:rPr>
          <w:rFonts w:eastAsia="Times New Roman" w:cs="Times New Roman"/>
          <w:vertAlign w:val="superscript"/>
        </w:rPr>
        <w:t>rd</w:t>
      </w:r>
      <w:r w:rsidRPr="00CE1EF2">
        <w:rPr>
          <w:rFonts w:eastAsia="Times New Roman" w:cs="Times New Roman"/>
        </w:rPr>
        <w:t xml:space="preserve"> grade, by 4.4 points in the 4</w:t>
      </w:r>
      <w:r w:rsidRPr="00CE1EF2">
        <w:rPr>
          <w:rFonts w:eastAsia="Times New Roman" w:cs="Times New Roman"/>
          <w:vertAlign w:val="superscript"/>
        </w:rPr>
        <w:t>th</w:t>
      </w:r>
      <w:r w:rsidRPr="00CE1EF2">
        <w:rPr>
          <w:rFonts w:eastAsia="Times New Roman" w:cs="Times New Roman"/>
        </w:rPr>
        <w:t xml:space="preserve"> grade, by 5.3 points in the 5</w:t>
      </w:r>
      <w:r w:rsidRPr="00CE1EF2">
        <w:rPr>
          <w:rFonts w:eastAsia="Times New Roman" w:cs="Times New Roman"/>
          <w:vertAlign w:val="superscript"/>
        </w:rPr>
        <w:t>th</w:t>
      </w:r>
      <w:r w:rsidRPr="00CE1EF2">
        <w:rPr>
          <w:rFonts w:eastAsia="Times New Roman" w:cs="Times New Roman"/>
        </w:rPr>
        <w:t xml:space="preserve"> grade, and by 6.8 points in the 6</w:t>
      </w:r>
      <w:r w:rsidRPr="00CE1EF2">
        <w:rPr>
          <w:rFonts w:eastAsia="Times New Roman" w:cs="Times New Roman"/>
          <w:vertAlign w:val="superscript"/>
        </w:rPr>
        <w:t>th</w:t>
      </w:r>
      <w:r w:rsidRPr="00CE1EF2">
        <w:rPr>
          <w:rFonts w:eastAsia="Times New Roman" w:cs="Times New Roman"/>
        </w:rPr>
        <w:t xml:space="preserve"> grade.</w:t>
      </w:r>
    </w:p>
    <w:p w:rsidR="0091151B" w:rsidRPr="00EE48B0" w:rsidRDefault="0091151B" w:rsidP="0091151B">
      <w:pPr>
        <w:numPr>
          <w:ilvl w:val="1"/>
          <w:numId w:val="59"/>
        </w:numPr>
        <w:spacing w:after="0" w:line="240" w:lineRule="auto"/>
        <w:contextualSpacing/>
        <w:rPr>
          <w:rFonts w:eastAsia="Times New Roman" w:cs="Times New Roman"/>
        </w:rPr>
      </w:pPr>
      <w:r w:rsidRPr="00EE48B0">
        <w:rPr>
          <w:rFonts w:eastAsia="Times New Roman" w:cs="Times New Roman"/>
        </w:rPr>
        <w:t>Math CPI on the MCAS in the 10</w:t>
      </w:r>
      <w:r w:rsidRPr="00EE48B0">
        <w:rPr>
          <w:rFonts w:eastAsia="Times New Roman" w:cs="Times New Roman"/>
          <w:vertAlign w:val="superscript"/>
        </w:rPr>
        <w:t>th</w:t>
      </w:r>
      <w:r w:rsidRPr="00EE48B0">
        <w:rPr>
          <w:rFonts w:eastAsia="Times New Roman" w:cs="Times New Roman"/>
        </w:rPr>
        <w:t xml:space="preserve"> grade declined </w:t>
      </w:r>
      <w:r w:rsidR="008F1F4D">
        <w:rPr>
          <w:rFonts w:eastAsia="Times New Roman" w:cs="Times New Roman"/>
        </w:rPr>
        <w:t xml:space="preserve">by </w:t>
      </w:r>
      <w:r w:rsidRPr="00EE48B0">
        <w:rPr>
          <w:rFonts w:eastAsia="Times New Roman" w:cs="Times New Roman"/>
        </w:rPr>
        <w:t xml:space="preserve">0.5 </w:t>
      </w:r>
      <w:r w:rsidR="008F1F4D">
        <w:rPr>
          <w:rFonts w:eastAsia="Times New Roman" w:cs="Times New Roman"/>
        </w:rPr>
        <w:t xml:space="preserve">point </w:t>
      </w:r>
      <w:r w:rsidRPr="00EE48B0">
        <w:rPr>
          <w:rFonts w:eastAsia="Times New Roman" w:cs="Times New Roman"/>
        </w:rPr>
        <w:t>from 80.1 in 2013 to 79.6 in 2016, 10.1 points below the 2016 state CPI of 89.7.</w:t>
      </w:r>
    </w:p>
    <w:p w:rsidR="0091151B" w:rsidRPr="00EE48B0" w:rsidRDefault="0091151B" w:rsidP="0091151B">
      <w:pPr>
        <w:spacing w:after="0" w:line="240" w:lineRule="auto"/>
        <w:contextualSpacing/>
        <w:rPr>
          <w:rFonts w:eastAsia="Times New Roman" w:cs="Times New Roman"/>
        </w:rPr>
      </w:pPr>
    </w:p>
    <w:p w:rsidR="0091151B" w:rsidRPr="00D733CA" w:rsidRDefault="0091151B" w:rsidP="0091151B">
      <w:pPr>
        <w:numPr>
          <w:ilvl w:val="0"/>
          <w:numId w:val="59"/>
        </w:numPr>
        <w:spacing w:after="0" w:line="240" w:lineRule="auto"/>
        <w:contextualSpacing/>
        <w:rPr>
          <w:rFonts w:eastAsia="Times New Roman" w:cs="Times New Roman"/>
        </w:rPr>
      </w:pPr>
      <w:r w:rsidRPr="00D733CA">
        <w:rPr>
          <w:rFonts w:eastAsia="Times New Roman" w:cs="Times New Roman"/>
        </w:rPr>
        <w:t>Math CPI in grades that took PARCC improved between 2013 and 2016 by 1.4 points in the 3</w:t>
      </w:r>
      <w:r w:rsidRPr="00D733CA">
        <w:rPr>
          <w:rFonts w:eastAsia="Times New Roman" w:cs="Times New Roman"/>
          <w:vertAlign w:val="superscript"/>
        </w:rPr>
        <w:t>rd</w:t>
      </w:r>
      <w:r w:rsidRPr="00D733CA">
        <w:rPr>
          <w:rFonts w:eastAsia="Times New Roman" w:cs="Times New Roman"/>
        </w:rPr>
        <w:t xml:space="preserve"> grade and by 6.0 points in the 8</w:t>
      </w:r>
      <w:r w:rsidRPr="00D733CA">
        <w:rPr>
          <w:rFonts w:eastAsia="Times New Roman" w:cs="Times New Roman"/>
          <w:vertAlign w:val="superscript"/>
        </w:rPr>
        <w:t>th</w:t>
      </w:r>
      <w:r w:rsidRPr="00D733CA">
        <w:rPr>
          <w:rFonts w:eastAsia="Times New Roman" w:cs="Times New Roman"/>
        </w:rPr>
        <w:t xml:space="preserve"> grade.</w:t>
      </w:r>
    </w:p>
    <w:p w:rsidR="0091151B" w:rsidRPr="00DB4424" w:rsidRDefault="0091151B" w:rsidP="0091151B">
      <w:pPr>
        <w:spacing w:after="0" w:line="240" w:lineRule="auto"/>
        <w:contextualSpacing/>
        <w:rPr>
          <w:rFonts w:eastAsia="Times New Roman" w:cs="Times New Roman"/>
        </w:rPr>
      </w:pPr>
    </w:p>
    <w:p w:rsidR="0091151B" w:rsidRDefault="0091151B" w:rsidP="0091151B">
      <w:pPr>
        <w:numPr>
          <w:ilvl w:val="0"/>
          <w:numId w:val="59"/>
        </w:numPr>
        <w:spacing w:after="0" w:line="240" w:lineRule="auto"/>
        <w:contextualSpacing/>
        <w:rPr>
          <w:rFonts w:eastAsia="Times New Roman" w:cs="Times New Roman"/>
        </w:rPr>
      </w:pPr>
      <w:r w:rsidRPr="00DB4424">
        <w:rPr>
          <w:rFonts w:eastAsia="Times New Roman" w:cs="Times New Roman"/>
        </w:rPr>
        <w:t xml:space="preserve">Math CPI </w:t>
      </w:r>
      <w:r>
        <w:rPr>
          <w:rFonts w:eastAsia="Times New Roman" w:cs="Times New Roman"/>
        </w:rPr>
        <w:t xml:space="preserve">on PARCC </w:t>
      </w:r>
      <w:r w:rsidRPr="00DB4424">
        <w:rPr>
          <w:rFonts w:eastAsia="Times New Roman" w:cs="Times New Roman"/>
        </w:rPr>
        <w:t>declined between 2013 and 2016 by 7.8 points in the 4</w:t>
      </w:r>
      <w:r w:rsidRPr="00DB4424">
        <w:rPr>
          <w:rFonts w:eastAsia="Times New Roman" w:cs="Times New Roman"/>
          <w:vertAlign w:val="superscript"/>
        </w:rPr>
        <w:t>th</w:t>
      </w:r>
      <w:r w:rsidRPr="00DB4424">
        <w:rPr>
          <w:rFonts w:eastAsia="Times New Roman" w:cs="Times New Roman"/>
        </w:rPr>
        <w:t xml:space="preserve"> grade, by 6.3 points in the 5</w:t>
      </w:r>
      <w:r w:rsidRPr="00DB4424">
        <w:rPr>
          <w:rFonts w:eastAsia="Times New Roman" w:cs="Times New Roman"/>
          <w:vertAlign w:val="superscript"/>
        </w:rPr>
        <w:t>th</w:t>
      </w:r>
      <w:r w:rsidRPr="00DB4424">
        <w:rPr>
          <w:rFonts w:eastAsia="Times New Roman" w:cs="Times New Roman"/>
        </w:rPr>
        <w:t xml:space="preserve"> grade, by 5.5 points in the 6</w:t>
      </w:r>
      <w:r w:rsidRPr="00DB4424">
        <w:rPr>
          <w:rFonts w:eastAsia="Times New Roman" w:cs="Times New Roman"/>
          <w:vertAlign w:val="superscript"/>
        </w:rPr>
        <w:t>th</w:t>
      </w:r>
      <w:r w:rsidRPr="00DB4424">
        <w:rPr>
          <w:rFonts w:eastAsia="Times New Roman" w:cs="Times New Roman"/>
        </w:rPr>
        <w:t xml:space="preserve"> grade, and </w:t>
      </w:r>
      <w:r>
        <w:rPr>
          <w:rFonts w:eastAsia="Times New Roman" w:cs="Times New Roman"/>
        </w:rPr>
        <w:t xml:space="preserve">by </w:t>
      </w:r>
      <w:r w:rsidRPr="00DB4424">
        <w:rPr>
          <w:rFonts w:eastAsia="Times New Roman" w:cs="Times New Roman"/>
        </w:rPr>
        <w:t>0.9 point in the 7</w:t>
      </w:r>
      <w:r w:rsidRPr="00DB4424">
        <w:rPr>
          <w:rFonts w:eastAsia="Times New Roman" w:cs="Times New Roman"/>
          <w:vertAlign w:val="superscript"/>
        </w:rPr>
        <w:t>th</w:t>
      </w:r>
      <w:r w:rsidRPr="00DB4424">
        <w:rPr>
          <w:rFonts w:eastAsia="Times New Roman" w:cs="Times New Roman"/>
        </w:rPr>
        <w:t xml:space="preserve"> grade.</w:t>
      </w:r>
    </w:p>
    <w:p w:rsidR="00CA2E23" w:rsidRDefault="00CA2E23" w:rsidP="00CA2E23">
      <w:pPr>
        <w:pStyle w:val="ListParagraph"/>
        <w:rPr>
          <w:rFonts w:eastAsia="Times New Roman" w:cs="Times New Roman"/>
        </w:rPr>
      </w:pPr>
    </w:p>
    <w:p w:rsidR="00CA2E23" w:rsidRDefault="00CA2E23" w:rsidP="00CA2E23">
      <w:pPr>
        <w:spacing w:after="0" w:line="240" w:lineRule="auto"/>
        <w:contextualSpacing/>
        <w:rPr>
          <w:rFonts w:eastAsia="Times New Roman" w:cs="Times New Roman"/>
        </w:rPr>
      </w:pPr>
    </w:p>
    <w:p w:rsidR="008E5E43" w:rsidRDefault="008E5E43" w:rsidP="00CA2E23">
      <w:pPr>
        <w:spacing w:after="0" w:line="240" w:lineRule="auto"/>
        <w:contextualSpacing/>
        <w:rPr>
          <w:rFonts w:eastAsia="Times New Roman" w:cs="Times New Roman"/>
        </w:rPr>
      </w:pPr>
    </w:p>
    <w:p w:rsidR="008E5E43" w:rsidRDefault="008E5E43" w:rsidP="00CA2E23">
      <w:pPr>
        <w:spacing w:after="0" w:line="240" w:lineRule="auto"/>
        <w:contextualSpacing/>
        <w:rPr>
          <w:rFonts w:eastAsia="Times New Roman" w:cs="Times New Roman"/>
        </w:rPr>
      </w:pPr>
    </w:p>
    <w:p w:rsidR="008E5E43" w:rsidRDefault="008E5E43" w:rsidP="00CA2E23">
      <w:pPr>
        <w:spacing w:after="0" w:line="240" w:lineRule="auto"/>
        <w:contextualSpacing/>
        <w:rPr>
          <w:rFonts w:eastAsia="Times New Roman" w:cs="Times New Roman"/>
        </w:rPr>
      </w:pPr>
    </w:p>
    <w:p w:rsidR="008E5E43" w:rsidRDefault="008E5E43" w:rsidP="00CA2E23">
      <w:pPr>
        <w:spacing w:after="0" w:line="240" w:lineRule="auto"/>
        <w:contextualSpacing/>
        <w:rPr>
          <w:rFonts w:eastAsia="Times New Roman" w:cs="Times New Roman"/>
        </w:rPr>
      </w:pPr>
    </w:p>
    <w:p w:rsidR="008E5E43" w:rsidRDefault="008E5E43" w:rsidP="00CA2E23">
      <w:pPr>
        <w:spacing w:after="0" w:line="240" w:lineRule="auto"/>
        <w:contextualSpacing/>
        <w:rPr>
          <w:rFonts w:eastAsia="Times New Roman" w:cs="Times New Roman"/>
        </w:rPr>
      </w:pPr>
    </w:p>
    <w:p w:rsidR="0091151B" w:rsidRPr="00E55834" w:rsidRDefault="0091151B" w:rsidP="0091151B">
      <w:pPr>
        <w:spacing w:after="0" w:line="240" w:lineRule="auto"/>
        <w:jc w:val="center"/>
        <w:rPr>
          <w:b/>
          <w:sz w:val="20"/>
          <w:szCs w:val="20"/>
        </w:rPr>
      </w:pPr>
      <w:r w:rsidRPr="00E55834">
        <w:rPr>
          <w:b/>
          <w:sz w:val="20"/>
          <w:szCs w:val="20"/>
        </w:rPr>
        <w:lastRenderedPageBreak/>
        <w:t xml:space="preserve">Table </w:t>
      </w:r>
      <w:r w:rsidR="005C7DC2" w:rsidRPr="00E55834">
        <w:rPr>
          <w:b/>
          <w:sz w:val="20"/>
          <w:szCs w:val="20"/>
        </w:rPr>
        <w:t>1</w:t>
      </w:r>
      <w:r w:rsidR="005C7DC2">
        <w:rPr>
          <w:b/>
          <w:sz w:val="20"/>
          <w:szCs w:val="20"/>
        </w:rPr>
        <w:t>3</w:t>
      </w:r>
      <w:r w:rsidRPr="00E55834">
        <w:rPr>
          <w:b/>
          <w:sz w:val="20"/>
          <w:szCs w:val="20"/>
        </w:rPr>
        <w:t>: Worcester Public Schools</w:t>
      </w:r>
    </w:p>
    <w:p w:rsidR="0091151B" w:rsidRPr="00E55834" w:rsidRDefault="0091151B" w:rsidP="0091151B">
      <w:pPr>
        <w:spacing w:after="0" w:line="240" w:lineRule="auto"/>
        <w:jc w:val="center"/>
        <w:rPr>
          <w:rFonts w:ascii="Calibri" w:eastAsia="Calibri" w:hAnsi="Calibri" w:cs="Times New Roman"/>
          <w:b/>
          <w:sz w:val="20"/>
        </w:rPr>
      </w:pPr>
      <w:r w:rsidRPr="00E55834">
        <w:rPr>
          <w:b/>
          <w:sz w:val="20"/>
          <w:szCs w:val="20"/>
        </w:rPr>
        <w:t>Math Composite Performance Index (CPI) by Grade 2013</w:t>
      </w:r>
      <w:r w:rsidR="008E5E43">
        <w:rPr>
          <w:b/>
          <w:sz w:val="20"/>
          <w:szCs w:val="20"/>
        </w:rPr>
        <w:t>–</w:t>
      </w:r>
      <w:r w:rsidRPr="00E55834">
        <w:rPr>
          <w:b/>
          <w:sz w:val="20"/>
          <w:szCs w:val="20"/>
        </w:rPr>
        <w:t>2016</w:t>
      </w:r>
    </w:p>
    <w:tbl>
      <w:tblPr>
        <w:tblStyle w:val="TableGrid"/>
        <w:tblW w:w="0" w:type="auto"/>
        <w:tblLook w:val="04A0"/>
      </w:tblPr>
      <w:tblGrid>
        <w:gridCol w:w="481"/>
        <w:gridCol w:w="1499"/>
        <w:gridCol w:w="1780"/>
        <w:gridCol w:w="622"/>
        <w:gridCol w:w="622"/>
        <w:gridCol w:w="676"/>
        <w:gridCol w:w="676"/>
        <w:gridCol w:w="1058"/>
        <w:gridCol w:w="1081"/>
        <w:gridCol w:w="1081"/>
      </w:tblGrid>
      <w:tr w:rsidR="00A7283B" w:rsidRPr="00E55834" w:rsidTr="008B7FB1">
        <w:tc>
          <w:tcPr>
            <w:tcW w:w="0" w:type="auto"/>
            <w:gridSpan w:val="2"/>
            <w:vMerge w:val="restart"/>
            <w:vAlign w:val="center"/>
          </w:tcPr>
          <w:p w:rsidR="00A7283B" w:rsidRPr="00654810" w:rsidRDefault="00A7283B" w:rsidP="00EB3D1F">
            <w:pPr>
              <w:spacing w:after="0" w:line="240" w:lineRule="auto"/>
              <w:jc w:val="center"/>
              <w:rPr>
                <w:b/>
                <w:sz w:val="20"/>
                <w:szCs w:val="20"/>
              </w:rPr>
            </w:pPr>
            <w:r w:rsidRPr="00654810">
              <w:rPr>
                <w:b/>
                <w:sz w:val="20"/>
                <w:szCs w:val="20"/>
              </w:rPr>
              <w:t>Grade and Assessment</w:t>
            </w:r>
          </w:p>
        </w:tc>
        <w:tc>
          <w:tcPr>
            <w:tcW w:w="0" w:type="auto"/>
            <w:vMerge w:val="restart"/>
            <w:vAlign w:val="center"/>
          </w:tcPr>
          <w:p w:rsidR="00A7283B" w:rsidRPr="00654810" w:rsidRDefault="00A7283B" w:rsidP="00EB3D1F">
            <w:pPr>
              <w:spacing w:after="0" w:line="240" w:lineRule="auto"/>
              <w:jc w:val="center"/>
              <w:rPr>
                <w:b/>
                <w:sz w:val="20"/>
                <w:szCs w:val="20"/>
              </w:rPr>
            </w:pPr>
            <w:r w:rsidRPr="00654810">
              <w:rPr>
                <w:b/>
                <w:sz w:val="20"/>
                <w:szCs w:val="20"/>
              </w:rPr>
              <w:t>Number Included (2016)</w:t>
            </w:r>
          </w:p>
        </w:tc>
        <w:tc>
          <w:tcPr>
            <w:tcW w:w="0" w:type="auto"/>
            <w:gridSpan w:val="2"/>
            <w:vMerge w:val="restart"/>
            <w:vAlign w:val="center"/>
          </w:tcPr>
          <w:p w:rsidR="00A7283B" w:rsidRPr="00654810" w:rsidRDefault="00A7283B" w:rsidP="00EB3D1F">
            <w:pPr>
              <w:spacing w:after="0" w:line="240" w:lineRule="auto"/>
              <w:jc w:val="center"/>
              <w:rPr>
                <w:b/>
                <w:sz w:val="20"/>
                <w:szCs w:val="20"/>
              </w:rPr>
            </w:pPr>
            <w:r w:rsidRPr="00654810">
              <w:rPr>
                <w:b/>
                <w:sz w:val="20"/>
                <w:szCs w:val="20"/>
              </w:rPr>
              <w:t>MCAS Year</w:t>
            </w:r>
          </w:p>
        </w:tc>
        <w:tc>
          <w:tcPr>
            <w:tcW w:w="0" w:type="auto"/>
            <w:gridSpan w:val="2"/>
            <w:vMerge w:val="restart"/>
            <w:vAlign w:val="center"/>
          </w:tcPr>
          <w:p w:rsidR="00A7283B" w:rsidRPr="00654810" w:rsidRDefault="00A7283B" w:rsidP="00EB3D1F">
            <w:pPr>
              <w:spacing w:after="0" w:line="240" w:lineRule="auto"/>
              <w:jc w:val="center"/>
              <w:rPr>
                <w:b/>
                <w:sz w:val="20"/>
                <w:szCs w:val="20"/>
              </w:rPr>
            </w:pPr>
            <w:r w:rsidRPr="00654810">
              <w:rPr>
                <w:b/>
                <w:sz w:val="20"/>
                <w:szCs w:val="20"/>
              </w:rPr>
              <w:t>MCAS/PARCC</w:t>
            </w:r>
          </w:p>
        </w:tc>
        <w:tc>
          <w:tcPr>
            <w:tcW w:w="0" w:type="auto"/>
            <w:vMerge w:val="restart"/>
          </w:tcPr>
          <w:p w:rsidR="00A7283B" w:rsidRPr="00654810" w:rsidRDefault="00A7283B" w:rsidP="00EB3D1F">
            <w:pPr>
              <w:spacing w:after="0" w:line="240" w:lineRule="auto"/>
              <w:jc w:val="center"/>
              <w:rPr>
                <w:b/>
                <w:sz w:val="20"/>
                <w:szCs w:val="20"/>
              </w:rPr>
            </w:pPr>
          </w:p>
        </w:tc>
        <w:tc>
          <w:tcPr>
            <w:tcW w:w="0" w:type="auto"/>
            <w:gridSpan w:val="2"/>
          </w:tcPr>
          <w:p w:rsidR="00A7283B" w:rsidRPr="00654810" w:rsidRDefault="00A7283B" w:rsidP="00EB3D1F">
            <w:pPr>
              <w:spacing w:after="0" w:line="240" w:lineRule="auto"/>
              <w:jc w:val="center"/>
              <w:rPr>
                <w:b/>
                <w:sz w:val="20"/>
                <w:szCs w:val="20"/>
              </w:rPr>
            </w:pPr>
            <w:r w:rsidRPr="00654810">
              <w:rPr>
                <w:b/>
                <w:sz w:val="20"/>
                <w:szCs w:val="20"/>
              </w:rPr>
              <w:t>Gains and Declines</w:t>
            </w:r>
          </w:p>
        </w:tc>
      </w:tr>
      <w:tr w:rsidR="00A7283B" w:rsidRPr="00E55834" w:rsidTr="008B7FB1">
        <w:trPr>
          <w:trHeight w:val="269"/>
        </w:trPr>
        <w:tc>
          <w:tcPr>
            <w:tcW w:w="0" w:type="auto"/>
            <w:gridSpan w:val="2"/>
            <w:vMerge/>
          </w:tcPr>
          <w:p w:rsidR="00A7283B" w:rsidRPr="00654810" w:rsidRDefault="00A7283B" w:rsidP="00EB3D1F">
            <w:pPr>
              <w:spacing w:after="0" w:line="240" w:lineRule="auto"/>
              <w:rPr>
                <w:b/>
                <w:sz w:val="20"/>
                <w:szCs w:val="20"/>
              </w:rPr>
            </w:pPr>
          </w:p>
        </w:tc>
        <w:tc>
          <w:tcPr>
            <w:tcW w:w="0" w:type="auto"/>
            <w:vMerge/>
          </w:tcPr>
          <w:p w:rsidR="00A7283B" w:rsidRPr="00654810" w:rsidRDefault="00A7283B" w:rsidP="00EB3D1F">
            <w:pPr>
              <w:spacing w:after="0" w:line="240" w:lineRule="auto"/>
              <w:rPr>
                <w:b/>
                <w:sz w:val="20"/>
                <w:szCs w:val="20"/>
              </w:rPr>
            </w:pPr>
          </w:p>
        </w:tc>
        <w:tc>
          <w:tcPr>
            <w:tcW w:w="0" w:type="auto"/>
            <w:gridSpan w:val="2"/>
            <w:vMerge/>
          </w:tcPr>
          <w:p w:rsidR="00A7283B" w:rsidRPr="00654810" w:rsidRDefault="00A7283B" w:rsidP="00EB3D1F">
            <w:pPr>
              <w:spacing w:after="0" w:line="240" w:lineRule="auto"/>
              <w:rPr>
                <w:b/>
                <w:sz w:val="20"/>
                <w:szCs w:val="20"/>
              </w:rPr>
            </w:pPr>
          </w:p>
        </w:tc>
        <w:tc>
          <w:tcPr>
            <w:tcW w:w="0" w:type="auto"/>
            <w:gridSpan w:val="2"/>
            <w:vMerge/>
          </w:tcPr>
          <w:p w:rsidR="00A7283B" w:rsidRPr="00654810" w:rsidRDefault="00A7283B" w:rsidP="00EB3D1F">
            <w:pPr>
              <w:spacing w:after="0" w:line="240" w:lineRule="auto"/>
              <w:rPr>
                <w:b/>
                <w:sz w:val="20"/>
                <w:szCs w:val="20"/>
              </w:rPr>
            </w:pPr>
          </w:p>
        </w:tc>
        <w:tc>
          <w:tcPr>
            <w:tcW w:w="0" w:type="auto"/>
            <w:vMerge/>
          </w:tcPr>
          <w:p w:rsidR="00A7283B" w:rsidRPr="00654810" w:rsidRDefault="00A7283B" w:rsidP="00EB3D1F">
            <w:pPr>
              <w:spacing w:after="0" w:line="240" w:lineRule="auto"/>
              <w:jc w:val="center"/>
              <w:rPr>
                <w:b/>
                <w:sz w:val="20"/>
                <w:szCs w:val="20"/>
              </w:rPr>
            </w:pPr>
          </w:p>
        </w:tc>
        <w:tc>
          <w:tcPr>
            <w:tcW w:w="0" w:type="auto"/>
            <w:vMerge w:val="restart"/>
          </w:tcPr>
          <w:p w:rsidR="00A7283B" w:rsidRPr="00654810" w:rsidRDefault="00A7283B" w:rsidP="00EB3D1F">
            <w:pPr>
              <w:spacing w:after="0" w:line="240" w:lineRule="auto"/>
              <w:jc w:val="center"/>
              <w:rPr>
                <w:b/>
                <w:sz w:val="20"/>
                <w:szCs w:val="20"/>
              </w:rPr>
            </w:pPr>
            <w:r w:rsidRPr="00654810">
              <w:rPr>
                <w:b/>
                <w:sz w:val="20"/>
                <w:szCs w:val="20"/>
              </w:rPr>
              <w:t>4-Year Trend</w:t>
            </w:r>
          </w:p>
        </w:tc>
        <w:tc>
          <w:tcPr>
            <w:tcW w:w="0" w:type="auto"/>
            <w:vMerge w:val="restart"/>
            <w:vAlign w:val="center"/>
          </w:tcPr>
          <w:p w:rsidR="00A7283B" w:rsidRPr="00654810" w:rsidRDefault="00A7283B" w:rsidP="00EB3D1F">
            <w:pPr>
              <w:spacing w:after="0" w:line="240" w:lineRule="auto"/>
              <w:jc w:val="center"/>
              <w:rPr>
                <w:b/>
                <w:sz w:val="20"/>
                <w:szCs w:val="20"/>
              </w:rPr>
            </w:pPr>
            <w:r w:rsidRPr="00654810">
              <w:rPr>
                <w:b/>
                <w:sz w:val="20"/>
                <w:szCs w:val="20"/>
              </w:rPr>
              <w:t>2-Year Trend</w:t>
            </w:r>
          </w:p>
        </w:tc>
      </w:tr>
      <w:tr w:rsidR="0091151B" w:rsidRPr="005467AC" w:rsidTr="008B7FB1">
        <w:tc>
          <w:tcPr>
            <w:tcW w:w="0" w:type="auto"/>
            <w:gridSpan w:val="2"/>
            <w:vMerge/>
          </w:tcPr>
          <w:p w:rsidR="0091151B" w:rsidRPr="00654810" w:rsidRDefault="0091151B" w:rsidP="00EB3D1F">
            <w:pPr>
              <w:spacing w:after="0" w:line="240" w:lineRule="auto"/>
              <w:rPr>
                <w:sz w:val="20"/>
                <w:szCs w:val="20"/>
              </w:rPr>
            </w:pPr>
          </w:p>
        </w:tc>
        <w:tc>
          <w:tcPr>
            <w:tcW w:w="0" w:type="auto"/>
            <w:vMerge/>
          </w:tcPr>
          <w:p w:rsidR="0091151B" w:rsidRPr="00654810" w:rsidRDefault="0091151B" w:rsidP="00EB3D1F">
            <w:pPr>
              <w:spacing w:after="0" w:line="240" w:lineRule="auto"/>
              <w:rPr>
                <w:sz w:val="20"/>
                <w:szCs w:val="20"/>
              </w:rPr>
            </w:pPr>
          </w:p>
        </w:tc>
        <w:tc>
          <w:tcPr>
            <w:tcW w:w="0" w:type="auto"/>
            <w:vAlign w:val="center"/>
          </w:tcPr>
          <w:p w:rsidR="0091151B" w:rsidRPr="00654810" w:rsidRDefault="0091151B" w:rsidP="00EB3D1F">
            <w:pPr>
              <w:spacing w:after="0" w:line="240" w:lineRule="auto"/>
              <w:jc w:val="center"/>
              <w:rPr>
                <w:b/>
                <w:sz w:val="20"/>
                <w:szCs w:val="20"/>
              </w:rPr>
            </w:pPr>
            <w:r w:rsidRPr="00654810">
              <w:rPr>
                <w:b/>
                <w:sz w:val="20"/>
                <w:szCs w:val="20"/>
              </w:rPr>
              <w:t>2013</w:t>
            </w:r>
          </w:p>
        </w:tc>
        <w:tc>
          <w:tcPr>
            <w:tcW w:w="0" w:type="auto"/>
            <w:vAlign w:val="center"/>
          </w:tcPr>
          <w:p w:rsidR="0091151B" w:rsidRPr="00654810" w:rsidRDefault="0091151B" w:rsidP="00EB3D1F">
            <w:pPr>
              <w:spacing w:after="0" w:line="240" w:lineRule="auto"/>
              <w:jc w:val="center"/>
              <w:rPr>
                <w:b/>
                <w:sz w:val="20"/>
                <w:szCs w:val="20"/>
              </w:rPr>
            </w:pPr>
            <w:r w:rsidRPr="00654810">
              <w:rPr>
                <w:b/>
                <w:sz w:val="20"/>
                <w:szCs w:val="20"/>
              </w:rPr>
              <w:t>2014</w:t>
            </w:r>
          </w:p>
        </w:tc>
        <w:tc>
          <w:tcPr>
            <w:tcW w:w="0" w:type="auto"/>
            <w:vAlign w:val="center"/>
          </w:tcPr>
          <w:p w:rsidR="0091151B" w:rsidRPr="00654810" w:rsidRDefault="0091151B" w:rsidP="00EB3D1F">
            <w:pPr>
              <w:spacing w:after="0" w:line="240" w:lineRule="auto"/>
              <w:jc w:val="center"/>
              <w:rPr>
                <w:b/>
                <w:sz w:val="20"/>
                <w:szCs w:val="20"/>
              </w:rPr>
            </w:pPr>
            <w:r w:rsidRPr="00654810">
              <w:rPr>
                <w:b/>
                <w:sz w:val="20"/>
                <w:szCs w:val="20"/>
              </w:rPr>
              <w:t>2015</w:t>
            </w:r>
          </w:p>
        </w:tc>
        <w:tc>
          <w:tcPr>
            <w:tcW w:w="0" w:type="auto"/>
            <w:vAlign w:val="center"/>
          </w:tcPr>
          <w:p w:rsidR="0091151B" w:rsidRPr="00654810" w:rsidRDefault="0091151B" w:rsidP="00EB3D1F">
            <w:pPr>
              <w:spacing w:after="0" w:line="240" w:lineRule="auto"/>
              <w:jc w:val="center"/>
              <w:rPr>
                <w:b/>
                <w:sz w:val="20"/>
                <w:szCs w:val="20"/>
              </w:rPr>
            </w:pPr>
            <w:r w:rsidRPr="00654810">
              <w:rPr>
                <w:b/>
                <w:sz w:val="20"/>
                <w:szCs w:val="20"/>
              </w:rPr>
              <w:t>2016</w:t>
            </w:r>
          </w:p>
        </w:tc>
        <w:tc>
          <w:tcPr>
            <w:tcW w:w="0" w:type="auto"/>
          </w:tcPr>
          <w:p w:rsidR="0091151B" w:rsidRPr="00654810" w:rsidRDefault="0091151B" w:rsidP="00EB3D1F">
            <w:pPr>
              <w:spacing w:after="0" w:line="240" w:lineRule="auto"/>
              <w:jc w:val="center"/>
              <w:rPr>
                <w:b/>
                <w:sz w:val="20"/>
                <w:szCs w:val="20"/>
              </w:rPr>
            </w:pPr>
            <w:r w:rsidRPr="00654810">
              <w:rPr>
                <w:b/>
                <w:sz w:val="20"/>
                <w:szCs w:val="20"/>
              </w:rPr>
              <w:t>State (2016)</w:t>
            </w:r>
          </w:p>
        </w:tc>
        <w:tc>
          <w:tcPr>
            <w:tcW w:w="0" w:type="auto"/>
            <w:vMerge/>
          </w:tcPr>
          <w:p w:rsidR="0091151B" w:rsidRPr="00654810" w:rsidRDefault="0091151B" w:rsidP="00EB3D1F">
            <w:pPr>
              <w:spacing w:after="0" w:line="240" w:lineRule="auto"/>
              <w:rPr>
                <w:sz w:val="20"/>
                <w:szCs w:val="20"/>
              </w:rPr>
            </w:pPr>
          </w:p>
        </w:tc>
        <w:tc>
          <w:tcPr>
            <w:tcW w:w="0" w:type="auto"/>
            <w:vMerge/>
          </w:tcPr>
          <w:p w:rsidR="0091151B" w:rsidRPr="00654810" w:rsidRDefault="0091151B" w:rsidP="00EB3D1F">
            <w:pPr>
              <w:spacing w:after="0" w:line="240" w:lineRule="auto"/>
              <w:rPr>
                <w:sz w:val="20"/>
                <w:szCs w:val="20"/>
              </w:rPr>
            </w:pPr>
          </w:p>
        </w:tc>
      </w:tr>
      <w:tr w:rsidR="0091151B" w:rsidRPr="0066275B" w:rsidTr="008B7FB1">
        <w:tc>
          <w:tcPr>
            <w:tcW w:w="0" w:type="auto"/>
            <w:vMerge w:val="restart"/>
            <w:vAlign w:val="center"/>
          </w:tcPr>
          <w:p w:rsidR="0091151B" w:rsidRPr="00654810" w:rsidRDefault="0091151B" w:rsidP="00EB3D1F">
            <w:pPr>
              <w:spacing w:after="0" w:line="240" w:lineRule="auto"/>
              <w:jc w:val="center"/>
              <w:rPr>
                <w:sz w:val="20"/>
                <w:szCs w:val="20"/>
              </w:rPr>
            </w:pPr>
            <w:r w:rsidRPr="00654810">
              <w:rPr>
                <w:sz w:val="20"/>
                <w:szCs w:val="20"/>
              </w:rPr>
              <w:t>3</w:t>
            </w:r>
          </w:p>
        </w:tc>
        <w:tc>
          <w:tcPr>
            <w:tcW w:w="0" w:type="auto"/>
            <w:vAlign w:val="center"/>
          </w:tcPr>
          <w:p w:rsidR="0091151B" w:rsidRPr="00654810" w:rsidRDefault="0091151B" w:rsidP="00EB3D1F">
            <w:pPr>
              <w:spacing w:after="0" w:line="240" w:lineRule="auto"/>
              <w:jc w:val="center"/>
              <w:rPr>
                <w:sz w:val="20"/>
                <w:szCs w:val="20"/>
              </w:rPr>
            </w:pPr>
            <w:r w:rsidRPr="00654810">
              <w:rPr>
                <w:sz w:val="20"/>
                <w:szCs w:val="20"/>
              </w:rPr>
              <w:t>MCAS</w:t>
            </w:r>
          </w:p>
        </w:tc>
        <w:tc>
          <w:tcPr>
            <w:tcW w:w="0" w:type="auto"/>
            <w:vAlign w:val="center"/>
          </w:tcPr>
          <w:p w:rsidR="0091151B" w:rsidRPr="00654810" w:rsidRDefault="0091151B" w:rsidP="00EB3D1F">
            <w:pPr>
              <w:spacing w:after="0" w:line="240" w:lineRule="auto"/>
              <w:jc w:val="center"/>
              <w:rPr>
                <w:color w:val="000000"/>
                <w:sz w:val="20"/>
                <w:szCs w:val="20"/>
              </w:rPr>
            </w:pPr>
            <w:r w:rsidRPr="00654810">
              <w:rPr>
                <w:color w:val="000000"/>
                <w:sz w:val="20"/>
                <w:szCs w:val="20"/>
              </w:rPr>
              <w:t>734</w:t>
            </w:r>
          </w:p>
        </w:tc>
        <w:tc>
          <w:tcPr>
            <w:tcW w:w="0" w:type="auto"/>
            <w:vAlign w:val="center"/>
          </w:tcPr>
          <w:p w:rsidR="0091151B" w:rsidRPr="00654810" w:rsidRDefault="0091151B" w:rsidP="00EB3D1F">
            <w:pPr>
              <w:spacing w:after="0" w:line="240" w:lineRule="auto"/>
              <w:jc w:val="center"/>
              <w:rPr>
                <w:color w:val="000000"/>
                <w:sz w:val="20"/>
                <w:szCs w:val="20"/>
              </w:rPr>
            </w:pPr>
            <w:r w:rsidRPr="00654810">
              <w:rPr>
                <w:color w:val="000000"/>
                <w:sz w:val="20"/>
                <w:szCs w:val="20"/>
              </w:rPr>
              <w:t>70.3</w:t>
            </w:r>
          </w:p>
        </w:tc>
        <w:tc>
          <w:tcPr>
            <w:tcW w:w="0" w:type="auto"/>
            <w:vAlign w:val="center"/>
          </w:tcPr>
          <w:p w:rsidR="0091151B" w:rsidRPr="00654810" w:rsidRDefault="0091151B" w:rsidP="00EB3D1F">
            <w:pPr>
              <w:spacing w:after="0" w:line="240" w:lineRule="auto"/>
              <w:jc w:val="center"/>
              <w:rPr>
                <w:color w:val="000000"/>
                <w:sz w:val="20"/>
                <w:szCs w:val="20"/>
              </w:rPr>
            </w:pPr>
            <w:r w:rsidRPr="00654810">
              <w:rPr>
                <w:color w:val="000000"/>
                <w:sz w:val="20"/>
                <w:szCs w:val="20"/>
              </w:rPr>
              <w:t>70.5</w:t>
            </w:r>
          </w:p>
        </w:tc>
        <w:tc>
          <w:tcPr>
            <w:tcW w:w="0" w:type="auto"/>
            <w:vAlign w:val="center"/>
          </w:tcPr>
          <w:p w:rsidR="0091151B" w:rsidRPr="00654810" w:rsidRDefault="0091151B" w:rsidP="00EB3D1F">
            <w:pPr>
              <w:spacing w:after="0" w:line="240" w:lineRule="auto"/>
              <w:jc w:val="center"/>
              <w:rPr>
                <w:color w:val="000000"/>
                <w:sz w:val="20"/>
                <w:szCs w:val="20"/>
              </w:rPr>
            </w:pPr>
            <w:r w:rsidRPr="00654810">
              <w:rPr>
                <w:color w:val="000000"/>
                <w:sz w:val="20"/>
                <w:szCs w:val="20"/>
              </w:rPr>
              <w:t>72.8</w:t>
            </w:r>
          </w:p>
        </w:tc>
        <w:tc>
          <w:tcPr>
            <w:tcW w:w="0" w:type="auto"/>
            <w:vAlign w:val="center"/>
          </w:tcPr>
          <w:p w:rsidR="0091151B" w:rsidRPr="00654810" w:rsidRDefault="0091151B" w:rsidP="00EB3D1F">
            <w:pPr>
              <w:spacing w:after="0" w:line="240" w:lineRule="auto"/>
              <w:jc w:val="center"/>
              <w:rPr>
                <w:color w:val="000000"/>
                <w:sz w:val="20"/>
                <w:szCs w:val="20"/>
              </w:rPr>
            </w:pPr>
            <w:r w:rsidRPr="00654810">
              <w:rPr>
                <w:color w:val="000000"/>
                <w:sz w:val="20"/>
                <w:szCs w:val="20"/>
              </w:rPr>
              <w:t>76.8</w:t>
            </w:r>
          </w:p>
        </w:tc>
        <w:tc>
          <w:tcPr>
            <w:tcW w:w="0" w:type="auto"/>
          </w:tcPr>
          <w:p w:rsidR="0091151B" w:rsidRPr="00654810" w:rsidRDefault="0091151B" w:rsidP="00EB3D1F">
            <w:pPr>
              <w:spacing w:after="0" w:line="240" w:lineRule="auto"/>
              <w:jc w:val="center"/>
              <w:rPr>
                <w:sz w:val="20"/>
                <w:szCs w:val="20"/>
              </w:rPr>
            </w:pPr>
          </w:p>
        </w:tc>
        <w:tc>
          <w:tcPr>
            <w:tcW w:w="0" w:type="auto"/>
            <w:vAlign w:val="center"/>
          </w:tcPr>
          <w:p w:rsidR="0091151B" w:rsidRPr="00654810" w:rsidRDefault="0091151B" w:rsidP="00EB3D1F">
            <w:pPr>
              <w:spacing w:after="0" w:line="240" w:lineRule="auto"/>
              <w:jc w:val="center"/>
              <w:rPr>
                <w:sz w:val="20"/>
                <w:szCs w:val="20"/>
              </w:rPr>
            </w:pPr>
            <w:r w:rsidRPr="00654810">
              <w:rPr>
                <w:sz w:val="20"/>
                <w:szCs w:val="20"/>
              </w:rPr>
              <w:t>6.5</w:t>
            </w:r>
          </w:p>
        </w:tc>
        <w:tc>
          <w:tcPr>
            <w:tcW w:w="0" w:type="auto"/>
            <w:vAlign w:val="center"/>
          </w:tcPr>
          <w:p w:rsidR="0091151B" w:rsidRPr="00654810" w:rsidRDefault="0091151B" w:rsidP="00EB3D1F">
            <w:pPr>
              <w:spacing w:after="0" w:line="240" w:lineRule="auto"/>
              <w:jc w:val="center"/>
              <w:rPr>
                <w:sz w:val="20"/>
                <w:szCs w:val="20"/>
              </w:rPr>
            </w:pPr>
            <w:r w:rsidRPr="00654810">
              <w:rPr>
                <w:sz w:val="20"/>
                <w:szCs w:val="20"/>
              </w:rPr>
              <w:t>4</w:t>
            </w:r>
          </w:p>
        </w:tc>
      </w:tr>
      <w:tr w:rsidR="0091151B" w:rsidRPr="0066275B" w:rsidTr="008B7FB1">
        <w:tc>
          <w:tcPr>
            <w:tcW w:w="0" w:type="auto"/>
            <w:vMerge/>
            <w:vAlign w:val="center"/>
          </w:tcPr>
          <w:p w:rsidR="0091151B" w:rsidRPr="00654810" w:rsidRDefault="0091151B" w:rsidP="00EB3D1F">
            <w:pPr>
              <w:spacing w:after="0" w:line="240" w:lineRule="auto"/>
              <w:jc w:val="center"/>
              <w:rPr>
                <w:sz w:val="20"/>
                <w:szCs w:val="20"/>
              </w:rPr>
            </w:pPr>
          </w:p>
        </w:tc>
        <w:tc>
          <w:tcPr>
            <w:tcW w:w="0" w:type="auto"/>
            <w:shd w:val="clear" w:color="auto" w:fill="D9D9D9" w:themeFill="background1" w:themeFillShade="D9"/>
            <w:vAlign w:val="center"/>
          </w:tcPr>
          <w:p w:rsidR="0091151B" w:rsidRPr="00654810" w:rsidRDefault="0091151B" w:rsidP="00EB3D1F">
            <w:pPr>
              <w:spacing w:after="0" w:line="240" w:lineRule="auto"/>
              <w:jc w:val="center"/>
              <w:rPr>
                <w:sz w:val="20"/>
                <w:szCs w:val="20"/>
              </w:rPr>
            </w:pPr>
            <w:r w:rsidRPr="00654810">
              <w:rPr>
                <w:sz w:val="20"/>
                <w:szCs w:val="20"/>
              </w:rPr>
              <w:t>PARCC</w:t>
            </w:r>
          </w:p>
        </w:tc>
        <w:tc>
          <w:tcPr>
            <w:tcW w:w="0" w:type="auto"/>
            <w:shd w:val="clear" w:color="auto" w:fill="D9D9D9" w:themeFill="background1" w:themeFillShade="D9"/>
            <w:vAlign w:val="bottom"/>
          </w:tcPr>
          <w:p w:rsidR="0091151B" w:rsidRPr="00654810" w:rsidRDefault="0091151B" w:rsidP="00EB3D1F">
            <w:pPr>
              <w:spacing w:after="0" w:line="240" w:lineRule="auto"/>
              <w:jc w:val="center"/>
              <w:rPr>
                <w:sz w:val="20"/>
                <w:szCs w:val="20"/>
              </w:rPr>
            </w:pPr>
            <w:r w:rsidRPr="00654810">
              <w:rPr>
                <w:sz w:val="20"/>
                <w:szCs w:val="20"/>
              </w:rPr>
              <w:t>1,088</w:t>
            </w:r>
          </w:p>
        </w:tc>
        <w:tc>
          <w:tcPr>
            <w:tcW w:w="0" w:type="auto"/>
            <w:shd w:val="clear" w:color="auto" w:fill="D9D9D9" w:themeFill="background1" w:themeFillShade="D9"/>
            <w:vAlign w:val="center"/>
          </w:tcPr>
          <w:p w:rsidR="0091151B" w:rsidRPr="00654810" w:rsidRDefault="0091151B" w:rsidP="00EB3D1F">
            <w:pPr>
              <w:spacing w:after="0" w:line="240" w:lineRule="auto"/>
              <w:jc w:val="center"/>
              <w:rPr>
                <w:color w:val="000000"/>
                <w:sz w:val="20"/>
                <w:szCs w:val="20"/>
              </w:rPr>
            </w:pPr>
            <w:r w:rsidRPr="00654810">
              <w:rPr>
                <w:color w:val="000000"/>
                <w:sz w:val="20"/>
                <w:szCs w:val="20"/>
              </w:rPr>
              <w:t>70.3</w:t>
            </w:r>
          </w:p>
        </w:tc>
        <w:tc>
          <w:tcPr>
            <w:tcW w:w="0" w:type="auto"/>
            <w:shd w:val="clear" w:color="auto" w:fill="D9D9D9" w:themeFill="background1" w:themeFillShade="D9"/>
            <w:vAlign w:val="center"/>
          </w:tcPr>
          <w:p w:rsidR="0091151B" w:rsidRPr="00654810" w:rsidRDefault="0091151B" w:rsidP="00EB3D1F">
            <w:pPr>
              <w:spacing w:after="0" w:line="240" w:lineRule="auto"/>
              <w:jc w:val="center"/>
              <w:rPr>
                <w:color w:val="000000"/>
                <w:sz w:val="20"/>
                <w:szCs w:val="20"/>
              </w:rPr>
            </w:pPr>
            <w:r w:rsidRPr="00654810">
              <w:rPr>
                <w:color w:val="000000"/>
                <w:sz w:val="20"/>
                <w:szCs w:val="20"/>
              </w:rPr>
              <w:t>70.5</w:t>
            </w:r>
          </w:p>
        </w:tc>
        <w:tc>
          <w:tcPr>
            <w:tcW w:w="0" w:type="auto"/>
            <w:shd w:val="clear" w:color="auto" w:fill="D9D9D9" w:themeFill="background1" w:themeFillShade="D9"/>
            <w:vAlign w:val="bottom"/>
          </w:tcPr>
          <w:p w:rsidR="0091151B" w:rsidRPr="00654810" w:rsidRDefault="0091151B" w:rsidP="00EB3D1F">
            <w:pPr>
              <w:spacing w:after="0" w:line="240" w:lineRule="auto"/>
              <w:jc w:val="center"/>
              <w:rPr>
                <w:sz w:val="20"/>
                <w:szCs w:val="20"/>
              </w:rPr>
            </w:pPr>
            <w:r w:rsidRPr="00654810">
              <w:rPr>
                <w:sz w:val="20"/>
                <w:szCs w:val="20"/>
              </w:rPr>
              <w:t>67.6</w:t>
            </w:r>
          </w:p>
        </w:tc>
        <w:tc>
          <w:tcPr>
            <w:tcW w:w="0" w:type="auto"/>
            <w:shd w:val="clear" w:color="auto" w:fill="D9D9D9" w:themeFill="background1" w:themeFillShade="D9"/>
            <w:vAlign w:val="bottom"/>
          </w:tcPr>
          <w:p w:rsidR="0091151B" w:rsidRPr="00654810" w:rsidRDefault="0091151B" w:rsidP="00EB3D1F">
            <w:pPr>
              <w:spacing w:after="0" w:line="240" w:lineRule="auto"/>
              <w:jc w:val="center"/>
              <w:rPr>
                <w:sz w:val="20"/>
                <w:szCs w:val="20"/>
              </w:rPr>
            </w:pPr>
            <w:r w:rsidRPr="00654810">
              <w:rPr>
                <w:sz w:val="20"/>
                <w:szCs w:val="20"/>
              </w:rPr>
              <w:t>71.7</w:t>
            </w:r>
          </w:p>
        </w:tc>
        <w:tc>
          <w:tcPr>
            <w:tcW w:w="0" w:type="auto"/>
            <w:shd w:val="clear" w:color="auto" w:fill="D9D9D9" w:themeFill="background1" w:themeFillShade="D9"/>
          </w:tcPr>
          <w:p w:rsidR="0091151B" w:rsidRPr="00654810" w:rsidRDefault="0091151B" w:rsidP="00EB3D1F">
            <w:pPr>
              <w:spacing w:after="0" w:line="240" w:lineRule="auto"/>
              <w:jc w:val="center"/>
              <w:rPr>
                <w:sz w:val="20"/>
                <w:szCs w:val="20"/>
              </w:rPr>
            </w:pPr>
          </w:p>
        </w:tc>
        <w:tc>
          <w:tcPr>
            <w:tcW w:w="0" w:type="auto"/>
            <w:shd w:val="clear" w:color="auto" w:fill="D9D9D9" w:themeFill="background1" w:themeFillShade="D9"/>
          </w:tcPr>
          <w:p w:rsidR="0091151B" w:rsidRPr="00654810" w:rsidRDefault="0091151B" w:rsidP="00EB3D1F">
            <w:pPr>
              <w:spacing w:after="0" w:line="240" w:lineRule="auto"/>
              <w:jc w:val="center"/>
              <w:rPr>
                <w:sz w:val="20"/>
                <w:szCs w:val="20"/>
              </w:rPr>
            </w:pPr>
            <w:r w:rsidRPr="00654810">
              <w:rPr>
                <w:sz w:val="20"/>
                <w:szCs w:val="20"/>
              </w:rPr>
              <w:t>1.4</w:t>
            </w:r>
          </w:p>
        </w:tc>
        <w:tc>
          <w:tcPr>
            <w:tcW w:w="0" w:type="auto"/>
            <w:shd w:val="clear" w:color="auto" w:fill="D9D9D9" w:themeFill="background1" w:themeFillShade="D9"/>
            <w:vAlign w:val="bottom"/>
          </w:tcPr>
          <w:p w:rsidR="0091151B" w:rsidRPr="00654810" w:rsidRDefault="0091151B" w:rsidP="00EB3D1F">
            <w:pPr>
              <w:spacing w:after="0" w:line="240" w:lineRule="auto"/>
              <w:jc w:val="center"/>
              <w:rPr>
                <w:sz w:val="20"/>
                <w:szCs w:val="20"/>
              </w:rPr>
            </w:pPr>
            <w:r w:rsidRPr="00654810">
              <w:rPr>
                <w:sz w:val="20"/>
                <w:szCs w:val="20"/>
              </w:rPr>
              <w:t>4.1</w:t>
            </w:r>
          </w:p>
        </w:tc>
      </w:tr>
      <w:tr w:rsidR="0091151B" w:rsidRPr="0066275B" w:rsidTr="008B7FB1">
        <w:tc>
          <w:tcPr>
            <w:tcW w:w="0" w:type="auto"/>
            <w:vMerge w:val="restart"/>
            <w:vAlign w:val="center"/>
          </w:tcPr>
          <w:p w:rsidR="0091151B" w:rsidRPr="00654810" w:rsidRDefault="0091151B" w:rsidP="00EB3D1F">
            <w:pPr>
              <w:spacing w:after="0" w:line="240" w:lineRule="auto"/>
              <w:jc w:val="center"/>
              <w:rPr>
                <w:sz w:val="20"/>
                <w:szCs w:val="20"/>
              </w:rPr>
            </w:pPr>
            <w:r w:rsidRPr="00654810">
              <w:rPr>
                <w:sz w:val="20"/>
                <w:szCs w:val="20"/>
              </w:rPr>
              <w:t>4</w:t>
            </w:r>
          </w:p>
        </w:tc>
        <w:tc>
          <w:tcPr>
            <w:tcW w:w="0" w:type="auto"/>
            <w:vAlign w:val="center"/>
          </w:tcPr>
          <w:p w:rsidR="0091151B" w:rsidRPr="00654810" w:rsidRDefault="0091151B" w:rsidP="00EB3D1F">
            <w:pPr>
              <w:spacing w:after="0" w:line="240" w:lineRule="auto"/>
              <w:jc w:val="center"/>
              <w:rPr>
                <w:sz w:val="20"/>
                <w:szCs w:val="20"/>
              </w:rPr>
            </w:pPr>
            <w:r w:rsidRPr="00654810">
              <w:rPr>
                <w:sz w:val="20"/>
                <w:szCs w:val="20"/>
              </w:rPr>
              <w:t>MCAS</w:t>
            </w:r>
          </w:p>
        </w:tc>
        <w:tc>
          <w:tcPr>
            <w:tcW w:w="0" w:type="auto"/>
            <w:vAlign w:val="center"/>
          </w:tcPr>
          <w:p w:rsidR="0091151B" w:rsidRPr="00654810" w:rsidRDefault="0091151B" w:rsidP="00EB3D1F">
            <w:pPr>
              <w:spacing w:after="0" w:line="240" w:lineRule="auto"/>
              <w:jc w:val="center"/>
              <w:rPr>
                <w:color w:val="000000"/>
                <w:sz w:val="20"/>
                <w:szCs w:val="20"/>
              </w:rPr>
            </w:pPr>
            <w:r w:rsidRPr="00654810">
              <w:rPr>
                <w:color w:val="000000"/>
                <w:sz w:val="20"/>
                <w:szCs w:val="20"/>
              </w:rPr>
              <w:t>748</w:t>
            </w:r>
          </w:p>
        </w:tc>
        <w:tc>
          <w:tcPr>
            <w:tcW w:w="0" w:type="auto"/>
            <w:vAlign w:val="center"/>
          </w:tcPr>
          <w:p w:rsidR="0091151B" w:rsidRPr="00654810" w:rsidRDefault="0091151B" w:rsidP="00EB3D1F">
            <w:pPr>
              <w:spacing w:after="0" w:line="240" w:lineRule="auto"/>
              <w:jc w:val="center"/>
              <w:rPr>
                <w:color w:val="000000"/>
                <w:sz w:val="20"/>
                <w:szCs w:val="20"/>
              </w:rPr>
            </w:pPr>
            <w:r w:rsidRPr="00654810">
              <w:rPr>
                <w:color w:val="000000"/>
                <w:sz w:val="20"/>
                <w:szCs w:val="20"/>
              </w:rPr>
              <w:t>67.7</w:t>
            </w:r>
          </w:p>
        </w:tc>
        <w:tc>
          <w:tcPr>
            <w:tcW w:w="0" w:type="auto"/>
            <w:vAlign w:val="center"/>
          </w:tcPr>
          <w:p w:rsidR="0091151B" w:rsidRPr="00654810" w:rsidRDefault="0091151B" w:rsidP="00EB3D1F">
            <w:pPr>
              <w:spacing w:after="0" w:line="240" w:lineRule="auto"/>
              <w:jc w:val="center"/>
              <w:rPr>
                <w:color w:val="000000"/>
                <w:sz w:val="20"/>
                <w:szCs w:val="20"/>
              </w:rPr>
            </w:pPr>
            <w:r w:rsidRPr="00654810">
              <w:rPr>
                <w:color w:val="000000"/>
                <w:sz w:val="20"/>
                <w:szCs w:val="20"/>
              </w:rPr>
              <w:t>65.5</w:t>
            </w:r>
          </w:p>
        </w:tc>
        <w:tc>
          <w:tcPr>
            <w:tcW w:w="0" w:type="auto"/>
            <w:vAlign w:val="center"/>
          </w:tcPr>
          <w:p w:rsidR="0091151B" w:rsidRPr="00654810" w:rsidRDefault="0091151B" w:rsidP="00EB3D1F">
            <w:pPr>
              <w:spacing w:after="0" w:line="240" w:lineRule="auto"/>
              <w:jc w:val="center"/>
              <w:rPr>
                <w:color w:val="000000"/>
                <w:sz w:val="20"/>
                <w:szCs w:val="20"/>
              </w:rPr>
            </w:pPr>
            <w:r w:rsidRPr="00654810">
              <w:rPr>
                <w:color w:val="000000"/>
                <w:sz w:val="20"/>
                <w:szCs w:val="20"/>
              </w:rPr>
              <w:t>67.0</w:t>
            </w:r>
          </w:p>
        </w:tc>
        <w:tc>
          <w:tcPr>
            <w:tcW w:w="0" w:type="auto"/>
            <w:vAlign w:val="center"/>
          </w:tcPr>
          <w:p w:rsidR="0091151B" w:rsidRPr="00654810" w:rsidRDefault="0091151B" w:rsidP="00EB3D1F">
            <w:pPr>
              <w:spacing w:after="0" w:line="240" w:lineRule="auto"/>
              <w:jc w:val="center"/>
              <w:rPr>
                <w:color w:val="000000"/>
                <w:sz w:val="20"/>
                <w:szCs w:val="20"/>
              </w:rPr>
            </w:pPr>
            <w:r w:rsidRPr="00654810">
              <w:rPr>
                <w:color w:val="000000"/>
                <w:sz w:val="20"/>
                <w:szCs w:val="20"/>
              </w:rPr>
              <w:t>72.1</w:t>
            </w:r>
          </w:p>
        </w:tc>
        <w:tc>
          <w:tcPr>
            <w:tcW w:w="0" w:type="auto"/>
          </w:tcPr>
          <w:p w:rsidR="0091151B" w:rsidRPr="00654810" w:rsidRDefault="0091151B" w:rsidP="00EB3D1F">
            <w:pPr>
              <w:spacing w:after="0" w:line="240" w:lineRule="auto"/>
              <w:jc w:val="center"/>
              <w:rPr>
                <w:sz w:val="20"/>
                <w:szCs w:val="20"/>
              </w:rPr>
            </w:pPr>
          </w:p>
        </w:tc>
        <w:tc>
          <w:tcPr>
            <w:tcW w:w="0" w:type="auto"/>
            <w:vAlign w:val="center"/>
          </w:tcPr>
          <w:p w:rsidR="0091151B" w:rsidRPr="00654810" w:rsidRDefault="0091151B" w:rsidP="00EB3D1F">
            <w:pPr>
              <w:spacing w:after="0" w:line="240" w:lineRule="auto"/>
              <w:jc w:val="center"/>
              <w:rPr>
                <w:sz w:val="20"/>
                <w:szCs w:val="20"/>
              </w:rPr>
            </w:pPr>
            <w:r w:rsidRPr="00654810">
              <w:rPr>
                <w:sz w:val="20"/>
                <w:szCs w:val="20"/>
              </w:rPr>
              <w:t>4.4</w:t>
            </w:r>
          </w:p>
        </w:tc>
        <w:tc>
          <w:tcPr>
            <w:tcW w:w="0" w:type="auto"/>
            <w:vAlign w:val="center"/>
          </w:tcPr>
          <w:p w:rsidR="0091151B" w:rsidRPr="00654810" w:rsidRDefault="0091151B" w:rsidP="00EB3D1F">
            <w:pPr>
              <w:spacing w:after="0" w:line="240" w:lineRule="auto"/>
              <w:jc w:val="center"/>
              <w:rPr>
                <w:sz w:val="20"/>
                <w:szCs w:val="20"/>
              </w:rPr>
            </w:pPr>
            <w:r w:rsidRPr="00654810">
              <w:rPr>
                <w:sz w:val="20"/>
                <w:szCs w:val="20"/>
              </w:rPr>
              <w:t>5.1</w:t>
            </w:r>
          </w:p>
        </w:tc>
      </w:tr>
      <w:tr w:rsidR="0091151B" w:rsidRPr="0066275B" w:rsidTr="008B7FB1">
        <w:tc>
          <w:tcPr>
            <w:tcW w:w="0" w:type="auto"/>
            <w:vMerge/>
            <w:vAlign w:val="center"/>
          </w:tcPr>
          <w:p w:rsidR="0091151B" w:rsidRPr="00654810" w:rsidRDefault="0091151B" w:rsidP="00EB3D1F">
            <w:pPr>
              <w:spacing w:after="0" w:line="240" w:lineRule="auto"/>
              <w:jc w:val="center"/>
              <w:rPr>
                <w:sz w:val="20"/>
                <w:szCs w:val="20"/>
              </w:rPr>
            </w:pPr>
          </w:p>
        </w:tc>
        <w:tc>
          <w:tcPr>
            <w:tcW w:w="0" w:type="auto"/>
            <w:shd w:val="clear" w:color="auto" w:fill="D9D9D9" w:themeFill="background1" w:themeFillShade="D9"/>
            <w:vAlign w:val="center"/>
          </w:tcPr>
          <w:p w:rsidR="0091151B" w:rsidRPr="00654810" w:rsidRDefault="0091151B" w:rsidP="00EB3D1F">
            <w:pPr>
              <w:spacing w:after="0" w:line="240" w:lineRule="auto"/>
              <w:jc w:val="center"/>
              <w:rPr>
                <w:sz w:val="20"/>
                <w:szCs w:val="20"/>
              </w:rPr>
            </w:pPr>
            <w:r w:rsidRPr="00654810">
              <w:rPr>
                <w:sz w:val="20"/>
                <w:szCs w:val="20"/>
              </w:rPr>
              <w:t>PARCC</w:t>
            </w:r>
          </w:p>
        </w:tc>
        <w:tc>
          <w:tcPr>
            <w:tcW w:w="0" w:type="auto"/>
            <w:shd w:val="clear" w:color="auto" w:fill="D9D9D9" w:themeFill="background1" w:themeFillShade="D9"/>
            <w:vAlign w:val="bottom"/>
          </w:tcPr>
          <w:p w:rsidR="0091151B" w:rsidRPr="00654810" w:rsidRDefault="0091151B" w:rsidP="00EB3D1F">
            <w:pPr>
              <w:spacing w:after="0" w:line="240" w:lineRule="auto"/>
              <w:jc w:val="center"/>
              <w:rPr>
                <w:sz w:val="20"/>
                <w:szCs w:val="20"/>
              </w:rPr>
            </w:pPr>
            <w:r w:rsidRPr="00654810">
              <w:rPr>
                <w:sz w:val="20"/>
                <w:szCs w:val="20"/>
              </w:rPr>
              <w:t>1,127</w:t>
            </w:r>
          </w:p>
        </w:tc>
        <w:tc>
          <w:tcPr>
            <w:tcW w:w="0" w:type="auto"/>
            <w:shd w:val="clear" w:color="auto" w:fill="D9D9D9" w:themeFill="background1" w:themeFillShade="D9"/>
            <w:vAlign w:val="center"/>
          </w:tcPr>
          <w:p w:rsidR="0091151B" w:rsidRPr="00654810" w:rsidRDefault="0091151B" w:rsidP="00EB3D1F">
            <w:pPr>
              <w:spacing w:after="0" w:line="240" w:lineRule="auto"/>
              <w:jc w:val="center"/>
              <w:rPr>
                <w:color w:val="000000"/>
                <w:sz w:val="20"/>
                <w:szCs w:val="20"/>
              </w:rPr>
            </w:pPr>
            <w:r w:rsidRPr="00654810">
              <w:rPr>
                <w:color w:val="000000"/>
                <w:sz w:val="20"/>
                <w:szCs w:val="20"/>
              </w:rPr>
              <w:t>67.7</w:t>
            </w:r>
          </w:p>
        </w:tc>
        <w:tc>
          <w:tcPr>
            <w:tcW w:w="0" w:type="auto"/>
            <w:shd w:val="clear" w:color="auto" w:fill="D9D9D9" w:themeFill="background1" w:themeFillShade="D9"/>
            <w:vAlign w:val="center"/>
          </w:tcPr>
          <w:p w:rsidR="0091151B" w:rsidRPr="00654810" w:rsidRDefault="0091151B" w:rsidP="00EB3D1F">
            <w:pPr>
              <w:spacing w:after="0" w:line="240" w:lineRule="auto"/>
              <w:jc w:val="center"/>
              <w:rPr>
                <w:color w:val="000000"/>
                <w:sz w:val="20"/>
                <w:szCs w:val="20"/>
              </w:rPr>
            </w:pPr>
            <w:r w:rsidRPr="00654810">
              <w:rPr>
                <w:color w:val="000000"/>
                <w:sz w:val="20"/>
                <w:szCs w:val="20"/>
              </w:rPr>
              <w:t>65.5</w:t>
            </w:r>
          </w:p>
        </w:tc>
        <w:tc>
          <w:tcPr>
            <w:tcW w:w="0" w:type="auto"/>
            <w:shd w:val="clear" w:color="auto" w:fill="D9D9D9" w:themeFill="background1" w:themeFillShade="D9"/>
            <w:vAlign w:val="bottom"/>
          </w:tcPr>
          <w:p w:rsidR="0091151B" w:rsidRPr="00654810" w:rsidRDefault="0091151B" w:rsidP="00EB3D1F">
            <w:pPr>
              <w:spacing w:after="0" w:line="240" w:lineRule="auto"/>
              <w:jc w:val="center"/>
              <w:rPr>
                <w:sz w:val="20"/>
                <w:szCs w:val="20"/>
              </w:rPr>
            </w:pPr>
            <w:r w:rsidRPr="00654810">
              <w:rPr>
                <w:sz w:val="20"/>
                <w:szCs w:val="20"/>
              </w:rPr>
              <w:t>63.4</w:t>
            </w:r>
          </w:p>
        </w:tc>
        <w:tc>
          <w:tcPr>
            <w:tcW w:w="0" w:type="auto"/>
            <w:shd w:val="clear" w:color="auto" w:fill="D9D9D9" w:themeFill="background1" w:themeFillShade="D9"/>
            <w:vAlign w:val="bottom"/>
          </w:tcPr>
          <w:p w:rsidR="0091151B" w:rsidRPr="00654810" w:rsidRDefault="0091151B" w:rsidP="00EB3D1F">
            <w:pPr>
              <w:spacing w:after="0" w:line="240" w:lineRule="auto"/>
              <w:jc w:val="center"/>
              <w:rPr>
                <w:sz w:val="20"/>
                <w:szCs w:val="20"/>
              </w:rPr>
            </w:pPr>
            <w:r w:rsidRPr="00654810">
              <w:rPr>
                <w:sz w:val="20"/>
                <w:szCs w:val="20"/>
              </w:rPr>
              <w:t>59.9</w:t>
            </w:r>
          </w:p>
        </w:tc>
        <w:tc>
          <w:tcPr>
            <w:tcW w:w="0" w:type="auto"/>
            <w:shd w:val="clear" w:color="auto" w:fill="D9D9D9" w:themeFill="background1" w:themeFillShade="D9"/>
          </w:tcPr>
          <w:p w:rsidR="0091151B" w:rsidRPr="00654810" w:rsidRDefault="0091151B" w:rsidP="00EB3D1F">
            <w:pPr>
              <w:spacing w:after="0" w:line="240" w:lineRule="auto"/>
              <w:jc w:val="center"/>
              <w:rPr>
                <w:sz w:val="20"/>
                <w:szCs w:val="20"/>
              </w:rPr>
            </w:pPr>
          </w:p>
        </w:tc>
        <w:tc>
          <w:tcPr>
            <w:tcW w:w="0" w:type="auto"/>
            <w:shd w:val="clear" w:color="auto" w:fill="D9D9D9" w:themeFill="background1" w:themeFillShade="D9"/>
          </w:tcPr>
          <w:p w:rsidR="0091151B" w:rsidRPr="00654810" w:rsidRDefault="0091151B" w:rsidP="00EB3D1F">
            <w:pPr>
              <w:spacing w:after="0" w:line="240" w:lineRule="auto"/>
              <w:jc w:val="center"/>
              <w:rPr>
                <w:sz w:val="20"/>
                <w:szCs w:val="20"/>
              </w:rPr>
            </w:pPr>
            <w:r w:rsidRPr="00654810">
              <w:rPr>
                <w:sz w:val="20"/>
                <w:szCs w:val="20"/>
              </w:rPr>
              <w:t>-7.8</w:t>
            </w:r>
          </w:p>
        </w:tc>
        <w:tc>
          <w:tcPr>
            <w:tcW w:w="0" w:type="auto"/>
            <w:shd w:val="clear" w:color="auto" w:fill="D9D9D9" w:themeFill="background1" w:themeFillShade="D9"/>
            <w:vAlign w:val="bottom"/>
          </w:tcPr>
          <w:p w:rsidR="0091151B" w:rsidRPr="00654810" w:rsidRDefault="0091151B" w:rsidP="00EB3D1F">
            <w:pPr>
              <w:spacing w:after="0" w:line="240" w:lineRule="auto"/>
              <w:jc w:val="center"/>
              <w:rPr>
                <w:sz w:val="20"/>
                <w:szCs w:val="20"/>
              </w:rPr>
            </w:pPr>
            <w:r w:rsidRPr="00654810">
              <w:rPr>
                <w:sz w:val="20"/>
                <w:szCs w:val="20"/>
              </w:rPr>
              <w:t>-3.5</w:t>
            </w:r>
          </w:p>
        </w:tc>
      </w:tr>
      <w:tr w:rsidR="0091151B" w:rsidRPr="0066275B" w:rsidTr="008B7FB1">
        <w:tc>
          <w:tcPr>
            <w:tcW w:w="0" w:type="auto"/>
            <w:vMerge w:val="restart"/>
            <w:vAlign w:val="center"/>
          </w:tcPr>
          <w:p w:rsidR="0091151B" w:rsidRPr="00654810" w:rsidRDefault="0091151B" w:rsidP="00EB3D1F">
            <w:pPr>
              <w:spacing w:after="0" w:line="240" w:lineRule="auto"/>
              <w:jc w:val="center"/>
              <w:rPr>
                <w:sz w:val="20"/>
                <w:szCs w:val="20"/>
              </w:rPr>
            </w:pPr>
            <w:r w:rsidRPr="00654810">
              <w:rPr>
                <w:sz w:val="20"/>
                <w:szCs w:val="20"/>
              </w:rPr>
              <w:t>5</w:t>
            </w:r>
          </w:p>
        </w:tc>
        <w:tc>
          <w:tcPr>
            <w:tcW w:w="0" w:type="auto"/>
            <w:vAlign w:val="center"/>
          </w:tcPr>
          <w:p w:rsidR="0091151B" w:rsidRPr="00654810" w:rsidRDefault="0091151B" w:rsidP="00EB3D1F">
            <w:pPr>
              <w:spacing w:after="0" w:line="240" w:lineRule="auto"/>
              <w:jc w:val="center"/>
              <w:rPr>
                <w:sz w:val="20"/>
                <w:szCs w:val="20"/>
              </w:rPr>
            </w:pPr>
            <w:r w:rsidRPr="00654810">
              <w:rPr>
                <w:sz w:val="20"/>
                <w:szCs w:val="20"/>
              </w:rPr>
              <w:t>MCAS</w:t>
            </w:r>
          </w:p>
        </w:tc>
        <w:tc>
          <w:tcPr>
            <w:tcW w:w="0" w:type="auto"/>
            <w:vAlign w:val="center"/>
          </w:tcPr>
          <w:p w:rsidR="0091151B" w:rsidRPr="00654810" w:rsidRDefault="0091151B" w:rsidP="00EB3D1F">
            <w:pPr>
              <w:spacing w:after="0" w:line="240" w:lineRule="auto"/>
              <w:jc w:val="center"/>
              <w:rPr>
                <w:color w:val="000000"/>
                <w:sz w:val="20"/>
                <w:szCs w:val="20"/>
              </w:rPr>
            </w:pPr>
            <w:r w:rsidRPr="00654810">
              <w:rPr>
                <w:color w:val="000000"/>
                <w:sz w:val="20"/>
                <w:szCs w:val="20"/>
              </w:rPr>
              <w:t>702</w:t>
            </w:r>
          </w:p>
        </w:tc>
        <w:tc>
          <w:tcPr>
            <w:tcW w:w="0" w:type="auto"/>
            <w:vAlign w:val="center"/>
          </w:tcPr>
          <w:p w:rsidR="0091151B" w:rsidRPr="00654810" w:rsidRDefault="0091151B" w:rsidP="00EB3D1F">
            <w:pPr>
              <w:spacing w:after="0" w:line="240" w:lineRule="auto"/>
              <w:jc w:val="center"/>
              <w:rPr>
                <w:color w:val="000000"/>
                <w:sz w:val="20"/>
                <w:szCs w:val="20"/>
              </w:rPr>
            </w:pPr>
            <w:r w:rsidRPr="00654810">
              <w:rPr>
                <w:color w:val="000000"/>
                <w:sz w:val="20"/>
                <w:szCs w:val="20"/>
              </w:rPr>
              <w:t>67.8</w:t>
            </w:r>
          </w:p>
        </w:tc>
        <w:tc>
          <w:tcPr>
            <w:tcW w:w="0" w:type="auto"/>
            <w:vAlign w:val="center"/>
          </w:tcPr>
          <w:p w:rsidR="0091151B" w:rsidRPr="00654810" w:rsidRDefault="0091151B" w:rsidP="00EB3D1F">
            <w:pPr>
              <w:spacing w:after="0" w:line="240" w:lineRule="auto"/>
              <w:jc w:val="center"/>
              <w:rPr>
                <w:color w:val="000000"/>
                <w:sz w:val="20"/>
                <w:szCs w:val="20"/>
              </w:rPr>
            </w:pPr>
            <w:r w:rsidRPr="00654810">
              <w:rPr>
                <w:color w:val="000000"/>
                <w:sz w:val="20"/>
                <w:szCs w:val="20"/>
              </w:rPr>
              <w:t>65.1</w:t>
            </w:r>
          </w:p>
        </w:tc>
        <w:tc>
          <w:tcPr>
            <w:tcW w:w="0" w:type="auto"/>
            <w:vAlign w:val="center"/>
          </w:tcPr>
          <w:p w:rsidR="0091151B" w:rsidRPr="00654810" w:rsidRDefault="0091151B" w:rsidP="00EB3D1F">
            <w:pPr>
              <w:spacing w:after="0" w:line="240" w:lineRule="auto"/>
              <w:jc w:val="center"/>
              <w:rPr>
                <w:color w:val="000000"/>
                <w:sz w:val="20"/>
                <w:szCs w:val="20"/>
              </w:rPr>
            </w:pPr>
            <w:r w:rsidRPr="00654810">
              <w:rPr>
                <w:color w:val="000000"/>
                <w:sz w:val="20"/>
                <w:szCs w:val="20"/>
              </w:rPr>
              <w:t>71.9</w:t>
            </w:r>
          </w:p>
        </w:tc>
        <w:tc>
          <w:tcPr>
            <w:tcW w:w="0" w:type="auto"/>
            <w:vAlign w:val="center"/>
          </w:tcPr>
          <w:p w:rsidR="0091151B" w:rsidRPr="00654810" w:rsidRDefault="0091151B" w:rsidP="00EB3D1F">
            <w:pPr>
              <w:spacing w:after="0" w:line="240" w:lineRule="auto"/>
              <w:jc w:val="center"/>
              <w:rPr>
                <w:color w:val="000000"/>
                <w:sz w:val="20"/>
                <w:szCs w:val="20"/>
              </w:rPr>
            </w:pPr>
            <w:r w:rsidRPr="00654810">
              <w:rPr>
                <w:color w:val="000000"/>
                <w:sz w:val="20"/>
                <w:szCs w:val="20"/>
              </w:rPr>
              <w:t>73.1</w:t>
            </w:r>
          </w:p>
        </w:tc>
        <w:tc>
          <w:tcPr>
            <w:tcW w:w="0" w:type="auto"/>
          </w:tcPr>
          <w:p w:rsidR="0091151B" w:rsidRPr="00654810" w:rsidRDefault="0091151B" w:rsidP="00EB3D1F">
            <w:pPr>
              <w:spacing w:after="0" w:line="240" w:lineRule="auto"/>
              <w:jc w:val="center"/>
              <w:rPr>
                <w:sz w:val="20"/>
                <w:szCs w:val="20"/>
              </w:rPr>
            </w:pPr>
          </w:p>
        </w:tc>
        <w:tc>
          <w:tcPr>
            <w:tcW w:w="0" w:type="auto"/>
            <w:vAlign w:val="center"/>
          </w:tcPr>
          <w:p w:rsidR="0091151B" w:rsidRPr="00654810" w:rsidRDefault="0091151B" w:rsidP="00EB3D1F">
            <w:pPr>
              <w:spacing w:after="0" w:line="240" w:lineRule="auto"/>
              <w:jc w:val="center"/>
              <w:rPr>
                <w:sz w:val="20"/>
                <w:szCs w:val="20"/>
              </w:rPr>
            </w:pPr>
            <w:r w:rsidRPr="00654810">
              <w:rPr>
                <w:sz w:val="20"/>
                <w:szCs w:val="20"/>
              </w:rPr>
              <w:t>5.3</w:t>
            </w:r>
          </w:p>
        </w:tc>
        <w:tc>
          <w:tcPr>
            <w:tcW w:w="0" w:type="auto"/>
            <w:vAlign w:val="center"/>
          </w:tcPr>
          <w:p w:rsidR="0091151B" w:rsidRPr="00654810" w:rsidRDefault="0091151B" w:rsidP="00EB3D1F">
            <w:pPr>
              <w:spacing w:after="0" w:line="240" w:lineRule="auto"/>
              <w:jc w:val="center"/>
              <w:rPr>
                <w:sz w:val="20"/>
                <w:szCs w:val="20"/>
              </w:rPr>
            </w:pPr>
            <w:r w:rsidRPr="00654810">
              <w:rPr>
                <w:sz w:val="20"/>
                <w:szCs w:val="20"/>
              </w:rPr>
              <w:t>1.2</w:t>
            </w:r>
          </w:p>
        </w:tc>
      </w:tr>
      <w:tr w:rsidR="0091151B" w:rsidRPr="0066275B" w:rsidTr="008B7FB1">
        <w:tc>
          <w:tcPr>
            <w:tcW w:w="0" w:type="auto"/>
            <w:vMerge/>
            <w:vAlign w:val="center"/>
          </w:tcPr>
          <w:p w:rsidR="0091151B" w:rsidRPr="00654810" w:rsidRDefault="0091151B" w:rsidP="00EB3D1F">
            <w:pPr>
              <w:spacing w:after="0" w:line="240" w:lineRule="auto"/>
              <w:jc w:val="center"/>
              <w:rPr>
                <w:sz w:val="20"/>
                <w:szCs w:val="20"/>
              </w:rPr>
            </w:pPr>
          </w:p>
        </w:tc>
        <w:tc>
          <w:tcPr>
            <w:tcW w:w="0" w:type="auto"/>
            <w:shd w:val="clear" w:color="auto" w:fill="D9D9D9" w:themeFill="background1" w:themeFillShade="D9"/>
            <w:vAlign w:val="center"/>
          </w:tcPr>
          <w:p w:rsidR="0091151B" w:rsidRPr="00654810" w:rsidRDefault="0091151B" w:rsidP="00EB3D1F">
            <w:pPr>
              <w:spacing w:after="0" w:line="240" w:lineRule="auto"/>
              <w:jc w:val="center"/>
              <w:rPr>
                <w:sz w:val="20"/>
                <w:szCs w:val="20"/>
              </w:rPr>
            </w:pPr>
            <w:r w:rsidRPr="00654810">
              <w:rPr>
                <w:sz w:val="20"/>
                <w:szCs w:val="20"/>
              </w:rPr>
              <w:t>PARCC</w:t>
            </w:r>
          </w:p>
        </w:tc>
        <w:tc>
          <w:tcPr>
            <w:tcW w:w="0" w:type="auto"/>
            <w:shd w:val="clear" w:color="auto" w:fill="D9D9D9" w:themeFill="background1" w:themeFillShade="D9"/>
            <w:vAlign w:val="bottom"/>
          </w:tcPr>
          <w:p w:rsidR="0091151B" w:rsidRPr="00654810" w:rsidRDefault="0091151B" w:rsidP="00EB3D1F">
            <w:pPr>
              <w:spacing w:after="0" w:line="240" w:lineRule="auto"/>
              <w:jc w:val="center"/>
              <w:rPr>
                <w:sz w:val="20"/>
                <w:szCs w:val="20"/>
              </w:rPr>
            </w:pPr>
            <w:r w:rsidRPr="00654810">
              <w:rPr>
                <w:sz w:val="20"/>
                <w:szCs w:val="20"/>
              </w:rPr>
              <w:t>1,074</w:t>
            </w:r>
          </w:p>
        </w:tc>
        <w:tc>
          <w:tcPr>
            <w:tcW w:w="0" w:type="auto"/>
            <w:shd w:val="clear" w:color="auto" w:fill="D9D9D9" w:themeFill="background1" w:themeFillShade="D9"/>
            <w:vAlign w:val="center"/>
          </w:tcPr>
          <w:p w:rsidR="0091151B" w:rsidRPr="00654810" w:rsidRDefault="0091151B" w:rsidP="00EB3D1F">
            <w:pPr>
              <w:spacing w:after="0" w:line="240" w:lineRule="auto"/>
              <w:jc w:val="center"/>
              <w:rPr>
                <w:color w:val="000000"/>
                <w:sz w:val="20"/>
                <w:szCs w:val="20"/>
              </w:rPr>
            </w:pPr>
            <w:r w:rsidRPr="00654810">
              <w:rPr>
                <w:color w:val="000000"/>
                <w:sz w:val="20"/>
                <w:szCs w:val="20"/>
              </w:rPr>
              <w:t>67.8</w:t>
            </w:r>
          </w:p>
        </w:tc>
        <w:tc>
          <w:tcPr>
            <w:tcW w:w="0" w:type="auto"/>
            <w:shd w:val="clear" w:color="auto" w:fill="D9D9D9" w:themeFill="background1" w:themeFillShade="D9"/>
            <w:vAlign w:val="center"/>
          </w:tcPr>
          <w:p w:rsidR="0091151B" w:rsidRPr="00654810" w:rsidRDefault="0091151B" w:rsidP="00EB3D1F">
            <w:pPr>
              <w:spacing w:after="0" w:line="240" w:lineRule="auto"/>
              <w:jc w:val="center"/>
              <w:rPr>
                <w:color w:val="000000"/>
                <w:sz w:val="20"/>
                <w:szCs w:val="20"/>
              </w:rPr>
            </w:pPr>
            <w:r w:rsidRPr="00654810">
              <w:rPr>
                <w:color w:val="000000"/>
                <w:sz w:val="20"/>
                <w:szCs w:val="20"/>
              </w:rPr>
              <w:t>65.1</w:t>
            </w:r>
          </w:p>
        </w:tc>
        <w:tc>
          <w:tcPr>
            <w:tcW w:w="0" w:type="auto"/>
            <w:shd w:val="clear" w:color="auto" w:fill="D9D9D9" w:themeFill="background1" w:themeFillShade="D9"/>
            <w:vAlign w:val="bottom"/>
          </w:tcPr>
          <w:p w:rsidR="0091151B" w:rsidRPr="00654810" w:rsidRDefault="0091151B" w:rsidP="00EB3D1F">
            <w:pPr>
              <w:spacing w:after="0" w:line="240" w:lineRule="auto"/>
              <w:jc w:val="center"/>
              <w:rPr>
                <w:sz w:val="20"/>
                <w:szCs w:val="20"/>
              </w:rPr>
            </w:pPr>
            <w:r w:rsidRPr="00654810">
              <w:rPr>
                <w:sz w:val="20"/>
                <w:szCs w:val="20"/>
              </w:rPr>
              <w:t>60.4</w:t>
            </w:r>
          </w:p>
        </w:tc>
        <w:tc>
          <w:tcPr>
            <w:tcW w:w="0" w:type="auto"/>
            <w:shd w:val="clear" w:color="auto" w:fill="D9D9D9" w:themeFill="background1" w:themeFillShade="D9"/>
            <w:vAlign w:val="bottom"/>
          </w:tcPr>
          <w:p w:rsidR="0091151B" w:rsidRPr="00654810" w:rsidRDefault="0091151B" w:rsidP="00EB3D1F">
            <w:pPr>
              <w:spacing w:after="0" w:line="240" w:lineRule="auto"/>
              <w:jc w:val="center"/>
              <w:rPr>
                <w:sz w:val="20"/>
                <w:szCs w:val="20"/>
              </w:rPr>
            </w:pPr>
            <w:r w:rsidRPr="00654810">
              <w:rPr>
                <w:sz w:val="20"/>
                <w:szCs w:val="20"/>
              </w:rPr>
              <w:t>61.5</w:t>
            </w:r>
          </w:p>
        </w:tc>
        <w:tc>
          <w:tcPr>
            <w:tcW w:w="0" w:type="auto"/>
            <w:shd w:val="clear" w:color="auto" w:fill="D9D9D9" w:themeFill="background1" w:themeFillShade="D9"/>
          </w:tcPr>
          <w:p w:rsidR="0091151B" w:rsidRPr="00654810" w:rsidRDefault="0091151B" w:rsidP="00EB3D1F">
            <w:pPr>
              <w:spacing w:after="0" w:line="240" w:lineRule="auto"/>
              <w:jc w:val="center"/>
              <w:rPr>
                <w:sz w:val="20"/>
                <w:szCs w:val="20"/>
              </w:rPr>
            </w:pPr>
          </w:p>
        </w:tc>
        <w:tc>
          <w:tcPr>
            <w:tcW w:w="0" w:type="auto"/>
            <w:shd w:val="clear" w:color="auto" w:fill="D9D9D9" w:themeFill="background1" w:themeFillShade="D9"/>
          </w:tcPr>
          <w:p w:rsidR="0091151B" w:rsidRPr="00654810" w:rsidRDefault="0091151B" w:rsidP="00EB3D1F">
            <w:pPr>
              <w:spacing w:after="0" w:line="240" w:lineRule="auto"/>
              <w:jc w:val="center"/>
              <w:rPr>
                <w:sz w:val="20"/>
                <w:szCs w:val="20"/>
              </w:rPr>
            </w:pPr>
            <w:r w:rsidRPr="00654810">
              <w:rPr>
                <w:sz w:val="20"/>
                <w:szCs w:val="20"/>
              </w:rPr>
              <w:t>-6.3</w:t>
            </w:r>
          </w:p>
        </w:tc>
        <w:tc>
          <w:tcPr>
            <w:tcW w:w="0" w:type="auto"/>
            <w:shd w:val="clear" w:color="auto" w:fill="D9D9D9" w:themeFill="background1" w:themeFillShade="D9"/>
            <w:vAlign w:val="bottom"/>
          </w:tcPr>
          <w:p w:rsidR="0091151B" w:rsidRPr="00654810" w:rsidRDefault="0091151B" w:rsidP="00EB3D1F">
            <w:pPr>
              <w:spacing w:after="0" w:line="240" w:lineRule="auto"/>
              <w:jc w:val="center"/>
              <w:rPr>
                <w:sz w:val="20"/>
                <w:szCs w:val="20"/>
              </w:rPr>
            </w:pPr>
            <w:r w:rsidRPr="00654810">
              <w:rPr>
                <w:sz w:val="20"/>
                <w:szCs w:val="20"/>
              </w:rPr>
              <w:t>1.1</w:t>
            </w:r>
          </w:p>
        </w:tc>
      </w:tr>
      <w:tr w:rsidR="0091151B" w:rsidRPr="0066275B" w:rsidTr="008B7FB1">
        <w:tc>
          <w:tcPr>
            <w:tcW w:w="0" w:type="auto"/>
            <w:vMerge w:val="restart"/>
            <w:vAlign w:val="center"/>
          </w:tcPr>
          <w:p w:rsidR="0091151B" w:rsidRPr="00654810" w:rsidRDefault="0091151B" w:rsidP="00EB3D1F">
            <w:pPr>
              <w:spacing w:after="0" w:line="240" w:lineRule="auto"/>
              <w:jc w:val="center"/>
              <w:rPr>
                <w:sz w:val="20"/>
                <w:szCs w:val="20"/>
              </w:rPr>
            </w:pPr>
            <w:r w:rsidRPr="00654810">
              <w:rPr>
                <w:sz w:val="20"/>
                <w:szCs w:val="20"/>
              </w:rPr>
              <w:t>6</w:t>
            </w:r>
          </w:p>
        </w:tc>
        <w:tc>
          <w:tcPr>
            <w:tcW w:w="0" w:type="auto"/>
            <w:vAlign w:val="center"/>
          </w:tcPr>
          <w:p w:rsidR="0091151B" w:rsidRPr="00654810" w:rsidRDefault="0091151B" w:rsidP="00EB3D1F">
            <w:pPr>
              <w:spacing w:after="0" w:line="240" w:lineRule="auto"/>
              <w:jc w:val="center"/>
              <w:rPr>
                <w:sz w:val="20"/>
                <w:szCs w:val="20"/>
              </w:rPr>
            </w:pPr>
            <w:r w:rsidRPr="00654810">
              <w:rPr>
                <w:sz w:val="20"/>
                <w:szCs w:val="20"/>
              </w:rPr>
              <w:t>MCAS</w:t>
            </w:r>
          </w:p>
        </w:tc>
        <w:tc>
          <w:tcPr>
            <w:tcW w:w="0" w:type="auto"/>
            <w:vAlign w:val="center"/>
          </w:tcPr>
          <w:p w:rsidR="0091151B" w:rsidRPr="00654810" w:rsidRDefault="0091151B" w:rsidP="00EB3D1F">
            <w:pPr>
              <w:spacing w:after="0" w:line="240" w:lineRule="auto"/>
              <w:jc w:val="center"/>
              <w:rPr>
                <w:color w:val="000000"/>
                <w:sz w:val="20"/>
                <w:szCs w:val="20"/>
              </w:rPr>
            </w:pPr>
            <w:r w:rsidRPr="00654810">
              <w:rPr>
                <w:color w:val="000000"/>
                <w:sz w:val="20"/>
                <w:szCs w:val="20"/>
              </w:rPr>
              <w:t>639</w:t>
            </w:r>
          </w:p>
        </w:tc>
        <w:tc>
          <w:tcPr>
            <w:tcW w:w="0" w:type="auto"/>
            <w:vAlign w:val="center"/>
          </w:tcPr>
          <w:p w:rsidR="0091151B" w:rsidRPr="00654810" w:rsidRDefault="0091151B" w:rsidP="00EB3D1F">
            <w:pPr>
              <w:spacing w:after="0" w:line="240" w:lineRule="auto"/>
              <w:jc w:val="center"/>
              <w:rPr>
                <w:color w:val="000000"/>
                <w:sz w:val="20"/>
                <w:szCs w:val="20"/>
              </w:rPr>
            </w:pPr>
            <w:r w:rsidRPr="00654810">
              <w:rPr>
                <w:color w:val="000000"/>
                <w:sz w:val="20"/>
                <w:szCs w:val="20"/>
              </w:rPr>
              <w:t>69.8</w:t>
            </w:r>
          </w:p>
        </w:tc>
        <w:tc>
          <w:tcPr>
            <w:tcW w:w="0" w:type="auto"/>
            <w:vAlign w:val="center"/>
          </w:tcPr>
          <w:p w:rsidR="0091151B" w:rsidRPr="00654810" w:rsidRDefault="0091151B" w:rsidP="00EB3D1F">
            <w:pPr>
              <w:spacing w:after="0" w:line="240" w:lineRule="auto"/>
              <w:jc w:val="center"/>
              <w:rPr>
                <w:color w:val="000000"/>
                <w:sz w:val="20"/>
                <w:szCs w:val="20"/>
              </w:rPr>
            </w:pPr>
            <w:r w:rsidRPr="00654810">
              <w:rPr>
                <w:color w:val="000000"/>
                <w:sz w:val="20"/>
                <w:szCs w:val="20"/>
              </w:rPr>
              <w:t>70.9</w:t>
            </w:r>
          </w:p>
        </w:tc>
        <w:tc>
          <w:tcPr>
            <w:tcW w:w="0" w:type="auto"/>
            <w:vAlign w:val="center"/>
          </w:tcPr>
          <w:p w:rsidR="0091151B" w:rsidRPr="00654810" w:rsidRDefault="0091151B" w:rsidP="00EB3D1F">
            <w:pPr>
              <w:spacing w:after="0" w:line="240" w:lineRule="auto"/>
              <w:jc w:val="center"/>
              <w:rPr>
                <w:color w:val="000000"/>
                <w:sz w:val="20"/>
                <w:szCs w:val="20"/>
              </w:rPr>
            </w:pPr>
            <w:r w:rsidRPr="00654810">
              <w:rPr>
                <w:color w:val="000000"/>
                <w:sz w:val="20"/>
                <w:szCs w:val="20"/>
              </w:rPr>
              <w:t>77.4</w:t>
            </w:r>
          </w:p>
        </w:tc>
        <w:tc>
          <w:tcPr>
            <w:tcW w:w="0" w:type="auto"/>
            <w:vAlign w:val="center"/>
          </w:tcPr>
          <w:p w:rsidR="0091151B" w:rsidRPr="00654810" w:rsidRDefault="0091151B" w:rsidP="00EB3D1F">
            <w:pPr>
              <w:spacing w:after="0" w:line="240" w:lineRule="auto"/>
              <w:jc w:val="center"/>
              <w:rPr>
                <w:color w:val="000000"/>
                <w:sz w:val="20"/>
                <w:szCs w:val="20"/>
              </w:rPr>
            </w:pPr>
            <w:r w:rsidRPr="00654810">
              <w:rPr>
                <w:color w:val="000000"/>
                <w:sz w:val="20"/>
                <w:szCs w:val="20"/>
              </w:rPr>
              <w:t>76.6</w:t>
            </w:r>
          </w:p>
        </w:tc>
        <w:tc>
          <w:tcPr>
            <w:tcW w:w="0" w:type="auto"/>
          </w:tcPr>
          <w:p w:rsidR="0091151B" w:rsidRPr="00654810" w:rsidRDefault="0091151B" w:rsidP="00EB3D1F">
            <w:pPr>
              <w:spacing w:after="0" w:line="240" w:lineRule="auto"/>
              <w:jc w:val="center"/>
              <w:rPr>
                <w:sz w:val="20"/>
                <w:szCs w:val="20"/>
              </w:rPr>
            </w:pPr>
          </w:p>
        </w:tc>
        <w:tc>
          <w:tcPr>
            <w:tcW w:w="0" w:type="auto"/>
            <w:vAlign w:val="center"/>
          </w:tcPr>
          <w:p w:rsidR="0091151B" w:rsidRPr="00654810" w:rsidRDefault="0091151B" w:rsidP="00EB3D1F">
            <w:pPr>
              <w:spacing w:after="0" w:line="240" w:lineRule="auto"/>
              <w:jc w:val="center"/>
              <w:rPr>
                <w:sz w:val="20"/>
                <w:szCs w:val="20"/>
              </w:rPr>
            </w:pPr>
            <w:r w:rsidRPr="00654810">
              <w:rPr>
                <w:sz w:val="20"/>
                <w:szCs w:val="20"/>
              </w:rPr>
              <w:t>6.8</w:t>
            </w:r>
          </w:p>
        </w:tc>
        <w:tc>
          <w:tcPr>
            <w:tcW w:w="0" w:type="auto"/>
            <w:vAlign w:val="center"/>
          </w:tcPr>
          <w:p w:rsidR="0091151B" w:rsidRPr="00654810" w:rsidRDefault="0091151B" w:rsidP="00EB3D1F">
            <w:pPr>
              <w:spacing w:after="0" w:line="240" w:lineRule="auto"/>
              <w:jc w:val="center"/>
              <w:rPr>
                <w:sz w:val="20"/>
                <w:szCs w:val="20"/>
              </w:rPr>
            </w:pPr>
            <w:r w:rsidRPr="00654810">
              <w:rPr>
                <w:sz w:val="20"/>
                <w:szCs w:val="20"/>
              </w:rPr>
              <w:t>-0.8</w:t>
            </w:r>
          </w:p>
        </w:tc>
      </w:tr>
      <w:tr w:rsidR="0091151B" w:rsidRPr="0066275B" w:rsidTr="008B7FB1">
        <w:tc>
          <w:tcPr>
            <w:tcW w:w="0" w:type="auto"/>
            <w:vMerge/>
            <w:vAlign w:val="center"/>
          </w:tcPr>
          <w:p w:rsidR="0091151B" w:rsidRPr="00654810" w:rsidRDefault="0091151B" w:rsidP="00EB3D1F">
            <w:pPr>
              <w:spacing w:after="0" w:line="240" w:lineRule="auto"/>
              <w:jc w:val="center"/>
              <w:rPr>
                <w:sz w:val="20"/>
                <w:szCs w:val="20"/>
              </w:rPr>
            </w:pPr>
          </w:p>
        </w:tc>
        <w:tc>
          <w:tcPr>
            <w:tcW w:w="0" w:type="auto"/>
            <w:shd w:val="clear" w:color="auto" w:fill="D9D9D9" w:themeFill="background1" w:themeFillShade="D9"/>
            <w:vAlign w:val="center"/>
          </w:tcPr>
          <w:p w:rsidR="0091151B" w:rsidRPr="00654810" w:rsidRDefault="0091151B" w:rsidP="00EB3D1F">
            <w:pPr>
              <w:spacing w:after="0" w:line="240" w:lineRule="auto"/>
              <w:jc w:val="center"/>
              <w:rPr>
                <w:sz w:val="20"/>
                <w:szCs w:val="20"/>
              </w:rPr>
            </w:pPr>
            <w:r w:rsidRPr="00654810">
              <w:rPr>
                <w:sz w:val="20"/>
                <w:szCs w:val="20"/>
              </w:rPr>
              <w:t>PARCC</w:t>
            </w:r>
          </w:p>
        </w:tc>
        <w:tc>
          <w:tcPr>
            <w:tcW w:w="0" w:type="auto"/>
            <w:shd w:val="clear" w:color="auto" w:fill="D9D9D9" w:themeFill="background1" w:themeFillShade="D9"/>
            <w:vAlign w:val="bottom"/>
          </w:tcPr>
          <w:p w:rsidR="0091151B" w:rsidRPr="00654810" w:rsidRDefault="0091151B" w:rsidP="00EB3D1F">
            <w:pPr>
              <w:spacing w:after="0" w:line="240" w:lineRule="auto"/>
              <w:jc w:val="center"/>
              <w:rPr>
                <w:sz w:val="20"/>
                <w:szCs w:val="20"/>
              </w:rPr>
            </w:pPr>
            <w:r w:rsidRPr="00654810">
              <w:rPr>
                <w:sz w:val="20"/>
                <w:szCs w:val="20"/>
              </w:rPr>
              <w:t>1,041</w:t>
            </w:r>
          </w:p>
        </w:tc>
        <w:tc>
          <w:tcPr>
            <w:tcW w:w="0" w:type="auto"/>
            <w:shd w:val="clear" w:color="auto" w:fill="D9D9D9" w:themeFill="background1" w:themeFillShade="D9"/>
            <w:vAlign w:val="center"/>
          </w:tcPr>
          <w:p w:rsidR="0091151B" w:rsidRPr="00654810" w:rsidRDefault="0091151B" w:rsidP="00EB3D1F">
            <w:pPr>
              <w:spacing w:after="0" w:line="240" w:lineRule="auto"/>
              <w:jc w:val="center"/>
              <w:rPr>
                <w:color w:val="000000"/>
                <w:sz w:val="20"/>
                <w:szCs w:val="20"/>
              </w:rPr>
            </w:pPr>
            <w:r w:rsidRPr="00654810">
              <w:rPr>
                <w:color w:val="000000"/>
                <w:sz w:val="20"/>
                <w:szCs w:val="20"/>
              </w:rPr>
              <w:t>69.8</w:t>
            </w:r>
          </w:p>
        </w:tc>
        <w:tc>
          <w:tcPr>
            <w:tcW w:w="0" w:type="auto"/>
            <w:shd w:val="clear" w:color="auto" w:fill="D9D9D9" w:themeFill="background1" w:themeFillShade="D9"/>
            <w:vAlign w:val="center"/>
          </w:tcPr>
          <w:p w:rsidR="0091151B" w:rsidRPr="00654810" w:rsidRDefault="0091151B" w:rsidP="00EB3D1F">
            <w:pPr>
              <w:spacing w:after="0" w:line="240" w:lineRule="auto"/>
              <w:jc w:val="center"/>
              <w:rPr>
                <w:color w:val="000000"/>
                <w:sz w:val="20"/>
                <w:szCs w:val="20"/>
              </w:rPr>
            </w:pPr>
            <w:r w:rsidRPr="00654810">
              <w:rPr>
                <w:color w:val="000000"/>
                <w:sz w:val="20"/>
                <w:szCs w:val="20"/>
              </w:rPr>
              <w:t>70.9</w:t>
            </w:r>
          </w:p>
        </w:tc>
        <w:tc>
          <w:tcPr>
            <w:tcW w:w="0" w:type="auto"/>
            <w:shd w:val="clear" w:color="auto" w:fill="D9D9D9" w:themeFill="background1" w:themeFillShade="D9"/>
            <w:vAlign w:val="bottom"/>
          </w:tcPr>
          <w:p w:rsidR="0091151B" w:rsidRPr="00654810" w:rsidRDefault="0091151B" w:rsidP="00EB3D1F">
            <w:pPr>
              <w:spacing w:after="0" w:line="240" w:lineRule="auto"/>
              <w:jc w:val="center"/>
              <w:rPr>
                <w:sz w:val="20"/>
                <w:szCs w:val="20"/>
              </w:rPr>
            </w:pPr>
            <w:r w:rsidRPr="00654810">
              <w:rPr>
                <w:sz w:val="20"/>
                <w:szCs w:val="20"/>
              </w:rPr>
              <w:t>62.6</w:t>
            </w:r>
          </w:p>
        </w:tc>
        <w:tc>
          <w:tcPr>
            <w:tcW w:w="0" w:type="auto"/>
            <w:shd w:val="clear" w:color="auto" w:fill="D9D9D9" w:themeFill="background1" w:themeFillShade="D9"/>
            <w:vAlign w:val="bottom"/>
          </w:tcPr>
          <w:p w:rsidR="0091151B" w:rsidRPr="00654810" w:rsidRDefault="0091151B" w:rsidP="00EB3D1F">
            <w:pPr>
              <w:spacing w:after="0" w:line="240" w:lineRule="auto"/>
              <w:jc w:val="center"/>
              <w:rPr>
                <w:sz w:val="20"/>
                <w:szCs w:val="20"/>
              </w:rPr>
            </w:pPr>
            <w:r w:rsidRPr="00654810">
              <w:rPr>
                <w:sz w:val="20"/>
                <w:szCs w:val="20"/>
              </w:rPr>
              <w:t>64.3</w:t>
            </w:r>
          </w:p>
        </w:tc>
        <w:tc>
          <w:tcPr>
            <w:tcW w:w="0" w:type="auto"/>
            <w:shd w:val="clear" w:color="auto" w:fill="D9D9D9" w:themeFill="background1" w:themeFillShade="D9"/>
          </w:tcPr>
          <w:p w:rsidR="0091151B" w:rsidRPr="00654810" w:rsidRDefault="0091151B" w:rsidP="00EB3D1F">
            <w:pPr>
              <w:spacing w:after="0" w:line="240" w:lineRule="auto"/>
              <w:jc w:val="center"/>
              <w:rPr>
                <w:sz w:val="20"/>
                <w:szCs w:val="20"/>
              </w:rPr>
            </w:pPr>
          </w:p>
        </w:tc>
        <w:tc>
          <w:tcPr>
            <w:tcW w:w="0" w:type="auto"/>
            <w:shd w:val="clear" w:color="auto" w:fill="D9D9D9" w:themeFill="background1" w:themeFillShade="D9"/>
          </w:tcPr>
          <w:p w:rsidR="0091151B" w:rsidRPr="00654810" w:rsidRDefault="0091151B" w:rsidP="00EB3D1F">
            <w:pPr>
              <w:spacing w:after="0" w:line="240" w:lineRule="auto"/>
              <w:jc w:val="center"/>
              <w:rPr>
                <w:sz w:val="20"/>
                <w:szCs w:val="20"/>
              </w:rPr>
            </w:pPr>
            <w:r w:rsidRPr="00654810">
              <w:rPr>
                <w:sz w:val="20"/>
                <w:szCs w:val="20"/>
              </w:rPr>
              <w:t>-5.5</w:t>
            </w:r>
          </w:p>
        </w:tc>
        <w:tc>
          <w:tcPr>
            <w:tcW w:w="0" w:type="auto"/>
            <w:shd w:val="clear" w:color="auto" w:fill="D9D9D9" w:themeFill="background1" w:themeFillShade="D9"/>
            <w:vAlign w:val="bottom"/>
          </w:tcPr>
          <w:p w:rsidR="0091151B" w:rsidRPr="00654810" w:rsidRDefault="0091151B" w:rsidP="00EB3D1F">
            <w:pPr>
              <w:spacing w:after="0" w:line="240" w:lineRule="auto"/>
              <w:jc w:val="center"/>
              <w:rPr>
                <w:sz w:val="20"/>
                <w:szCs w:val="20"/>
              </w:rPr>
            </w:pPr>
            <w:r w:rsidRPr="00654810">
              <w:rPr>
                <w:sz w:val="20"/>
                <w:szCs w:val="20"/>
              </w:rPr>
              <w:t>1.7</w:t>
            </w:r>
          </w:p>
        </w:tc>
      </w:tr>
      <w:tr w:rsidR="0091151B" w:rsidRPr="0066275B" w:rsidTr="008B7FB1">
        <w:tc>
          <w:tcPr>
            <w:tcW w:w="0" w:type="auto"/>
            <w:vMerge w:val="restart"/>
            <w:vAlign w:val="center"/>
          </w:tcPr>
          <w:p w:rsidR="0091151B" w:rsidRPr="00654810" w:rsidRDefault="0091151B" w:rsidP="00EB3D1F">
            <w:pPr>
              <w:spacing w:after="0" w:line="240" w:lineRule="auto"/>
              <w:jc w:val="center"/>
              <w:rPr>
                <w:sz w:val="20"/>
                <w:szCs w:val="20"/>
              </w:rPr>
            </w:pPr>
            <w:r w:rsidRPr="00654810">
              <w:rPr>
                <w:sz w:val="20"/>
                <w:szCs w:val="20"/>
              </w:rPr>
              <w:t>7</w:t>
            </w:r>
          </w:p>
        </w:tc>
        <w:tc>
          <w:tcPr>
            <w:tcW w:w="0" w:type="auto"/>
            <w:vAlign w:val="center"/>
          </w:tcPr>
          <w:p w:rsidR="0091151B" w:rsidRPr="00654810" w:rsidRDefault="0091151B" w:rsidP="00EB3D1F">
            <w:pPr>
              <w:spacing w:after="0" w:line="240" w:lineRule="auto"/>
              <w:jc w:val="center"/>
              <w:rPr>
                <w:sz w:val="20"/>
                <w:szCs w:val="20"/>
              </w:rPr>
            </w:pPr>
            <w:r w:rsidRPr="00654810">
              <w:rPr>
                <w:sz w:val="20"/>
                <w:szCs w:val="20"/>
              </w:rPr>
              <w:t>MCAS</w:t>
            </w:r>
          </w:p>
        </w:tc>
        <w:tc>
          <w:tcPr>
            <w:tcW w:w="0" w:type="auto"/>
            <w:vAlign w:val="center"/>
          </w:tcPr>
          <w:p w:rsidR="0091151B" w:rsidRPr="00654810" w:rsidRDefault="0091151B" w:rsidP="00EB3D1F">
            <w:pPr>
              <w:spacing w:after="0" w:line="240" w:lineRule="auto"/>
              <w:jc w:val="center"/>
              <w:rPr>
                <w:color w:val="000000"/>
                <w:sz w:val="20"/>
                <w:szCs w:val="20"/>
              </w:rPr>
            </w:pPr>
            <w:r w:rsidRPr="00654810">
              <w:rPr>
                <w:color w:val="000000"/>
                <w:sz w:val="20"/>
                <w:szCs w:val="20"/>
              </w:rPr>
              <w:t>--</w:t>
            </w:r>
          </w:p>
        </w:tc>
        <w:tc>
          <w:tcPr>
            <w:tcW w:w="0" w:type="auto"/>
            <w:vAlign w:val="center"/>
          </w:tcPr>
          <w:p w:rsidR="0091151B" w:rsidRPr="00654810" w:rsidRDefault="0091151B" w:rsidP="00EB3D1F">
            <w:pPr>
              <w:spacing w:after="0" w:line="240" w:lineRule="auto"/>
              <w:jc w:val="center"/>
              <w:rPr>
                <w:color w:val="000000"/>
                <w:sz w:val="20"/>
                <w:szCs w:val="20"/>
              </w:rPr>
            </w:pPr>
            <w:r w:rsidRPr="00654810">
              <w:rPr>
                <w:color w:val="000000"/>
                <w:sz w:val="20"/>
                <w:szCs w:val="20"/>
              </w:rPr>
              <w:t>60.9</w:t>
            </w:r>
          </w:p>
        </w:tc>
        <w:tc>
          <w:tcPr>
            <w:tcW w:w="0" w:type="auto"/>
            <w:vAlign w:val="center"/>
          </w:tcPr>
          <w:p w:rsidR="0091151B" w:rsidRPr="00654810" w:rsidRDefault="0091151B" w:rsidP="00EB3D1F">
            <w:pPr>
              <w:spacing w:after="0" w:line="240" w:lineRule="auto"/>
              <w:jc w:val="center"/>
              <w:rPr>
                <w:color w:val="000000"/>
                <w:sz w:val="20"/>
                <w:szCs w:val="20"/>
              </w:rPr>
            </w:pPr>
            <w:r w:rsidRPr="00654810">
              <w:rPr>
                <w:color w:val="000000"/>
                <w:sz w:val="20"/>
                <w:szCs w:val="20"/>
              </w:rPr>
              <w:t>54.9</w:t>
            </w:r>
          </w:p>
        </w:tc>
        <w:tc>
          <w:tcPr>
            <w:tcW w:w="0" w:type="auto"/>
            <w:vAlign w:val="center"/>
          </w:tcPr>
          <w:p w:rsidR="0091151B" w:rsidRPr="00654810" w:rsidRDefault="0091151B" w:rsidP="00EB3D1F">
            <w:pPr>
              <w:spacing w:after="0" w:line="240" w:lineRule="auto"/>
              <w:jc w:val="center"/>
              <w:rPr>
                <w:color w:val="000000"/>
                <w:sz w:val="20"/>
                <w:szCs w:val="20"/>
              </w:rPr>
            </w:pPr>
            <w:r w:rsidRPr="00654810">
              <w:rPr>
                <w:color w:val="000000"/>
                <w:sz w:val="20"/>
                <w:szCs w:val="20"/>
              </w:rPr>
              <w:t>53.6</w:t>
            </w:r>
          </w:p>
        </w:tc>
        <w:tc>
          <w:tcPr>
            <w:tcW w:w="0" w:type="auto"/>
            <w:vAlign w:val="center"/>
          </w:tcPr>
          <w:p w:rsidR="0091151B" w:rsidRPr="00654810" w:rsidRDefault="0091151B" w:rsidP="00EB3D1F">
            <w:pPr>
              <w:spacing w:after="0" w:line="240" w:lineRule="auto"/>
              <w:jc w:val="center"/>
              <w:rPr>
                <w:color w:val="000000"/>
                <w:sz w:val="20"/>
                <w:szCs w:val="20"/>
              </w:rPr>
            </w:pPr>
            <w:r w:rsidRPr="00654810">
              <w:rPr>
                <w:color w:val="000000"/>
                <w:sz w:val="20"/>
                <w:szCs w:val="20"/>
              </w:rPr>
              <w:t>--</w:t>
            </w:r>
          </w:p>
        </w:tc>
        <w:tc>
          <w:tcPr>
            <w:tcW w:w="0" w:type="auto"/>
          </w:tcPr>
          <w:p w:rsidR="0091151B" w:rsidRPr="00654810" w:rsidRDefault="0091151B" w:rsidP="00EB3D1F">
            <w:pPr>
              <w:spacing w:after="0" w:line="240" w:lineRule="auto"/>
              <w:jc w:val="center"/>
              <w:rPr>
                <w:sz w:val="20"/>
                <w:szCs w:val="20"/>
              </w:rPr>
            </w:pPr>
          </w:p>
        </w:tc>
        <w:tc>
          <w:tcPr>
            <w:tcW w:w="0" w:type="auto"/>
            <w:vAlign w:val="center"/>
          </w:tcPr>
          <w:p w:rsidR="0091151B" w:rsidRPr="00654810" w:rsidRDefault="0091151B" w:rsidP="00EB3D1F">
            <w:pPr>
              <w:spacing w:after="0" w:line="240" w:lineRule="auto"/>
              <w:jc w:val="center"/>
              <w:rPr>
                <w:sz w:val="20"/>
                <w:szCs w:val="20"/>
              </w:rPr>
            </w:pPr>
            <w:r w:rsidRPr="00654810">
              <w:rPr>
                <w:sz w:val="20"/>
                <w:szCs w:val="20"/>
              </w:rPr>
              <w:t>--</w:t>
            </w:r>
          </w:p>
        </w:tc>
        <w:tc>
          <w:tcPr>
            <w:tcW w:w="0" w:type="auto"/>
            <w:vAlign w:val="center"/>
          </w:tcPr>
          <w:p w:rsidR="0091151B" w:rsidRPr="00654810" w:rsidRDefault="0091151B" w:rsidP="00EB3D1F">
            <w:pPr>
              <w:spacing w:after="0" w:line="240" w:lineRule="auto"/>
              <w:jc w:val="center"/>
              <w:rPr>
                <w:sz w:val="20"/>
                <w:szCs w:val="20"/>
              </w:rPr>
            </w:pPr>
            <w:r w:rsidRPr="00654810">
              <w:rPr>
                <w:sz w:val="20"/>
                <w:szCs w:val="20"/>
              </w:rPr>
              <w:t>--</w:t>
            </w:r>
          </w:p>
        </w:tc>
      </w:tr>
      <w:tr w:rsidR="0091151B" w:rsidRPr="0066275B" w:rsidTr="008B7FB1">
        <w:tc>
          <w:tcPr>
            <w:tcW w:w="0" w:type="auto"/>
            <w:vMerge/>
            <w:vAlign w:val="center"/>
          </w:tcPr>
          <w:p w:rsidR="0091151B" w:rsidRPr="00654810" w:rsidRDefault="0091151B" w:rsidP="00EB3D1F">
            <w:pPr>
              <w:spacing w:after="0" w:line="240" w:lineRule="auto"/>
              <w:jc w:val="center"/>
              <w:rPr>
                <w:sz w:val="20"/>
                <w:szCs w:val="20"/>
              </w:rPr>
            </w:pPr>
          </w:p>
        </w:tc>
        <w:tc>
          <w:tcPr>
            <w:tcW w:w="0" w:type="auto"/>
            <w:shd w:val="clear" w:color="auto" w:fill="D9D9D9" w:themeFill="background1" w:themeFillShade="D9"/>
            <w:vAlign w:val="center"/>
          </w:tcPr>
          <w:p w:rsidR="0091151B" w:rsidRPr="00654810" w:rsidRDefault="0091151B" w:rsidP="00EB3D1F">
            <w:pPr>
              <w:spacing w:after="0" w:line="240" w:lineRule="auto"/>
              <w:jc w:val="center"/>
              <w:rPr>
                <w:sz w:val="20"/>
                <w:szCs w:val="20"/>
              </w:rPr>
            </w:pPr>
            <w:r w:rsidRPr="00654810">
              <w:rPr>
                <w:sz w:val="20"/>
                <w:szCs w:val="20"/>
              </w:rPr>
              <w:t>PARCC</w:t>
            </w:r>
          </w:p>
        </w:tc>
        <w:tc>
          <w:tcPr>
            <w:tcW w:w="0" w:type="auto"/>
            <w:shd w:val="clear" w:color="auto" w:fill="D9D9D9" w:themeFill="background1" w:themeFillShade="D9"/>
            <w:vAlign w:val="bottom"/>
          </w:tcPr>
          <w:p w:rsidR="0091151B" w:rsidRPr="00654810" w:rsidRDefault="0091151B" w:rsidP="00EB3D1F">
            <w:pPr>
              <w:spacing w:after="0" w:line="240" w:lineRule="auto"/>
              <w:jc w:val="center"/>
              <w:rPr>
                <w:sz w:val="20"/>
                <w:szCs w:val="20"/>
              </w:rPr>
            </w:pPr>
            <w:r w:rsidRPr="00654810">
              <w:rPr>
                <w:sz w:val="20"/>
                <w:szCs w:val="20"/>
              </w:rPr>
              <w:t>1,541</w:t>
            </w:r>
          </w:p>
        </w:tc>
        <w:tc>
          <w:tcPr>
            <w:tcW w:w="0" w:type="auto"/>
            <w:shd w:val="clear" w:color="auto" w:fill="D9D9D9" w:themeFill="background1" w:themeFillShade="D9"/>
            <w:vAlign w:val="center"/>
          </w:tcPr>
          <w:p w:rsidR="0091151B" w:rsidRPr="00654810" w:rsidRDefault="0091151B" w:rsidP="00EB3D1F">
            <w:pPr>
              <w:spacing w:after="0" w:line="240" w:lineRule="auto"/>
              <w:jc w:val="center"/>
              <w:rPr>
                <w:color w:val="000000"/>
                <w:sz w:val="20"/>
                <w:szCs w:val="20"/>
              </w:rPr>
            </w:pPr>
            <w:r w:rsidRPr="00654810">
              <w:rPr>
                <w:color w:val="000000"/>
                <w:sz w:val="20"/>
                <w:szCs w:val="20"/>
              </w:rPr>
              <w:t>60.9</w:t>
            </w:r>
          </w:p>
        </w:tc>
        <w:tc>
          <w:tcPr>
            <w:tcW w:w="0" w:type="auto"/>
            <w:shd w:val="clear" w:color="auto" w:fill="D9D9D9" w:themeFill="background1" w:themeFillShade="D9"/>
            <w:vAlign w:val="center"/>
          </w:tcPr>
          <w:p w:rsidR="0091151B" w:rsidRPr="00654810" w:rsidRDefault="0091151B" w:rsidP="00EB3D1F">
            <w:pPr>
              <w:spacing w:after="0" w:line="240" w:lineRule="auto"/>
              <w:jc w:val="center"/>
              <w:rPr>
                <w:color w:val="000000"/>
                <w:sz w:val="20"/>
                <w:szCs w:val="20"/>
              </w:rPr>
            </w:pPr>
            <w:r w:rsidRPr="00654810">
              <w:rPr>
                <w:color w:val="000000"/>
                <w:sz w:val="20"/>
                <w:szCs w:val="20"/>
              </w:rPr>
              <w:t>54.9</w:t>
            </w:r>
          </w:p>
        </w:tc>
        <w:tc>
          <w:tcPr>
            <w:tcW w:w="0" w:type="auto"/>
            <w:shd w:val="clear" w:color="auto" w:fill="D9D9D9" w:themeFill="background1" w:themeFillShade="D9"/>
            <w:vAlign w:val="bottom"/>
          </w:tcPr>
          <w:p w:rsidR="0091151B" w:rsidRPr="00654810" w:rsidRDefault="0091151B" w:rsidP="00EB3D1F">
            <w:pPr>
              <w:spacing w:after="0" w:line="240" w:lineRule="auto"/>
              <w:jc w:val="center"/>
              <w:rPr>
                <w:sz w:val="20"/>
                <w:szCs w:val="20"/>
              </w:rPr>
            </w:pPr>
            <w:r w:rsidRPr="00654810">
              <w:rPr>
                <w:sz w:val="20"/>
                <w:szCs w:val="20"/>
              </w:rPr>
              <w:t>61.8</w:t>
            </w:r>
          </w:p>
        </w:tc>
        <w:tc>
          <w:tcPr>
            <w:tcW w:w="0" w:type="auto"/>
            <w:shd w:val="clear" w:color="auto" w:fill="D9D9D9" w:themeFill="background1" w:themeFillShade="D9"/>
            <w:vAlign w:val="bottom"/>
          </w:tcPr>
          <w:p w:rsidR="0091151B" w:rsidRPr="00654810" w:rsidRDefault="0091151B" w:rsidP="00EB3D1F">
            <w:pPr>
              <w:spacing w:after="0" w:line="240" w:lineRule="auto"/>
              <w:jc w:val="center"/>
              <w:rPr>
                <w:sz w:val="20"/>
                <w:szCs w:val="20"/>
              </w:rPr>
            </w:pPr>
            <w:r w:rsidRPr="00654810">
              <w:rPr>
                <w:sz w:val="20"/>
                <w:szCs w:val="20"/>
              </w:rPr>
              <w:t>60.0</w:t>
            </w:r>
          </w:p>
        </w:tc>
        <w:tc>
          <w:tcPr>
            <w:tcW w:w="0" w:type="auto"/>
            <w:shd w:val="clear" w:color="auto" w:fill="D9D9D9" w:themeFill="background1" w:themeFillShade="D9"/>
          </w:tcPr>
          <w:p w:rsidR="0091151B" w:rsidRPr="00654810" w:rsidRDefault="0091151B" w:rsidP="00EB3D1F">
            <w:pPr>
              <w:spacing w:after="0" w:line="240" w:lineRule="auto"/>
              <w:jc w:val="center"/>
              <w:rPr>
                <w:sz w:val="20"/>
                <w:szCs w:val="20"/>
              </w:rPr>
            </w:pPr>
          </w:p>
        </w:tc>
        <w:tc>
          <w:tcPr>
            <w:tcW w:w="0" w:type="auto"/>
            <w:shd w:val="clear" w:color="auto" w:fill="D9D9D9" w:themeFill="background1" w:themeFillShade="D9"/>
          </w:tcPr>
          <w:p w:rsidR="0091151B" w:rsidRPr="00654810" w:rsidRDefault="0091151B" w:rsidP="00EB3D1F">
            <w:pPr>
              <w:spacing w:after="0" w:line="240" w:lineRule="auto"/>
              <w:jc w:val="center"/>
              <w:rPr>
                <w:sz w:val="20"/>
                <w:szCs w:val="20"/>
              </w:rPr>
            </w:pPr>
            <w:r w:rsidRPr="00654810">
              <w:rPr>
                <w:sz w:val="20"/>
                <w:szCs w:val="20"/>
              </w:rPr>
              <w:t>-0.9</w:t>
            </w:r>
          </w:p>
        </w:tc>
        <w:tc>
          <w:tcPr>
            <w:tcW w:w="0" w:type="auto"/>
            <w:shd w:val="clear" w:color="auto" w:fill="D9D9D9" w:themeFill="background1" w:themeFillShade="D9"/>
            <w:vAlign w:val="bottom"/>
          </w:tcPr>
          <w:p w:rsidR="0091151B" w:rsidRPr="00654810" w:rsidRDefault="0091151B" w:rsidP="00EB3D1F">
            <w:pPr>
              <w:spacing w:after="0" w:line="240" w:lineRule="auto"/>
              <w:jc w:val="center"/>
              <w:rPr>
                <w:sz w:val="20"/>
                <w:szCs w:val="20"/>
              </w:rPr>
            </w:pPr>
            <w:r w:rsidRPr="00654810">
              <w:rPr>
                <w:sz w:val="20"/>
                <w:szCs w:val="20"/>
              </w:rPr>
              <w:t>-1.8</w:t>
            </w:r>
          </w:p>
        </w:tc>
      </w:tr>
      <w:tr w:rsidR="0091151B" w:rsidRPr="0066275B" w:rsidTr="008B7FB1">
        <w:tc>
          <w:tcPr>
            <w:tcW w:w="0" w:type="auto"/>
            <w:vMerge w:val="restart"/>
            <w:vAlign w:val="center"/>
          </w:tcPr>
          <w:p w:rsidR="0091151B" w:rsidRPr="00654810" w:rsidRDefault="0091151B" w:rsidP="00EB3D1F">
            <w:pPr>
              <w:spacing w:after="0" w:line="240" w:lineRule="auto"/>
              <w:jc w:val="center"/>
              <w:rPr>
                <w:sz w:val="20"/>
                <w:szCs w:val="20"/>
              </w:rPr>
            </w:pPr>
            <w:r w:rsidRPr="00654810">
              <w:rPr>
                <w:sz w:val="20"/>
                <w:szCs w:val="20"/>
              </w:rPr>
              <w:t>8</w:t>
            </w:r>
          </w:p>
        </w:tc>
        <w:tc>
          <w:tcPr>
            <w:tcW w:w="0" w:type="auto"/>
            <w:vAlign w:val="center"/>
          </w:tcPr>
          <w:p w:rsidR="0091151B" w:rsidRPr="00654810" w:rsidRDefault="0091151B" w:rsidP="00EB3D1F">
            <w:pPr>
              <w:spacing w:after="0" w:line="240" w:lineRule="auto"/>
              <w:jc w:val="center"/>
              <w:rPr>
                <w:sz w:val="20"/>
                <w:szCs w:val="20"/>
              </w:rPr>
            </w:pPr>
            <w:r w:rsidRPr="00654810">
              <w:rPr>
                <w:sz w:val="20"/>
                <w:szCs w:val="20"/>
              </w:rPr>
              <w:t>MCAS</w:t>
            </w:r>
          </w:p>
        </w:tc>
        <w:tc>
          <w:tcPr>
            <w:tcW w:w="0" w:type="auto"/>
            <w:vAlign w:val="center"/>
          </w:tcPr>
          <w:p w:rsidR="0091151B" w:rsidRPr="00654810" w:rsidRDefault="0091151B" w:rsidP="00EB3D1F">
            <w:pPr>
              <w:spacing w:after="0" w:line="240" w:lineRule="auto"/>
              <w:jc w:val="center"/>
              <w:rPr>
                <w:color w:val="000000"/>
                <w:sz w:val="20"/>
                <w:szCs w:val="20"/>
              </w:rPr>
            </w:pPr>
            <w:r w:rsidRPr="00654810">
              <w:rPr>
                <w:color w:val="000000"/>
                <w:sz w:val="20"/>
                <w:szCs w:val="20"/>
              </w:rPr>
              <w:t>--</w:t>
            </w:r>
          </w:p>
        </w:tc>
        <w:tc>
          <w:tcPr>
            <w:tcW w:w="0" w:type="auto"/>
            <w:vAlign w:val="center"/>
          </w:tcPr>
          <w:p w:rsidR="0091151B" w:rsidRPr="00654810" w:rsidRDefault="0091151B" w:rsidP="00EB3D1F">
            <w:pPr>
              <w:spacing w:after="0" w:line="240" w:lineRule="auto"/>
              <w:jc w:val="center"/>
              <w:rPr>
                <w:color w:val="000000"/>
                <w:sz w:val="20"/>
                <w:szCs w:val="20"/>
              </w:rPr>
            </w:pPr>
            <w:r w:rsidRPr="00654810">
              <w:rPr>
                <w:color w:val="000000"/>
                <w:sz w:val="20"/>
                <w:szCs w:val="20"/>
              </w:rPr>
              <w:t>59.7</w:t>
            </w:r>
          </w:p>
        </w:tc>
        <w:tc>
          <w:tcPr>
            <w:tcW w:w="0" w:type="auto"/>
            <w:vAlign w:val="center"/>
          </w:tcPr>
          <w:p w:rsidR="0091151B" w:rsidRPr="00654810" w:rsidRDefault="0091151B" w:rsidP="00EB3D1F">
            <w:pPr>
              <w:spacing w:after="0" w:line="240" w:lineRule="auto"/>
              <w:jc w:val="center"/>
              <w:rPr>
                <w:color w:val="000000"/>
                <w:sz w:val="20"/>
                <w:szCs w:val="20"/>
              </w:rPr>
            </w:pPr>
            <w:r w:rsidRPr="00654810">
              <w:rPr>
                <w:color w:val="000000"/>
                <w:sz w:val="20"/>
                <w:szCs w:val="20"/>
              </w:rPr>
              <w:t>57.7</w:t>
            </w:r>
          </w:p>
        </w:tc>
        <w:tc>
          <w:tcPr>
            <w:tcW w:w="0" w:type="auto"/>
            <w:vAlign w:val="center"/>
          </w:tcPr>
          <w:p w:rsidR="0091151B" w:rsidRPr="00654810" w:rsidRDefault="0091151B" w:rsidP="00EB3D1F">
            <w:pPr>
              <w:spacing w:after="0" w:line="240" w:lineRule="auto"/>
              <w:jc w:val="center"/>
              <w:rPr>
                <w:color w:val="000000"/>
                <w:sz w:val="20"/>
                <w:szCs w:val="20"/>
              </w:rPr>
            </w:pPr>
            <w:r w:rsidRPr="00654810">
              <w:rPr>
                <w:color w:val="000000"/>
                <w:sz w:val="20"/>
                <w:szCs w:val="20"/>
              </w:rPr>
              <w:t>52.9</w:t>
            </w:r>
          </w:p>
        </w:tc>
        <w:tc>
          <w:tcPr>
            <w:tcW w:w="0" w:type="auto"/>
            <w:vAlign w:val="center"/>
          </w:tcPr>
          <w:p w:rsidR="0091151B" w:rsidRPr="00654810" w:rsidRDefault="0091151B" w:rsidP="00EB3D1F">
            <w:pPr>
              <w:spacing w:after="0" w:line="240" w:lineRule="auto"/>
              <w:jc w:val="center"/>
              <w:rPr>
                <w:color w:val="000000"/>
                <w:sz w:val="20"/>
                <w:szCs w:val="20"/>
              </w:rPr>
            </w:pPr>
            <w:r w:rsidRPr="00654810">
              <w:rPr>
                <w:color w:val="000000"/>
                <w:sz w:val="20"/>
                <w:szCs w:val="20"/>
              </w:rPr>
              <w:t>--</w:t>
            </w:r>
          </w:p>
        </w:tc>
        <w:tc>
          <w:tcPr>
            <w:tcW w:w="0" w:type="auto"/>
          </w:tcPr>
          <w:p w:rsidR="0091151B" w:rsidRPr="00654810" w:rsidRDefault="0091151B" w:rsidP="00EB3D1F">
            <w:pPr>
              <w:spacing w:after="0" w:line="240" w:lineRule="auto"/>
              <w:jc w:val="center"/>
              <w:rPr>
                <w:sz w:val="20"/>
                <w:szCs w:val="20"/>
              </w:rPr>
            </w:pPr>
          </w:p>
        </w:tc>
        <w:tc>
          <w:tcPr>
            <w:tcW w:w="0" w:type="auto"/>
            <w:vAlign w:val="center"/>
          </w:tcPr>
          <w:p w:rsidR="0091151B" w:rsidRPr="00654810" w:rsidRDefault="0091151B" w:rsidP="00EB3D1F">
            <w:pPr>
              <w:spacing w:after="0" w:line="240" w:lineRule="auto"/>
              <w:jc w:val="center"/>
              <w:rPr>
                <w:sz w:val="20"/>
                <w:szCs w:val="20"/>
              </w:rPr>
            </w:pPr>
            <w:r w:rsidRPr="00654810">
              <w:rPr>
                <w:sz w:val="20"/>
                <w:szCs w:val="20"/>
              </w:rPr>
              <w:t>--</w:t>
            </w:r>
          </w:p>
        </w:tc>
        <w:tc>
          <w:tcPr>
            <w:tcW w:w="0" w:type="auto"/>
            <w:vAlign w:val="center"/>
          </w:tcPr>
          <w:p w:rsidR="0091151B" w:rsidRPr="00654810" w:rsidRDefault="0091151B" w:rsidP="00EB3D1F">
            <w:pPr>
              <w:spacing w:after="0" w:line="240" w:lineRule="auto"/>
              <w:jc w:val="center"/>
              <w:rPr>
                <w:sz w:val="20"/>
                <w:szCs w:val="20"/>
              </w:rPr>
            </w:pPr>
            <w:r w:rsidRPr="00654810">
              <w:rPr>
                <w:sz w:val="20"/>
                <w:szCs w:val="20"/>
              </w:rPr>
              <w:t>--</w:t>
            </w:r>
          </w:p>
        </w:tc>
      </w:tr>
      <w:tr w:rsidR="0091151B" w:rsidRPr="0066275B" w:rsidTr="008B7FB1">
        <w:tc>
          <w:tcPr>
            <w:tcW w:w="0" w:type="auto"/>
            <w:vMerge/>
            <w:vAlign w:val="center"/>
          </w:tcPr>
          <w:p w:rsidR="0091151B" w:rsidRPr="00654810" w:rsidRDefault="0091151B" w:rsidP="00EB3D1F">
            <w:pPr>
              <w:spacing w:after="0" w:line="240" w:lineRule="auto"/>
              <w:jc w:val="center"/>
              <w:rPr>
                <w:color w:val="FF0000"/>
                <w:sz w:val="20"/>
                <w:szCs w:val="20"/>
              </w:rPr>
            </w:pPr>
          </w:p>
        </w:tc>
        <w:tc>
          <w:tcPr>
            <w:tcW w:w="0" w:type="auto"/>
            <w:shd w:val="clear" w:color="auto" w:fill="D9D9D9" w:themeFill="background1" w:themeFillShade="D9"/>
            <w:vAlign w:val="center"/>
          </w:tcPr>
          <w:p w:rsidR="0091151B" w:rsidRPr="00654810" w:rsidRDefault="0091151B" w:rsidP="00EB3D1F">
            <w:pPr>
              <w:spacing w:after="0" w:line="240" w:lineRule="auto"/>
              <w:jc w:val="center"/>
              <w:rPr>
                <w:sz w:val="20"/>
                <w:szCs w:val="20"/>
              </w:rPr>
            </w:pPr>
            <w:r w:rsidRPr="00654810">
              <w:rPr>
                <w:sz w:val="20"/>
                <w:szCs w:val="20"/>
              </w:rPr>
              <w:t>PARCC</w:t>
            </w:r>
          </w:p>
        </w:tc>
        <w:tc>
          <w:tcPr>
            <w:tcW w:w="0" w:type="auto"/>
            <w:shd w:val="clear" w:color="auto" w:fill="D9D9D9" w:themeFill="background1" w:themeFillShade="D9"/>
            <w:vAlign w:val="bottom"/>
          </w:tcPr>
          <w:p w:rsidR="0091151B" w:rsidRPr="00654810" w:rsidRDefault="0091151B" w:rsidP="00EB3D1F">
            <w:pPr>
              <w:spacing w:after="0" w:line="240" w:lineRule="auto"/>
              <w:jc w:val="center"/>
              <w:rPr>
                <w:sz w:val="20"/>
                <w:szCs w:val="20"/>
              </w:rPr>
            </w:pPr>
            <w:r w:rsidRPr="00654810">
              <w:rPr>
                <w:sz w:val="20"/>
                <w:szCs w:val="20"/>
              </w:rPr>
              <w:t>1,508</w:t>
            </w:r>
          </w:p>
        </w:tc>
        <w:tc>
          <w:tcPr>
            <w:tcW w:w="0" w:type="auto"/>
            <w:shd w:val="clear" w:color="auto" w:fill="D9D9D9" w:themeFill="background1" w:themeFillShade="D9"/>
            <w:vAlign w:val="center"/>
          </w:tcPr>
          <w:p w:rsidR="0091151B" w:rsidRPr="00654810" w:rsidRDefault="0091151B" w:rsidP="00EB3D1F">
            <w:pPr>
              <w:spacing w:after="0" w:line="240" w:lineRule="auto"/>
              <w:jc w:val="center"/>
              <w:rPr>
                <w:color w:val="000000"/>
                <w:sz w:val="20"/>
                <w:szCs w:val="20"/>
              </w:rPr>
            </w:pPr>
            <w:r w:rsidRPr="00654810">
              <w:rPr>
                <w:color w:val="000000"/>
                <w:sz w:val="20"/>
                <w:szCs w:val="20"/>
              </w:rPr>
              <w:t>59.7</w:t>
            </w:r>
          </w:p>
        </w:tc>
        <w:tc>
          <w:tcPr>
            <w:tcW w:w="0" w:type="auto"/>
            <w:shd w:val="clear" w:color="auto" w:fill="D9D9D9" w:themeFill="background1" w:themeFillShade="D9"/>
            <w:vAlign w:val="center"/>
          </w:tcPr>
          <w:p w:rsidR="0091151B" w:rsidRPr="00654810" w:rsidRDefault="0091151B" w:rsidP="00EB3D1F">
            <w:pPr>
              <w:spacing w:after="0" w:line="240" w:lineRule="auto"/>
              <w:jc w:val="center"/>
              <w:rPr>
                <w:color w:val="000000"/>
                <w:sz w:val="20"/>
                <w:szCs w:val="20"/>
              </w:rPr>
            </w:pPr>
            <w:r w:rsidRPr="00654810">
              <w:rPr>
                <w:color w:val="000000"/>
                <w:sz w:val="20"/>
                <w:szCs w:val="20"/>
              </w:rPr>
              <w:t>57.7</w:t>
            </w:r>
          </w:p>
        </w:tc>
        <w:tc>
          <w:tcPr>
            <w:tcW w:w="0" w:type="auto"/>
            <w:shd w:val="clear" w:color="auto" w:fill="D9D9D9" w:themeFill="background1" w:themeFillShade="D9"/>
            <w:vAlign w:val="bottom"/>
          </w:tcPr>
          <w:p w:rsidR="0091151B" w:rsidRPr="00654810" w:rsidRDefault="0091151B" w:rsidP="00EB3D1F">
            <w:pPr>
              <w:spacing w:after="0" w:line="240" w:lineRule="auto"/>
              <w:jc w:val="center"/>
              <w:rPr>
                <w:sz w:val="20"/>
                <w:szCs w:val="20"/>
              </w:rPr>
            </w:pPr>
            <w:r w:rsidRPr="00654810">
              <w:rPr>
                <w:sz w:val="20"/>
                <w:szCs w:val="20"/>
              </w:rPr>
              <w:t>64.0</w:t>
            </w:r>
          </w:p>
        </w:tc>
        <w:tc>
          <w:tcPr>
            <w:tcW w:w="0" w:type="auto"/>
            <w:shd w:val="clear" w:color="auto" w:fill="D9D9D9" w:themeFill="background1" w:themeFillShade="D9"/>
            <w:vAlign w:val="bottom"/>
          </w:tcPr>
          <w:p w:rsidR="0091151B" w:rsidRPr="00654810" w:rsidRDefault="0091151B" w:rsidP="00EB3D1F">
            <w:pPr>
              <w:spacing w:after="0" w:line="240" w:lineRule="auto"/>
              <w:jc w:val="center"/>
              <w:rPr>
                <w:sz w:val="20"/>
                <w:szCs w:val="20"/>
              </w:rPr>
            </w:pPr>
            <w:r w:rsidRPr="00654810">
              <w:rPr>
                <w:sz w:val="20"/>
                <w:szCs w:val="20"/>
              </w:rPr>
              <w:t>65.7</w:t>
            </w:r>
          </w:p>
        </w:tc>
        <w:tc>
          <w:tcPr>
            <w:tcW w:w="0" w:type="auto"/>
            <w:shd w:val="clear" w:color="auto" w:fill="D9D9D9" w:themeFill="background1" w:themeFillShade="D9"/>
          </w:tcPr>
          <w:p w:rsidR="0091151B" w:rsidRPr="00654810" w:rsidRDefault="0091151B" w:rsidP="00EB3D1F">
            <w:pPr>
              <w:spacing w:after="0" w:line="240" w:lineRule="auto"/>
              <w:jc w:val="center"/>
              <w:rPr>
                <w:sz w:val="20"/>
                <w:szCs w:val="20"/>
              </w:rPr>
            </w:pPr>
          </w:p>
        </w:tc>
        <w:tc>
          <w:tcPr>
            <w:tcW w:w="0" w:type="auto"/>
            <w:shd w:val="clear" w:color="auto" w:fill="D9D9D9" w:themeFill="background1" w:themeFillShade="D9"/>
          </w:tcPr>
          <w:p w:rsidR="0091151B" w:rsidRPr="00654810" w:rsidRDefault="0091151B" w:rsidP="00EB3D1F">
            <w:pPr>
              <w:spacing w:after="0" w:line="240" w:lineRule="auto"/>
              <w:jc w:val="center"/>
              <w:rPr>
                <w:sz w:val="20"/>
                <w:szCs w:val="20"/>
              </w:rPr>
            </w:pPr>
            <w:r w:rsidRPr="00654810">
              <w:rPr>
                <w:sz w:val="20"/>
                <w:szCs w:val="20"/>
              </w:rPr>
              <w:t>6.0</w:t>
            </w:r>
          </w:p>
        </w:tc>
        <w:tc>
          <w:tcPr>
            <w:tcW w:w="0" w:type="auto"/>
            <w:shd w:val="clear" w:color="auto" w:fill="D9D9D9" w:themeFill="background1" w:themeFillShade="D9"/>
            <w:vAlign w:val="bottom"/>
          </w:tcPr>
          <w:p w:rsidR="0091151B" w:rsidRPr="00654810" w:rsidRDefault="0091151B" w:rsidP="00EB3D1F">
            <w:pPr>
              <w:spacing w:after="0" w:line="240" w:lineRule="auto"/>
              <w:jc w:val="center"/>
              <w:rPr>
                <w:sz w:val="20"/>
                <w:szCs w:val="20"/>
              </w:rPr>
            </w:pPr>
            <w:r w:rsidRPr="00654810">
              <w:rPr>
                <w:sz w:val="20"/>
                <w:szCs w:val="20"/>
              </w:rPr>
              <w:t>1.7</w:t>
            </w:r>
          </w:p>
        </w:tc>
      </w:tr>
      <w:tr w:rsidR="0091151B" w:rsidRPr="0066275B" w:rsidTr="008B7FB1">
        <w:tc>
          <w:tcPr>
            <w:tcW w:w="0" w:type="auto"/>
            <w:vAlign w:val="center"/>
          </w:tcPr>
          <w:p w:rsidR="0091151B" w:rsidRPr="00654810" w:rsidRDefault="0091151B" w:rsidP="00EB3D1F">
            <w:pPr>
              <w:spacing w:after="0" w:line="240" w:lineRule="auto"/>
              <w:jc w:val="center"/>
              <w:rPr>
                <w:sz w:val="20"/>
                <w:szCs w:val="20"/>
              </w:rPr>
            </w:pPr>
            <w:r w:rsidRPr="00654810">
              <w:rPr>
                <w:sz w:val="20"/>
                <w:szCs w:val="20"/>
              </w:rPr>
              <w:t>10</w:t>
            </w:r>
          </w:p>
        </w:tc>
        <w:tc>
          <w:tcPr>
            <w:tcW w:w="0" w:type="auto"/>
            <w:shd w:val="clear" w:color="auto" w:fill="auto"/>
            <w:vAlign w:val="center"/>
          </w:tcPr>
          <w:p w:rsidR="0091151B" w:rsidRPr="00654810" w:rsidRDefault="0091151B" w:rsidP="00EB3D1F">
            <w:pPr>
              <w:spacing w:after="0" w:line="240" w:lineRule="auto"/>
              <w:jc w:val="center"/>
              <w:rPr>
                <w:sz w:val="20"/>
                <w:szCs w:val="20"/>
              </w:rPr>
            </w:pPr>
            <w:r w:rsidRPr="00654810">
              <w:rPr>
                <w:sz w:val="20"/>
                <w:szCs w:val="20"/>
              </w:rPr>
              <w:t>MCAS</w:t>
            </w:r>
          </w:p>
        </w:tc>
        <w:tc>
          <w:tcPr>
            <w:tcW w:w="0" w:type="auto"/>
            <w:shd w:val="clear" w:color="auto" w:fill="auto"/>
            <w:vAlign w:val="center"/>
          </w:tcPr>
          <w:p w:rsidR="0091151B" w:rsidRPr="00654810" w:rsidRDefault="0091151B" w:rsidP="00EB3D1F">
            <w:pPr>
              <w:spacing w:after="0" w:line="240" w:lineRule="auto"/>
              <w:jc w:val="center"/>
              <w:rPr>
                <w:sz w:val="20"/>
                <w:szCs w:val="20"/>
              </w:rPr>
            </w:pPr>
            <w:r w:rsidRPr="00654810">
              <w:rPr>
                <w:sz w:val="20"/>
                <w:szCs w:val="20"/>
              </w:rPr>
              <w:t>1,751</w:t>
            </w:r>
          </w:p>
        </w:tc>
        <w:tc>
          <w:tcPr>
            <w:tcW w:w="0" w:type="auto"/>
            <w:shd w:val="clear" w:color="auto" w:fill="auto"/>
            <w:vAlign w:val="center"/>
          </w:tcPr>
          <w:p w:rsidR="0091151B" w:rsidRPr="00654810" w:rsidRDefault="0091151B" w:rsidP="00EB3D1F">
            <w:pPr>
              <w:spacing w:after="0" w:line="240" w:lineRule="auto"/>
              <w:jc w:val="center"/>
              <w:rPr>
                <w:sz w:val="20"/>
                <w:szCs w:val="20"/>
              </w:rPr>
            </w:pPr>
            <w:r w:rsidRPr="00654810">
              <w:rPr>
                <w:sz w:val="20"/>
                <w:szCs w:val="20"/>
              </w:rPr>
              <w:t>80.1</w:t>
            </w:r>
          </w:p>
        </w:tc>
        <w:tc>
          <w:tcPr>
            <w:tcW w:w="0" w:type="auto"/>
            <w:shd w:val="clear" w:color="auto" w:fill="auto"/>
            <w:vAlign w:val="center"/>
          </w:tcPr>
          <w:p w:rsidR="0091151B" w:rsidRPr="00654810" w:rsidRDefault="0091151B" w:rsidP="00EB3D1F">
            <w:pPr>
              <w:spacing w:after="0" w:line="240" w:lineRule="auto"/>
              <w:jc w:val="center"/>
              <w:rPr>
                <w:sz w:val="20"/>
                <w:szCs w:val="20"/>
              </w:rPr>
            </w:pPr>
            <w:r w:rsidRPr="00654810">
              <w:rPr>
                <w:sz w:val="20"/>
                <w:szCs w:val="20"/>
              </w:rPr>
              <w:t>78.3</w:t>
            </w:r>
          </w:p>
        </w:tc>
        <w:tc>
          <w:tcPr>
            <w:tcW w:w="0" w:type="auto"/>
            <w:shd w:val="clear" w:color="auto" w:fill="auto"/>
            <w:vAlign w:val="center"/>
          </w:tcPr>
          <w:p w:rsidR="0091151B" w:rsidRPr="00654810" w:rsidRDefault="0091151B" w:rsidP="00EB3D1F">
            <w:pPr>
              <w:spacing w:after="0" w:line="240" w:lineRule="auto"/>
              <w:jc w:val="center"/>
              <w:rPr>
                <w:sz w:val="20"/>
                <w:szCs w:val="20"/>
              </w:rPr>
            </w:pPr>
            <w:r w:rsidRPr="00654810">
              <w:rPr>
                <w:sz w:val="20"/>
                <w:szCs w:val="20"/>
              </w:rPr>
              <w:t>78.4</w:t>
            </w:r>
          </w:p>
        </w:tc>
        <w:tc>
          <w:tcPr>
            <w:tcW w:w="0" w:type="auto"/>
            <w:shd w:val="clear" w:color="auto" w:fill="auto"/>
            <w:vAlign w:val="center"/>
          </w:tcPr>
          <w:p w:rsidR="0091151B" w:rsidRPr="00654810" w:rsidRDefault="0091151B" w:rsidP="00EB3D1F">
            <w:pPr>
              <w:spacing w:after="0" w:line="240" w:lineRule="auto"/>
              <w:jc w:val="center"/>
              <w:rPr>
                <w:sz w:val="20"/>
                <w:szCs w:val="20"/>
              </w:rPr>
            </w:pPr>
            <w:r w:rsidRPr="00654810">
              <w:rPr>
                <w:sz w:val="20"/>
                <w:szCs w:val="20"/>
              </w:rPr>
              <w:t>79.6</w:t>
            </w:r>
          </w:p>
        </w:tc>
        <w:tc>
          <w:tcPr>
            <w:tcW w:w="0" w:type="auto"/>
            <w:shd w:val="clear" w:color="auto" w:fill="auto"/>
            <w:vAlign w:val="center"/>
          </w:tcPr>
          <w:p w:rsidR="0091151B" w:rsidRPr="00654810" w:rsidRDefault="0091151B" w:rsidP="00EB3D1F">
            <w:pPr>
              <w:spacing w:after="0" w:line="240" w:lineRule="auto"/>
              <w:jc w:val="center"/>
              <w:rPr>
                <w:sz w:val="20"/>
                <w:szCs w:val="20"/>
              </w:rPr>
            </w:pPr>
            <w:r w:rsidRPr="00654810">
              <w:rPr>
                <w:sz w:val="20"/>
                <w:szCs w:val="20"/>
              </w:rPr>
              <w:t>89.7</w:t>
            </w:r>
          </w:p>
        </w:tc>
        <w:tc>
          <w:tcPr>
            <w:tcW w:w="0" w:type="auto"/>
            <w:shd w:val="clear" w:color="auto" w:fill="auto"/>
            <w:vAlign w:val="center"/>
          </w:tcPr>
          <w:p w:rsidR="0091151B" w:rsidRPr="00654810" w:rsidRDefault="0091151B" w:rsidP="00EB3D1F">
            <w:pPr>
              <w:spacing w:after="0" w:line="240" w:lineRule="auto"/>
              <w:jc w:val="center"/>
              <w:rPr>
                <w:sz w:val="20"/>
                <w:szCs w:val="20"/>
              </w:rPr>
            </w:pPr>
            <w:r w:rsidRPr="00654810">
              <w:rPr>
                <w:sz w:val="20"/>
                <w:szCs w:val="20"/>
              </w:rPr>
              <w:t>-0.5</w:t>
            </w:r>
          </w:p>
        </w:tc>
        <w:tc>
          <w:tcPr>
            <w:tcW w:w="0" w:type="auto"/>
            <w:shd w:val="clear" w:color="auto" w:fill="auto"/>
            <w:vAlign w:val="center"/>
          </w:tcPr>
          <w:p w:rsidR="0091151B" w:rsidRPr="00654810" w:rsidRDefault="0091151B" w:rsidP="00EB3D1F">
            <w:pPr>
              <w:spacing w:after="0" w:line="240" w:lineRule="auto"/>
              <w:jc w:val="center"/>
              <w:rPr>
                <w:sz w:val="20"/>
                <w:szCs w:val="20"/>
              </w:rPr>
            </w:pPr>
            <w:r w:rsidRPr="00654810">
              <w:rPr>
                <w:sz w:val="20"/>
                <w:szCs w:val="20"/>
              </w:rPr>
              <w:t>1.2</w:t>
            </w:r>
          </w:p>
        </w:tc>
      </w:tr>
      <w:tr w:rsidR="0091151B" w:rsidRPr="0066275B" w:rsidTr="008B7FB1">
        <w:tc>
          <w:tcPr>
            <w:tcW w:w="0" w:type="auto"/>
            <w:vAlign w:val="center"/>
          </w:tcPr>
          <w:p w:rsidR="0091151B" w:rsidRPr="00654810" w:rsidRDefault="0091151B" w:rsidP="00EB3D1F">
            <w:pPr>
              <w:spacing w:after="0" w:line="240" w:lineRule="auto"/>
              <w:jc w:val="center"/>
              <w:rPr>
                <w:sz w:val="20"/>
                <w:szCs w:val="20"/>
              </w:rPr>
            </w:pPr>
            <w:r w:rsidRPr="00654810">
              <w:rPr>
                <w:sz w:val="20"/>
                <w:szCs w:val="20"/>
              </w:rPr>
              <w:t>All</w:t>
            </w:r>
          </w:p>
        </w:tc>
        <w:tc>
          <w:tcPr>
            <w:tcW w:w="0" w:type="auto"/>
            <w:shd w:val="clear" w:color="auto" w:fill="D9D9D9" w:themeFill="background1" w:themeFillShade="D9"/>
            <w:vAlign w:val="center"/>
          </w:tcPr>
          <w:p w:rsidR="0091151B" w:rsidRPr="00654810" w:rsidRDefault="0091151B" w:rsidP="00EB3D1F">
            <w:pPr>
              <w:spacing w:after="0" w:line="240" w:lineRule="auto"/>
              <w:jc w:val="center"/>
              <w:rPr>
                <w:sz w:val="20"/>
                <w:szCs w:val="20"/>
              </w:rPr>
            </w:pPr>
            <w:r w:rsidRPr="00654810">
              <w:rPr>
                <w:sz w:val="20"/>
                <w:szCs w:val="20"/>
              </w:rPr>
              <w:t>MCAS/PARCC</w:t>
            </w:r>
          </w:p>
        </w:tc>
        <w:tc>
          <w:tcPr>
            <w:tcW w:w="0" w:type="auto"/>
            <w:shd w:val="clear" w:color="auto" w:fill="D9D9D9" w:themeFill="background1" w:themeFillShade="D9"/>
            <w:vAlign w:val="center"/>
          </w:tcPr>
          <w:p w:rsidR="0091151B" w:rsidRPr="00654810" w:rsidRDefault="0091151B" w:rsidP="00EB3D1F">
            <w:pPr>
              <w:spacing w:after="0" w:line="240" w:lineRule="auto"/>
              <w:jc w:val="center"/>
              <w:rPr>
                <w:sz w:val="20"/>
                <w:szCs w:val="20"/>
              </w:rPr>
            </w:pPr>
            <w:r w:rsidRPr="00654810">
              <w:rPr>
                <w:sz w:val="20"/>
                <w:szCs w:val="20"/>
              </w:rPr>
              <w:t>12,189</w:t>
            </w:r>
          </w:p>
        </w:tc>
        <w:tc>
          <w:tcPr>
            <w:tcW w:w="0" w:type="auto"/>
            <w:shd w:val="clear" w:color="auto" w:fill="D9D9D9" w:themeFill="background1" w:themeFillShade="D9"/>
            <w:vAlign w:val="center"/>
          </w:tcPr>
          <w:p w:rsidR="0091151B" w:rsidRPr="00654810" w:rsidRDefault="0091151B" w:rsidP="00EB3D1F">
            <w:pPr>
              <w:spacing w:after="0" w:line="240" w:lineRule="auto"/>
              <w:jc w:val="center"/>
              <w:rPr>
                <w:sz w:val="20"/>
                <w:szCs w:val="20"/>
              </w:rPr>
            </w:pPr>
            <w:r w:rsidRPr="00654810">
              <w:rPr>
                <w:sz w:val="20"/>
                <w:szCs w:val="20"/>
              </w:rPr>
              <w:t>68.0</w:t>
            </w:r>
          </w:p>
        </w:tc>
        <w:tc>
          <w:tcPr>
            <w:tcW w:w="0" w:type="auto"/>
            <w:shd w:val="clear" w:color="auto" w:fill="D9D9D9" w:themeFill="background1" w:themeFillShade="D9"/>
            <w:vAlign w:val="center"/>
          </w:tcPr>
          <w:p w:rsidR="0091151B" w:rsidRPr="00654810" w:rsidRDefault="0091151B" w:rsidP="00EB3D1F">
            <w:pPr>
              <w:spacing w:after="0" w:line="240" w:lineRule="auto"/>
              <w:jc w:val="center"/>
              <w:rPr>
                <w:sz w:val="20"/>
                <w:szCs w:val="20"/>
              </w:rPr>
            </w:pPr>
            <w:r w:rsidRPr="00654810">
              <w:rPr>
                <w:sz w:val="20"/>
                <w:szCs w:val="20"/>
              </w:rPr>
              <w:t>66.3</w:t>
            </w:r>
          </w:p>
        </w:tc>
        <w:tc>
          <w:tcPr>
            <w:tcW w:w="0" w:type="auto"/>
            <w:shd w:val="clear" w:color="auto" w:fill="D9D9D9" w:themeFill="background1" w:themeFillShade="D9"/>
            <w:vAlign w:val="center"/>
          </w:tcPr>
          <w:p w:rsidR="0091151B" w:rsidRPr="00654810" w:rsidRDefault="0091151B" w:rsidP="00EB3D1F">
            <w:pPr>
              <w:spacing w:after="0" w:line="240" w:lineRule="auto"/>
              <w:jc w:val="center"/>
              <w:rPr>
                <w:sz w:val="20"/>
                <w:szCs w:val="20"/>
              </w:rPr>
            </w:pPr>
            <w:r w:rsidRPr="00654810">
              <w:rPr>
                <w:sz w:val="20"/>
                <w:szCs w:val="20"/>
              </w:rPr>
              <w:t>66.8</w:t>
            </w:r>
          </w:p>
        </w:tc>
        <w:tc>
          <w:tcPr>
            <w:tcW w:w="0" w:type="auto"/>
            <w:shd w:val="clear" w:color="auto" w:fill="D9D9D9" w:themeFill="background1" w:themeFillShade="D9"/>
            <w:vAlign w:val="center"/>
          </w:tcPr>
          <w:p w:rsidR="0091151B" w:rsidRPr="00654810" w:rsidRDefault="0091151B" w:rsidP="00EB3D1F">
            <w:pPr>
              <w:spacing w:after="0" w:line="240" w:lineRule="auto"/>
              <w:jc w:val="center"/>
              <w:rPr>
                <w:sz w:val="20"/>
                <w:szCs w:val="20"/>
              </w:rPr>
            </w:pPr>
            <w:r w:rsidRPr="00654810">
              <w:rPr>
                <w:sz w:val="20"/>
                <w:szCs w:val="20"/>
              </w:rPr>
              <w:t>68.1</w:t>
            </w:r>
          </w:p>
        </w:tc>
        <w:tc>
          <w:tcPr>
            <w:tcW w:w="0" w:type="auto"/>
            <w:shd w:val="clear" w:color="auto" w:fill="D9D9D9" w:themeFill="background1" w:themeFillShade="D9"/>
            <w:vAlign w:val="center"/>
          </w:tcPr>
          <w:p w:rsidR="0091151B" w:rsidRPr="00654810" w:rsidRDefault="0091151B" w:rsidP="00EB3D1F">
            <w:pPr>
              <w:spacing w:after="0" w:line="240" w:lineRule="auto"/>
              <w:jc w:val="center"/>
              <w:rPr>
                <w:sz w:val="20"/>
                <w:szCs w:val="20"/>
              </w:rPr>
            </w:pPr>
            <w:r w:rsidRPr="00654810">
              <w:rPr>
                <w:sz w:val="20"/>
                <w:szCs w:val="20"/>
              </w:rPr>
              <w:t>81.5</w:t>
            </w:r>
          </w:p>
        </w:tc>
        <w:tc>
          <w:tcPr>
            <w:tcW w:w="0" w:type="auto"/>
            <w:shd w:val="clear" w:color="auto" w:fill="D9D9D9" w:themeFill="background1" w:themeFillShade="D9"/>
            <w:vAlign w:val="center"/>
          </w:tcPr>
          <w:p w:rsidR="0091151B" w:rsidRPr="00654810" w:rsidRDefault="0091151B" w:rsidP="00EB3D1F">
            <w:pPr>
              <w:spacing w:after="0" w:line="240" w:lineRule="auto"/>
              <w:jc w:val="center"/>
              <w:rPr>
                <w:sz w:val="20"/>
                <w:szCs w:val="20"/>
              </w:rPr>
            </w:pPr>
            <w:r w:rsidRPr="00654810">
              <w:rPr>
                <w:sz w:val="20"/>
                <w:szCs w:val="20"/>
              </w:rPr>
              <w:t>0.1</w:t>
            </w:r>
          </w:p>
        </w:tc>
        <w:tc>
          <w:tcPr>
            <w:tcW w:w="0" w:type="auto"/>
            <w:shd w:val="clear" w:color="auto" w:fill="D9D9D9" w:themeFill="background1" w:themeFillShade="D9"/>
            <w:vAlign w:val="center"/>
          </w:tcPr>
          <w:p w:rsidR="0091151B" w:rsidRPr="00654810" w:rsidRDefault="0091151B" w:rsidP="00EB3D1F">
            <w:pPr>
              <w:spacing w:after="0" w:line="240" w:lineRule="auto"/>
              <w:jc w:val="center"/>
              <w:rPr>
                <w:sz w:val="20"/>
                <w:szCs w:val="20"/>
              </w:rPr>
            </w:pPr>
            <w:r w:rsidRPr="00654810">
              <w:rPr>
                <w:sz w:val="20"/>
                <w:szCs w:val="20"/>
              </w:rPr>
              <w:t>1.3</w:t>
            </w:r>
          </w:p>
        </w:tc>
      </w:tr>
    </w:tbl>
    <w:p w:rsidR="0091151B" w:rsidRDefault="0091151B" w:rsidP="0091151B">
      <w:pPr>
        <w:spacing w:after="0" w:line="240" w:lineRule="auto"/>
        <w:rPr>
          <w:rFonts w:ascii="Calibri" w:eastAsia="Times New Roman" w:hAnsi="Calibri" w:cs="Times New Roman"/>
          <w:sz w:val="20"/>
          <w:szCs w:val="20"/>
        </w:rPr>
      </w:pPr>
    </w:p>
    <w:p w:rsidR="0091151B" w:rsidRDefault="0091151B" w:rsidP="0091151B">
      <w:pPr>
        <w:spacing w:after="0" w:line="240" w:lineRule="auto"/>
        <w:rPr>
          <w:rFonts w:eastAsia="Times New Roman" w:cs="Times New Roman"/>
          <w:b/>
        </w:rPr>
      </w:pPr>
    </w:p>
    <w:p w:rsidR="0091151B" w:rsidRPr="008502EB" w:rsidRDefault="0091151B" w:rsidP="0091151B">
      <w:pPr>
        <w:spacing w:after="0" w:line="240" w:lineRule="auto"/>
        <w:rPr>
          <w:b/>
        </w:rPr>
      </w:pPr>
      <w:r w:rsidRPr="008502EB">
        <w:rPr>
          <w:b/>
        </w:rPr>
        <w:t>Between 2013 and 2016, math CPI declined by 0.5 to 21.4 points in 18 of 33 elementar</w:t>
      </w:r>
      <w:r>
        <w:rPr>
          <w:b/>
        </w:rPr>
        <w:t>y schools with reportable data.</w:t>
      </w:r>
      <w:r w:rsidRPr="008502EB">
        <w:rPr>
          <w:b/>
        </w:rPr>
        <w:t xml:space="preserve"> Math CPI improved </w:t>
      </w:r>
      <w:r w:rsidR="00EA03F1" w:rsidRPr="008502EB">
        <w:rPr>
          <w:b/>
        </w:rPr>
        <w:t xml:space="preserve">by 2.9 to 5.8 points </w:t>
      </w:r>
      <w:r w:rsidRPr="008502EB">
        <w:rPr>
          <w:b/>
        </w:rPr>
        <w:t xml:space="preserve">in 3 of 4 middle schools and </w:t>
      </w:r>
      <w:r w:rsidR="00EA03F1">
        <w:rPr>
          <w:b/>
        </w:rPr>
        <w:t>by 2.5 points</w:t>
      </w:r>
      <w:r w:rsidR="00EA03F1" w:rsidRPr="008502EB">
        <w:rPr>
          <w:b/>
        </w:rPr>
        <w:t xml:space="preserve"> </w:t>
      </w:r>
      <w:r w:rsidRPr="008502EB">
        <w:rPr>
          <w:b/>
        </w:rPr>
        <w:t>in one mi</w:t>
      </w:r>
      <w:r>
        <w:rPr>
          <w:b/>
        </w:rPr>
        <w:t>ddle-high school.</w:t>
      </w:r>
      <w:r w:rsidRPr="008502EB">
        <w:rPr>
          <w:b/>
        </w:rPr>
        <w:t xml:space="preserve"> Math CPI declined </w:t>
      </w:r>
      <w:r w:rsidR="00EA03F1" w:rsidRPr="008502EB">
        <w:rPr>
          <w:b/>
        </w:rPr>
        <w:t xml:space="preserve">by 0.3 to 2.5 points </w:t>
      </w:r>
      <w:r w:rsidRPr="008502EB">
        <w:rPr>
          <w:b/>
        </w:rPr>
        <w:t>in 3 out of the 5 high schools.</w:t>
      </w:r>
    </w:p>
    <w:p w:rsidR="0091151B" w:rsidRPr="008502EB" w:rsidRDefault="0091151B" w:rsidP="0091151B">
      <w:pPr>
        <w:numPr>
          <w:ilvl w:val="0"/>
          <w:numId w:val="62"/>
        </w:numPr>
        <w:spacing w:after="0" w:line="240" w:lineRule="auto"/>
        <w:contextualSpacing/>
      </w:pPr>
      <w:r w:rsidRPr="008502EB">
        <w:t xml:space="preserve">Math CPI for high needs students declined by 1.2 to 20.3 points in 19 </w:t>
      </w:r>
      <w:r w:rsidR="00E90ED4">
        <w:t>of</w:t>
      </w:r>
      <w:r w:rsidR="00E90ED4" w:rsidRPr="008502EB">
        <w:t xml:space="preserve"> </w:t>
      </w:r>
      <w:r w:rsidRPr="008502EB">
        <w:t xml:space="preserve">33 elementary schools with reportable data.  Math CPI declined </w:t>
      </w:r>
      <w:r w:rsidR="00EA03F1" w:rsidRPr="008502EB">
        <w:t xml:space="preserve">by 0.9 to 3.8 points </w:t>
      </w:r>
      <w:r w:rsidRPr="008502EB">
        <w:t xml:space="preserve">in 2 of 4 middle schools and declined </w:t>
      </w:r>
      <w:r w:rsidR="00EA03F1" w:rsidRPr="008502EB">
        <w:t xml:space="preserve">by 8.9 and 0.5 points </w:t>
      </w:r>
      <w:r w:rsidRPr="008502EB">
        <w:t>in both middle-high school</w:t>
      </w:r>
      <w:r>
        <w:t>s</w:t>
      </w:r>
      <w:r w:rsidRPr="008502EB">
        <w:t xml:space="preserve">. </w:t>
      </w:r>
      <w:r w:rsidR="00090DBD">
        <w:t>M</w:t>
      </w:r>
      <w:r w:rsidRPr="008502EB">
        <w:t xml:space="preserve">ath CPI </w:t>
      </w:r>
      <w:r w:rsidR="00090DBD">
        <w:t xml:space="preserve">for high needs students </w:t>
      </w:r>
      <w:r w:rsidRPr="008502EB">
        <w:t xml:space="preserve">declined </w:t>
      </w:r>
      <w:r w:rsidR="00EA03F1" w:rsidRPr="008502EB">
        <w:t xml:space="preserve">by 0.8 to 6.8 points </w:t>
      </w:r>
      <w:r w:rsidRPr="008502EB">
        <w:t>in all 5 high schools.</w:t>
      </w:r>
    </w:p>
    <w:p w:rsidR="0091151B" w:rsidRPr="008502EB" w:rsidRDefault="0091151B" w:rsidP="0091151B">
      <w:pPr>
        <w:numPr>
          <w:ilvl w:val="0"/>
          <w:numId w:val="62"/>
        </w:numPr>
        <w:spacing w:after="0" w:line="240" w:lineRule="auto"/>
        <w:contextualSpacing/>
      </w:pPr>
      <w:r w:rsidRPr="008502EB">
        <w:t xml:space="preserve">Math CPI for English language learners declined </w:t>
      </w:r>
      <w:r w:rsidR="00EA03F1" w:rsidRPr="008502EB">
        <w:t xml:space="preserve">by 0.2 to 20.5 points </w:t>
      </w:r>
      <w:r w:rsidRPr="008502EB">
        <w:t>in 17 of the 33 elementary schools with reportable data.</w:t>
      </w:r>
      <w:r w:rsidRPr="008502EB">
        <w:rPr>
          <w:b/>
        </w:rPr>
        <w:t xml:space="preserve">  </w:t>
      </w:r>
      <w:r w:rsidRPr="008502EB">
        <w:t xml:space="preserve">Math CPI declined </w:t>
      </w:r>
      <w:r w:rsidR="00EA03F1" w:rsidRPr="008502EB">
        <w:t xml:space="preserve">by 4.6 to 7.1 points </w:t>
      </w:r>
      <w:r w:rsidRPr="008502EB">
        <w:t xml:space="preserve">in 2 of the 4 middle schools and </w:t>
      </w:r>
      <w:r w:rsidR="00EA03F1" w:rsidRPr="008502EB">
        <w:t xml:space="preserve">by 9.4 and 5.5 points </w:t>
      </w:r>
      <w:r w:rsidRPr="008502EB">
        <w:t xml:space="preserve">in both middle-high schools.  </w:t>
      </w:r>
      <w:r w:rsidR="00EA03F1">
        <w:t>M</w:t>
      </w:r>
      <w:r w:rsidR="00EA03F1" w:rsidRPr="008502EB">
        <w:t xml:space="preserve">ath </w:t>
      </w:r>
      <w:r w:rsidRPr="008502EB">
        <w:t xml:space="preserve">CPI </w:t>
      </w:r>
      <w:r w:rsidR="00EA03F1">
        <w:t xml:space="preserve">for </w:t>
      </w:r>
      <w:r w:rsidR="00EA03F1" w:rsidRPr="008502EB">
        <w:t>English language learners</w:t>
      </w:r>
      <w:r w:rsidR="00EA03F1">
        <w:t xml:space="preserve"> </w:t>
      </w:r>
      <w:r w:rsidRPr="008502EB">
        <w:t xml:space="preserve">declined </w:t>
      </w:r>
      <w:r w:rsidR="00EA03F1" w:rsidRPr="008502EB">
        <w:t xml:space="preserve">by 3.8 to 9.4 points </w:t>
      </w:r>
      <w:r w:rsidRPr="008502EB">
        <w:t>in 4 of 5 high schools.</w:t>
      </w:r>
    </w:p>
    <w:p w:rsidR="0091151B" w:rsidRDefault="0091151B" w:rsidP="0091151B">
      <w:pPr>
        <w:numPr>
          <w:ilvl w:val="0"/>
          <w:numId w:val="62"/>
        </w:numPr>
        <w:spacing w:after="0" w:line="240" w:lineRule="auto"/>
        <w:contextualSpacing/>
      </w:pPr>
      <w:r w:rsidRPr="008502EB">
        <w:t xml:space="preserve">Math CPI for students with disabilities improved by 0.1 to 24.4 points in 18 of the 32 elementary schools with reportable data. </w:t>
      </w:r>
      <w:r w:rsidRPr="008502EB">
        <w:rPr>
          <w:b/>
        </w:rPr>
        <w:t xml:space="preserve"> </w:t>
      </w:r>
      <w:r w:rsidRPr="008502EB">
        <w:t xml:space="preserve">Math CPI declined </w:t>
      </w:r>
      <w:r w:rsidR="00EA03F1" w:rsidRPr="008502EB">
        <w:t xml:space="preserve">by 1.6 and 4.1 points </w:t>
      </w:r>
      <w:r w:rsidRPr="008502EB">
        <w:t xml:space="preserve">in 2 of 4 middle schools and </w:t>
      </w:r>
      <w:r w:rsidR="00EA03F1">
        <w:t>by 0.3 point</w:t>
      </w:r>
      <w:r w:rsidR="00EA03F1" w:rsidRPr="008502EB">
        <w:t xml:space="preserve"> </w:t>
      </w:r>
      <w:r w:rsidRPr="008502EB">
        <w:t xml:space="preserve">in one middle-high school. </w:t>
      </w:r>
      <w:r w:rsidR="00EA03F1">
        <w:t>M</w:t>
      </w:r>
      <w:r w:rsidR="00EA03F1" w:rsidRPr="008502EB">
        <w:t xml:space="preserve">ath </w:t>
      </w:r>
      <w:r w:rsidRPr="008502EB">
        <w:t xml:space="preserve">CPI </w:t>
      </w:r>
      <w:r w:rsidR="00EA03F1">
        <w:t>for students with disabilities</w:t>
      </w:r>
      <w:r w:rsidR="00EA03F1" w:rsidRPr="008502EB">
        <w:t xml:space="preserve"> </w:t>
      </w:r>
      <w:r w:rsidRPr="008502EB">
        <w:t xml:space="preserve">improved </w:t>
      </w:r>
      <w:r w:rsidR="00EA03F1" w:rsidRPr="008502EB">
        <w:t xml:space="preserve">by 1.7 to 11.1 points </w:t>
      </w:r>
      <w:r w:rsidRPr="008502EB">
        <w:t>in 3 of 5 high schools.</w:t>
      </w:r>
    </w:p>
    <w:p w:rsidR="0091151B" w:rsidRDefault="0091151B" w:rsidP="0091151B">
      <w:pPr>
        <w:spacing w:after="0" w:line="240" w:lineRule="auto"/>
        <w:contextualSpacing/>
      </w:pPr>
    </w:p>
    <w:p w:rsidR="0091151B" w:rsidRPr="008502EB" w:rsidRDefault="0091151B" w:rsidP="0091151B">
      <w:pPr>
        <w:spacing w:after="0" w:line="240" w:lineRule="auto"/>
      </w:pPr>
      <w:r w:rsidRPr="00BC1B06">
        <w:rPr>
          <w:b/>
        </w:rPr>
        <w:t>For math Composite Performance Index (CPI) by school and subgroup, 2013–2016, see Appendix B, Table B4.</w:t>
      </w:r>
    </w:p>
    <w:p w:rsidR="0091151B" w:rsidRPr="008502EB" w:rsidRDefault="0091151B" w:rsidP="0091151B">
      <w:pPr>
        <w:spacing w:after="0" w:line="240" w:lineRule="auto"/>
      </w:pPr>
    </w:p>
    <w:p w:rsidR="0091151B" w:rsidRDefault="0091151B" w:rsidP="0091151B">
      <w:pPr>
        <w:spacing w:after="0" w:line="240" w:lineRule="auto"/>
        <w:rPr>
          <w:b/>
        </w:rPr>
      </w:pPr>
      <w:r w:rsidRPr="008502EB">
        <w:rPr>
          <w:b/>
        </w:rPr>
        <w:t xml:space="preserve">The percentage of students meeting or exceeding expectations in </w:t>
      </w:r>
      <w:r w:rsidRPr="00AD51E0">
        <w:rPr>
          <w:b/>
        </w:rPr>
        <w:t>math on PARCC</w:t>
      </w:r>
      <w:r>
        <w:rPr>
          <w:b/>
        </w:rPr>
        <w:t xml:space="preserve"> </w:t>
      </w:r>
      <w:r w:rsidRPr="008502EB">
        <w:rPr>
          <w:b/>
        </w:rPr>
        <w:t xml:space="preserve">ranged from 10 </w:t>
      </w:r>
      <w:r w:rsidR="005A0CB9">
        <w:rPr>
          <w:b/>
        </w:rPr>
        <w:t xml:space="preserve">percent </w:t>
      </w:r>
      <w:r w:rsidRPr="008502EB">
        <w:rPr>
          <w:b/>
        </w:rPr>
        <w:t>to 93 percent in the 3</w:t>
      </w:r>
      <w:r w:rsidRPr="008502EB">
        <w:rPr>
          <w:b/>
          <w:vertAlign w:val="superscript"/>
        </w:rPr>
        <w:t>rd</w:t>
      </w:r>
      <w:r w:rsidRPr="008502EB">
        <w:rPr>
          <w:b/>
        </w:rPr>
        <w:t xml:space="preserve"> grade, from 6 </w:t>
      </w:r>
      <w:r w:rsidR="005A0CB9">
        <w:rPr>
          <w:b/>
        </w:rPr>
        <w:t xml:space="preserve">percent </w:t>
      </w:r>
      <w:r w:rsidRPr="008502EB">
        <w:rPr>
          <w:b/>
        </w:rPr>
        <w:t>to 89 percent in the 4</w:t>
      </w:r>
      <w:r w:rsidRPr="008502EB">
        <w:rPr>
          <w:b/>
          <w:vertAlign w:val="superscript"/>
        </w:rPr>
        <w:t>th</w:t>
      </w:r>
      <w:r w:rsidRPr="008502EB">
        <w:rPr>
          <w:b/>
        </w:rPr>
        <w:t xml:space="preserve"> grade, from 3 </w:t>
      </w:r>
      <w:r w:rsidR="005A0CB9">
        <w:rPr>
          <w:b/>
        </w:rPr>
        <w:t xml:space="preserve">percent </w:t>
      </w:r>
      <w:r w:rsidRPr="008502EB">
        <w:rPr>
          <w:b/>
        </w:rPr>
        <w:t>to 70 percent in the 5</w:t>
      </w:r>
      <w:r w:rsidRPr="008502EB">
        <w:rPr>
          <w:b/>
          <w:vertAlign w:val="superscript"/>
        </w:rPr>
        <w:t>th</w:t>
      </w:r>
      <w:r w:rsidRPr="008502EB">
        <w:rPr>
          <w:b/>
        </w:rPr>
        <w:t xml:space="preserve"> grade, from 4 </w:t>
      </w:r>
      <w:r w:rsidR="005A0CB9">
        <w:rPr>
          <w:b/>
        </w:rPr>
        <w:t xml:space="preserve">percent </w:t>
      </w:r>
      <w:r w:rsidRPr="008502EB">
        <w:rPr>
          <w:b/>
        </w:rPr>
        <w:t>to 75 percent in the 6</w:t>
      </w:r>
      <w:r w:rsidRPr="008502EB">
        <w:rPr>
          <w:b/>
          <w:vertAlign w:val="superscript"/>
        </w:rPr>
        <w:t>th</w:t>
      </w:r>
      <w:r w:rsidRPr="008502EB">
        <w:rPr>
          <w:b/>
        </w:rPr>
        <w:t xml:space="preserve"> grade, from 15 </w:t>
      </w:r>
      <w:r w:rsidR="005A0CB9">
        <w:rPr>
          <w:b/>
        </w:rPr>
        <w:t xml:space="preserve">percent </w:t>
      </w:r>
      <w:r w:rsidRPr="008502EB">
        <w:rPr>
          <w:b/>
        </w:rPr>
        <w:t>to 40 percent in the 7</w:t>
      </w:r>
      <w:r w:rsidRPr="008502EB">
        <w:rPr>
          <w:b/>
          <w:vertAlign w:val="superscript"/>
        </w:rPr>
        <w:t>th</w:t>
      </w:r>
      <w:r w:rsidRPr="008502EB">
        <w:rPr>
          <w:b/>
        </w:rPr>
        <w:t xml:space="preserve"> grade, and from 13 </w:t>
      </w:r>
      <w:r w:rsidR="005A0CB9">
        <w:rPr>
          <w:b/>
        </w:rPr>
        <w:t xml:space="preserve">percent </w:t>
      </w:r>
      <w:r w:rsidRPr="008502EB">
        <w:rPr>
          <w:b/>
        </w:rPr>
        <w:t>to 47 percent in the 8</w:t>
      </w:r>
      <w:r w:rsidRPr="008502EB">
        <w:rPr>
          <w:b/>
          <w:vertAlign w:val="superscript"/>
        </w:rPr>
        <w:t>th</w:t>
      </w:r>
      <w:r w:rsidRPr="008502EB">
        <w:rPr>
          <w:b/>
        </w:rPr>
        <w:t xml:space="preserve"> grade. </w:t>
      </w:r>
    </w:p>
    <w:p w:rsidR="00B12431" w:rsidRDefault="00B12431" w:rsidP="0091151B">
      <w:pPr>
        <w:spacing w:after="0" w:line="240" w:lineRule="auto"/>
        <w:rPr>
          <w:b/>
        </w:rPr>
      </w:pPr>
    </w:p>
    <w:p w:rsidR="00DD119D" w:rsidRDefault="00DD119D" w:rsidP="0091151B">
      <w:pPr>
        <w:spacing w:after="0" w:line="240" w:lineRule="auto"/>
        <w:rPr>
          <w:b/>
        </w:rPr>
      </w:pPr>
    </w:p>
    <w:p w:rsidR="00DD119D" w:rsidRDefault="00DD119D" w:rsidP="0091151B">
      <w:pPr>
        <w:spacing w:after="0" w:line="240" w:lineRule="auto"/>
        <w:rPr>
          <w:b/>
        </w:rPr>
      </w:pPr>
    </w:p>
    <w:p w:rsidR="00DD119D" w:rsidRPr="008502EB" w:rsidRDefault="00DD119D" w:rsidP="0091151B">
      <w:pPr>
        <w:spacing w:after="0" w:line="240" w:lineRule="auto"/>
        <w:rPr>
          <w:b/>
        </w:rPr>
      </w:pPr>
    </w:p>
    <w:tbl>
      <w:tblPr>
        <w:tblStyle w:val="TableGrid20"/>
        <w:tblW w:w="0" w:type="auto"/>
        <w:tblInd w:w="18" w:type="dxa"/>
        <w:tblLayout w:type="fixed"/>
        <w:tblLook w:val="04A0"/>
      </w:tblPr>
      <w:tblGrid>
        <w:gridCol w:w="3330"/>
        <w:gridCol w:w="778"/>
        <w:gridCol w:w="779"/>
        <w:gridCol w:w="778"/>
        <w:gridCol w:w="779"/>
        <w:gridCol w:w="778"/>
        <w:gridCol w:w="779"/>
        <w:gridCol w:w="1539"/>
      </w:tblGrid>
      <w:tr w:rsidR="0091151B" w:rsidRPr="008502EB" w:rsidTr="0091151B">
        <w:tc>
          <w:tcPr>
            <w:tcW w:w="9540" w:type="dxa"/>
            <w:gridSpan w:val="8"/>
            <w:tcBorders>
              <w:top w:val="nil"/>
              <w:left w:val="nil"/>
              <w:right w:val="nil"/>
            </w:tcBorders>
            <w:shd w:val="clear" w:color="auto" w:fill="auto"/>
          </w:tcPr>
          <w:p w:rsidR="0091151B" w:rsidRPr="008502EB" w:rsidRDefault="0091151B" w:rsidP="00217963">
            <w:pPr>
              <w:spacing w:after="0" w:line="240" w:lineRule="auto"/>
              <w:jc w:val="center"/>
              <w:rPr>
                <w:rFonts w:eastAsia="Times New Roman" w:cs="Times New Roman"/>
                <w:b/>
                <w:sz w:val="20"/>
                <w:szCs w:val="20"/>
              </w:rPr>
            </w:pPr>
            <w:r w:rsidRPr="008502EB">
              <w:rPr>
                <w:rFonts w:eastAsia="Times New Roman" w:cs="Times New Roman"/>
                <w:b/>
                <w:sz w:val="20"/>
                <w:szCs w:val="20"/>
              </w:rPr>
              <w:lastRenderedPageBreak/>
              <w:t xml:space="preserve">Table </w:t>
            </w:r>
            <w:r w:rsidR="005C7DC2">
              <w:rPr>
                <w:rFonts w:eastAsia="Times New Roman" w:cs="Times New Roman"/>
                <w:b/>
                <w:sz w:val="20"/>
                <w:szCs w:val="20"/>
              </w:rPr>
              <w:t>14</w:t>
            </w:r>
            <w:r w:rsidRPr="008502EB">
              <w:rPr>
                <w:rFonts w:eastAsia="Times New Roman" w:cs="Times New Roman"/>
                <w:b/>
                <w:sz w:val="20"/>
                <w:szCs w:val="20"/>
              </w:rPr>
              <w:t>: Worcester Public Schools</w:t>
            </w:r>
          </w:p>
          <w:p w:rsidR="0091151B" w:rsidRPr="008502EB" w:rsidRDefault="0091151B" w:rsidP="008E5E43">
            <w:pPr>
              <w:spacing w:after="0" w:line="240" w:lineRule="auto"/>
              <w:jc w:val="center"/>
              <w:rPr>
                <w:rFonts w:eastAsia="Times New Roman" w:cs="Times New Roman"/>
                <w:b/>
                <w:sz w:val="20"/>
                <w:szCs w:val="20"/>
              </w:rPr>
            </w:pPr>
            <w:r w:rsidRPr="008502EB">
              <w:rPr>
                <w:rFonts w:eastAsia="Times New Roman" w:cs="Times New Roman"/>
                <w:b/>
                <w:sz w:val="20"/>
                <w:szCs w:val="20"/>
              </w:rPr>
              <w:t>Math Meeting or Exceeding Expectations by School and Grade 2015</w:t>
            </w:r>
            <w:r w:rsidR="008E5E43">
              <w:rPr>
                <w:rFonts w:eastAsia="Times New Roman" w:cs="Times New Roman"/>
                <w:b/>
                <w:sz w:val="20"/>
                <w:szCs w:val="20"/>
              </w:rPr>
              <w:t>–</w:t>
            </w:r>
            <w:r w:rsidRPr="008502EB">
              <w:rPr>
                <w:rFonts w:eastAsia="Times New Roman" w:cs="Times New Roman"/>
                <w:b/>
                <w:sz w:val="20"/>
                <w:szCs w:val="20"/>
              </w:rPr>
              <w:t>2016</w:t>
            </w:r>
          </w:p>
        </w:tc>
      </w:tr>
      <w:tr w:rsidR="0091151B" w:rsidRPr="008502EB" w:rsidTr="0091151B">
        <w:tc>
          <w:tcPr>
            <w:tcW w:w="3330" w:type="dxa"/>
            <w:shd w:val="clear" w:color="auto" w:fill="D9D9D9" w:themeFill="background1" w:themeFillShade="D9"/>
          </w:tcPr>
          <w:p w:rsidR="0091151B" w:rsidRPr="008502EB" w:rsidRDefault="0091151B" w:rsidP="005D461E">
            <w:pPr>
              <w:spacing w:after="0" w:line="240" w:lineRule="auto"/>
              <w:rPr>
                <w:rFonts w:eastAsia="Times New Roman" w:cs="Times New Roman"/>
                <w:b/>
                <w:sz w:val="20"/>
                <w:szCs w:val="20"/>
              </w:rPr>
            </w:pPr>
            <w:r w:rsidRPr="008502EB">
              <w:rPr>
                <w:rFonts w:eastAsia="Times New Roman" w:cs="Times New Roman"/>
                <w:b/>
                <w:sz w:val="20"/>
                <w:szCs w:val="20"/>
              </w:rPr>
              <w:t>School</w:t>
            </w:r>
          </w:p>
        </w:tc>
        <w:tc>
          <w:tcPr>
            <w:tcW w:w="778" w:type="dxa"/>
            <w:shd w:val="clear" w:color="auto" w:fill="D9D9D9" w:themeFill="background1" w:themeFillShade="D9"/>
          </w:tcPr>
          <w:p w:rsidR="0091151B" w:rsidRPr="008502EB" w:rsidRDefault="0091151B" w:rsidP="005D461E">
            <w:pPr>
              <w:spacing w:after="0" w:line="240" w:lineRule="auto"/>
              <w:jc w:val="center"/>
              <w:rPr>
                <w:rFonts w:eastAsia="Times New Roman" w:cs="Times New Roman"/>
                <w:b/>
                <w:sz w:val="20"/>
                <w:szCs w:val="20"/>
              </w:rPr>
            </w:pPr>
            <w:r w:rsidRPr="008502EB">
              <w:rPr>
                <w:rFonts w:eastAsia="Times New Roman" w:cs="Times New Roman"/>
                <w:b/>
                <w:sz w:val="20"/>
                <w:szCs w:val="20"/>
              </w:rPr>
              <w:t>3</w:t>
            </w:r>
          </w:p>
        </w:tc>
        <w:tc>
          <w:tcPr>
            <w:tcW w:w="779" w:type="dxa"/>
            <w:shd w:val="clear" w:color="auto" w:fill="D9D9D9" w:themeFill="background1" w:themeFillShade="D9"/>
          </w:tcPr>
          <w:p w:rsidR="0091151B" w:rsidRPr="008502EB" w:rsidRDefault="0091151B" w:rsidP="005D461E">
            <w:pPr>
              <w:spacing w:after="0" w:line="240" w:lineRule="auto"/>
              <w:jc w:val="center"/>
              <w:rPr>
                <w:rFonts w:eastAsia="Times New Roman" w:cs="Times New Roman"/>
                <w:b/>
                <w:sz w:val="20"/>
                <w:szCs w:val="20"/>
              </w:rPr>
            </w:pPr>
            <w:r w:rsidRPr="008502EB">
              <w:rPr>
                <w:rFonts w:eastAsia="Times New Roman" w:cs="Times New Roman"/>
                <w:b/>
                <w:sz w:val="20"/>
                <w:szCs w:val="20"/>
              </w:rPr>
              <w:t>4</w:t>
            </w:r>
          </w:p>
        </w:tc>
        <w:tc>
          <w:tcPr>
            <w:tcW w:w="778" w:type="dxa"/>
            <w:shd w:val="clear" w:color="auto" w:fill="D9D9D9" w:themeFill="background1" w:themeFillShade="D9"/>
          </w:tcPr>
          <w:p w:rsidR="0091151B" w:rsidRPr="008502EB" w:rsidRDefault="0091151B" w:rsidP="005D461E">
            <w:pPr>
              <w:spacing w:after="0" w:line="240" w:lineRule="auto"/>
              <w:jc w:val="center"/>
              <w:rPr>
                <w:rFonts w:eastAsia="Times New Roman" w:cs="Times New Roman"/>
                <w:b/>
                <w:sz w:val="20"/>
                <w:szCs w:val="20"/>
              </w:rPr>
            </w:pPr>
            <w:r w:rsidRPr="008502EB">
              <w:rPr>
                <w:rFonts w:eastAsia="Times New Roman" w:cs="Times New Roman"/>
                <w:b/>
                <w:sz w:val="20"/>
                <w:szCs w:val="20"/>
              </w:rPr>
              <w:t>5</w:t>
            </w:r>
          </w:p>
        </w:tc>
        <w:tc>
          <w:tcPr>
            <w:tcW w:w="779" w:type="dxa"/>
            <w:shd w:val="clear" w:color="auto" w:fill="D9D9D9" w:themeFill="background1" w:themeFillShade="D9"/>
          </w:tcPr>
          <w:p w:rsidR="0091151B" w:rsidRPr="008502EB" w:rsidRDefault="0091151B" w:rsidP="005D461E">
            <w:pPr>
              <w:spacing w:after="0" w:line="240" w:lineRule="auto"/>
              <w:jc w:val="center"/>
              <w:rPr>
                <w:rFonts w:eastAsia="Times New Roman" w:cs="Times New Roman"/>
                <w:b/>
                <w:sz w:val="20"/>
                <w:szCs w:val="20"/>
              </w:rPr>
            </w:pPr>
            <w:r w:rsidRPr="008502EB">
              <w:rPr>
                <w:rFonts w:eastAsia="Times New Roman" w:cs="Times New Roman"/>
                <w:b/>
                <w:sz w:val="20"/>
                <w:szCs w:val="20"/>
              </w:rPr>
              <w:t>6</w:t>
            </w:r>
          </w:p>
        </w:tc>
        <w:tc>
          <w:tcPr>
            <w:tcW w:w="778" w:type="dxa"/>
            <w:shd w:val="clear" w:color="auto" w:fill="D9D9D9" w:themeFill="background1" w:themeFillShade="D9"/>
          </w:tcPr>
          <w:p w:rsidR="0091151B" w:rsidRPr="008502EB" w:rsidRDefault="0091151B" w:rsidP="005D461E">
            <w:pPr>
              <w:spacing w:after="0" w:line="240" w:lineRule="auto"/>
              <w:jc w:val="center"/>
              <w:rPr>
                <w:rFonts w:eastAsia="Times New Roman" w:cs="Times New Roman"/>
                <w:b/>
                <w:sz w:val="20"/>
                <w:szCs w:val="20"/>
              </w:rPr>
            </w:pPr>
            <w:r w:rsidRPr="008502EB">
              <w:rPr>
                <w:rFonts w:eastAsia="Times New Roman" w:cs="Times New Roman"/>
                <w:b/>
                <w:sz w:val="20"/>
                <w:szCs w:val="20"/>
              </w:rPr>
              <w:t>7</w:t>
            </w:r>
          </w:p>
        </w:tc>
        <w:tc>
          <w:tcPr>
            <w:tcW w:w="779" w:type="dxa"/>
            <w:shd w:val="clear" w:color="auto" w:fill="D9D9D9" w:themeFill="background1" w:themeFillShade="D9"/>
          </w:tcPr>
          <w:p w:rsidR="0091151B" w:rsidRPr="008502EB" w:rsidRDefault="0091151B" w:rsidP="005D461E">
            <w:pPr>
              <w:spacing w:after="0" w:line="240" w:lineRule="auto"/>
              <w:jc w:val="center"/>
              <w:rPr>
                <w:rFonts w:eastAsia="Times New Roman" w:cs="Times New Roman"/>
                <w:b/>
                <w:sz w:val="20"/>
                <w:szCs w:val="20"/>
              </w:rPr>
            </w:pPr>
            <w:r w:rsidRPr="008502EB">
              <w:rPr>
                <w:rFonts w:eastAsia="Times New Roman" w:cs="Times New Roman"/>
                <w:b/>
                <w:sz w:val="20"/>
                <w:szCs w:val="20"/>
              </w:rPr>
              <w:t>8</w:t>
            </w:r>
          </w:p>
        </w:tc>
        <w:tc>
          <w:tcPr>
            <w:tcW w:w="1539" w:type="dxa"/>
            <w:shd w:val="clear" w:color="auto" w:fill="D9D9D9" w:themeFill="background1" w:themeFillShade="D9"/>
          </w:tcPr>
          <w:p w:rsidR="0091151B" w:rsidRPr="008502EB" w:rsidRDefault="0091151B" w:rsidP="005D461E">
            <w:pPr>
              <w:spacing w:after="0" w:line="240" w:lineRule="auto"/>
              <w:jc w:val="center"/>
              <w:rPr>
                <w:rFonts w:eastAsia="Times New Roman" w:cs="Times New Roman"/>
                <w:b/>
                <w:sz w:val="20"/>
                <w:szCs w:val="20"/>
              </w:rPr>
            </w:pPr>
            <w:r w:rsidRPr="008502EB">
              <w:rPr>
                <w:rFonts w:eastAsia="Times New Roman" w:cs="Times New Roman"/>
                <w:b/>
                <w:sz w:val="20"/>
                <w:szCs w:val="20"/>
              </w:rPr>
              <w:t>Total</w:t>
            </w:r>
          </w:p>
        </w:tc>
      </w:tr>
      <w:tr w:rsidR="0091151B" w:rsidRPr="008502EB" w:rsidTr="0091151B">
        <w:tc>
          <w:tcPr>
            <w:tcW w:w="3330"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 xml:space="preserve">Belmont </w:t>
            </w:r>
            <w:r w:rsidR="005A0CB9">
              <w:rPr>
                <w:sz w:val="20"/>
                <w:szCs w:val="20"/>
              </w:rPr>
              <w:t xml:space="preserve">Street </w:t>
            </w:r>
            <w:r w:rsidRPr="008502EB">
              <w:rPr>
                <w:sz w:val="20"/>
                <w:szCs w:val="20"/>
              </w:rPr>
              <w:t>Community ES</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25%</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23%</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29%</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34%</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153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27%</w:t>
            </w:r>
          </w:p>
        </w:tc>
      </w:tr>
      <w:tr w:rsidR="0091151B" w:rsidRPr="008502EB" w:rsidTr="0091151B">
        <w:tc>
          <w:tcPr>
            <w:tcW w:w="3330"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Wawecus Road ES</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10%</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20%</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23%</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11%</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153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15%</w:t>
            </w:r>
          </w:p>
        </w:tc>
      </w:tr>
      <w:tr w:rsidR="0091151B" w:rsidRPr="008502EB" w:rsidTr="0091151B">
        <w:tc>
          <w:tcPr>
            <w:tcW w:w="3330"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Woodland Academy</w:t>
            </w:r>
            <w:r w:rsidR="005A0CB9">
              <w:rPr>
                <w:sz w:val="20"/>
                <w:szCs w:val="20"/>
              </w:rPr>
              <w:t xml:space="preserve"> ES</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24%</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18%</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10%</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30%</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153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20%</w:t>
            </w:r>
          </w:p>
        </w:tc>
      </w:tr>
      <w:tr w:rsidR="0091151B" w:rsidRPr="008502EB" w:rsidTr="0091151B">
        <w:tc>
          <w:tcPr>
            <w:tcW w:w="3330"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Chandler Magnet</w:t>
            </w:r>
            <w:r w:rsidR="005A0CB9">
              <w:rPr>
                <w:sz w:val="20"/>
                <w:szCs w:val="20"/>
              </w:rPr>
              <w:t xml:space="preserve"> Es</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19%</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18%</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6%</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8%</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153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12%</w:t>
            </w:r>
          </w:p>
        </w:tc>
      </w:tr>
      <w:tr w:rsidR="0091151B" w:rsidRPr="008502EB" w:rsidTr="0091151B">
        <w:tc>
          <w:tcPr>
            <w:tcW w:w="3330"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City View ES</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36%</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16%</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19%</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27%</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153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24%</w:t>
            </w:r>
          </w:p>
        </w:tc>
      </w:tr>
      <w:tr w:rsidR="0091151B" w:rsidRPr="008502EB" w:rsidTr="0091151B">
        <w:tc>
          <w:tcPr>
            <w:tcW w:w="3330"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Clark St</w:t>
            </w:r>
            <w:r w:rsidR="005A0CB9">
              <w:rPr>
                <w:sz w:val="20"/>
                <w:szCs w:val="20"/>
              </w:rPr>
              <w:t>reet</w:t>
            </w:r>
            <w:r w:rsidRPr="008502EB">
              <w:rPr>
                <w:sz w:val="20"/>
                <w:szCs w:val="20"/>
              </w:rPr>
              <w:t xml:space="preserve"> Community</w:t>
            </w:r>
            <w:r w:rsidR="005A0CB9">
              <w:rPr>
                <w:sz w:val="20"/>
                <w:szCs w:val="20"/>
              </w:rPr>
              <w:t xml:space="preserve"> ES</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21%</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9%</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7%</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12%</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153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12%</w:t>
            </w:r>
          </w:p>
        </w:tc>
      </w:tr>
      <w:tr w:rsidR="0091151B" w:rsidRPr="008502EB" w:rsidTr="0091151B">
        <w:tc>
          <w:tcPr>
            <w:tcW w:w="3330"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Columbus Park ES</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28%</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29%</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31%</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17%</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153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27%</w:t>
            </w:r>
          </w:p>
        </w:tc>
      </w:tr>
      <w:tr w:rsidR="0091151B" w:rsidRPr="008502EB" w:rsidTr="0091151B">
        <w:tc>
          <w:tcPr>
            <w:tcW w:w="3330"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 xml:space="preserve">Elm Park </w:t>
            </w:r>
            <w:r w:rsidR="005A0CB9">
              <w:rPr>
                <w:sz w:val="20"/>
                <w:szCs w:val="20"/>
              </w:rPr>
              <w:t>Community ES</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42%</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16%</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13%</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7%</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153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21%</w:t>
            </w:r>
          </w:p>
        </w:tc>
      </w:tr>
      <w:tr w:rsidR="0091151B" w:rsidRPr="008502EB" w:rsidTr="0091151B">
        <w:tc>
          <w:tcPr>
            <w:tcW w:w="3330"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Goddard</w:t>
            </w:r>
            <w:r w:rsidR="005A0CB9">
              <w:rPr>
                <w:sz w:val="20"/>
                <w:szCs w:val="20"/>
              </w:rPr>
              <w:t xml:space="preserve"> ES</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23%</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5%</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12%</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4%</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153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11%</w:t>
            </w:r>
          </w:p>
        </w:tc>
      </w:tr>
      <w:tr w:rsidR="0091151B" w:rsidRPr="008502EB" w:rsidTr="0091151B">
        <w:tc>
          <w:tcPr>
            <w:tcW w:w="3330"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Gates Lane</w:t>
            </w:r>
            <w:r w:rsidR="005A0CB9">
              <w:rPr>
                <w:sz w:val="20"/>
                <w:szCs w:val="20"/>
              </w:rPr>
              <w:t xml:space="preserve"> ES</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40%</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27%</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13%</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13%</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153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22%</w:t>
            </w:r>
          </w:p>
        </w:tc>
      </w:tr>
      <w:tr w:rsidR="0091151B" w:rsidRPr="008502EB" w:rsidTr="0091151B">
        <w:tc>
          <w:tcPr>
            <w:tcW w:w="3330"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Grafton Street ES</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11%</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17%</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3%</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16%</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153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12%</w:t>
            </w:r>
          </w:p>
        </w:tc>
      </w:tr>
      <w:tr w:rsidR="0091151B" w:rsidRPr="008502EB" w:rsidTr="0091151B">
        <w:tc>
          <w:tcPr>
            <w:tcW w:w="3330"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Lake View ES</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51%</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35%</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68%</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54%</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153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50%</w:t>
            </w:r>
          </w:p>
        </w:tc>
      </w:tr>
      <w:tr w:rsidR="0091151B" w:rsidRPr="008502EB" w:rsidTr="0091151B">
        <w:tc>
          <w:tcPr>
            <w:tcW w:w="3330"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Lincoln Street ES</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12%</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6%</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26%</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38%</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153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18%</w:t>
            </w:r>
          </w:p>
        </w:tc>
      </w:tr>
      <w:tr w:rsidR="0091151B" w:rsidRPr="008502EB" w:rsidTr="0091151B">
        <w:tc>
          <w:tcPr>
            <w:tcW w:w="3330"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May Street ES</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40%</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34%</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55%</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60%</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153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47%</w:t>
            </w:r>
          </w:p>
        </w:tc>
      </w:tr>
      <w:tr w:rsidR="0091151B" w:rsidRPr="008502EB" w:rsidTr="0091151B">
        <w:tc>
          <w:tcPr>
            <w:tcW w:w="3330"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McGrath ES</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35%</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37%</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29%</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25%</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153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31%</w:t>
            </w:r>
          </w:p>
        </w:tc>
      </w:tr>
      <w:tr w:rsidR="0091151B" w:rsidRPr="008502EB" w:rsidTr="0091151B">
        <w:tc>
          <w:tcPr>
            <w:tcW w:w="3330"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Midland Street ES</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50%</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46%</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53%</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75%</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153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55%</w:t>
            </w:r>
          </w:p>
        </w:tc>
      </w:tr>
      <w:tr w:rsidR="0091151B" w:rsidRPr="008502EB" w:rsidTr="0091151B">
        <w:tc>
          <w:tcPr>
            <w:tcW w:w="3330"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Quinsigamond ES</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14%</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9%</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15%</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22%</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153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15%</w:t>
            </w:r>
          </w:p>
        </w:tc>
      </w:tr>
      <w:tr w:rsidR="0091151B" w:rsidRPr="008502EB" w:rsidTr="0091151B">
        <w:tc>
          <w:tcPr>
            <w:tcW w:w="3330"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Roosevelt ES</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67%</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56%</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55%</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44%</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153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57%</w:t>
            </w:r>
          </w:p>
        </w:tc>
      </w:tr>
      <w:tr w:rsidR="0091151B" w:rsidRPr="008502EB" w:rsidTr="0091151B">
        <w:tc>
          <w:tcPr>
            <w:tcW w:w="3330"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Worcester Arts Magnet ES</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93%</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89%</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70%</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68%</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153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81%</w:t>
            </w:r>
          </w:p>
        </w:tc>
      </w:tr>
      <w:tr w:rsidR="0091151B" w:rsidRPr="008502EB" w:rsidTr="0091151B">
        <w:tc>
          <w:tcPr>
            <w:tcW w:w="3330"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Thorndyke Road ES</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45%</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50%</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48%</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60%</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153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51%</w:t>
            </w:r>
          </w:p>
        </w:tc>
      </w:tr>
      <w:tr w:rsidR="0091151B" w:rsidRPr="008502EB" w:rsidTr="0091151B">
        <w:tc>
          <w:tcPr>
            <w:tcW w:w="3330"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University Park</w:t>
            </w:r>
            <w:r w:rsidR="005A0CB9">
              <w:rPr>
                <w:sz w:val="20"/>
                <w:szCs w:val="20"/>
              </w:rPr>
              <w:t xml:space="preserve"> MSHS</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32%</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38%</w:t>
            </w:r>
          </w:p>
        </w:tc>
        <w:tc>
          <w:tcPr>
            <w:tcW w:w="153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35%</w:t>
            </w:r>
          </w:p>
        </w:tc>
      </w:tr>
      <w:tr w:rsidR="0091151B" w:rsidRPr="008502EB" w:rsidTr="0091151B">
        <w:tc>
          <w:tcPr>
            <w:tcW w:w="3330"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Claremont Academy</w:t>
            </w:r>
            <w:r w:rsidR="005A0CB9">
              <w:rPr>
                <w:sz w:val="20"/>
                <w:szCs w:val="20"/>
              </w:rPr>
              <w:t xml:space="preserve"> MSHS</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15%</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13%</w:t>
            </w:r>
          </w:p>
        </w:tc>
        <w:tc>
          <w:tcPr>
            <w:tcW w:w="153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13%</w:t>
            </w:r>
          </w:p>
        </w:tc>
      </w:tr>
      <w:tr w:rsidR="0091151B" w:rsidRPr="008502EB" w:rsidTr="0091151B">
        <w:tc>
          <w:tcPr>
            <w:tcW w:w="3330"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Burncoat MS</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28%</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40%</w:t>
            </w:r>
          </w:p>
        </w:tc>
        <w:tc>
          <w:tcPr>
            <w:tcW w:w="153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34%</w:t>
            </w:r>
          </w:p>
        </w:tc>
      </w:tr>
      <w:tr w:rsidR="0091151B" w:rsidRPr="008502EB" w:rsidTr="0091151B">
        <w:tc>
          <w:tcPr>
            <w:tcW w:w="3330"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Forest Grove MS</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40%</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47%</w:t>
            </w:r>
          </w:p>
        </w:tc>
        <w:tc>
          <w:tcPr>
            <w:tcW w:w="153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44%</w:t>
            </w:r>
          </w:p>
        </w:tc>
      </w:tr>
      <w:tr w:rsidR="0091151B" w:rsidRPr="008502EB" w:rsidTr="0091151B">
        <w:tc>
          <w:tcPr>
            <w:tcW w:w="3330"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Worcester East MS</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14%</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20%</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31%</w:t>
            </w:r>
          </w:p>
        </w:tc>
        <w:tc>
          <w:tcPr>
            <w:tcW w:w="153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24%</w:t>
            </w:r>
          </w:p>
        </w:tc>
      </w:tr>
      <w:tr w:rsidR="0091151B" w:rsidRPr="008502EB" w:rsidTr="0091151B">
        <w:tc>
          <w:tcPr>
            <w:tcW w:w="3330"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Sullivan MS</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81%</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30%</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20%</w:t>
            </w:r>
          </w:p>
        </w:tc>
        <w:tc>
          <w:tcPr>
            <w:tcW w:w="153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34%</w:t>
            </w:r>
          </w:p>
        </w:tc>
      </w:tr>
      <w:tr w:rsidR="0091151B" w:rsidRPr="008502EB" w:rsidTr="0091151B">
        <w:tc>
          <w:tcPr>
            <w:tcW w:w="3330" w:type="dxa"/>
            <w:shd w:val="clear" w:color="auto" w:fill="D9D9D9" w:themeFill="background1" w:themeFillShade="D9"/>
            <w:vAlign w:val="bottom"/>
          </w:tcPr>
          <w:p w:rsidR="0091151B" w:rsidRPr="008502EB" w:rsidRDefault="00332703" w:rsidP="005D461E">
            <w:pPr>
              <w:spacing w:after="0" w:line="240" w:lineRule="auto"/>
              <w:jc w:val="center"/>
              <w:rPr>
                <w:sz w:val="20"/>
                <w:szCs w:val="20"/>
              </w:rPr>
            </w:pPr>
            <w:r>
              <w:rPr>
                <w:sz w:val="20"/>
                <w:szCs w:val="20"/>
              </w:rPr>
              <w:t>District</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34%</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27%</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27%</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30%</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30%</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33%</w:t>
            </w:r>
          </w:p>
        </w:tc>
        <w:tc>
          <w:tcPr>
            <w:tcW w:w="153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31%</w:t>
            </w:r>
          </w:p>
        </w:tc>
      </w:tr>
    </w:tbl>
    <w:p w:rsidR="0091151B" w:rsidRPr="008502EB" w:rsidRDefault="0091151B" w:rsidP="0091151B">
      <w:pPr>
        <w:spacing w:after="0" w:line="240" w:lineRule="auto"/>
      </w:pPr>
    </w:p>
    <w:p w:rsidR="0091151B" w:rsidRDefault="0091151B" w:rsidP="0091151B">
      <w:pPr>
        <w:spacing w:after="0" w:line="240" w:lineRule="auto"/>
      </w:pPr>
    </w:p>
    <w:p w:rsidR="0091151B" w:rsidRDefault="0091151B" w:rsidP="0091151B">
      <w:pPr>
        <w:spacing w:after="0" w:line="240" w:lineRule="auto"/>
        <w:rPr>
          <w:b/>
        </w:rPr>
      </w:pPr>
      <w:r w:rsidRPr="008502EB">
        <w:rPr>
          <w:b/>
        </w:rPr>
        <w:t xml:space="preserve">The percentage of students scoring proficient or advanced in </w:t>
      </w:r>
      <w:r w:rsidRPr="00E176EE">
        <w:rPr>
          <w:b/>
        </w:rPr>
        <w:t>math on MCAS ranged</w:t>
      </w:r>
      <w:r w:rsidRPr="008502EB">
        <w:rPr>
          <w:b/>
        </w:rPr>
        <w:t xml:space="preserve"> from 24 </w:t>
      </w:r>
      <w:r w:rsidR="005A0CB9">
        <w:rPr>
          <w:b/>
        </w:rPr>
        <w:t xml:space="preserve">percent </w:t>
      </w:r>
      <w:r w:rsidRPr="008502EB">
        <w:rPr>
          <w:b/>
        </w:rPr>
        <w:t>to 93 percent in the 3</w:t>
      </w:r>
      <w:r w:rsidRPr="008502EB">
        <w:rPr>
          <w:b/>
          <w:vertAlign w:val="superscript"/>
        </w:rPr>
        <w:t>rd</w:t>
      </w:r>
      <w:r w:rsidRPr="008502EB">
        <w:rPr>
          <w:b/>
        </w:rPr>
        <w:t xml:space="preserve"> grade, from 16 </w:t>
      </w:r>
      <w:r w:rsidR="005A0CB9">
        <w:rPr>
          <w:b/>
        </w:rPr>
        <w:t xml:space="preserve">percent </w:t>
      </w:r>
      <w:r w:rsidRPr="008502EB">
        <w:rPr>
          <w:b/>
        </w:rPr>
        <w:t>to 79 percent in the 4</w:t>
      </w:r>
      <w:r w:rsidRPr="008502EB">
        <w:rPr>
          <w:b/>
          <w:vertAlign w:val="superscript"/>
        </w:rPr>
        <w:t>th</w:t>
      </w:r>
      <w:r w:rsidRPr="008502EB">
        <w:rPr>
          <w:b/>
        </w:rPr>
        <w:t xml:space="preserve"> grade, from 25 </w:t>
      </w:r>
      <w:r w:rsidR="005A0CB9">
        <w:rPr>
          <w:b/>
        </w:rPr>
        <w:t xml:space="preserve">percent </w:t>
      </w:r>
      <w:r w:rsidRPr="008502EB">
        <w:rPr>
          <w:b/>
        </w:rPr>
        <w:t>to 83 percent in the 5</w:t>
      </w:r>
      <w:r w:rsidRPr="008502EB">
        <w:rPr>
          <w:b/>
          <w:vertAlign w:val="superscript"/>
        </w:rPr>
        <w:t>th</w:t>
      </w:r>
      <w:r w:rsidRPr="008502EB">
        <w:rPr>
          <w:b/>
        </w:rPr>
        <w:t xml:space="preserve"> grade, and from 32 </w:t>
      </w:r>
      <w:r w:rsidR="005A0CB9">
        <w:rPr>
          <w:b/>
        </w:rPr>
        <w:t xml:space="preserve">percent </w:t>
      </w:r>
      <w:r w:rsidRPr="008502EB">
        <w:rPr>
          <w:b/>
        </w:rPr>
        <w:t>to 83 percent in the 6</w:t>
      </w:r>
      <w:r w:rsidRPr="008502EB">
        <w:rPr>
          <w:b/>
          <w:vertAlign w:val="superscript"/>
        </w:rPr>
        <w:t>th</w:t>
      </w:r>
      <w:r w:rsidRPr="008502EB">
        <w:rPr>
          <w:b/>
        </w:rPr>
        <w:t xml:space="preserve"> grade. The percentage of students scoring proficient or advanced in the 10</w:t>
      </w:r>
      <w:r w:rsidRPr="008502EB">
        <w:rPr>
          <w:b/>
          <w:vertAlign w:val="superscript"/>
        </w:rPr>
        <w:t>th</w:t>
      </w:r>
      <w:r w:rsidRPr="008502EB">
        <w:rPr>
          <w:b/>
        </w:rPr>
        <w:t xml:space="preserve"> grade ranged from 43 </w:t>
      </w:r>
      <w:r w:rsidR="005A0CB9">
        <w:rPr>
          <w:b/>
        </w:rPr>
        <w:t xml:space="preserve">percent </w:t>
      </w:r>
      <w:r w:rsidRPr="008502EB">
        <w:rPr>
          <w:b/>
        </w:rPr>
        <w:t>to 84 percent.</w:t>
      </w:r>
    </w:p>
    <w:p w:rsidR="00472D85" w:rsidRDefault="00472D85" w:rsidP="0091151B">
      <w:pPr>
        <w:spacing w:after="0" w:line="240" w:lineRule="auto"/>
        <w:rPr>
          <w:b/>
        </w:rPr>
      </w:pPr>
    </w:p>
    <w:p w:rsidR="00472D85" w:rsidRDefault="00472D85" w:rsidP="0091151B">
      <w:pPr>
        <w:spacing w:after="0" w:line="240" w:lineRule="auto"/>
        <w:rPr>
          <w:b/>
        </w:rPr>
      </w:pPr>
    </w:p>
    <w:p w:rsidR="00DD119D" w:rsidRDefault="00DD119D" w:rsidP="0091151B">
      <w:pPr>
        <w:spacing w:after="0" w:line="240" w:lineRule="auto"/>
        <w:rPr>
          <w:b/>
        </w:rPr>
      </w:pPr>
    </w:p>
    <w:p w:rsidR="00DD119D" w:rsidRDefault="00DD119D" w:rsidP="0091151B">
      <w:pPr>
        <w:spacing w:after="0" w:line="240" w:lineRule="auto"/>
        <w:rPr>
          <w:b/>
        </w:rPr>
      </w:pPr>
    </w:p>
    <w:p w:rsidR="00DD119D" w:rsidRDefault="00DD119D" w:rsidP="0091151B">
      <w:pPr>
        <w:spacing w:after="0" w:line="240" w:lineRule="auto"/>
        <w:rPr>
          <w:b/>
        </w:rPr>
      </w:pPr>
    </w:p>
    <w:p w:rsidR="00DD119D" w:rsidRDefault="00DD119D" w:rsidP="0091151B">
      <w:pPr>
        <w:spacing w:after="0" w:line="240" w:lineRule="auto"/>
        <w:rPr>
          <w:b/>
        </w:rPr>
      </w:pPr>
    </w:p>
    <w:p w:rsidR="00DD119D" w:rsidRDefault="00DD119D" w:rsidP="0091151B">
      <w:pPr>
        <w:spacing w:after="0" w:line="240" w:lineRule="auto"/>
        <w:rPr>
          <w:b/>
        </w:rPr>
      </w:pPr>
    </w:p>
    <w:p w:rsidR="00472D85" w:rsidRDefault="00472D85" w:rsidP="0091151B">
      <w:pPr>
        <w:spacing w:after="0" w:line="240" w:lineRule="auto"/>
        <w:rPr>
          <w:b/>
        </w:rPr>
      </w:pPr>
    </w:p>
    <w:p w:rsidR="00DD119D" w:rsidRDefault="00DD119D" w:rsidP="0091151B">
      <w:pPr>
        <w:spacing w:after="0" w:line="240" w:lineRule="auto"/>
        <w:rPr>
          <w:b/>
        </w:rPr>
      </w:pPr>
    </w:p>
    <w:p w:rsidR="00DD119D" w:rsidRDefault="00DD119D" w:rsidP="0091151B">
      <w:pPr>
        <w:spacing w:after="0" w:line="240" w:lineRule="auto"/>
        <w:rPr>
          <w:b/>
        </w:rPr>
      </w:pPr>
    </w:p>
    <w:p w:rsidR="00DD119D" w:rsidRDefault="00DD119D" w:rsidP="0091151B">
      <w:pPr>
        <w:spacing w:after="0" w:line="240" w:lineRule="auto"/>
        <w:rPr>
          <w:b/>
        </w:rPr>
      </w:pPr>
    </w:p>
    <w:p w:rsidR="00DD119D" w:rsidRDefault="00DD119D" w:rsidP="0091151B">
      <w:pPr>
        <w:spacing w:after="0" w:line="240" w:lineRule="auto"/>
        <w:rPr>
          <w:b/>
        </w:rPr>
      </w:pPr>
    </w:p>
    <w:p w:rsidR="00472D85" w:rsidRPr="008502EB" w:rsidRDefault="00472D85" w:rsidP="0091151B">
      <w:pPr>
        <w:spacing w:after="0" w:line="240" w:lineRule="auto"/>
        <w:rPr>
          <w:b/>
        </w:rPr>
      </w:pPr>
    </w:p>
    <w:tbl>
      <w:tblPr>
        <w:tblStyle w:val="TableGrid20"/>
        <w:tblW w:w="0" w:type="auto"/>
        <w:tblInd w:w="18" w:type="dxa"/>
        <w:tblLayout w:type="fixed"/>
        <w:tblLook w:val="04A0"/>
      </w:tblPr>
      <w:tblGrid>
        <w:gridCol w:w="3330"/>
        <w:gridCol w:w="778"/>
        <w:gridCol w:w="779"/>
        <w:gridCol w:w="778"/>
        <w:gridCol w:w="779"/>
        <w:gridCol w:w="778"/>
        <w:gridCol w:w="779"/>
        <w:gridCol w:w="778"/>
        <w:gridCol w:w="779"/>
      </w:tblGrid>
      <w:tr w:rsidR="0091151B" w:rsidRPr="008502EB" w:rsidTr="0091151B">
        <w:tc>
          <w:tcPr>
            <w:tcW w:w="9558" w:type="dxa"/>
            <w:gridSpan w:val="9"/>
            <w:tcBorders>
              <w:top w:val="nil"/>
              <w:left w:val="nil"/>
              <w:right w:val="nil"/>
            </w:tcBorders>
          </w:tcPr>
          <w:p w:rsidR="0091151B" w:rsidRPr="008502EB" w:rsidRDefault="0091151B" w:rsidP="00217963">
            <w:pPr>
              <w:spacing w:after="0" w:line="240" w:lineRule="auto"/>
              <w:jc w:val="center"/>
              <w:rPr>
                <w:rFonts w:eastAsia="Times New Roman" w:cs="Times New Roman"/>
                <w:b/>
                <w:sz w:val="20"/>
                <w:szCs w:val="20"/>
              </w:rPr>
            </w:pPr>
            <w:r w:rsidRPr="008502EB">
              <w:rPr>
                <w:rFonts w:eastAsia="Times New Roman" w:cs="Times New Roman"/>
                <w:b/>
                <w:sz w:val="20"/>
                <w:szCs w:val="20"/>
              </w:rPr>
              <w:lastRenderedPageBreak/>
              <w:t xml:space="preserve">Table </w:t>
            </w:r>
            <w:r w:rsidR="005C7DC2">
              <w:rPr>
                <w:rFonts w:eastAsia="Times New Roman" w:cs="Times New Roman"/>
                <w:b/>
                <w:sz w:val="20"/>
                <w:szCs w:val="20"/>
              </w:rPr>
              <w:t>15</w:t>
            </w:r>
            <w:r w:rsidRPr="008502EB">
              <w:rPr>
                <w:rFonts w:eastAsia="Times New Roman" w:cs="Times New Roman"/>
                <w:b/>
                <w:sz w:val="20"/>
                <w:szCs w:val="20"/>
              </w:rPr>
              <w:t>: Worcester Public Schools</w:t>
            </w:r>
          </w:p>
          <w:p w:rsidR="0091151B" w:rsidRPr="008502EB" w:rsidRDefault="0091151B" w:rsidP="008E5E43">
            <w:pPr>
              <w:spacing w:after="0" w:line="240" w:lineRule="auto"/>
              <w:jc w:val="center"/>
              <w:rPr>
                <w:rFonts w:eastAsia="Times New Roman" w:cs="Times New Roman"/>
                <w:b/>
                <w:sz w:val="20"/>
                <w:szCs w:val="20"/>
              </w:rPr>
            </w:pPr>
            <w:r w:rsidRPr="008502EB">
              <w:rPr>
                <w:rFonts w:eastAsia="Times New Roman" w:cs="Times New Roman"/>
                <w:b/>
                <w:sz w:val="20"/>
                <w:szCs w:val="20"/>
              </w:rPr>
              <w:t>Math Percent Proficient or Advanced by School and Grade 2015</w:t>
            </w:r>
            <w:r w:rsidR="008E5E43">
              <w:rPr>
                <w:rFonts w:eastAsia="Times New Roman" w:cs="Times New Roman"/>
                <w:b/>
                <w:sz w:val="20"/>
                <w:szCs w:val="20"/>
              </w:rPr>
              <w:t>–</w:t>
            </w:r>
            <w:r w:rsidRPr="008502EB">
              <w:rPr>
                <w:rFonts w:eastAsia="Times New Roman" w:cs="Times New Roman"/>
                <w:b/>
                <w:sz w:val="20"/>
                <w:szCs w:val="20"/>
              </w:rPr>
              <w:t>2016</w:t>
            </w:r>
          </w:p>
        </w:tc>
      </w:tr>
      <w:tr w:rsidR="0091151B" w:rsidRPr="008502EB" w:rsidTr="0091151B">
        <w:tc>
          <w:tcPr>
            <w:tcW w:w="3330" w:type="dxa"/>
            <w:shd w:val="clear" w:color="auto" w:fill="D9D9D9" w:themeFill="background1" w:themeFillShade="D9"/>
          </w:tcPr>
          <w:p w:rsidR="0091151B" w:rsidRPr="008502EB" w:rsidRDefault="0091151B" w:rsidP="005D461E">
            <w:pPr>
              <w:spacing w:after="0" w:line="240" w:lineRule="auto"/>
              <w:rPr>
                <w:rFonts w:eastAsia="Times New Roman" w:cs="Times New Roman"/>
                <w:b/>
                <w:sz w:val="20"/>
                <w:szCs w:val="20"/>
              </w:rPr>
            </w:pPr>
            <w:r w:rsidRPr="008502EB">
              <w:rPr>
                <w:rFonts w:eastAsia="Times New Roman" w:cs="Times New Roman"/>
                <w:b/>
                <w:sz w:val="20"/>
                <w:szCs w:val="20"/>
              </w:rPr>
              <w:t>School</w:t>
            </w:r>
          </w:p>
        </w:tc>
        <w:tc>
          <w:tcPr>
            <w:tcW w:w="778" w:type="dxa"/>
            <w:shd w:val="clear" w:color="auto" w:fill="D9D9D9" w:themeFill="background1" w:themeFillShade="D9"/>
          </w:tcPr>
          <w:p w:rsidR="0091151B" w:rsidRPr="008502EB" w:rsidRDefault="0091151B" w:rsidP="005D461E">
            <w:pPr>
              <w:spacing w:after="0" w:line="240" w:lineRule="auto"/>
              <w:jc w:val="center"/>
              <w:rPr>
                <w:rFonts w:eastAsia="Times New Roman" w:cs="Times New Roman"/>
                <w:b/>
                <w:sz w:val="20"/>
                <w:szCs w:val="20"/>
              </w:rPr>
            </w:pPr>
            <w:r w:rsidRPr="008502EB">
              <w:rPr>
                <w:rFonts w:eastAsia="Times New Roman" w:cs="Times New Roman"/>
                <w:b/>
                <w:sz w:val="20"/>
                <w:szCs w:val="20"/>
              </w:rPr>
              <w:t>3</w:t>
            </w:r>
          </w:p>
        </w:tc>
        <w:tc>
          <w:tcPr>
            <w:tcW w:w="779" w:type="dxa"/>
            <w:shd w:val="clear" w:color="auto" w:fill="D9D9D9" w:themeFill="background1" w:themeFillShade="D9"/>
          </w:tcPr>
          <w:p w:rsidR="0091151B" w:rsidRPr="008502EB" w:rsidRDefault="0091151B" w:rsidP="005D461E">
            <w:pPr>
              <w:spacing w:after="0" w:line="240" w:lineRule="auto"/>
              <w:jc w:val="center"/>
              <w:rPr>
                <w:rFonts w:eastAsia="Times New Roman" w:cs="Times New Roman"/>
                <w:b/>
                <w:sz w:val="20"/>
                <w:szCs w:val="20"/>
              </w:rPr>
            </w:pPr>
            <w:r w:rsidRPr="008502EB">
              <w:rPr>
                <w:rFonts w:eastAsia="Times New Roman" w:cs="Times New Roman"/>
                <w:b/>
                <w:sz w:val="20"/>
                <w:szCs w:val="20"/>
              </w:rPr>
              <w:t>4</w:t>
            </w:r>
          </w:p>
        </w:tc>
        <w:tc>
          <w:tcPr>
            <w:tcW w:w="778" w:type="dxa"/>
            <w:shd w:val="clear" w:color="auto" w:fill="D9D9D9" w:themeFill="background1" w:themeFillShade="D9"/>
          </w:tcPr>
          <w:p w:rsidR="0091151B" w:rsidRPr="008502EB" w:rsidRDefault="0091151B" w:rsidP="005D461E">
            <w:pPr>
              <w:spacing w:after="0" w:line="240" w:lineRule="auto"/>
              <w:jc w:val="center"/>
              <w:rPr>
                <w:rFonts w:eastAsia="Times New Roman" w:cs="Times New Roman"/>
                <w:b/>
                <w:sz w:val="20"/>
                <w:szCs w:val="20"/>
              </w:rPr>
            </w:pPr>
            <w:r w:rsidRPr="008502EB">
              <w:rPr>
                <w:rFonts w:eastAsia="Times New Roman" w:cs="Times New Roman"/>
                <w:b/>
                <w:sz w:val="20"/>
                <w:szCs w:val="20"/>
              </w:rPr>
              <w:t>5</w:t>
            </w:r>
          </w:p>
        </w:tc>
        <w:tc>
          <w:tcPr>
            <w:tcW w:w="779" w:type="dxa"/>
            <w:shd w:val="clear" w:color="auto" w:fill="D9D9D9" w:themeFill="background1" w:themeFillShade="D9"/>
          </w:tcPr>
          <w:p w:rsidR="0091151B" w:rsidRPr="008502EB" w:rsidRDefault="0091151B" w:rsidP="005D461E">
            <w:pPr>
              <w:spacing w:after="0" w:line="240" w:lineRule="auto"/>
              <w:jc w:val="center"/>
              <w:rPr>
                <w:rFonts w:eastAsia="Times New Roman" w:cs="Times New Roman"/>
                <w:b/>
                <w:sz w:val="20"/>
                <w:szCs w:val="20"/>
              </w:rPr>
            </w:pPr>
            <w:r w:rsidRPr="008502EB">
              <w:rPr>
                <w:rFonts w:eastAsia="Times New Roman" w:cs="Times New Roman"/>
                <w:b/>
                <w:sz w:val="20"/>
                <w:szCs w:val="20"/>
              </w:rPr>
              <w:t>6</w:t>
            </w:r>
          </w:p>
        </w:tc>
        <w:tc>
          <w:tcPr>
            <w:tcW w:w="778" w:type="dxa"/>
            <w:shd w:val="clear" w:color="auto" w:fill="D9D9D9" w:themeFill="background1" w:themeFillShade="D9"/>
          </w:tcPr>
          <w:p w:rsidR="0091151B" w:rsidRPr="008502EB" w:rsidRDefault="0091151B" w:rsidP="005D461E">
            <w:pPr>
              <w:spacing w:after="0" w:line="240" w:lineRule="auto"/>
              <w:jc w:val="center"/>
              <w:rPr>
                <w:rFonts w:eastAsia="Times New Roman" w:cs="Times New Roman"/>
                <w:b/>
                <w:sz w:val="20"/>
                <w:szCs w:val="20"/>
              </w:rPr>
            </w:pPr>
            <w:r w:rsidRPr="008502EB">
              <w:rPr>
                <w:rFonts w:eastAsia="Times New Roman" w:cs="Times New Roman"/>
                <w:b/>
                <w:sz w:val="20"/>
                <w:szCs w:val="20"/>
              </w:rPr>
              <w:t>7</w:t>
            </w:r>
          </w:p>
        </w:tc>
        <w:tc>
          <w:tcPr>
            <w:tcW w:w="779" w:type="dxa"/>
            <w:shd w:val="clear" w:color="auto" w:fill="D9D9D9" w:themeFill="background1" w:themeFillShade="D9"/>
          </w:tcPr>
          <w:p w:rsidR="0091151B" w:rsidRPr="008502EB" w:rsidRDefault="0091151B" w:rsidP="005D461E">
            <w:pPr>
              <w:spacing w:after="0" w:line="240" w:lineRule="auto"/>
              <w:jc w:val="center"/>
              <w:rPr>
                <w:rFonts w:eastAsia="Times New Roman" w:cs="Times New Roman"/>
                <w:b/>
                <w:sz w:val="20"/>
                <w:szCs w:val="20"/>
              </w:rPr>
            </w:pPr>
            <w:r w:rsidRPr="008502EB">
              <w:rPr>
                <w:rFonts w:eastAsia="Times New Roman" w:cs="Times New Roman"/>
                <w:b/>
                <w:sz w:val="20"/>
                <w:szCs w:val="20"/>
              </w:rPr>
              <w:t>8</w:t>
            </w:r>
          </w:p>
        </w:tc>
        <w:tc>
          <w:tcPr>
            <w:tcW w:w="778" w:type="dxa"/>
            <w:shd w:val="clear" w:color="auto" w:fill="D9D9D9" w:themeFill="background1" w:themeFillShade="D9"/>
          </w:tcPr>
          <w:p w:rsidR="0091151B" w:rsidRPr="008502EB" w:rsidRDefault="0091151B" w:rsidP="005D461E">
            <w:pPr>
              <w:spacing w:after="0" w:line="240" w:lineRule="auto"/>
              <w:jc w:val="center"/>
              <w:rPr>
                <w:rFonts w:eastAsia="Times New Roman" w:cs="Times New Roman"/>
                <w:b/>
                <w:sz w:val="20"/>
                <w:szCs w:val="20"/>
              </w:rPr>
            </w:pPr>
            <w:r w:rsidRPr="008502EB">
              <w:rPr>
                <w:rFonts w:eastAsia="Times New Roman" w:cs="Times New Roman"/>
                <w:b/>
                <w:sz w:val="20"/>
                <w:szCs w:val="20"/>
              </w:rPr>
              <w:t>10</w:t>
            </w:r>
          </w:p>
        </w:tc>
        <w:tc>
          <w:tcPr>
            <w:tcW w:w="779" w:type="dxa"/>
            <w:shd w:val="clear" w:color="auto" w:fill="D9D9D9" w:themeFill="background1" w:themeFillShade="D9"/>
          </w:tcPr>
          <w:p w:rsidR="0091151B" w:rsidRPr="008502EB" w:rsidRDefault="0091151B" w:rsidP="005D461E">
            <w:pPr>
              <w:spacing w:after="0" w:line="240" w:lineRule="auto"/>
              <w:jc w:val="center"/>
              <w:rPr>
                <w:rFonts w:eastAsia="Times New Roman" w:cs="Times New Roman"/>
                <w:b/>
                <w:sz w:val="20"/>
                <w:szCs w:val="20"/>
              </w:rPr>
            </w:pPr>
            <w:r w:rsidRPr="008502EB">
              <w:rPr>
                <w:rFonts w:eastAsia="Times New Roman" w:cs="Times New Roman"/>
                <w:b/>
                <w:sz w:val="20"/>
                <w:szCs w:val="20"/>
              </w:rPr>
              <w:t>Total</w:t>
            </w:r>
          </w:p>
        </w:tc>
      </w:tr>
      <w:tr w:rsidR="0091151B" w:rsidRPr="008502EB" w:rsidTr="0091151B">
        <w:tc>
          <w:tcPr>
            <w:tcW w:w="3330"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 xml:space="preserve">Burncoat </w:t>
            </w:r>
            <w:r w:rsidR="00801FD9">
              <w:rPr>
                <w:sz w:val="20"/>
                <w:szCs w:val="20"/>
              </w:rPr>
              <w:t>Street</w:t>
            </w:r>
            <w:r w:rsidR="00801FD9" w:rsidRPr="008502EB">
              <w:rPr>
                <w:sz w:val="20"/>
                <w:szCs w:val="20"/>
              </w:rPr>
              <w:t xml:space="preserve"> </w:t>
            </w:r>
            <w:r w:rsidRPr="008502EB">
              <w:rPr>
                <w:sz w:val="20"/>
                <w:szCs w:val="20"/>
              </w:rPr>
              <w:t>ES</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46%</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26%</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25%</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32%</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32%</w:t>
            </w:r>
          </w:p>
        </w:tc>
      </w:tr>
      <w:tr w:rsidR="0091151B" w:rsidRPr="008502EB" w:rsidTr="0091151B">
        <w:tc>
          <w:tcPr>
            <w:tcW w:w="3330"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Canterbury Magnet ES</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24%</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16%</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36%</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45%</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30%</w:t>
            </w:r>
          </w:p>
        </w:tc>
      </w:tr>
      <w:tr w:rsidR="0091151B" w:rsidRPr="008502EB" w:rsidTr="0091151B">
        <w:tc>
          <w:tcPr>
            <w:tcW w:w="3330"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Chandler Community ES</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66%</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60%</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49%</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32%</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53%</w:t>
            </w:r>
          </w:p>
        </w:tc>
      </w:tr>
      <w:tr w:rsidR="0091151B" w:rsidRPr="008502EB" w:rsidTr="0091151B">
        <w:tc>
          <w:tcPr>
            <w:tcW w:w="3330"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Flagg Street ES</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56%</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61%</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68%</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83%</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67%</w:t>
            </w:r>
          </w:p>
        </w:tc>
      </w:tr>
      <w:tr w:rsidR="0091151B" w:rsidRPr="008502EB" w:rsidTr="0091151B">
        <w:tc>
          <w:tcPr>
            <w:tcW w:w="3330"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Heard Street ES</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49%</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58%</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58%</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58%</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56%</w:t>
            </w:r>
          </w:p>
        </w:tc>
      </w:tr>
      <w:tr w:rsidR="0091151B" w:rsidRPr="008502EB" w:rsidTr="0091151B">
        <w:tc>
          <w:tcPr>
            <w:tcW w:w="3330"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Hiatt Magnet ES</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64%</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18%</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54%</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43%</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45%</w:t>
            </w:r>
          </w:p>
        </w:tc>
      </w:tr>
      <w:tr w:rsidR="0091151B" w:rsidRPr="008502EB" w:rsidTr="0091151B">
        <w:tc>
          <w:tcPr>
            <w:tcW w:w="3330"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Nelson Place ES</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75%</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51%</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52%</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62%</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59%</w:t>
            </w:r>
          </w:p>
        </w:tc>
      </w:tr>
      <w:tr w:rsidR="0091151B" w:rsidRPr="008502EB" w:rsidTr="0091151B">
        <w:tc>
          <w:tcPr>
            <w:tcW w:w="3330"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Norrback Avenue ES</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46%</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30%</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45%</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66%</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47%</w:t>
            </w:r>
          </w:p>
        </w:tc>
      </w:tr>
      <w:tr w:rsidR="0091151B" w:rsidRPr="008502EB" w:rsidTr="0091151B">
        <w:tc>
          <w:tcPr>
            <w:tcW w:w="3330"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Rice Square ES</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40%</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32%</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28%</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47%</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36%</w:t>
            </w:r>
          </w:p>
        </w:tc>
      </w:tr>
      <w:tr w:rsidR="0091151B" w:rsidRPr="008502EB" w:rsidTr="0091151B">
        <w:tc>
          <w:tcPr>
            <w:tcW w:w="3330"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Tatnuck ES</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66%</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31%</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47%</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47%</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48%</w:t>
            </w:r>
          </w:p>
        </w:tc>
      </w:tr>
      <w:tr w:rsidR="0091151B" w:rsidRPr="008502EB" w:rsidTr="0091151B">
        <w:tc>
          <w:tcPr>
            <w:tcW w:w="3330"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Union Hill ES</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49%</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32%</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34%</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33%</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37%</w:t>
            </w:r>
          </w:p>
        </w:tc>
      </w:tr>
      <w:tr w:rsidR="0091151B" w:rsidRPr="008502EB" w:rsidTr="0091151B">
        <w:tc>
          <w:tcPr>
            <w:tcW w:w="3330"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West Tatnuck ES</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93%</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79%</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83%</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74%</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83%</w:t>
            </w:r>
          </w:p>
        </w:tc>
      </w:tr>
      <w:tr w:rsidR="0091151B" w:rsidRPr="008502EB" w:rsidTr="0091151B">
        <w:tc>
          <w:tcPr>
            <w:tcW w:w="3330"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Vernon Hill ES</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33%</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17%</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25%</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37%</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28%</w:t>
            </w:r>
          </w:p>
        </w:tc>
      </w:tr>
      <w:tr w:rsidR="0091151B" w:rsidRPr="008502EB" w:rsidTr="0091151B">
        <w:tc>
          <w:tcPr>
            <w:tcW w:w="3330"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University Park MSHS</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84%</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r>
      <w:tr w:rsidR="0091151B" w:rsidRPr="008502EB" w:rsidTr="0091151B">
        <w:tc>
          <w:tcPr>
            <w:tcW w:w="3330"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Claremont Academy MSHS</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65%</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r>
      <w:tr w:rsidR="0091151B" w:rsidRPr="008502EB" w:rsidTr="0091151B">
        <w:tc>
          <w:tcPr>
            <w:tcW w:w="3330"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 xml:space="preserve">Burncoat </w:t>
            </w:r>
            <w:r w:rsidR="00E90ED4">
              <w:rPr>
                <w:sz w:val="20"/>
                <w:szCs w:val="20"/>
              </w:rPr>
              <w:t xml:space="preserve">Senior </w:t>
            </w:r>
            <w:r w:rsidRPr="008502EB">
              <w:rPr>
                <w:sz w:val="20"/>
                <w:szCs w:val="20"/>
              </w:rPr>
              <w:t>HS</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59%</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59%</w:t>
            </w:r>
          </w:p>
        </w:tc>
      </w:tr>
      <w:tr w:rsidR="0091151B" w:rsidRPr="008502EB" w:rsidTr="0091151B">
        <w:tc>
          <w:tcPr>
            <w:tcW w:w="3330"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Doherty Memorial HS</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71%</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71%</w:t>
            </w:r>
          </w:p>
        </w:tc>
      </w:tr>
      <w:tr w:rsidR="0091151B" w:rsidRPr="008502EB" w:rsidTr="0091151B">
        <w:tc>
          <w:tcPr>
            <w:tcW w:w="3330"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North HS</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43%</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43%</w:t>
            </w:r>
          </w:p>
        </w:tc>
      </w:tr>
      <w:tr w:rsidR="0091151B" w:rsidRPr="008502EB" w:rsidTr="0091151B">
        <w:tc>
          <w:tcPr>
            <w:tcW w:w="3330"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 xml:space="preserve">South </w:t>
            </w:r>
            <w:r w:rsidR="00E90ED4">
              <w:rPr>
                <w:sz w:val="20"/>
                <w:szCs w:val="20"/>
              </w:rPr>
              <w:t xml:space="preserve">High Community </w:t>
            </w:r>
            <w:r w:rsidRPr="008502EB">
              <w:rPr>
                <w:sz w:val="20"/>
                <w:szCs w:val="20"/>
              </w:rPr>
              <w:t>HS</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54%</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54%</w:t>
            </w:r>
          </w:p>
        </w:tc>
      </w:tr>
      <w:tr w:rsidR="0091151B" w:rsidRPr="008502EB" w:rsidTr="0091151B">
        <w:tc>
          <w:tcPr>
            <w:tcW w:w="3330"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Worcester Tech</w:t>
            </w:r>
            <w:r w:rsidR="00801FD9">
              <w:rPr>
                <w:sz w:val="20"/>
                <w:szCs w:val="20"/>
              </w:rPr>
              <w:t>nical</w:t>
            </w:r>
            <w:r w:rsidRPr="008502EB">
              <w:rPr>
                <w:sz w:val="20"/>
                <w:szCs w:val="20"/>
              </w:rPr>
              <w:t xml:space="preserve"> HS</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8"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81%</w:t>
            </w:r>
          </w:p>
        </w:tc>
        <w:tc>
          <w:tcPr>
            <w:tcW w:w="779" w:type="dxa"/>
            <w:shd w:val="clear" w:color="auto" w:fill="D9D9D9" w:themeFill="background1" w:themeFillShade="D9"/>
            <w:vAlign w:val="bottom"/>
          </w:tcPr>
          <w:p w:rsidR="0091151B" w:rsidRPr="008502EB" w:rsidRDefault="0091151B" w:rsidP="005D461E">
            <w:pPr>
              <w:spacing w:after="0" w:line="240" w:lineRule="auto"/>
              <w:jc w:val="center"/>
              <w:rPr>
                <w:sz w:val="20"/>
                <w:szCs w:val="20"/>
              </w:rPr>
            </w:pPr>
            <w:r w:rsidRPr="008502EB">
              <w:rPr>
                <w:sz w:val="20"/>
                <w:szCs w:val="20"/>
              </w:rPr>
              <w:t>81%</w:t>
            </w:r>
          </w:p>
        </w:tc>
      </w:tr>
      <w:tr w:rsidR="0091151B" w:rsidRPr="008502EB" w:rsidTr="0091151B">
        <w:tc>
          <w:tcPr>
            <w:tcW w:w="3330" w:type="dxa"/>
            <w:shd w:val="clear" w:color="auto" w:fill="auto"/>
            <w:vAlign w:val="bottom"/>
          </w:tcPr>
          <w:p w:rsidR="0091151B" w:rsidRPr="008502EB" w:rsidRDefault="00332703" w:rsidP="005D461E">
            <w:pPr>
              <w:spacing w:after="0" w:line="240" w:lineRule="auto"/>
              <w:jc w:val="center"/>
              <w:rPr>
                <w:sz w:val="20"/>
                <w:szCs w:val="20"/>
              </w:rPr>
            </w:pPr>
            <w:r>
              <w:rPr>
                <w:sz w:val="20"/>
                <w:szCs w:val="20"/>
              </w:rPr>
              <w:t>District</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53</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38</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45</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52</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c>
          <w:tcPr>
            <w:tcW w:w="778"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60%</w:t>
            </w:r>
          </w:p>
        </w:tc>
        <w:tc>
          <w:tcPr>
            <w:tcW w:w="779" w:type="dxa"/>
            <w:shd w:val="clear" w:color="auto" w:fill="auto"/>
            <w:vAlign w:val="bottom"/>
          </w:tcPr>
          <w:p w:rsidR="0091151B" w:rsidRPr="008502EB" w:rsidRDefault="0091151B" w:rsidP="005D461E">
            <w:pPr>
              <w:spacing w:after="0" w:line="240" w:lineRule="auto"/>
              <w:jc w:val="center"/>
              <w:rPr>
                <w:sz w:val="20"/>
                <w:szCs w:val="20"/>
              </w:rPr>
            </w:pPr>
            <w:r w:rsidRPr="008502EB">
              <w:rPr>
                <w:sz w:val="20"/>
                <w:szCs w:val="20"/>
              </w:rPr>
              <w:t>--</w:t>
            </w:r>
          </w:p>
        </w:tc>
      </w:tr>
    </w:tbl>
    <w:p w:rsidR="0091151B" w:rsidRPr="008502EB" w:rsidRDefault="0091151B" w:rsidP="0091151B">
      <w:pPr>
        <w:spacing w:after="0" w:line="240" w:lineRule="auto"/>
      </w:pPr>
    </w:p>
    <w:p w:rsidR="0091151B" w:rsidRPr="008502EB" w:rsidRDefault="0091151B" w:rsidP="0091151B">
      <w:pPr>
        <w:spacing w:after="0" w:line="240" w:lineRule="auto"/>
      </w:pPr>
    </w:p>
    <w:p w:rsidR="0091151B" w:rsidRPr="008502EB" w:rsidRDefault="0091151B" w:rsidP="0091151B">
      <w:pPr>
        <w:spacing w:after="0" w:line="240" w:lineRule="auto"/>
        <w:rPr>
          <w:rFonts w:eastAsia="Times New Roman" w:cs="Times New Roman"/>
          <w:b/>
        </w:rPr>
      </w:pPr>
      <w:r w:rsidRPr="008502EB">
        <w:rPr>
          <w:rFonts w:eastAsia="Times New Roman" w:cs="Times New Roman"/>
          <w:b/>
        </w:rPr>
        <w:t xml:space="preserve">Between 2013 and 2016, science proficiency rates improved by 1 percentage point in the district as whole, from 32 percent in 2013 to 33 percent in 2016, 21 percentage points below the 2016 state rate of 54 percent. </w:t>
      </w:r>
    </w:p>
    <w:p w:rsidR="0091151B" w:rsidRPr="008502EB" w:rsidRDefault="0091151B" w:rsidP="0091151B">
      <w:pPr>
        <w:spacing w:after="0" w:line="240" w:lineRule="auto"/>
        <w:rPr>
          <w:rFonts w:eastAsia="Times New Roman" w:cs="Times New Roman"/>
        </w:rPr>
      </w:pPr>
    </w:p>
    <w:p w:rsidR="0091151B" w:rsidRPr="008502EB" w:rsidRDefault="0091151B" w:rsidP="0091151B">
      <w:pPr>
        <w:numPr>
          <w:ilvl w:val="0"/>
          <w:numId w:val="61"/>
        </w:numPr>
        <w:spacing w:after="0" w:line="240" w:lineRule="auto"/>
        <w:contextualSpacing/>
        <w:rPr>
          <w:rFonts w:eastAsia="Times New Roman" w:cs="Times New Roman"/>
        </w:rPr>
      </w:pPr>
      <w:r w:rsidRPr="008502EB">
        <w:rPr>
          <w:rFonts w:eastAsia="Times New Roman" w:cs="Times New Roman"/>
        </w:rPr>
        <w:t>5</w:t>
      </w:r>
      <w:r w:rsidRPr="008502EB">
        <w:rPr>
          <w:rFonts w:eastAsia="Times New Roman" w:cs="Times New Roman"/>
          <w:vertAlign w:val="superscript"/>
        </w:rPr>
        <w:t>th</w:t>
      </w:r>
      <w:r w:rsidRPr="008502EB">
        <w:rPr>
          <w:rFonts w:eastAsia="Times New Roman" w:cs="Times New Roman"/>
        </w:rPr>
        <w:t xml:space="preserve"> grade science proficiency rates were 29 percent in 2013 and 2016, 18 percentage points below the 2016 state rate of 47 percent.</w:t>
      </w:r>
    </w:p>
    <w:p w:rsidR="0091151B" w:rsidRPr="008502EB" w:rsidRDefault="0091151B" w:rsidP="0091151B">
      <w:pPr>
        <w:spacing w:after="0" w:line="240" w:lineRule="auto"/>
        <w:ind w:left="720"/>
        <w:contextualSpacing/>
        <w:rPr>
          <w:rFonts w:eastAsia="Times New Roman" w:cs="Times New Roman"/>
        </w:rPr>
      </w:pPr>
    </w:p>
    <w:p w:rsidR="0091151B" w:rsidRPr="008502EB" w:rsidRDefault="0091151B" w:rsidP="0091151B">
      <w:pPr>
        <w:numPr>
          <w:ilvl w:val="0"/>
          <w:numId w:val="61"/>
        </w:numPr>
        <w:spacing w:after="0" w:line="240" w:lineRule="auto"/>
        <w:contextualSpacing/>
        <w:rPr>
          <w:rFonts w:eastAsia="Times New Roman" w:cs="Times New Roman"/>
        </w:rPr>
      </w:pPr>
      <w:r w:rsidRPr="008502EB">
        <w:rPr>
          <w:rFonts w:eastAsia="Times New Roman" w:cs="Times New Roman"/>
        </w:rPr>
        <w:t>8</w:t>
      </w:r>
      <w:r w:rsidRPr="008502EB">
        <w:rPr>
          <w:rFonts w:eastAsia="Times New Roman" w:cs="Times New Roman"/>
          <w:vertAlign w:val="superscript"/>
        </w:rPr>
        <w:t>th</w:t>
      </w:r>
      <w:r w:rsidRPr="008502EB">
        <w:rPr>
          <w:rFonts w:eastAsia="Times New Roman" w:cs="Times New Roman"/>
        </w:rPr>
        <w:t xml:space="preserve"> grade science proficiency rates declined by 1 percentage point from 21 percent in 2013 to 20 percent in 2016, 21 percentage points below the 2016 state rate of 41 percent.</w:t>
      </w:r>
    </w:p>
    <w:p w:rsidR="0091151B" w:rsidRPr="008502EB" w:rsidRDefault="0091151B" w:rsidP="0091151B">
      <w:pPr>
        <w:spacing w:after="0" w:line="240" w:lineRule="auto"/>
        <w:ind w:left="720"/>
        <w:contextualSpacing/>
        <w:rPr>
          <w:rFonts w:eastAsia="Times New Roman" w:cs="Times New Roman"/>
        </w:rPr>
      </w:pPr>
    </w:p>
    <w:p w:rsidR="0091151B" w:rsidRPr="008502EB" w:rsidRDefault="0091151B" w:rsidP="0091151B">
      <w:pPr>
        <w:numPr>
          <w:ilvl w:val="0"/>
          <w:numId w:val="61"/>
        </w:numPr>
        <w:spacing w:after="0" w:line="240" w:lineRule="auto"/>
        <w:contextualSpacing/>
        <w:rPr>
          <w:rFonts w:eastAsia="Times New Roman" w:cs="Times New Roman"/>
        </w:rPr>
      </w:pPr>
      <w:r w:rsidRPr="008502EB">
        <w:rPr>
          <w:rFonts w:eastAsia="Times New Roman" w:cs="Times New Roman"/>
        </w:rPr>
        <w:t>10</w:t>
      </w:r>
      <w:r w:rsidRPr="008502EB">
        <w:rPr>
          <w:rFonts w:eastAsia="Times New Roman" w:cs="Times New Roman"/>
          <w:vertAlign w:val="superscript"/>
        </w:rPr>
        <w:t>th</w:t>
      </w:r>
      <w:r w:rsidRPr="008502EB">
        <w:rPr>
          <w:rFonts w:eastAsia="Times New Roman" w:cs="Times New Roman"/>
        </w:rPr>
        <w:t xml:space="preserve"> grade science proficiency </w:t>
      </w:r>
      <w:r>
        <w:rPr>
          <w:rFonts w:eastAsia="Times New Roman" w:cs="Times New Roman"/>
        </w:rPr>
        <w:t xml:space="preserve">rates </w:t>
      </w:r>
      <w:r w:rsidRPr="008502EB">
        <w:rPr>
          <w:rFonts w:eastAsia="Times New Roman" w:cs="Times New Roman"/>
        </w:rPr>
        <w:t>improved by 5 percentage points from 46 percent in 2013 to 51 percent in 2016, 22 percentage points below the 2016 state rate of 73 percent.</w:t>
      </w:r>
    </w:p>
    <w:p w:rsidR="0091151B" w:rsidRDefault="0091151B" w:rsidP="0091151B">
      <w:pPr>
        <w:spacing w:after="0" w:line="240" w:lineRule="auto"/>
      </w:pPr>
    </w:p>
    <w:tbl>
      <w:tblPr>
        <w:tblStyle w:val="TableGrid24"/>
        <w:tblW w:w="0" w:type="auto"/>
        <w:tblLook w:val="04A0"/>
      </w:tblPr>
      <w:tblGrid>
        <w:gridCol w:w="957"/>
        <w:gridCol w:w="1077"/>
        <w:gridCol w:w="1077"/>
        <w:gridCol w:w="1078"/>
        <w:gridCol w:w="1077"/>
        <w:gridCol w:w="1077"/>
        <w:gridCol w:w="1078"/>
        <w:gridCol w:w="1077"/>
        <w:gridCol w:w="1078"/>
      </w:tblGrid>
      <w:tr w:rsidR="0091151B" w:rsidRPr="008502EB" w:rsidTr="0091151B">
        <w:tc>
          <w:tcPr>
            <w:tcW w:w="9576" w:type="dxa"/>
            <w:gridSpan w:val="9"/>
            <w:tcBorders>
              <w:top w:val="nil"/>
              <w:left w:val="nil"/>
              <w:right w:val="nil"/>
            </w:tcBorders>
            <w:vAlign w:val="center"/>
          </w:tcPr>
          <w:p w:rsidR="0091151B" w:rsidRPr="008502EB" w:rsidRDefault="0091151B" w:rsidP="00217963">
            <w:pPr>
              <w:spacing w:after="0" w:line="240" w:lineRule="auto"/>
              <w:jc w:val="center"/>
              <w:rPr>
                <w:b/>
                <w:sz w:val="20"/>
                <w:szCs w:val="20"/>
              </w:rPr>
            </w:pPr>
            <w:r w:rsidRPr="008502EB">
              <w:rPr>
                <w:b/>
                <w:sz w:val="20"/>
                <w:szCs w:val="20"/>
              </w:rPr>
              <w:t xml:space="preserve">Table </w:t>
            </w:r>
            <w:r w:rsidR="005C7DC2" w:rsidRPr="008502EB">
              <w:rPr>
                <w:b/>
                <w:sz w:val="20"/>
                <w:szCs w:val="20"/>
              </w:rPr>
              <w:t>1</w:t>
            </w:r>
            <w:r w:rsidR="005C7DC2">
              <w:rPr>
                <w:b/>
                <w:sz w:val="20"/>
                <w:szCs w:val="20"/>
              </w:rPr>
              <w:t>6</w:t>
            </w:r>
            <w:r w:rsidRPr="008502EB">
              <w:rPr>
                <w:b/>
                <w:sz w:val="20"/>
                <w:szCs w:val="20"/>
              </w:rPr>
              <w:t>: Worcester Public Schools</w:t>
            </w:r>
          </w:p>
          <w:p w:rsidR="0091151B" w:rsidRPr="008502EB" w:rsidRDefault="0091151B" w:rsidP="008E5E43">
            <w:pPr>
              <w:spacing w:after="0" w:line="240" w:lineRule="auto"/>
              <w:jc w:val="center"/>
              <w:rPr>
                <w:b/>
                <w:sz w:val="20"/>
                <w:szCs w:val="20"/>
              </w:rPr>
            </w:pPr>
            <w:r w:rsidRPr="008502EB">
              <w:rPr>
                <w:b/>
                <w:sz w:val="20"/>
                <w:szCs w:val="20"/>
              </w:rPr>
              <w:t>Science Percent Proficient or Advanced by Grade 2013</w:t>
            </w:r>
            <w:r w:rsidR="008E5E43">
              <w:rPr>
                <w:b/>
                <w:sz w:val="20"/>
                <w:szCs w:val="20"/>
              </w:rPr>
              <w:t>–</w:t>
            </w:r>
            <w:r w:rsidRPr="008502EB">
              <w:rPr>
                <w:b/>
                <w:sz w:val="20"/>
                <w:szCs w:val="20"/>
              </w:rPr>
              <w:t>2016</w:t>
            </w:r>
          </w:p>
        </w:tc>
      </w:tr>
      <w:tr w:rsidR="0091151B" w:rsidRPr="008502EB" w:rsidTr="0091151B">
        <w:tc>
          <w:tcPr>
            <w:tcW w:w="957" w:type="dxa"/>
            <w:shd w:val="clear" w:color="auto" w:fill="D9D9D9" w:themeFill="background1" w:themeFillShade="D9"/>
            <w:vAlign w:val="center"/>
          </w:tcPr>
          <w:p w:rsidR="0091151B" w:rsidRPr="008502EB" w:rsidRDefault="0091151B" w:rsidP="00C613DE">
            <w:pPr>
              <w:spacing w:after="0" w:line="240" w:lineRule="auto"/>
              <w:jc w:val="center"/>
              <w:rPr>
                <w:b/>
                <w:sz w:val="20"/>
                <w:szCs w:val="20"/>
              </w:rPr>
            </w:pPr>
            <w:r w:rsidRPr="008502EB">
              <w:rPr>
                <w:b/>
                <w:sz w:val="20"/>
                <w:szCs w:val="20"/>
              </w:rPr>
              <w:t>Grade</w:t>
            </w:r>
          </w:p>
        </w:tc>
        <w:tc>
          <w:tcPr>
            <w:tcW w:w="1077" w:type="dxa"/>
            <w:shd w:val="clear" w:color="auto" w:fill="D9D9D9" w:themeFill="background1" w:themeFillShade="D9"/>
            <w:vAlign w:val="center"/>
          </w:tcPr>
          <w:p w:rsidR="0091151B" w:rsidRPr="008502EB" w:rsidRDefault="0091151B" w:rsidP="00C613DE">
            <w:pPr>
              <w:spacing w:after="0" w:line="240" w:lineRule="auto"/>
              <w:jc w:val="center"/>
              <w:rPr>
                <w:b/>
                <w:sz w:val="20"/>
                <w:szCs w:val="20"/>
              </w:rPr>
            </w:pPr>
            <w:r w:rsidRPr="008502EB">
              <w:rPr>
                <w:b/>
                <w:sz w:val="20"/>
                <w:szCs w:val="20"/>
              </w:rPr>
              <w:t>Number</w:t>
            </w:r>
          </w:p>
        </w:tc>
        <w:tc>
          <w:tcPr>
            <w:tcW w:w="1077" w:type="dxa"/>
            <w:shd w:val="clear" w:color="auto" w:fill="D9D9D9" w:themeFill="background1" w:themeFillShade="D9"/>
            <w:vAlign w:val="center"/>
          </w:tcPr>
          <w:p w:rsidR="0091151B" w:rsidRPr="008502EB" w:rsidRDefault="0091151B" w:rsidP="00C613DE">
            <w:pPr>
              <w:spacing w:after="0" w:line="240" w:lineRule="auto"/>
              <w:jc w:val="center"/>
              <w:rPr>
                <w:b/>
                <w:sz w:val="20"/>
                <w:szCs w:val="20"/>
              </w:rPr>
            </w:pPr>
            <w:r w:rsidRPr="008502EB">
              <w:rPr>
                <w:b/>
                <w:sz w:val="20"/>
                <w:szCs w:val="20"/>
              </w:rPr>
              <w:t>2013</w:t>
            </w:r>
          </w:p>
        </w:tc>
        <w:tc>
          <w:tcPr>
            <w:tcW w:w="1078" w:type="dxa"/>
            <w:shd w:val="clear" w:color="auto" w:fill="D9D9D9" w:themeFill="background1" w:themeFillShade="D9"/>
            <w:vAlign w:val="center"/>
          </w:tcPr>
          <w:p w:rsidR="0091151B" w:rsidRPr="008502EB" w:rsidRDefault="0091151B" w:rsidP="00C613DE">
            <w:pPr>
              <w:spacing w:after="0" w:line="240" w:lineRule="auto"/>
              <w:jc w:val="center"/>
              <w:rPr>
                <w:b/>
                <w:sz w:val="20"/>
                <w:szCs w:val="20"/>
              </w:rPr>
            </w:pPr>
            <w:r w:rsidRPr="008502EB">
              <w:rPr>
                <w:b/>
                <w:sz w:val="20"/>
                <w:szCs w:val="20"/>
              </w:rPr>
              <w:t>2014</w:t>
            </w:r>
          </w:p>
        </w:tc>
        <w:tc>
          <w:tcPr>
            <w:tcW w:w="1077" w:type="dxa"/>
            <w:shd w:val="clear" w:color="auto" w:fill="D9D9D9" w:themeFill="background1" w:themeFillShade="D9"/>
            <w:vAlign w:val="center"/>
          </w:tcPr>
          <w:p w:rsidR="0091151B" w:rsidRPr="008502EB" w:rsidRDefault="0091151B" w:rsidP="00C613DE">
            <w:pPr>
              <w:spacing w:after="0" w:line="240" w:lineRule="auto"/>
              <w:jc w:val="center"/>
              <w:rPr>
                <w:b/>
                <w:sz w:val="20"/>
                <w:szCs w:val="20"/>
              </w:rPr>
            </w:pPr>
            <w:r w:rsidRPr="008502EB">
              <w:rPr>
                <w:b/>
                <w:sz w:val="20"/>
                <w:szCs w:val="20"/>
              </w:rPr>
              <w:t>2015</w:t>
            </w:r>
          </w:p>
        </w:tc>
        <w:tc>
          <w:tcPr>
            <w:tcW w:w="1077" w:type="dxa"/>
            <w:shd w:val="clear" w:color="auto" w:fill="D9D9D9" w:themeFill="background1" w:themeFillShade="D9"/>
            <w:vAlign w:val="center"/>
          </w:tcPr>
          <w:p w:rsidR="0091151B" w:rsidRPr="008502EB" w:rsidRDefault="0091151B" w:rsidP="00C613DE">
            <w:pPr>
              <w:spacing w:after="0" w:line="240" w:lineRule="auto"/>
              <w:jc w:val="center"/>
              <w:rPr>
                <w:b/>
                <w:sz w:val="20"/>
                <w:szCs w:val="20"/>
              </w:rPr>
            </w:pPr>
            <w:r w:rsidRPr="008502EB">
              <w:rPr>
                <w:b/>
                <w:sz w:val="20"/>
                <w:szCs w:val="20"/>
              </w:rPr>
              <w:t>2016</w:t>
            </w:r>
          </w:p>
        </w:tc>
        <w:tc>
          <w:tcPr>
            <w:tcW w:w="1078" w:type="dxa"/>
            <w:shd w:val="clear" w:color="auto" w:fill="D9D9D9" w:themeFill="background1" w:themeFillShade="D9"/>
            <w:vAlign w:val="center"/>
          </w:tcPr>
          <w:p w:rsidR="0091151B" w:rsidRPr="008502EB" w:rsidRDefault="0091151B" w:rsidP="00C613DE">
            <w:pPr>
              <w:spacing w:after="0" w:line="240" w:lineRule="auto"/>
              <w:jc w:val="center"/>
              <w:rPr>
                <w:b/>
                <w:sz w:val="20"/>
                <w:szCs w:val="20"/>
              </w:rPr>
            </w:pPr>
            <w:r w:rsidRPr="008502EB">
              <w:rPr>
                <w:b/>
                <w:sz w:val="20"/>
                <w:szCs w:val="20"/>
              </w:rPr>
              <w:t>State</w:t>
            </w:r>
            <w:r w:rsidR="008438F0">
              <w:rPr>
                <w:b/>
                <w:sz w:val="20"/>
                <w:szCs w:val="20"/>
              </w:rPr>
              <w:t xml:space="preserve"> (2016)</w:t>
            </w:r>
          </w:p>
        </w:tc>
        <w:tc>
          <w:tcPr>
            <w:tcW w:w="1077" w:type="dxa"/>
            <w:shd w:val="clear" w:color="auto" w:fill="D9D9D9" w:themeFill="background1" w:themeFillShade="D9"/>
            <w:vAlign w:val="center"/>
          </w:tcPr>
          <w:p w:rsidR="0091151B" w:rsidRPr="008502EB" w:rsidRDefault="0091151B" w:rsidP="00C613DE">
            <w:pPr>
              <w:spacing w:after="0" w:line="240" w:lineRule="auto"/>
              <w:jc w:val="center"/>
              <w:rPr>
                <w:b/>
                <w:sz w:val="20"/>
                <w:szCs w:val="20"/>
              </w:rPr>
            </w:pPr>
            <w:r w:rsidRPr="008502EB">
              <w:rPr>
                <w:b/>
                <w:sz w:val="20"/>
                <w:szCs w:val="20"/>
              </w:rPr>
              <w:t>4-Year Trend</w:t>
            </w:r>
          </w:p>
        </w:tc>
        <w:tc>
          <w:tcPr>
            <w:tcW w:w="1078" w:type="dxa"/>
            <w:shd w:val="clear" w:color="auto" w:fill="D9D9D9" w:themeFill="background1" w:themeFillShade="D9"/>
            <w:vAlign w:val="center"/>
          </w:tcPr>
          <w:p w:rsidR="0091151B" w:rsidRPr="008502EB" w:rsidRDefault="0091151B" w:rsidP="00C613DE">
            <w:pPr>
              <w:spacing w:after="0" w:line="240" w:lineRule="auto"/>
              <w:jc w:val="center"/>
              <w:rPr>
                <w:b/>
                <w:sz w:val="20"/>
                <w:szCs w:val="20"/>
              </w:rPr>
            </w:pPr>
            <w:r w:rsidRPr="008502EB">
              <w:rPr>
                <w:b/>
                <w:sz w:val="20"/>
                <w:szCs w:val="20"/>
              </w:rPr>
              <w:t>2-Year Trend</w:t>
            </w:r>
          </w:p>
        </w:tc>
      </w:tr>
      <w:tr w:rsidR="0091151B" w:rsidRPr="008502EB" w:rsidTr="0091151B">
        <w:tc>
          <w:tcPr>
            <w:tcW w:w="957" w:type="dxa"/>
            <w:vAlign w:val="center"/>
          </w:tcPr>
          <w:p w:rsidR="0091151B" w:rsidRPr="008502EB" w:rsidRDefault="0091151B" w:rsidP="00C613DE">
            <w:pPr>
              <w:spacing w:after="0" w:line="240" w:lineRule="auto"/>
              <w:jc w:val="center"/>
              <w:rPr>
                <w:sz w:val="20"/>
                <w:szCs w:val="20"/>
              </w:rPr>
            </w:pPr>
            <w:r w:rsidRPr="008502EB">
              <w:rPr>
                <w:sz w:val="20"/>
                <w:szCs w:val="20"/>
              </w:rPr>
              <w:t>5</w:t>
            </w:r>
          </w:p>
        </w:tc>
        <w:tc>
          <w:tcPr>
            <w:tcW w:w="1077" w:type="dxa"/>
            <w:vAlign w:val="bottom"/>
          </w:tcPr>
          <w:p w:rsidR="0091151B" w:rsidRPr="008502EB" w:rsidRDefault="0091151B" w:rsidP="00C613DE">
            <w:pPr>
              <w:spacing w:after="0" w:line="240" w:lineRule="auto"/>
              <w:jc w:val="center"/>
              <w:rPr>
                <w:rFonts w:ascii="Calibri" w:hAnsi="Calibri"/>
                <w:sz w:val="20"/>
                <w:szCs w:val="20"/>
              </w:rPr>
            </w:pPr>
            <w:r w:rsidRPr="008502EB">
              <w:rPr>
                <w:rFonts w:ascii="Calibri" w:hAnsi="Calibri"/>
                <w:sz w:val="20"/>
                <w:szCs w:val="20"/>
              </w:rPr>
              <w:t>1,787</w:t>
            </w:r>
          </w:p>
        </w:tc>
        <w:tc>
          <w:tcPr>
            <w:tcW w:w="1077" w:type="dxa"/>
            <w:vAlign w:val="bottom"/>
          </w:tcPr>
          <w:p w:rsidR="0091151B" w:rsidRPr="008502EB" w:rsidRDefault="0091151B" w:rsidP="00C613DE">
            <w:pPr>
              <w:spacing w:after="0" w:line="240" w:lineRule="auto"/>
              <w:jc w:val="center"/>
              <w:rPr>
                <w:rFonts w:ascii="Calibri" w:hAnsi="Calibri"/>
                <w:sz w:val="20"/>
                <w:szCs w:val="20"/>
              </w:rPr>
            </w:pPr>
            <w:r w:rsidRPr="008502EB">
              <w:rPr>
                <w:rFonts w:ascii="Calibri" w:hAnsi="Calibri"/>
                <w:sz w:val="20"/>
                <w:szCs w:val="20"/>
              </w:rPr>
              <w:t>29%</w:t>
            </w:r>
          </w:p>
        </w:tc>
        <w:tc>
          <w:tcPr>
            <w:tcW w:w="1078" w:type="dxa"/>
            <w:vAlign w:val="bottom"/>
          </w:tcPr>
          <w:p w:rsidR="0091151B" w:rsidRPr="008502EB" w:rsidRDefault="0091151B" w:rsidP="00C613DE">
            <w:pPr>
              <w:spacing w:after="0" w:line="240" w:lineRule="auto"/>
              <w:jc w:val="center"/>
              <w:rPr>
                <w:rFonts w:ascii="Calibri" w:hAnsi="Calibri"/>
                <w:sz w:val="20"/>
                <w:szCs w:val="20"/>
              </w:rPr>
            </w:pPr>
            <w:r w:rsidRPr="008502EB">
              <w:rPr>
                <w:rFonts w:ascii="Calibri" w:hAnsi="Calibri"/>
                <w:sz w:val="20"/>
                <w:szCs w:val="20"/>
              </w:rPr>
              <w:t>34%</w:t>
            </w:r>
          </w:p>
        </w:tc>
        <w:tc>
          <w:tcPr>
            <w:tcW w:w="1077" w:type="dxa"/>
            <w:vAlign w:val="bottom"/>
          </w:tcPr>
          <w:p w:rsidR="0091151B" w:rsidRPr="008502EB" w:rsidRDefault="0091151B" w:rsidP="00C613DE">
            <w:pPr>
              <w:spacing w:after="0" w:line="240" w:lineRule="auto"/>
              <w:jc w:val="center"/>
              <w:rPr>
                <w:rFonts w:ascii="Calibri" w:hAnsi="Calibri"/>
                <w:sz w:val="20"/>
                <w:szCs w:val="20"/>
              </w:rPr>
            </w:pPr>
            <w:r w:rsidRPr="008502EB">
              <w:rPr>
                <w:rFonts w:ascii="Calibri" w:hAnsi="Calibri"/>
                <w:sz w:val="20"/>
                <w:szCs w:val="20"/>
              </w:rPr>
              <w:t>32%</w:t>
            </w:r>
          </w:p>
        </w:tc>
        <w:tc>
          <w:tcPr>
            <w:tcW w:w="1077" w:type="dxa"/>
            <w:vAlign w:val="bottom"/>
          </w:tcPr>
          <w:p w:rsidR="0091151B" w:rsidRPr="008502EB" w:rsidRDefault="0091151B" w:rsidP="00C613DE">
            <w:pPr>
              <w:spacing w:after="0" w:line="240" w:lineRule="auto"/>
              <w:jc w:val="center"/>
              <w:rPr>
                <w:rFonts w:ascii="Calibri" w:hAnsi="Calibri"/>
                <w:sz w:val="20"/>
                <w:szCs w:val="20"/>
              </w:rPr>
            </w:pPr>
            <w:r w:rsidRPr="008502EB">
              <w:rPr>
                <w:rFonts w:ascii="Calibri" w:hAnsi="Calibri"/>
                <w:sz w:val="20"/>
                <w:szCs w:val="20"/>
              </w:rPr>
              <w:t>29%</w:t>
            </w:r>
          </w:p>
        </w:tc>
        <w:tc>
          <w:tcPr>
            <w:tcW w:w="1078" w:type="dxa"/>
            <w:vAlign w:val="bottom"/>
          </w:tcPr>
          <w:p w:rsidR="0091151B" w:rsidRPr="008502EB" w:rsidRDefault="0091151B" w:rsidP="00C613DE">
            <w:pPr>
              <w:spacing w:after="0" w:line="240" w:lineRule="auto"/>
              <w:jc w:val="center"/>
              <w:rPr>
                <w:rFonts w:ascii="Calibri" w:hAnsi="Calibri"/>
                <w:sz w:val="20"/>
                <w:szCs w:val="20"/>
              </w:rPr>
            </w:pPr>
            <w:r w:rsidRPr="008502EB">
              <w:rPr>
                <w:rFonts w:ascii="Calibri" w:hAnsi="Calibri"/>
                <w:sz w:val="20"/>
                <w:szCs w:val="20"/>
              </w:rPr>
              <w:t>47%</w:t>
            </w:r>
          </w:p>
        </w:tc>
        <w:tc>
          <w:tcPr>
            <w:tcW w:w="1077" w:type="dxa"/>
            <w:vAlign w:val="bottom"/>
          </w:tcPr>
          <w:p w:rsidR="0091151B" w:rsidRPr="008502EB" w:rsidRDefault="0091151B" w:rsidP="00C613DE">
            <w:pPr>
              <w:spacing w:after="0" w:line="240" w:lineRule="auto"/>
              <w:jc w:val="center"/>
              <w:rPr>
                <w:rFonts w:ascii="Calibri" w:hAnsi="Calibri"/>
                <w:sz w:val="20"/>
                <w:szCs w:val="20"/>
              </w:rPr>
            </w:pPr>
            <w:r w:rsidRPr="008502EB">
              <w:rPr>
                <w:rFonts w:ascii="Calibri" w:hAnsi="Calibri"/>
                <w:sz w:val="20"/>
                <w:szCs w:val="20"/>
              </w:rPr>
              <w:t>0</w:t>
            </w:r>
          </w:p>
        </w:tc>
        <w:tc>
          <w:tcPr>
            <w:tcW w:w="1078" w:type="dxa"/>
            <w:vAlign w:val="bottom"/>
          </w:tcPr>
          <w:p w:rsidR="0091151B" w:rsidRPr="008502EB" w:rsidRDefault="0091151B" w:rsidP="00C613DE">
            <w:pPr>
              <w:spacing w:after="0" w:line="240" w:lineRule="auto"/>
              <w:jc w:val="center"/>
              <w:rPr>
                <w:rFonts w:ascii="Calibri" w:hAnsi="Calibri"/>
                <w:sz w:val="20"/>
                <w:szCs w:val="20"/>
              </w:rPr>
            </w:pPr>
            <w:r w:rsidRPr="008502EB">
              <w:rPr>
                <w:rFonts w:ascii="Calibri" w:hAnsi="Calibri"/>
                <w:sz w:val="20"/>
                <w:szCs w:val="20"/>
              </w:rPr>
              <w:t>-3</w:t>
            </w:r>
          </w:p>
        </w:tc>
      </w:tr>
      <w:tr w:rsidR="0091151B" w:rsidRPr="008502EB" w:rsidTr="0091151B">
        <w:tc>
          <w:tcPr>
            <w:tcW w:w="957" w:type="dxa"/>
            <w:shd w:val="clear" w:color="auto" w:fill="D9D9D9" w:themeFill="background1" w:themeFillShade="D9"/>
            <w:vAlign w:val="center"/>
          </w:tcPr>
          <w:p w:rsidR="0091151B" w:rsidRPr="008502EB" w:rsidRDefault="0091151B" w:rsidP="00C613DE">
            <w:pPr>
              <w:spacing w:after="0" w:line="240" w:lineRule="auto"/>
              <w:jc w:val="center"/>
              <w:rPr>
                <w:sz w:val="20"/>
                <w:szCs w:val="20"/>
              </w:rPr>
            </w:pPr>
            <w:r w:rsidRPr="008502EB">
              <w:rPr>
                <w:sz w:val="20"/>
                <w:szCs w:val="20"/>
              </w:rPr>
              <w:t>8</w:t>
            </w:r>
          </w:p>
        </w:tc>
        <w:tc>
          <w:tcPr>
            <w:tcW w:w="1077" w:type="dxa"/>
            <w:shd w:val="clear" w:color="auto" w:fill="D9D9D9" w:themeFill="background1" w:themeFillShade="D9"/>
            <w:vAlign w:val="bottom"/>
          </w:tcPr>
          <w:p w:rsidR="0091151B" w:rsidRPr="008502EB" w:rsidRDefault="0091151B" w:rsidP="00C613DE">
            <w:pPr>
              <w:spacing w:after="0" w:line="240" w:lineRule="auto"/>
              <w:jc w:val="center"/>
              <w:rPr>
                <w:rFonts w:ascii="Calibri" w:hAnsi="Calibri"/>
                <w:sz w:val="20"/>
                <w:szCs w:val="20"/>
              </w:rPr>
            </w:pPr>
            <w:r w:rsidRPr="008502EB">
              <w:rPr>
                <w:rFonts w:ascii="Calibri" w:hAnsi="Calibri"/>
                <w:sz w:val="20"/>
                <w:szCs w:val="20"/>
              </w:rPr>
              <w:t>1,624</w:t>
            </w:r>
          </w:p>
        </w:tc>
        <w:tc>
          <w:tcPr>
            <w:tcW w:w="1077" w:type="dxa"/>
            <w:shd w:val="clear" w:color="auto" w:fill="D9D9D9" w:themeFill="background1" w:themeFillShade="D9"/>
            <w:vAlign w:val="bottom"/>
          </w:tcPr>
          <w:p w:rsidR="0091151B" w:rsidRPr="008502EB" w:rsidRDefault="0091151B" w:rsidP="00C613DE">
            <w:pPr>
              <w:spacing w:after="0" w:line="240" w:lineRule="auto"/>
              <w:jc w:val="center"/>
              <w:rPr>
                <w:rFonts w:ascii="Calibri" w:hAnsi="Calibri"/>
                <w:sz w:val="20"/>
                <w:szCs w:val="20"/>
              </w:rPr>
            </w:pPr>
            <w:r w:rsidRPr="008502EB">
              <w:rPr>
                <w:rFonts w:ascii="Calibri" w:hAnsi="Calibri"/>
                <w:sz w:val="20"/>
                <w:szCs w:val="20"/>
              </w:rPr>
              <w:t>21%</w:t>
            </w:r>
          </w:p>
        </w:tc>
        <w:tc>
          <w:tcPr>
            <w:tcW w:w="1078" w:type="dxa"/>
            <w:shd w:val="clear" w:color="auto" w:fill="D9D9D9" w:themeFill="background1" w:themeFillShade="D9"/>
            <w:vAlign w:val="bottom"/>
          </w:tcPr>
          <w:p w:rsidR="0091151B" w:rsidRPr="008502EB" w:rsidRDefault="0091151B" w:rsidP="00C613DE">
            <w:pPr>
              <w:spacing w:after="0" w:line="240" w:lineRule="auto"/>
              <w:jc w:val="center"/>
              <w:rPr>
                <w:rFonts w:ascii="Calibri" w:hAnsi="Calibri"/>
                <w:sz w:val="20"/>
                <w:szCs w:val="20"/>
              </w:rPr>
            </w:pPr>
            <w:r w:rsidRPr="008502EB">
              <w:rPr>
                <w:rFonts w:ascii="Calibri" w:hAnsi="Calibri"/>
                <w:sz w:val="20"/>
                <w:szCs w:val="20"/>
              </w:rPr>
              <w:t>23%</w:t>
            </w:r>
          </w:p>
        </w:tc>
        <w:tc>
          <w:tcPr>
            <w:tcW w:w="1077" w:type="dxa"/>
            <w:shd w:val="clear" w:color="auto" w:fill="D9D9D9" w:themeFill="background1" w:themeFillShade="D9"/>
            <w:vAlign w:val="bottom"/>
          </w:tcPr>
          <w:p w:rsidR="0091151B" w:rsidRPr="008502EB" w:rsidRDefault="0091151B" w:rsidP="00C613DE">
            <w:pPr>
              <w:spacing w:after="0" w:line="240" w:lineRule="auto"/>
              <w:jc w:val="center"/>
              <w:rPr>
                <w:rFonts w:ascii="Calibri" w:hAnsi="Calibri"/>
                <w:sz w:val="20"/>
                <w:szCs w:val="20"/>
              </w:rPr>
            </w:pPr>
            <w:r w:rsidRPr="008502EB">
              <w:rPr>
                <w:rFonts w:ascii="Calibri" w:hAnsi="Calibri"/>
                <w:sz w:val="20"/>
                <w:szCs w:val="20"/>
              </w:rPr>
              <w:t>20%</w:t>
            </w:r>
          </w:p>
        </w:tc>
        <w:tc>
          <w:tcPr>
            <w:tcW w:w="1077" w:type="dxa"/>
            <w:shd w:val="clear" w:color="auto" w:fill="D9D9D9" w:themeFill="background1" w:themeFillShade="D9"/>
            <w:vAlign w:val="bottom"/>
          </w:tcPr>
          <w:p w:rsidR="0091151B" w:rsidRPr="008502EB" w:rsidRDefault="0091151B" w:rsidP="00C613DE">
            <w:pPr>
              <w:spacing w:after="0" w:line="240" w:lineRule="auto"/>
              <w:jc w:val="center"/>
              <w:rPr>
                <w:rFonts w:ascii="Calibri" w:hAnsi="Calibri"/>
                <w:sz w:val="20"/>
                <w:szCs w:val="20"/>
              </w:rPr>
            </w:pPr>
            <w:r w:rsidRPr="008502EB">
              <w:rPr>
                <w:rFonts w:ascii="Calibri" w:hAnsi="Calibri"/>
                <w:sz w:val="20"/>
                <w:szCs w:val="20"/>
              </w:rPr>
              <w:t>20%</w:t>
            </w:r>
          </w:p>
        </w:tc>
        <w:tc>
          <w:tcPr>
            <w:tcW w:w="1078" w:type="dxa"/>
            <w:shd w:val="clear" w:color="auto" w:fill="D9D9D9" w:themeFill="background1" w:themeFillShade="D9"/>
            <w:vAlign w:val="bottom"/>
          </w:tcPr>
          <w:p w:rsidR="0091151B" w:rsidRPr="008502EB" w:rsidRDefault="0091151B" w:rsidP="00C613DE">
            <w:pPr>
              <w:spacing w:after="0" w:line="240" w:lineRule="auto"/>
              <w:jc w:val="center"/>
              <w:rPr>
                <w:rFonts w:ascii="Calibri" w:hAnsi="Calibri"/>
                <w:sz w:val="20"/>
                <w:szCs w:val="20"/>
              </w:rPr>
            </w:pPr>
            <w:r w:rsidRPr="008502EB">
              <w:rPr>
                <w:rFonts w:ascii="Calibri" w:hAnsi="Calibri"/>
                <w:sz w:val="20"/>
                <w:szCs w:val="20"/>
              </w:rPr>
              <w:t>41%</w:t>
            </w:r>
          </w:p>
        </w:tc>
        <w:tc>
          <w:tcPr>
            <w:tcW w:w="1077" w:type="dxa"/>
            <w:shd w:val="clear" w:color="auto" w:fill="D9D9D9" w:themeFill="background1" w:themeFillShade="D9"/>
            <w:vAlign w:val="bottom"/>
          </w:tcPr>
          <w:p w:rsidR="0091151B" w:rsidRPr="008502EB" w:rsidRDefault="0091151B" w:rsidP="00C613DE">
            <w:pPr>
              <w:spacing w:after="0" w:line="240" w:lineRule="auto"/>
              <w:jc w:val="center"/>
              <w:rPr>
                <w:rFonts w:ascii="Calibri" w:hAnsi="Calibri"/>
                <w:sz w:val="20"/>
                <w:szCs w:val="20"/>
              </w:rPr>
            </w:pPr>
            <w:r w:rsidRPr="008502EB">
              <w:rPr>
                <w:rFonts w:ascii="Calibri" w:hAnsi="Calibri"/>
                <w:sz w:val="20"/>
                <w:szCs w:val="20"/>
              </w:rPr>
              <w:t>-1</w:t>
            </w:r>
          </w:p>
        </w:tc>
        <w:tc>
          <w:tcPr>
            <w:tcW w:w="1078" w:type="dxa"/>
            <w:shd w:val="clear" w:color="auto" w:fill="D9D9D9" w:themeFill="background1" w:themeFillShade="D9"/>
            <w:vAlign w:val="bottom"/>
          </w:tcPr>
          <w:p w:rsidR="0091151B" w:rsidRPr="008502EB" w:rsidRDefault="0091151B" w:rsidP="00C613DE">
            <w:pPr>
              <w:spacing w:after="0" w:line="240" w:lineRule="auto"/>
              <w:jc w:val="center"/>
              <w:rPr>
                <w:rFonts w:ascii="Calibri" w:hAnsi="Calibri"/>
                <w:sz w:val="20"/>
                <w:szCs w:val="20"/>
              </w:rPr>
            </w:pPr>
            <w:r w:rsidRPr="008502EB">
              <w:rPr>
                <w:rFonts w:ascii="Calibri" w:hAnsi="Calibri"/>
                <w:sz w:val="20"/>
                <w:szCs w:val="20"/>
              </w:rPr>
              <w:t>0</w:t>
            </w:r>
          </w:p>
        </w:tc>
      </w:tr>
      <w:tr w:rsidR="0091151B" w:rsidRPr="008502EB" w:rsidTr="0091151B">
        <w:tc>
          <w:tcPr>
            <w:tcW w:w="957" w:type="dxa"/>
            <w:vAlign w:val="center"/>
          </w:tcPr>
          <w:p w:rsidR="0091151B" w:rsidRPr="008502EB" w:rsidRDefault="0091151B" w:rsidP="00C613DE">
            <w:pPr>
              <w:spacing w:after="0" w:line="240" w:lineRule="auto"/>
              <w:jc w:val="center"/>
              <w:rPr>
                <w:sz w:val="20"/>
                <w:szCs w:val="20"/>
              </w:rPr>
            </w:pPr>
            <w:r w:rsidRPr="008502EB">
              <w:rPr>
                <w:sz w:val="20"/>
                <w:szCs w:val="20"/>
              </w:rPr>
              <w:t>10</w:t>
            </w:r>
          </w:p>
        </w:tc>
        <w:tc>
          <w:tcPr>
            <w:tcW w:w="1077" w:type="dxa"/>
            <w:vAlign w:val="bottom"/>
          </w:tcPr>
          <w:p w:rsidR="0091151B" w:rsidRPr="008502EB" w:rsidRDefault="0091151B" w:rsidP="00C613DE">
            <w:pPr>
              <w:spacing w:after="0" w:line="240" w:lineRule="auto"/>
              <w:jc w:val="center"/>
              <w:rPr>
                <w:rFonts w:ascii="Calibri" w:hAnsi="Calibri"/>
                <w:sz w:val="20"/>
                <w:szCs w:val="20"/>
              </w:rPr>
            </w:pPr>
            <w:r w:rsidRPr="008502EB">
              <w:rPr>
                <w:rFonts w:ascii="Calibri" w:hAnsi="Calibri"/>
                <w:sz w:val="20"/>
                <w:szCs w:val="20"/>
              </w:rPr>
              <w:t>1,642</w:t>
            </w:r>
          </w:p>
        </w:tc>
        <w:tc>
          <w:tcPr>
            <w:tcW w:w="1077" w:type="dxa"/>
            <w:vAlign w:val="bottom"/>
          </w:tcPr>
          <w:p w:rsidR="0091151B" w:rsidRPr="008502EB" w:rsidRDefault="0091151B" w:rsidP="00C613DE">
            <w:pPr>
              <w:spacing w:after="0" w:line="240" w:lineRule="auto"/>
              <w:jc w:val="center"/>
              <w:rPr>
                <w:rFonts w:ascii="Calibri" w:hAnsi="Calibri"/>
                <w:sz w:val="20"/>
                <w:szCs w:val="20"/>
              </w:rPr>
            </w:pPr>
            <w:r w:rsidRPr="008502EB">
              <w:rPr>
                <w:rFonts w:ascii="Calibri" w:hAnsi="Calibri"/>
                <w:sz w:val="20"/>
                <w:szCs w:val="20"/>
              </w:rPr>
              <w:t>46%</w:t>
            </w:r>
          </w:p>
        </w:tc>
        <w:tc>
          <w:tcPr>
            <w:tcW w:w="1078" w:type="dxa"/>
            <w:vAlign w:val="bottom"/>
          </w:tcPr>
          <w:p w:rsidR="0091151B" w:rsidRPr="008502EB" w:rsidRDefault="0091151B" w:rsidP="00C613DE">
            <w:pPr>
              <w:spacing w:after="0" w:line="240" w:lineRule="auto"/>
              <w:jc w:val="center"/>
              <w:rPr>
                <w:rFonts w:ascii="Calibri" w:hAnsi="Calibri"/>
                <w:sz w:val="20"/>
                <w:szCs w:val="20"/>
              </w:rPr>
            </w:pPr>
            <w:r w:rsidRPr="008502EB">
              <w:rPr>
                <w:rFonts w:ascii="Calibri" w:hAnsi="Calibri"/>
                <w:sz w:val="20"/>
                <w:szCs w:val="20"/>
              </w:rPr>
              <w:t>46%</w:t>
            </w:r>
          </w:p>
        </w:tc>
        <w:tc>
          <w:tcPr>
            <w:tcW w:w="1077" w:type="dxa"/>
            <w:vAlign w:val="bottom"/>
          </w:tcPr>
          <w:p w:rsidR="0091151B" w:rsidRPr="008502EB" w:rsidRDefault="0091151B" w:rsidP="00C613DE">
            <w:pPr>
              <w:spacing w:after="0" w:line="240" w:lineRule="auto"/>
              <w:jc w:val="center"/>
              <w:rPr>
                <w:rFonts w:ascii="Calibri" w:hAnsi="Calibri"/>
                <w:sz w:val="20"/>
                <w:szCs w:val="20"/>
              </w:rPr>
            </w:pPr>
            <w:r w:rsidRPr="008502EB">
              <w:rPr>
                <w:rFonts w:ascii="Calibri" w:hAnsi="Calibri"/>
                <w:sz w:val="20"/>
                <w:szCs w:val="20"/>
              </w:rPr>
              <w:t>49%</w:t>
            </w:r>
          </w:p>
        </w:tc>
        <w:tc>
          <w:tcPr>
            <w:tcW w:w="1077" w:type="dxa"/>
            <w:vAlign w:val="bottom"/>
          </w:tcPr>
          <w:p w:rsidR="0091151B" w:rsidRPr="008502EB" w:rsidRDefault="0091151B" w:rsidP="00C613DE">
            <w:pPr>
              <w:spacing w:after="0" w:line="240" w:lineRule="auto"/>
              <w:jc w:val="center"/>
              <w:rPr>
                <w:rFonts w:ascii="Calibri" w:hAnsi="Calibri"/>
                <w:sz w:val="20"/>
                <w:szCs w:val="20"/>
              </w:rPr>
            </w:pPr>
            <w:r w:rsidRPr="008502EB">
              <w:rPr>
                <w:rFonts w:ascii="Calibri" w:hAnsi="Calibri"/>
                <w:sz w:val="20"/>
                <w:szCs w:val="20"/>
              </w:rPr>
              <w:t>51%</w:t>
            </w:r>
          </w:p>
        </w:tc>
        <w:tc>
          <w:tcPr>
            <w:tcW w:w="1078" w:type="dxa"/>
            <w:vAlign w:val="bottom"/>
          </w:tcPr>
          <w:p w:rsidR="0091151B" w:rsidRPr="008502EB" w:rsidRDefault="0091151B" w:rsidP="00C613DE">
            <w:pPr>
              <w:spacing w:after="0" w:line="240" w:lineRule="auto"/>
              <w:jc w:val="center"/>
              <w:rPr>
                <w:rFonts w:ascii="Calibri" w:hAnsi="Calibri"/>
                <w:sz w:val="20"/>
                <w:szCs w:val="20"/>
              </w:rPr>
            </w:pPr>
            <w:r w:rsidRPr="008502EB">
              <w:rPr>
                <w:rFonts w:ascii="Calibri" w:hAnsi="Calibri"/>
                <w:sz w:val="20"/>
                <w:szCs w:val="20"/>
              </w:rPr>
              <w:t>73%</w:t>
            </w:r>
          </w:p>
        </w:tc>
        <w:tc>
          <w:tcPr>
            <w:tcW w:w="1077" w:type="dxa"/>
            <w:vAlign w:val="bottom"/>
          </w:tcPr>
          <w:p w:rsidR="0091151B" w:rsidRPr="008502EB" w:rsidRDefault="0091151B" w:rsidP="00C613DE">
            <w:pPr>
              <w:spacing w:after="0" w:line="240" w:lineRule="auto"/>
              <w:jc w:val="center"/>
              <w:rPr>
                <w:rFonts w:ascii="Calibri" w:hAnsi="Calibri"/>
                <w:sz w:val="20"/>
                <w:szCs w:val="20"/>
              </w:rPr>
            </w:pPr>
            <w:r w:rsidRPr="008502EB">
              <w:rPr>
                <w:rFonts w:ascii="Calibri" w:hAnsi="Calibri"/>
                <w:sz w:val="20"/>
                <w:szCs w:val="20"/>
              </w:rPr>
              <w:t>5</w:t>
            </w:r>
          </w:p>
        </w:tc>
        <w:tc>
          <w:tcPr>
            <w:tcW w:w="1078" w:type="dxa"/>
            <w:vAlign w:val="bottom"/>
          </w:tcPr>
          <w:p w:rsidR="0091151B" w:rsidRPr="008502EB" w:rsidRDefault="0091151B" w:rsidP="00C613DE">
            <w:pPr>
              <w:spacing w:after="0" w:line="240" w:lineRule="auto"/>
              <w:jc w:val="center"/>
              <w:rPr>
                <w:rFonts w:ascii="Calibri" w:hAnsi="Calibri"/>
                <w:sz w:val="20"/>
                <w:szCs w:val="20"/>
              </w:rPr>
            </w:pPr>
            <w:r w:rsidRPr="008502EB">
              <w:rPr>
                <w:rFonts w:ascii="Calibri" w:hAnsi="Calibri"/>
                <w:sz w:val="20"/>
                <w:szCs w:val="20"/>
              </w:rPr>
              <w:t>2</w:t>
            </w:r>
          </w:p>
        </w:tc>
      </w:tr>
      <w:tr w:rsidR="0091151B" w:rsidRPr="008502EB" w:rsidTr="0091151B">
        <w:tc>
          <w:tcPr>
            <w:tcW w:w="957" w:type="dxa"/>
            <w:shd w:val="clear" w:color="auto" w:fill="D9D9D9" w:themeFill="background1" w:themeFillShade="D9"/>
            <w:vAlign w:val="center"/>
          </w:tcPr>
          <w:p w:rsidR="0091151B" w:rsidRPr="008502EB" w:rsidRDefault="0091151B" w:rsidP="00C613DE">
            <w:pPr>
              <w:spacing w:after="0" w:line="240" w:lineRule="auto"/>
              <w:jc w:val="center"/>
              <w:rPr>
                <w:sz w:val="20"/>
                <w:szCs w:val="20"/>
              </w:rPr>
            </w:pPr>
            <w:r w:rsidRPr="008502EB">
              <w:rPr>
                <w:sz w:val="20"/>
                <w:szCs w:val="20"/>
              </w:rPr>
              <w:t>All</w:t>
            </w:r>
          </w:p>
        </w:tc>
        <w:tc>
          <w:tcPr>
            <w:tcW w:w="1077" w:type="dxa"/>
            <w:shd w:val="clear" w:color="auto" w:fill="D9D9D9" w:themeFill="background1" w:themeFillShade="D9"/>
            <w:vAlign w:val="bottom"/>
          </w:tcPr>
          <w:p w:rsidR="0091151B" w:rsidRPr="008502EB" w:rsidRDefault="0091151B" w:rsidP="00C613DE">
            <w:pPr>
              <w:spacing w:after="0" w:line="240" w:lineRule="auto"/>
              <w:jc w:val="center"/>
              <w:rPr>
                <w:rFonts w:ascii="Calibri" w:hAnsi="Calibri"/>
                <w:sz w:val="20"/>
                <w:szCs w:val="20"/>
              </w:rPr>
            </w:pPr>
            <w:r w:rsidRPr="008502EB">
              <w:rPr>
                <w:rFonts w:ascii="Calibri" w:hAnsi="Calibri"/>
                <w:sz w:val="20"/>
                <w:szCs w:val="20"/>
              </w:rPr>
              <w:t>5,053</w:t>
            </w:r>
          </w:p>
        </w:tc>
        <w:tc>
          <w:tcPr>
            <w:tcW w:w="1077" w:type="dxa"/>
            <w:shd w:val="clear" w:color="auto" w:fill="D9D9D9" w:themeFill="background1" w:themeFillShade="D9"/>
            <w:vAlign w:val="bottom"/>
          </w:tcPr>
          <w:p w:rsidR="0091151B" w:rsidRPr="008502EB" w:rsidRDefault="0091151B" w:rsidP="00C613DE">
            <w:pPr>
              <w:spacing w:after="0" w:line="240" w:lineRule="auto"/>
              <w:jc w:val="center"/>
              <w:rPr>
                <w:rFonts w:ascii="Calibri" w:hAnsi="Calibri"/>
                <w:sz w:val="20"/>
                <w:szCs w:val="20"/>
              </w:rPr>
            </w:pPr>
            <w:r w:rsidRPr="008502EB">
              <w:rPr>
                <w:rFonts w:ascii="Calibri" w:hAnsi="Calibri"/>
                <w:sz w:val="20"/>
                <w:szCs w:val="20"/>
              </w:rPr>
              <w:t>32%</w:t>
            </w:r>
          </w:p>
        </w:tc>
        <w:tc>
          <w:tcPr>
            <w:tcW w:w="1078" w:type="dxa"/>
            <w:shd w:val="clear" w:color="auto" w:fill="D9D9D9" w:themeFill="background1" w:themeFillShade="D9"/>
            <w:vAlign w:val="bottom"/>
          </w:tcPr>
          <w:p w:rsidR="0091151B" w:rsidRPr="008502EB" w:rsidRDefault="0091151B" w:rsidP="00C613DE">
            <w:pPr>
              <w:spacing w:after="0" w:line="240" w:lineRule="auto"/>
              <w:jc w:val="center"/>
              <w:rPr>
                <w:rFonts w:ascii="Calibri" w:hAnsi="Calibri"/>
                <w:sz w:val="20"/>
                <w:szCs w:val="20"/>
              </w:rPr>
            </w:pPr>
            <w:r w:rsidRPr="008502EB">
              <w:rPr>
                <w:rFonts w:ascii="Calibri" w:hAnsi="Calibri"/>
                <w:sz w:val="20"/>
                <w:szCs w:val="20"/>
              </w:rPr>
              <w:t>34%</w:t>
            </w:r>
          </w:p>
        </w:tc>
        <w:tc>
          <w:tcPr>
            <w:tcW w:w="1077" w:type="dxa"/>
            <w:shd w:val="clear" w:color="auto" w:fill="D9D9D9" w:themeFill="background1" w:themeFillShade="D9"/>
            <w:vAlign w:val="bottom"/>
          </w:tcPr>
          <w:p w:rsidR="0091151B" w:rsidRPr="008502EB" w:rsidRDefault="0091151B" w:rsidP="00C613DE">
            <w:pPr>
              <w:spacing w:after="0" w:line="240" w:lineRule="auto"/>
              <w:jc w:val="center"/>
              <w:rPr>
                <w:rFonts w:ascii="Calibri" w:hAnsi="Calibri"/>
                <w:sz w:val="20"/>
                <w:szCs w:val="20"/>
              </w:rPr>
            </w:pPr>
            <w:r w:rsidRPr="008502EB">
              <w:rPr>
                <w:rFonts w:ascii="Calibri" w:hAnsi="Calibri"/>
                <w:sz w:val="20"/>
                <w:szCs w:val="20"/>
              </w:rPr>
              <w:t>33%</w:t>
            </w:r>
          </w:p>
        </w:tc>
        <w:tc>
          <w:tcPr>
            <w:tcW w:w="1077" w:type="dxa"/>
            <w:shd w:val="clear" w:color="auto" w:fill="D9D9D9" w:themeFill="background1" w:themeFillShade="D9"/>
            <w:vAlign w:val="bottom"/>
          </w:tcPr>
          <w:p w:rsidR="0091151B" w:rsidRPr="008502EB" w:rsidRDefault="0091151B" w:rsidP="00C613DE">
            <w:pPr>
              <w:spacing w:after="0" w:line="240" w:lineRule="auto"/>
              <w:jc w:val="center"/>
              <w:rPr>
                <w:rFonts w:ascii="Calibri" w:hAnsi="Calibri"/>
                <w:sz w:val="20"/>
                <w:szCs w:val="20"/>
              </w:rPr>
            </w:pPr>
            <w:r w:rsidRPr="008502EB">
              <w:rPr>
                <w:rFonts w:ascii="Calibri" w:hAnsi="Calibri"/>
                <w:sz w:val="20"/>
                <w:szCs w:val="20"/>
              </w:rPr>
              <w:t>33%</w:t>
            </w:r>
          </w:p>
        </w:tc>
        <w:tc>
          <w:tcPr>
            <w:tcW w:w="1078" w:type="dxa"/>
            <w:shd w:val="clear" w:color="auto" w:fill="D9D9D9" w:themeFill="background1" w:themeFillShade="D9"/>
            <w:vAlign w:val="bottom"/>
          </w:tcPr>
          <w:p w:rsidR="0091151B" w:rsidRPr="008502EB" w:rsidRDefault="0091151B" w:rsidP="00C613DE">
            <w:pPr>
              <w:spacing w:after="0" w:line="240" w:lineRule="auto"/>
              <w:jc w:val="center"/>
              <w:rPr>
                <w:rFonts w:ascii="Calibri" w:hAnsi="Calibri"/>
                <w:sz w:val="20"/>
                <w:szCs w:val="20"/>
              </w:rPr>
            </w:pPr>
            <w:r w:rsidRPr="008502EB">
              <w:rPr>
                <w:rFonts w:ascii="Calibri" w:hAnsi="Calibri"/>
                <w:sz w:val="20"/>
                <w:szCs w:val="20"/>
              </w:rPr>
              <w:t>54%</w:t>
            </w:r>
          </w:p>
        </w:tc>
        <w:tc>
          <w:tcPr>
            <w:tcW w:w="1077" w:type="dxa"/>
            <w:shd w:val="clear" w:color="auto" w:fill="D9D9D9" w:themeFill="background1" w:themeFillShade="D9"/>
            <w:vAlign w:val="bottom"/>
          </w:tcPr>
          <w:p w:rsidR="0091151B" w:rsidRPr="008502EB" w:rsidRDefault="0091151B" w:rsidP="00C613DE">
            <w:pPr>
              <w:spacing w:after="0" w:line="240" w:lineRule="auto"/>
              <w:jc w:val="center"/>
              <w:rPr>
                <w:rFonts w:ascii="Calibri" w:hAnsi="Calibri"/>
                <w:sz w:val="20"/>
                <w:szCs w:val="20"/>
              </w:rPr>
            </w:pPr>
            <w:r w:rsidRPr="008502EB">
              <w:rPr>
                <w:rFonts w:ascii="Calibri" w:hAnsi="Calibri"/>
                <w:sz w:val="20"/>
                <w:szCs w:val="20"/>
              </w:rPr>
              <w:t>1</w:t>
            </w:r>
          </w:p>
        </w:tc>
        <w:tc>
          <w:tcPr>
            <w:tcW w:w="1078" w:type="dxa"/>
            <w:shd w:val="clear" w:color="auto" w:fill="D9D9D9" w:themeFill="background1" w:themeFillShade="D9"/>
            <w:vAlign w:val="bottom"/>
          </w:tcPr>
          <w:p w:rsidR="0091151B" w:rsidRPr="008502EB" w:rsidRDefault="0091151B" w:rsidP="00C613DE">
            <w:pPr>
              <w:spacing w:after="0" w:line="240" w:lineRule="auto"/>
              <w:jc w:val="center"/>
              <w:rPr>
                <w:rFonts w:ascii="Calibri" w:hAnsi="Calibri"/>
                <w:sz w:val="20"/>
                <w:szCs w:val="20"/>
              </w:rPr>
            </w:pPr>
            <w:r w:rsidRPr="008502EB">
              <w:rPr>
                <w:rFonts w:ascii="Calibri" w:hAnsi="Calibri"/>
                <w:sz w:val="20"/>
                <w:szCs w:val="20"/>
              </w:rPr>
              <w:t>0</w:t>
            </w:r>
          </w:p>
        </w:tc>
      </w:tr>
    </w:tbl>
    <w:p w:rsidR="0091151B" w:rsidRPr="008502EB" w:rsidRDefault="0091151B" w:rsidP="00C613DE">
      <w:pPr>
        <w:spacing w:after="0" w:line="240" w:lineRule="auto"/>
      </w:pPr>
    </w:p>
    <w:p w:rsidR="0091151B" w:rsidRDefault="0091151B" w:rsidP="0091151B">
      <w:pPr>
        <w:spacing w:after="0" w:line="240" w:lineRule="auto"/>
        <w:rPr>
          <w:b/>
        </w:rPr>
      </w:pPr>
      <w:r w:rsidRPr="008502EB">
        <w:rPr>
          <w:b/>
        </w:rPr>
        <w:lastRenderedPageBreak/>
        <w:t>In 2016, in the 5</w:t>
      </w:r>
      <w:r w:rsidRPr="008502EB">
        <w:rPr>
          <w:b/>
          <w:vertAlign w:val="superscript"/>
        </w:rPr>
        <w:t>th</w:t>
      </w:r>
      <w:r w:rsidRPr="008502EB">
        <w:rPr>
          <w:b/>
        </w:rPr>
        <w:t xml:space="preserve"> grade the percentage of students scoring proficient or advanced in science ranged from 3 percent at Grafton Street to 65 percent at Lake View, and </w:t>
      </w:r>
      <w:r w:rsidR="00580D95" w:rsidRPr="008502EB">
        <w:rPr>
          <w:b/>
        </w:rPr>
        <w:t xml:space="preserve">was below the </w:t>
      </w:r>
      <w:r w:rsidR="00580D95">
        <w:rPr>
          <w:b/>
        </w:rPr>
        <w:t xml:space="preserve">2016 state rate of 47 percent </w:t>
      </w:r>
      <w:r>
        <w:rPr>
          <w:b/>
        </w:rPr>
        <w:t>in</w:t>
      </w:r>
      <w:r w:rsidRPr="008502EB">
        <w:rPr>
          <w:b/>
        </w:rPr>
        <w:t xml:space="preserve"> 21 of the 33 schools with a 5</w:t>
      </w:r>
      <w:r w:rsidRPr="008502EB">
        <w:rPr>
          <w:b/>
          <w:vertAlign w:val="superscript"/>
        </w:rPr>
        <w:t>th</w:t>
      </w:r>
      <w:r w:rsidRPr="008502EB">
        <w:rPr>
          <w:b/>
        </w:rPr>
        <w:t xml:space="preserve"> grade</w:t>
      </w:r>
      <w:r>
        <w:rPr>
          <w:b/>
        </w:rPr>
        <w:t xml:space="preserve">. </w:t>
      </w:r>
      <w:r w:rsidRPr="008502EB">
        <w:rPr>
          <w:b/>
        </w:rPr>
        <w:t>In the 8</w:t>
      </w:r>
      <w:r w:rsidRPr="008502EB">
        <w:rPr>
          <w:b/>
          <w:vertAlign w:val="superscript"/>
        </w:rPr>
        <w:t>th</w:t>
      </w:r>
      <w:r w:rsidRPr="008502EB">
        <w:rPr>
          <w:b/>
        </w:rPr>
        <w:t xml:space="preserve"> grade the percentage of students scoring proficient or advanced in science ranged from 7 percent at Claremont Academy to 27 percent at Forest Grove, and </w:t>
      </w:r>
      <w:r w:rsidR="00580D95" w:rsidRPr="008502EB">
        <w:rPr>
          <w:b/>
        </w:rPr>
        <w:t>was below the</w:t>
      </w:r>
      <w:r w:rsidR="00580D95">
        <w:rPr>
          <w:b/>
        </w:rPr>
        <w:t xml:space="preserve"> 2016 state rate of 41 percent</w:t>
      </w:r>
      <w:r w:rsidR="00580D95" w:rsidRPr="008502EB">
        <w:rPr>
          <w:b/>
        </w:rPr>
        <w:t xml:space="preserve"> </w:t>
      </w:r>
      <w:r w:rsidRPr="008502EB">
        <w:rPr>
          <w:b/>
        </w:rPr>
        <w:t>in all 6 schools with an 8</w:t>
      </w:r>
      <w:r w:rsidRPr="008502EB">
        <w:rPr>
          <w:b/>
          <w:vertAlign w:val="superscript"/>
        </w:rPr>
        <w:t>th</w:t>
      </w:r>
      <w:r w:rsidRPr="008502EB">
        <w:rPr>
          <w:b/>
        </w:rPr>
        <w:t xml:space="preserve"> grade</w:t>
      </w:r>
      <w:r>
        <w:rPr>
          <w:b/>
        </w:rPr>
        <w:t>.</w:t>
      </w:r>
      <w:r w:rsidRPr="008502EB">
        <w:rPr>
          <w:b/>
        </w:rPr>
        <w:t xml:space="preserve"> In grade 10 the percentage of students scoring proficient or advanced in science ranged from 37 percent at North High to 79 percent at University Park, and </w:t>
      </w:r>
      <w:r w:rsidR="00580D95" w:rsidRPr="008502EB">
        <w:rPr>
          <w:b/>
        </w:rPr>
        <w:t>was below the 2016 state rate of 73 percen</w:t>
      </w:r>
      <w:r w:rsidR="005A567F">
        <w:rPr>
          <w:b/>
        </w:rPr>
        <w:t xml:space="preserve">t </w:t>
      </w:r>
      <w:r w:rsidRPr="008502EB">
        <w:rPr>
          <w:b/>
        </w:rPr>
        <w:t>in 6 of the 7 schools with a 10</w:t>
      </w:r>
      <w:r w:rsidRPr="008502EB">
        <w:rPr>
          <w:b/>
          <w:vertAlign w:val="superscript"/>
        </w:rPr>
        <w:t>th</w:t>
      </w:r>
      <w:r w:rsidRPr="008502EB">
        <w:rPr>
          <w:b/>
        </w:rPr>
        <w:t xml:space="preserve"> grade.</w:t>
      </w:r>
    </w:p>
    <w:p w:rsidR="001601B3" w:rsidRDefault="001601B3" w:rsidP="0091151B">
      <w:pPr>
        <w:spacing w:after="0" w:line="240" w:lineRule="auto"/>
        <w:rPr>
          <w:b/>
        </w:rPr>
      </w:pPr>
    </w:p>
    <w:tbl>
      <w:tblPr>
        <w:tblStyle w:val="TableGrid25"/>
        <w:tblW w:w="0" w:type="auto"/>
        <w:tblInd w:w="18" w:type="dxa"/>
        <w:tblLayout w:type="fixed"/>
        <w:tblLook w:val="04A0"/>
      </w:tblPr>
      <w:tblGrid>
        <w:gridCol w:w="3330"/>
        <w:gridCol w:w="778"/>
        <w:gridCol w:w="779"/>
        <w:gridCol w:w="778"/>
        <w:gridCol w:w="779"/>
        <w:gridCol w:w="778"/>
        <w:gridCol w:w="779"/>
        <w:gridCol w:w="778"/>
        <w:gridCol w:w="779"/>
      </w:tblGrid>
      <w:tr w:rsidR="0091151B" w:rsidRPr="008502EB" w:rsidTr="0091151B">
        <w:tc>
          <w:tcPr>
            <w:tcW w:w="9558" w:type="dxa"/>
            <w:gridSpan w:val="9"/>
            <w:tcBorders>
              <w:top w:val="nil"/>
              <w:left w:val="nil"/>
              <w:right w:val="nil"/>
            </w:tcBorders>
          </w:tcPr>
          <w:p w:rsidR="0091151B" w:rsidRPr="008502EB" w:rsidRDefault="0091151B" w:rsidP="00217963">
            <w:pPr>
              <w:spacing w:after="0" w:line="240" w:lineRule="auto"/>
              <w:jc w:val="center"/>
              <w:rPr>
                <w:rFonts w:eastAsia="Times New Roman" w:cs="Times New Roman"/>
                <w:b/>
                <w:sz w:val="20"/>
                <w:szCs w:val="20"/>
              </w:rPr>
            </w:pPr>
            <w:r w:rsidRPr="008502EB">
              <w:rPr>
                <w:rFonts w:eastAsia="Times New Roman" w:cs="Times New Roman"/>
                <w:b/>
                <w:sz w:val="20"/>
                <w:szCs w:val="20"/>
              </w:rPr>
              <w:t xml:space="preserve">Table </w:t>
            </w:r>
            <w:r w:rsidR="005C7DC2" w:rsidRPr="008502EB">
              <w:rPr>
                <w:rFonts w:eastAsia="Times New Roman" w:cs="Times New Roman"/>
                <w:b/>
                <w:sz w:val="20"/>
                <w:szCs w:val="20"/>
              </w:rPr>
              <w:t>1</w:t>
            </w:r>
            <w:r w:rsidR="005C7DC2">
              <w:rPr>
                <w:rFonts w:eastAsia="Times New Roman" w:cs="Times New Roman"/>
                <w:b/>
                <w:sz w:val="20"/>
                <w:szCs w:val="20"/>
              </w:rPr>
              <w:t>7</w:t>
            </w:r>
            <w:r w:rsidRPr="008502EB">
              <w:rPr>
                <w:rFonts w:eastAsia="Times New Roman" w:cs="Times New Roman"/>
                <w:b/>
                <w:sz w:val="20"/>
                <w:szCs w:val="20"/>
              </w:rPr>
              <w:t>: Worcester Public Schools</w:t>
            </w:r>
          </w:p>
          <w:p w:rsidR="0091151B" w:rsidRPr="008502EB" w:rsidRDefault="0091151B" w:rsidP="008E5E43">
            <w:pPr>
              <w:spacing w:after="0" w:line="240" w:lineRule="auto"/>
              <w:jc w:val="center"/>
              <w:rPr>
                <w:rFonts w:eastAsia="Times New Roman" w:cs="Times New Roman"/>
                <w:b/>
                <w:sz w:val="20"/>
                <w:szCs w:val="20"/>
              </w:rPr>
            </w:pPr>
            <w:r w:rsidRPr="008502EB">
              <w:rPr>
                <w:rFonts w:eastAsia="Times New Roman" w:cs="Times New Roman"/>
                <w:b/>
                <w:sz w:val="20"/>
                <w:szCs w:val="20"/>
              </w:rPr>
              <w:t>Science Percent Proficient or Advanced by School and Grade 2015</w:t>
            </w:r>
            <w:r w:rsidR="008E5E43">
              <w:rPr>
                <w:rFonts w:eastAsia="Times New Roman" w:cs="Times New Roman"/>
                <w:b/>
                <w:sz w:val="20"/>
                <w:szCs w:val="20"/>
              </w:rPr>
              <w:t>–</w:t>
            </w:r>
            <w:r w:rsidRPr="008502EB">
              <w:rPr>
                <w:rFonts w:eastAsia="Times New Roman" w:cs="Times New Roman"/>
                <w:b/>
                <w:sz w:val="20"/>
                <w:szCs w:val="20"/>
              </w:rPr>
              <w:t>2016</w:t>
            </w:r>
          </w:p>
        </w:tc>
      </w:tr>
      <w:tr w:rsidR="0091151B" w:rsidRPr="008502EB" w:rsidTr="0091151B">
        <w:tc>
          <w:tcPr>
            <w:tcW w:w="3330" w:type="dxa"/>
            <w:shd w:val="clear" w:color="auto" w:fill="D9D9D9" w:themeFill="background1" w:themeFillShade="D9"/>
          </w:tcPr>
          <w:p w:rsidR="0091151B" w:rsidRPr="008502EB" w:rsidRDefault="0091151B" w:rsidP="003A6AB5">
            <w:pPr>
              <w:spacing w:after="0" w:line="240" w:lineRule="auto"/>
              <w:rPr>
                <w:rFonts w:eastAsia="Times New Roman" w:cs="Times New Roman"/>
                <w:b/>
                <w:sz w:val="20"/>
                <w:szCs w:val="20"/>
              </w:rPr>
            </w:pPr>
            <w:r w:rsidRPr="008502EB">
              <w:rPr>
                <w:rFonts w:eastAsia="Times New Roman" w:cs="Times New Roman"/>
                <w:b/>
                <w:sz w:val="20"/>
                <w:szCs w:val="20"/>
              </w:rPr>
              <w:t>School</w:t>
            </w:r>
          </w:p>
        </w:tc>
        <w:tc>
          <w:tcPr>
            <w:tcW w:w="778" w:type="dxa"/>
            <w:shd w:val="clear" w:color="auto" w:fill="D9D9D9" w:themeFill="background1" w:themeFillShade="D9"/>
          </w:tcPr>
          <w:p w:rsidR="0091151B" w:rsidRPr="008502EB" w:rsidRDefault="0091151B" w:rsidP="003A6AB5">
            <w:pPr>
              <w:spacing w:after="0" w:line="240" w:lineRule="auto"/>
              <w:jc w:val="center"/>
              <w:rPr>
                <w:rFonts w:eastAsia="Times New Roman" w:cs="Times New Roman"/>
                <w:b/>
                <w:sz w:val="20"/>
                <w:szCs w:val="20"/>
              </w:rPr>
            </w:pPr>
            <w:r w:rsidRPr="008502EB">
              <w:rPr>
                <w:rFonts w:eastAsia="Times New Roman" w:cs="Times New Roman"/>
                <w:b/>
                <w:sz w:val="20"/>
                <w:szCs w:val="20"/>
              </w:rPr>
              <w:t>3</w:t>
            </w:r>
          </w:p>
        </w:tc>
        <w:tc>
          <w:tcPr>
            <w:tcW w:w="779" w:type="dxa"/>
            <w:shd w:val="clear" w:color="auto" w:fill="D9D9D9" w:themeFill="background1" w:themeFillShade="D9"/>
          </w:tcPr>
          <w:p w:rsidR="0091151B" w:rsidRPr="008502EB" w:rsidRDefault="0091151B" w:rsidP="003A6AB5">
            <w:pPr>
              <w:spacing w:after="0" w:line="240" w:lineRule="auto"/>
              <w:jc w:val="center"/>
              <w:rPr>
                <w:rFonts w:eastAsia="Times New Roman" w:cs="Times New Roman"/>
                <w:b/>
                <w:sz w:val="20"/>
                <w:szCs w:val="20"/>
              </w:rPr>
            </w:pPr>
            <w:r w:rsidRPr="008502EB">
              <w:rPr>
                <w:rFonts w:eastAsia="Times New Roman" w:cs="Times New Roman"/>
                <w:b/>
                <w:sz w:val="20"/>
                <w:szCs w:val="20"/>
              </w:rPr>
              <w:t>4</w:t>
            </w:r>
          </w:p>
        </w:tc>
        <w:tc>
          <w:tcPr>
            <w:tcW w:w="778" w:type="dxa"/>
            <w:shd w:val="clear" w:color="auto" w:fill="D9D9D9" w:themeFill="background1" w:themeFillShade="D9"/>
          </w:tcPr>
          <w:p w:rsidR="0091151B" w:rsidRPr="008502EB" w:rsidRDefault="0091151B" w:rsidP="003A6AB5">
            <w:pPr>
              <w:spacing w:after="0" w:line="240" w:lineRule="auto"/>
              <w:jc w:val="center"/>
              <w:rPr>
                <w:rFonts w:eastAsia="Times New Roman" w:cs="Times New Roman"/>
                <w:b/>
                <w:sz w:val="20"/>
                <w:szCs w:val="20"/>
              </w:rPr>
            </w:pPr>
            <w:r w:rsidRPr="008502EB">
              <w:rPr>
                <w:rFonts w:eastAsia="Times New Roman" w:cs="Times New Roman"/>
                <w:b/>
                <w:sz w:val="20"/>
                <w:szCs w:val="20"/>
              </w:rPr>
              <w:t>5</w:t>
            </w:r>
          </w:p>
        </w:tc>
        <w:tc>
          <w:tcPr>
            <w:tcW w:w="779" w:type="dxa"/>
            <w:shd w:val="clear" w:color="auto" w:fill="D9D9D9" w:themeFill="background1" w:themeFillShade="D9"/>
          </w:tcPr>
          <w:p w:rsidR="0091151B" w:rsidRPr="008502EB" w:rsidRDefault="0091151B" w:rsidP="003A6AB5">
            <w:pPr>
              <w:spacing w:after="0" w:line="240" w:lineRule="auto"/>
              <w:jc w:val="center"/>
              <w:rPr>
                <w:rFonts w:eastAsia="Times New Roman" w:cs="Times New Roman"/>
                <w:b/>
                <w:sz w:val="20"/>
                <w:szCs w:val="20"/>
              </w:rPr>
            </w:pPr>
            <w:r w:rsidRPr="008502EB">
              <w:rPr>
                <w:rFonts w:eastAsia="Times New Roman" w:cs="Times New Roman"/>
                <w:b/>
                <w:sz w:val="20"/>
                <w:szCs w:val="20"/>
              </w:rPr>
              <w:t>6</w:t>
            </w:r>
          </w:p>
        </w:tc>
        <w:tc>
          <w:tcPr>
            <w:tcW w:w="778" w:type="dxa"/>
            <w:shd w:val="clear" w:color="auto" w:fill="D9D9D9" w:themeFill="background1" w:themeFillShade="D9"/>
          </w:tcPr>
          <w:p w:rsidR="0091151B" w:rsidRPr="008502EB" w:rsidRDefault="0091151B" w:rsidP="003A6AB5">
            <w:pPr>
              <w:spacing w:after="0" w:line="240" w:lineRule="auto"/>
              <w:jc w:val="center"/>
              <w:rPr>
                <w:rFonts w:eastAsia="Times New Roman" w:cs="Times New Roman"/>
                <w:b/>
                <w:sz w:val="20"/>
                <w:szCs w:val="20"/>
              </w:rPr>
            </w:pPr>
            <w:r w:rsidRPr="008502EB">
              <w:rPr>
                <w:rFonts w:eastAsia="Times New Roman" w:cs="Times New Roman"/>
                <w:b/>
                <w:sz w:val="20"/>
                <w:szCs w:val="20"/>
              </w:rPr>
              <w:t>7</w:t>
            </w:r>
          </w:p>
        </w:tc>
        <w:tc>
          <w:tcPr>
            <w:tcW w:w="779" w:type="dxa"/>
            <w:shd w:val="clear" w:color="auto" w:fill="D9D9D9" w:themeFill="background1" w:themeFillShade="D9"/>
          </w:tcPr>
          <w:p w:rsidR="0091151B" w:rsidRPr="008502EB" w:rsidRDefault="0091151B" w:rsidP="003A6AB5">
            <w:pPr>
              <w:spacing w:after="0" w:line="240" w:lineRule="auto"/>
              <w:jc w:val="center"/>
              <w:rPr>
                <w:rFonts w:eastAsia="Times New Roman" w:cs="Times New Roman"/>
                <w:b/>
                <w:sz w:val="20"/>
                <w:szCs w:val="20"/>
              </w:rPr>
            </w:pPr>
            <w:r w:rsidRPr="008502EB">
              <w:rPr>
                <w:rFonts w:eastAsia="Times New Roman" w:cs="Times New Roman"/>
                <w:b/>
                <w:sz w:val="20"/>
                <w:szCs w:val="20"/>
              </w:rPr>
              <w:t>8</w:t>
            </w:r>
          </w:p>
        </w:tc>
        <w:tc>
          <w:tcPr>
            <w:tcW w:w="778" w:type="dxa"/>
            <w:shd w:val="clear" w:color="auto" w:fill="D9D9D9" w:themeFill="background1" w:themeFillShade="D9"/>
          </w:tcPr>
          <w:p w:rsidR="0091151B" w:rsidRPr="008502EB" w:rsidRDefault="0091151B" w:rsidP="003A6AB5">
            <w:pPr>
              <w:spacing w:after="0" w:line="240" w:lineRule="auto"/>
              <w:jc w:val="center"/>
              <w:rPr>
                <w:rFonts w:eastAsia="Times New Roman" w:cs="Times New Roman"/>
                <w:b/>
                <w:sz w:val="20"/>
                <w:szCs w:val="20"/>
              </w:rPr>
            </w:pPr>
            <w:r w:rsidRPr="008502EB">
              <w:rPr>
                <w:rFonts w:eastAsia="Times New Roman" w:cs="Times New Roman"/>
                <w:b/>
                <w:sz w:val="20"/>
                <w:szCs w:val="20"/>
              </w:rPr>
              <w:t>10</w:t>
            </w:r>
          </w:p>
        </w:tc>
        <w:tc>
          <w:tcPr>
            <w:tcW w:w="779" w:type="dxa"/>
            <w:shd w:val="clear" w:color="auto" w:fill="D9D9D9" w:themeFill="background1" w:themeFillShade="D9"/>
          </w:tcPr>
          <w:p w:rsidR="0091151B" w:rsidRPr="008502EB" w:rsidRDefault="0091151B" w:rsidP="003A6AB5">
            <w:pPr>
              <w:spacing w:after="0" w:line="240" w:lineRule="auto"/>
              <w:jc w:val="center"/>
              <w:rPr>
                <w:rFonts w:eastAsia="Times New Roman" w:cs="Times New Roman"/>
                <w:b/>
                <w:sz w:val="20"/>
                <w:szCs w:val="20"/>
              </w:rPr>
            </w:pPr>
            <w:r w:rsidRPr="008502EB">
              <w:rPr>
                <w:rFonts w:eastAsia="Times New Roman" w:cs="Times New Roman"/>
                <w:b/>
                <w:sz w:val="20"/>
                <w:szCs w:val="20"/>
              </w:rPr>
              <w:t>Total</w:t>
            </w:r>
          </w:p>
        </w:tc>
      </w:tr>
      <w:tr w:rsidR="0091151B" w:rsidRPr="008502EB" w:rsidTr="0091151B">
        <w:tc>
          <w:tcPr>
            <w:tcW w:w="3330"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 xml:space="preserve">Belmont </w:t>
            </w:r>
            <w:r w:rsidR="0064612E">
              <w:rPr>
                <w:rFonts w:ascii="Calibri" w:hAnsi="Calibri"/>
                <w:sz w:val="20"/>
                <w:szCs w:val="20"/>
              </w:rPr>
              <w:t xml:space="preserve">Street </w:t>
            </w:r>
            <w:r w:rsidRPr="008502EB">
              <w:rPr>
                <w:rFonts w:ascii="Calibri" w:hAnsi="Calibri"/>
                <w:sz w:val="20"/>
                <w:szCs w:val="20"/>
              </w:rPr>
              <w:t>Community ES</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28%</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28%</w:t>
            </w:r>
          </w:p>
        </w:tc>
      </w:tr>
      <w:tr w:rsidR="0091151B" w:rsidRPr="008502EB" w:rsidTr="0091151B">
        <w:tc>
          <w:tcPr>
            <w:tcW w:w="3330"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Wawecus Road ES</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6%</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6%</w:t>
            </w:r>
          </w:p>
        </w:tc>
      </w:tr>
      <w:tr w:rsidR="0091151B" w:rsidRPr="008502EB" w:rsidTr="0091151B">
        <w:tc>
          <w:tcPr>
            <w:tcW w:w="3330"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Woodland Academy</w:t>
            </w:r>
            <w:r w:rsidR="0064612E">
              <w:rPr>
                <w:rFonts w:ascii="Calibri" w:hAnsi="Calibri"/>
                <w:sz w:val="20"/>
                <w:szCs w:val="20"/>
              </w:rPr>
              <w:t xml:space="preserve"> ES</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17%</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17%</w:t>
            </w:r>
          </w:p>
        </w:tc>
      </w:tr>
      <w:tr w:rsidR="0091151B" w:rsidRPr="008502EB" w:rsidTr="0091151B">
        <w:tc>
          <w:tcPr>
            <w:tcW w:w="3330"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 xml:space="preserve">Burncoat </w:t>
            </w:r>
            <w:r w:rsidR="0064612E">
              <w:rPr>
                <w:rFonts w:ascii="Calibri" w:hAnsi="Calibri"/>
                <w:sz w:val="20"/>
                <w:szCs w:val="20"/>
              </w:rPr>
              <w:t>Street</w:t>
            </w:r>
            <w:r w:rsidR="0064612E" w:rsidRPr="008502EB">
              <w:rPr>
                <w:rFonts w:ascii="Calibri" w:hAnsi="Calibri"/>
                <w:sz w:val="20"/>
                <w:szCs w:val="20"/>
              </w:rPr>
              <w:t xml:space="preserve"> </w:t>
            </w:r>
            <w:r w:rsidRPr="008502EB">
              <w:rPr>
                <w:rFonts w:ascii="Calibri" w:hAnsi="Calibri"/>
                <w:sz w:val="20"/>
                <w:szCs w:val="20"/>
              </w:rPr>
              <w:t>ES</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48%</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48%</w:t>
            </w:r>
          </w:p>
        </w:tc>
      </w:tr>
      <w:tr w:rsidR="0091151B" w:rsidRPr="008502EB" w:rsidTr="0091151B">
        <w:tc>
          <w:tcPr>
            <w:tcW w:w="3330"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Canterbury Magnet ES</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18%</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18%</w:t>
            </w:r>
          </w:p>
        </w:tc>
      </w:tr>
      <w:tr w:rsidR="0091151B" w:rsidRPr="008502EB" w:rsidTr="0091151B">
        <w:tc>
          <w:tcPr>
            <w:tcW w:w="3330"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Chandler Community ES</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47%</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47%</w:t>
            </w:r>
          </w:p>
        </w:tc>
      </w:tr>
      <w:tr w:rsidR="0091151B" w:rsidRPr="008502EB" w:rsidTr="0091151B">
        <w:tc>
          <w:tcPr>
            <w:tcW w:w="3330"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Chandler Magnet</w:t>
            </w:r>
            <w:r w:rsidR="0064612E">
              <w:rPr>
                <w:rFonts w:ascii="Calibri" w:hAnsi="Calibri"/>
                <w:sz w:val="20"/>
                <w:szCs w:val="20"/>
              </w:rPr>
              <w:t xml:space="preserve"> ES</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9%</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9%</w:t>
            </w:r>
          </w:p>
        </w:tc>
      </w:tr>
      <w:tr w:rsidR="0091151B" w:rsidRPr="008502EB" w:rsidTr="0091151B">
        <w:tc>
          <w:tcPr>
            <w:tcW w:w="3330"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City View ES</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19%</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19%</w:t>
            </w:r>
          </w:p>
        </w:tc>
      </w:tr>
      <w:tr w:rsidR="0091151B" w:rsidRPr="008502EB" w:rsidTr="0091151B">
        <w:tc>
          <w:tcPr>
            <w:tcW w:w="3330"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Clark St</w:t>
            </w:r>
            <w:r w:rsidR="0064612E">
              <w:rPr>
                <w:rFonts w:ascii="Calibri" w:hAnsi="Calibri"/>
                <w:sz w:val="20"/>
                <w:szCs w:val="20"/>
              </w:rPr>
              <w:t>reet</w:t>
            </w:r>
            <w:r w:rsidRPr="008502EB">
              <w:rPr>
                <w:rFonts w:ascii="Calibri" w:hAnsi="Calibri"/>
                <w:sz w:val="20"/>
                <w:szCs w:val="20"/>
              </w:rPr>
              <w:t xml:space="preserve"> Community</w:t>
            </w:r>
            <w:r w:rsidR="0064612E">
              <w:rPr>
                <w:rFonts w:ascii="Calibri" w:hAnsi="Calibri"/>
                <w:sz w:val="20"/>
                <w:szCs w:val="20"/>
              </w:rPr>
              <w:t xml:space="preserve"> ES</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17%</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17%</w:t>
            </w:r>
          </w:p>
        </w:tc>
      </w:tr>
      <w:tr w:rsidR="0091151B" w:rsidRPr="008502EB" w:rsidTr="0091151B">
        <w:tc>
          <w:tcPr>
            <w:tcW w:w="3330"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Columbus Park ES</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49%</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49%</w:t>
            </w:r>
          </w:p>
        </w:tc>
      </w:tr>
      <w:tr w:rsidR="0091151B" w:rsidRPr="008502EB" w:rsidTr="0091151B">
        <w:tc>
          <w:tcPr>
            <w:tcW w:w="3330"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Flagg Street ES</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51%</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51%</w:t>
            </w:r>
          </w:p>
        </w:tc>
      </w:tr>
      <w:tr w:rsidR="0091151B" w:rsidRPr="008502EB" w:rsidTr="0091151B">
        <w:tc>
          <w:tcPr>
            <w:tcW w:w="3330"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 xml:space="preserve">Elm Park </w:t>
            </w:r>
            <w:r w:rsidR="0064612E">
              <w:rPr>
                <w:rFonts w:ascii="Calibri" w:hAnsi="Calibri"/>
                <w:sz w:val="20"/>
                <w:szCs w:val="20"/>
              </w:rPr>
              <w:t>Community ES</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13%</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13%</w:t>
            </w:r>
          </w:p>
        </w:tc>
      </w:tr>
      <w:tr w:rsidR="0091151B" w:rsidRPr="008502EB" w:rsidTr="0091151B">
        <w:tc>
          <w:tcPr>
            <w:tcW w:w="3330"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Goddard</w:t>
            </w:r>
            <w:r w:rsidR="0064612E">
              <w:rPr>
                <w:rFonts w:ascii="Calibri" w:hAnsi="Calibri"/>
                <w:sz w:val="20"/>
                <w:szCs w:val="20"/>
              </w:rPr>
              <w:t xml:space="preserve"> ES</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4%</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4%</w:t>
            </w:r>
          </w:p>
        </w:tc>
      </w:tr>
      <w:tr w:rsidR="0091151B" w:rsidRPr="008502EB" w:rsidTr="0091151B">
        <w:tc>
          <w:tcPr>
            <w:tcW w:w="3330"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Gates Lane</w:t>
            </w:r>
            <w:r w:rsidR="0064612E">
              <w:rPr>
                <w:rFonts w:ascii="Calibri" w:hAnsi="Calibri"/>
                <w:sz w:val="20"/>
                <w:szCs w:val="20"/>
              </w:rPr>
              <w:t xml:space="preserve"> ES</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24%</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24%</w:t>
            </w:r>
          </w:p>
        </w:tc>
      </w:tr>
      <w:tr w:rsidR="0091151B" w:rsidRPr="008502EB" w:rsidTr="0091151B">
        <w:tc>
          <w:tcPr>
            <w:tcW w:w="3330"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Grafton Street ES</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3%</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3%</w:t>
            </w:r>
          </w:p>
        </w:tc>
      </w:tr>
      <w:tr w:rsidR="0091151B" w:rsidRPr="008502EB" w:rsidTr="0091151B">
        <w:tc>
          <w:tcPr>
            <w:tcW w:w="3330"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Heard Street ES</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58%</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58%</w:t>
            </w:r>
          </w:p>
        </w:tc>
      </w:tr>
      <w:tr w:rsidR="0091151B" w:rsidRPr="008502EB" w:rsidTr="0091151B">
        <w:tc>
          <w:tcPr>
            <w:tcW w:w="3330"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Hiatt Magnet ES</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48%</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48%</w:t>
            </w:r>
          </w:p>
        </w:tc>
      </w:tr>
      <w:tr w:rsidR="0091151B" w:rsidRPr="008502EB" w:rsidTr="0091151B">
        <w:tc>
          <w:tcPr>
            <w:tcW w:w="3330"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Lake View ES</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65%</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65%</w:t>
            </w:r>
          </w:p>
        </w:tc>
      </w:tr>
      <w:tr w:rsidR="0091151B" w:rsidRPr="008502EB" w:rsidTr="0091151B">
        <w:tc>
          <w:tcPr>
            <w:tcW w:w="3330"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Lincoln Street ES</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9%</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9%</w:t>
            </w:r>
          </w:p>
        </w:tc>
      </w:tr>
      <w:tr w:rsidR="0091151B" w:rsidRPr="008502EB" w:rsidTr="0091151B">
        <w:tc>
          <w:tcPr>
            <w:tcW w:w="3330"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May Street ES</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36%</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36%</w:t>
            </w:r>
          </w:p>
        </w:tc>
      </w:tr>
      <w:tr w:rsidR="0091151B" w:rsidRPr="008502EB" w:rsidTr="0091151B">
        <w:tc>
          <w:tcPr>
            <w:tcW w:w="3330"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McGrath ES</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11%</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11%</w:t>
            </w:r>
          </w:p>
        </w:tc>
      </w:tr>
      <w:tr w:rsidR="0091151B" w:rsidRPr="008502EB" w:rsidTr="0091151B">
        <w:tc>
          <w:tcPr>
            <w:tcW w:w="3330"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Midland Street ES</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56%</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56%</w:t>
            </w:r>
          </w:p>
        </w:tc>
      </w:tr>
      <w:tr w:rsidR="0091151B" w:rsidRPr="008502EB" w:rsidTr="0091151B">
        <w:tc>
          <w:tcPr>
            <w:tcW w:w="3330"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Nelson Place ES</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37%</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37%</w:t>
            </w:r>
          </w:p>
        </w:tc>
      </w:tr>
      <w:tr w:rsidR="0091151B" w:rsidRPr="008502EB" w:rsidTr="0091151B">
        <w:tc>
          <w:tcPr>
            <w:tcW w:w="3330"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Norrback Avenue ES</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35%</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35%</w:t>
            </w:r>
          </w:p>
        </w:tc>
      </w:tr>
      <w:tr w:rsidR="0091151B" w:rsidRPr="008502EB" w:rsidTr="0091151B">
        <w:tc>
          <w:tcPr>
            <w:tcW w:w="3330"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Quinsigamond ES</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13%</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13%</w:t>
            </w:r>
          </w:p>
        </w:tc>
      </w:tr>
      <w:tr w:rsidR="0091151B" w:rsidRPr="008502EB" w:rsidTr="0091151B">
        <w:tc>
          <w:tcPr>
            <w:tcW w:w="3330"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Rice Square ES</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26%</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26%</w:t>
            </w:r>
          </w:p>
        </w:tc>
      </w:tr>
      <w:tr w:rsidR="0091151B" w:rsidRPr="008502EB" w:rsidTr="0091151B">
        <w:tc>
          <w:tcPr>
            <w:tcW w:w="3330"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Roosevelt ES</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30%</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30%</w:t>
            </w:r>
          </w:p>
        </w:tc>
      </w:tr>
      <w:tr w:rsidR="0091151B" w:rsidRPr="008502EB" w:rsidTr="0091151B">
        <w:tc>
          <w:tcPr>
            <w:tcW w:w="3330"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Worcester Arts Magnet ES</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52%</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52%</w:t>
            </w:r>
          </w:p>
        </w:tc>
      </w:tr>
      <w:tr w:rsidR="0091151B" w:rsidRPr="008502EB" w:rsidTr="0091151B">
        <w:tc>
          <w:tcPr>
            <w:tcW w:w="3330"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Tatnuck ES</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64%</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64%</w:t>
            </w:r>
          </w:p>
        </w:tc>
      </w:tr>
      <w:tr w:rsidR="0091151B" w:rsidRPr="008502EB" w:rsidTr="0091151B">
        <w:tc>
          <w:tcPr>
            <w:tcW w:w="3330"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Thorndyke Road ES</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48%</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48%</w:t>
            </w:r>
          </w:p>
        </w:tc>
      </w:tr>
      <w:tr w:rsidR="0091151B" w:rsidRPr="008502EB" w:rsidTr="0091151B">
        <w:tc>
          <w:tcPr>
            <w:tcW w:w="3330"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Union Hill ES</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11%</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11%</w:t>
            </w:r>
          </w:p>
        </w:tc>
      </w:tr>
      <w:tr w:rsidR="0091151B" w:rsidRPr="008502EB" w:rsidTr="0091151B">
        <w:tc>
          <w:tcPr>
            <w:tcW w:w="3330"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West Tatnuck ES</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60%</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60%</w:t>
            </w:r>
          </w:p>
        </w:tc>
      </w:tr>
      <w:tr w:rsidR="0091151B" w:rsidRPr="008502EB" w:rsidTr="0091151B">
        <w:tc>
          <w:tcPr>
            <w:tcW w:w="3330"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Vernon Hill ES</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18%</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18%</w:t>
            </w:r>
          </w:p>
        </w:tc>
      </w:tr>
      <w:tr w:rsidR="0091151B" w:rsidRPr="008502EB" w:rsidTr="0091151B">
        <w:tc>
          <w:tcPr>
            <w:tcW w:w="3330"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Burncoat MS</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26%</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26%</w:t>
            </w:r>
          </w:p>
        </w:tc>
      </w:tr>
      <w:tr w:rsidR="0091151B" w:rsidRPr="008502EB" w:rsidTr="0091151B">
        <w:tc>
          <w:tcPr>
            <w:tcW w:w="3330"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Forest Grove MS</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27%</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27%</w:t>
            </w:r>
          </w:p>
        </w:tc>
      </w:tr>
      <w:tr w:rsidR="0091151B" w:rsidRPr="008502EB" w:rsidTr="0091151B">
        <w:tc>
          <w:tcPr>
            <w:tcW w:w="3330"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Worcester East MS</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21%</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21%</w:t>
            </w:r>
          </w:p>
        </w:tc>
      </w:tr>
      <w:tr w:rsidR="0091151B" w:rsidRPr="008502EB" w:rsidTr="0091151B">
        <w:tc>
          <w:tcPr>
            <w:tcW w:w="3330"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Sullivan MS</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16%</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16%</w:t>
            </w:r>
          </w:p>
        </w:tc>
      </w:tr>
      <w:tr w:rsidR="0091151B" w:rsidRPr="008502EB" w:rsidTr="0091151B">
        <w:tc>
          <w:tcPr>
            <w:tcW w:w="3330"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University Park MSHS</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17%</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79%</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45%</w:t>
            </w:r>
          </w:p>
        </w:tc>
      </w:tr>
      <w:tr w:rsidR="0091151B" w:rsidRPr="008502EB" w:rsidTr="0091151B">
        <w:tc>
          <w:tcPr>
            <w:tcW w:w="3330"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lastRenderedPageBreak/>
              <w:t>Claremont Academy MSHS</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7%</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47%</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23%</w:t>
            </w:r>
          </w:p>
        </w:tc>
      </w:tr>
      <w:tr w:rsidR="0091151B" w:rsidRPr="008502EB" w:rsidTr="0091151B">
        <w:tc>
          <w:tcPr>
            <w:tcW w:w="3330"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 xml:space="preserve">Burncoat </w:t>
            </w:r>
            <w:r w:rsidR="0064612E">
              <w:rPr>
                <w:rFonts w:ascii="Calibri" w:hAnsi="Calibri"/>
                <w:sz w:val="20"/>
                <w:szCs w:val="20"/>
              </w:rPr>
              <w:t xml:space="preserve">Senior </w:t>
            </w:r>
            <w:r w:rsidRPr="008502EB">
              <w:rPr>
                <w:rFonts w:ascii="Calibri" w:hAnsi="Calibri"/>
                <w:sz w:val="20"/>
                <w:szCs w:val="20"/>
              </w:rPr>
              <w:t>HS</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47%</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47%</w:t>
            </w:r>
          </w:p>
        </w:tc>
      </w:tr>
      <w:tr w:rsidR="0091151B" w:rsidRPr="008502EB" w:rsidTr="0091151B">
        <w:tc>
          <w:tcPr>
            <w:tcW w:w="3330"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Doherty Memorial HS</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62%</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62%</w:t>
            </w:r>
          </w:p>
        </w:tc>
      </w:tr>
      <w:tr w:rsidR="0091151B" w:rsidRPr="008502EB" w:rsidTr="0091151B">
        <w:tc>
          <w:tcPr>
            <w:tcW w:w="3330"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North HS</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37%</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37%</w:t>
            </w:r>
          </w:p>
        </w:tc>
      </w:tr>
      <w:tr w:rsidR="0091151B" w:rsidRPr="008502EB" w:rsidTr="0091151B">
        <w:tc>
          <w:tcPr>
            <w:tcW w:w="3330"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 xml:space="preserve">South </w:t>
            </w:r>
            <w:r w:rsidR="0064612E">
              <w:rPr>
                <w:rFonts w:ascii="Calibri" w:hAnsi="Calibri"/>
                <w:sz w:val="20"/>
                <w:szCs w:val="20"/>
              </w:rPr>
              <w:t xml:space="preserve">High Community </w:t>
            </w:r>
            <w:r w:rsidRPr="008502EB">
              <w:rPr>
                <w:rFonts w:ascii="Calibri" w:hAnsi="Calibri"/>
                <w:sz w:val="20"/>
                <w:szCs w:val="20"/>
              </w:rPr>
              <w:t>HS</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46%</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46%</w:t>
            </w:r>
          </w:p>
        </w:tc>
      </w:tr>
      <w:tr w:rsidR="0091151B" w:rsidRPr="008502EB" w:rsidTr="0091151B">
        <w:tc>
          <w:tcPr>
            <w:tcW w:w="3330"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Worcester Tech</w:t>
            </w:r>
            <w:r w:rsidR="0064612E">
              <w:rPr>
                <w:rFonts w:ascii="Calibri" w:hAnsi="Calibri"/>
                <w:sz w:val="20"/>
                <w:szCs w:val="20"/>
              </w:rPr>
              <w:t>nical</w:t>
            </w:r>
            <w:r w:rsidRPr="008502EB">
              <w:rPr>
                <w:rFonts w:ascii="Calibri" w:hAnsi="Calibri"/>
                <w:sz w:val="20"/>
                <w:szCs w:val="20"/>
              </w:rPr>
              <w:t xml:space="preserve"> HS</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68%</w:t>
            </w:r>
          </w:p>
        </w:tc>
        <w:tc>
          <w:tcPr>
            <w:tcW w:w="779" w:type="dxa"/>
            <w:shd w:val="clear" w:color="auto" w:fill="auto"/>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68%</w:t>
            </w:r>
          </w:p>
        </w:tc>
      </w:tr>
      <w:tr w:rsidR="0091151B" w:rsidRPr="008502EB" w:rsidTr="0091151B">
        <w:tc>
          <w:tcPr>
            <w:tcW w:w="3330"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District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29%</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20%</w:t>
            </w:r>
          </w:p>
        </w:tc>
        <w:tc>
          <w:tcPr>
            <w:tcW w:w="778"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51%</w:t>
            </w:r>
          </w:p>
        </w:tc>
        <w:tc>
          <w:tcPr>
            <w:tcW w:w="779" w:type="dxa"/>
            <w:shd w:val="clear" w:color="auto" w:fill="D9D9D9" w:themeFill="background1" w:themeFillShade="D9"/>
            <w:vAlign w:val="bottom"/>
          </w:tcPr>
          <w:p w:rsidR="0091151B" w:rsidRPr="008502EB" w:rsidRDefault="0091151B" w:rsidP="003A6AB5">
            <w:pPr>
              <w:spacing w:after="0" w:line="240" w:lineRule="auto"/>
              <w:jc w:val="center"/>
              <w:rPr>
                <w:rFonts w:ascii="Calibri" w:hAnsi="Calibri"/>
                <w:sz w:val="20"/>
                <w:szCs w:val="20"/>
              </w:rPr>
            </w:pPr>
            <w:r w:rsidRPr="008502EB">
              <w:rPr>
                <w:rFonts w:ascii="Calibri" w:hAnsi="Calibri"/>
                <w:sz w:val="20"/>
                <w:szCs w:val="20"/>
              </w:rPr>
              <w:t>33%</w:t>
            </w:r>
          </w:p>
        </w:tc>
      </w:tr>
      <w:tr w:rsidR="0091151B" w:rsidRPr="008502EB" w:rsidTr="0091151B">
        <w:tc>
          <w:tcPr>
            <w:tcW w:w="3330" w:type="dxa"/>
            <w:shd w:val="clear" w:color="auto" w:fill="auto"/>
            <w:vAlign w:val="bottom"/>
          </w:tcPr>
          <w:p w:rsidR="0091151B" w:rsidRPr="008502EB" w:rsidRDefault="0091151B" w:rsidP="003A6AB5">
            <w:pPr>
              <w:spacing w:after="0" w:line="240" w:lineRule="auto"/>
              <w:jc w:val="center"/>
              <w:rPr>
                <w:sz w:val="20"/>
                <w:szCs w:val="20"/>
              </w:rPr>
            </w:pPr>
            <w:r w:rsidRPr="008502EB">
              <w:rPr>
                <w:sz w:val="20"/>
                <w:szCs w:val="20"/>
              </w:rPr>
              <w:t>State</w:t>
            </w:r>
          </w:p>
        </w:tc>
        <w:tc>
          <w:tcPr>
            <w:tcW w:w="778" w:type="dxa"/>
            <w:shd w:val="clear" w:color="auto" w:fill="auto"/>
            <w:vAlign w:val="bottom"/>
          </w:tcPr>
          <w:p w:rsidR="0091151B" w:rsidRPr="008502EB" w:rsidRDefault="0091151B" w:rsidP="003A6AB5">
            <w:pPr>
              <w:spacing w:after="0" w:line="240" w:lineRule="auto"/>
              <w:jc w:val="center"/>
              <w:rPr>
                <w:sz w:val="20"/>
                <w:szCs w:val="20"/>
              </w:rPr>
            </w:pPr>
            <w:r w:rsidRPr="008502EB">
              <w:rPr>
                <w:sz w:val="20"/>
                <w:szCs w:val="20"/>
              </w:rPr>
              <w:t>--</w:t>
            </w:r>
          </w:p>
        </w:tc>
        <w:tc>
          <w:tcPr>
            <w:tcW w:w="779" w:type="dxa"/>
            <w:shd w:val="clear" w:color="auto" w:fill="auto"/>
            <w:vAlign w:val="bottom"/>
          </w:tcPr>
          <w:p w:rsidR="0091151B" w:rsidRPr="008502EB" w:rsidRDefault="0091151B" w:rsidP="003A6AB5">
            <w:pPr>
              <w:spacing w:after="0" w:line="240" w:lineRule="auto"/>
              <w:jc w:val="center"/>
              <w:rPr>
                <w:sz w:val="20"/>
                <w:szCs w:val="20"/>
              </w:rPr>
            </w:pPr>
            <w:r w:rsidRPr="008502EB">
              <w:rPr>
                <w:sz w:val="20"/>
                <w:szCs w:val="20"/>
              </w:rPr>
              <w:t>--</w:t>
            </w:r>
          </w:p>
        </w:tc>
        <w:tc>
          <w:tcPr>
            <w:tcW w:w="778" w:type="dxa"/>
            <w:shd w:val="clear" w:color="auto" w:fill="auto"/>
            <w:vAlign w:val="bottom"/>
          </w:tcPr>
          <w:p w:rsidR="0091151B" w:rsidRPr="008502EB" w:rsidRDefault="0091151B" w:rsidP="003A6AB5">
            <w:pPr>
              <w:spacing w:after="0" w:line="240" w:lineRule="auto"/>
              <w:jc w:val="center"/>
              <w:rPr>
                <w:sz w:val="20"/>
                <w:szCs w:val="20"/>
              </w:rPr>
            </w:pPr>
            <w:r w:rsidRPr="008502EB">
              <w:rPr>
                <w:sz w:val="20"/>
                <w:szCs w:val="20"/>
              </w:rPr>
              <w:t>47%</w:t>
            </w:r>
          </w:p>
        </w:tc>
        <w:tc>
          <w:tcPr>
            <w:tcW w:w="779" w:type="dxa"/>
            <w:shd w:val="clear" w:color="auto" w:fill="auto"/>
            <w:vAlign w:val="bottom"/>
          </w:tcPr>
          <w:p w:rsidR="0091151B" w:rsidRPr="008502EB" w:rsidRDefault="0091151B" w:rsidP="003A6AB5">
            <w:pPr>
              <w:spacing w:after="0" w:line="240" w:lineRule="auto"/>
              <w:jc w:val="center"/>
              <w:rPr>
                <w:sz w:val="20"/>
                <w:szCs w:val="20"/>
              </w:rPr>
            </w:pPr>
            <w:r w:rsidRPr="008502EB">
              <w:rPr>
                <w:sz w:val="20"/>
                <w:szCs w:val="20"/>
              </w:rPr>
              <w:t>--</w:t>
            </w:r>
          </w:p>
        </w:tc>
        <w:tc>
          <w:tcPr>
            <w:tcW w:w="778" w:type="dxa"/>
            <w:shd w:val="clear" w:color="auto" w:fill="auto"/>
            <w:vAlign w:val="bottom"/>
          </w:tcPr>
          <w:p w:rsidR="0091151B" w:rsidRPr="008502EB" w:rsidRDefault="0091151B" w:rsidP="003A6AB5">
            <w:pPr>
              <w:spacing w:after="0" w:line="240" w:lineRule="auto"/>
              <w:jc w:val="center"/>
              <w:rPr>
                <w:sz w:val="20"/>
                <w:szCs w:val="20"/>
              </w:rPr>
            </w:pPr>
            <w:r w:rsidRPr="008502EB">
              <w:rPr>
                <w:sz w:val="20"/>
                <w:szCs w:val="20"/>
              </w:rPr>
              <w:t>--</w:t>
            </w:r>
          </w:p>
        </w:tc>
        <w:tc>
          <w:tcPr>
            <w:tcW w:w="779" w:type="dxa"/>
            <w:shd w:val="clear" w:color="auto" w:fill="auto"/>
            <w:vAlign w:val="bottom"/>
          </w:tcPr>
          <w:p w:rsidR="0091151B" w:rsidRPr="008502EB" w:rsidRDefault="0091151B" w:rsidP="003A6AB5">
            <w:pPr>
              <w:spacing w:after="0" w:line="240" w:lineRule="auto"/>
              <w:jc w:val="center"/>
              <w:rPr>
                <w:sz w:val="20"/>
                <w:szCs w:val="20"/>
              </w:rPr>
            </w:pPr>
            <w:r w:rsidRPr="008502EB">
              <w:rPr>
                <w:sz w:val="20"/>
                <w:szCs w:val="20"/>
              </w:rPr>
              <w:t>41%</w:t>
            </w:r>
          </w:p>
        </w:tc>
        <w:tc>
          <w:tcPr>
            <w:tcW w:w="778" w:type="dxa"/>
            <w:shd w:val="clear" w:color="auto" w:fill="auto"/>
            <w:vAlign w:val="bottom"/>
          </w:tcPr>
          <w:p w:rsidR="0091151B" w:rsidRPr="008502EB" w:rsidRDefault="0091151B" w:rsidP="003A6AB5">
            <w:pPr>
              <w:spacing w:after="0" w:line="240" w:lineRule="auto"/>
              <w:jc w:val="center"/>
              <w:rPr>
                <w:sz w:val="20"/>
                <w:szCs w:val="20"/>
              </w:rPr>
            </w:pPr>
            <w:r w:rsidRPr="008502EB">
              <w:rPr>
                <w:sz w:val="20"/>
                <w:szCs w:val="20"/>
              </w:rPr>
              <w:t>73%</w:t>
            </w:r>
          </w:p>
        </w:tc>
        <w:tc>
          <w:tcPr>
            <w:tcW w:w="779" w:type="dxa"/>
            <w:shd w:val="clear" w:color="auto" w:fill="auto"/>
            <w:vAlign w:val="bottom"/>
          </w:tcPr>
          <w:p w:rsidR="0091151B" w:rsidRPr="008502EB" w:rsidRDefault="0091151B" w:rsidP="003A6AB5">
            <w:pPr>
              <w:spacing w:after="0" w:line="240" w:lineRule="auto"/>
              <w:jc w:val="center"/>
              <w:rPr>
                <w:sz w:val="20"/>
                <w:szCs w:val="20"/>
              </w:rPr>
            </w:pPr>
            <w:r w:rsidRPr="008502EB">
              <w:rPr>
                <w:sz w:val="20"/>
                <w:szCs w:val="20"/>
              </w:rPr>
              <w:t>54%</w:t>
            </w:r>
          </w:p>
        </w:tc>
      </w:tr>
    </w:tbl>
    <w:p w:rsidR="00B12431" w:rsidRDefault="00B12431" w:rsidP="0091151B">
      <w:pPr>
        <w:spacing w:after="0" w:line="240" w:lineRule="auto"/>
        <w:rPr>
          <w:b/>
        </w:rPr>
      </w:pPr>
    </w:p>
    <w:p w:rsidR="001601B3" w:rsidRDefault="001601B3" w:rsidP="0091151B">
      <w:pPr>
        <w:spacing w:after="0" w:line="240" w:lineRule="auto"/>
        <w:rPr>
          <w:b/>
        </w:rPr>
      </w:pPr>
    </w:p>
    <w:p w:rsidR="0091151B" w:rsidRPr="008502EB" w:rsidRDefault="0091151B" w:rsidP="0091151B">
      <w:pPr>
        <w:spacing w:after="0" w:line="240" w:lineRule="auto"/>
        <w:rPr>
          <w:b/>
        </w:rPr>
      </w:pPr>
      <w:r w:rsidRPr="008502EB">
        <w:rPr>
          <w:b/>
        </w:rPr>
        <w:t xml:space="preserve">Between 2013 and 2016, science proficiency rates improved by 1 to 41 percentage points in 17 of 33 elementary schools with reportable </w:t>
      </w:r>
      <w:r>
        <w:rPr>
          <w:b/>
        </w:rPr>
        <w:t>data.</w:t>
      </w:r>
      <w:r w:rsidRPr="008502EB">
        <w:rPr>
          <w:b/>
        </w:rPr>
        <w:t xml:space="preserve"> Science proficiency improved by 2 percentage points in 1 of 4 middle schools and by 11 and 1 percentage poin</w:t>
      </w:r>
      <w:r>
        <w:rPr>
          <w:b/>
        </w:rPr>
        <w:t>ts in both middle-high schools.</w:t>
      </w:r>
      <w:r w:rsidRPr="008502EB">
        <w:rPr>
          <w:b/>
        </w:rPr>
        <w:t xml:space="preserve"> Science proficiency improved by 2 to 9 percentage points in 4 of 5 high schools.</w:t>
      </w:r>
    </w:p>
    <w:p w:rsidR="0091151B" w:rsidRPr="008502EB" w:rsidRDefault="0091151B" w:rsidP="0091151B">
      <w:pPr>
        <w:numPr>
          <w:ilvl w:val="0"/>
          <w:numId w:val="62"/>
        </w:numPr>
        <w:spacing w:after="0" w:line="240" w:lineRule="auto"/>
        <w:contextualSpacing/>
      </w:pPr>
      <w:r w:rsidRPr="008502EB">
        <w:t xml:space="preserve">Science proficiency rates for high needs students declined by 2 to 29 percentage points in 17 </w:t>
      </w:r>
      <w:r>
        <w:t>of</w:t>
      </w:r>
      <w:r w:rsidRPr="008502EB">
        <w:t xml:space="preserve"> 33 elementary schools with reportable data.  Science proficiency </w:t>
      </w:r>
      <w:r>
        <w:t xml:space="preserve">rates for high needs students </w:t>
      </w:r>
      <w:r w:rsidRPr="008502EB">
        <w:t xml:space="preserve">declined by 3 to 5 percentage points in 3 of 4 middle schools and improved by 1 percentage point in 1 middle-high school. </w:t>
      </w:r>
      <w:r>
        <w:t>S</w:t>
      </w:r>
      <w:r w:rsidRPr="008502EB">
        <w:t xml:space="preserve">cience proficiency </w:t>
      </w:r>
      <w:r>
        <w:t>rates for h</w:t>
      </w:r>
      <w:r w:rsidRPr="008502EB">
        <w:t>igh needs students declined by 2 to 3 percentage points in 4 of 5 high schools.</w:t>
      </w:r>
    </w:p>
    <w:p w:rsidR="0091151B" w:rsidRPr="008502EB" w:rsidRDefault="0091151B" w:rsidP="0091151B">
      <w:pPr>
        <w:numPr>
          <w:ilvl w:val="0"/>
          <w:numId w:val="62"/>
        </w:numPr>
        <w:spacing w:after="0" w:line="240" w:lineRule="auto"/>
        <w:contextualSpacing/>
      </w:pPr>
      <w:r w:rsidRPr="008502EB">
        <w:t>Science proficiency rates for English language learners improved by 2 to 53 percentage points in 14 of 25 elementary schools with reportable data.</w:t>
      </w:r>
      <w:r w:rsidRPr="008502EB">
        <w:rPr>
          <w:b/>
        </w:rPr>
        <w:t xml:space="preserve">  </w:t>
      </w:r>
      <w:r w:rsidRPr="008502EB">
        <w:t xml:space="preserve">Science proficiency </w:t>
      </w:r>
      <w:r>
        <w:t xml:space="preserve">rates for English language learners </w:t>
      </w:r>
      <w:r w:rsidRPr="008502EB">
        <w:t xml:space="preserve">declined by 2 to 7 percentage points in all 4 middle schools and in both middle-high schools.  </w:t>
      </w:r>
      <w:r>
        <w:t>S</w:t>
      </w:r>
      <w:r w:rsidRPr="008502EB">
        <w:t xml:space="preserve">cience proficiency </w:t>
      </w:r>
      <w:r>
        <w:t xml:space="preserve">rates for </w:t>
      </w:r>
      <w:r w:rsidRPr="008502EB">
        <w:t>English language learners declined by 4 to 18 percentage points in 3 of 5 high schools.</w:t>
      </w:r>
    </w:p>
    <w:p w:rsidR="0091151B" w:rsidRDefault="0091151B" w:rsidP="0091151B">
      <w:pPr>
        <w:numPr>
          <w:ilvl w:val="0"/>
          <w:numId w:val="62"/>
        </w:numPr>
        <w:spacing w:after="0" w:line="240" w:lineRule="auto"/>
        <w:contextualSpacing/>
      </w:pPr>
      <w:r w:rsidRPr="008502EB">
        <w:t xml:space="preserve">Science proficiency rates for students with disabilities declined by 1 to 20 percentage points in 5 of 12 elementary schools with reportable data. </w:t>
      </w:r>
      <w:r w:rsidRPr="00DB7E50">
        <w:rPr>
          <w:b/>
        </w:rPr>
        <w:t xml:space="preserve"> </w:t>
      </w:r>
      <w:r w:rsidRPr="008502EB">
        <w:t xml:space="preserve">Science proficiency </w:t>
      </w:r>
      <w:r>
        <w:t xml:space="preserve">rates for students with disabilities </w:t>
      </w:r>
      <w:r w:rsidRPr="008502EB">
        <w:t xml:space="preserve">declined by 2 and 3 percentage points in 2 of 4 middle schools and by 9 percentage points in </w:t>
      </w:r>
      <w:r>
        <w:t>1</w:t>
      </w:r>
      <w:r w:rsidRPr="008502EB">
        <w:t xml:space="preserve"> middle-high school. </w:t>
      </w:r>
      <w:r>
        <w:t>S</w:t>
      </w:r>
      <w:r w:rsidRPr="008502EB">
        <w:t xml:space="preserve">cience proficiency </w:t>
      </w:r>
      <w:r>
        <w:t>rates for s</w:t>
      </w:r>
      <w:r w:rsidRPr="008502EB">
        <w:t>tudents with disabilities improved by 4 to 15 percentage points in 3 of 5 high schools.</w:t>
      </w:r>
    </w:p>
    <w:p w:rsidR="0091151B" w:rsidRDefault="0091151B" w:rsidP="0091151B">
      <w:pPr>
        <w:spacing w:after="0" w:line="240" w:lineRule="auto"/>
        <w:contextualSpacing/>
      </w:pPr>
    </w:p>
    <w:p w:rsidR="0091151B" w:rsidRPr="00577069" w:rsidRDefault="0091151B" w:rsidP="0091151B">
      <w:pPr>
        <w:spacing w:after="0" w:line="240" w:lineRule="auto"/>
      </w:pPr>
      <w:r w:rsidRPr="00577069">
        <w:rPr>
          <w:b/>
        </w:rPr>
        <w:t>For science percent proficient or advanced by school and subgroup 2013–2016, see Appendix B, Table B5.</w:t>
      </w:r>
    </w:p>
    <w:p w:rsidR="0091151B" w:rsidRDefault="0091151B" w:rsidP="0091151B">
      <w:pPr>
        <w:spacing w:after="0" w:line="240" w:lineRule="auto"/>
        <w:contextualSpacing/>
      </w:pPr>
    </w:p>
    <w:p w:rsidR="0091151B" w:rsidRPr="00764408" w:rsidRDefault="0091151B" w:rsidP="00764408"/>
    <w:p w:rsidR="007C01ED" w:rsidRPr="006A15E3" w:rsidRDefault="00083AA1" w:rsidP="00AD2942">
      <w:pPr>
        <w:pStyle w:val="Section"/>
        <w:tabs>
          <w:tab w:val="left" w:pos="360"/>
          <w:tab w:val="left" w:pos="720"/>
          <w:tab w:val="left" w:pos="1080"/>
          <w:tab w:val="left" w:pos="1440"/>
          <w:tab w:val="left" w:pos="1800"/>
          <w:tab w:val="left" w:pos="2160"/>
          <w:tab w:val="left" w:pos="2520"/>
          <w:tab w:val="left" w:pos="2880"/>
        </w:tabs>
        <w:rPr>
          <w:szCs w:val="36"/>
        </w:rPr>
      </w:pPr>
      <w:bookmarkStart w:id="9" w:name="_Toc484611572"/>
      <w:bookmarkStart w:id="10" w:name="_Toc350870261"/>
      <w:r w:rsidRPr="006A15E3">
        <w:rPr>
          <w:szCs w:val="36"/>
        </w:rPr>
        <w:lastRenderedPageBreak/>
        <w:t>Leadership and Governance</w:t>
      </w:r>
      <w:bookmarkEnd w:id="9"/>
    </w:p>
    <w:p w:rsidR="006458FE" w:rsidRDefault="006458FE" w:rsidP="00AD2942">
      <w:pPr>
        <w:tabs>
          <w:tab w:val="left" w:pos="360"/>
          <w:tab w:val="left" w:pos="720"/>
          <w:tab w:val="left" w:pos="1080"/>
          <w:tab w:val="left" w:pos="1440"/>
          <w:tab w:val="left" w:pos="1800"/>
          <w:tab w:val="left" w:pos="2160"/>
        </w:tabs>
        <w:rPr>
          <w:b/>
          <w:i/>
          <w:sz w:val="28"/>
          <w:szCs w:val="28"/>
        </w:rPr>
      </w:pPr>
      <w:r w:rsidRPr="006A15E3">
        <w:rPr>
          <w:b/>
          <w:i/>
          <w:sz w:val="28"/>
          <w:szCs w:val="28"/>
        </w:rPr>
        <w:t>Contextual Background</w:t>
      </w:r>
    </w:p>
    <w:p w:rsidR="00D30C39" w:rsidRDefault="00D30C39" w:rsidP="00D30C39">
      <w:pPr>
        <w:rPr>
          <w:rFonts w:eastAsia="Times New Roman" w:cs="Times New Roman"/>
        </w:rPr>
      </w:pPr>
      <w:r w:rsidRPr="00F04EDB">
        <w:rPr>
          <w:rFonts w:cs="Arial"/>
        </w:rPr>
        <w:t>The superintendent was chosen in March 2016 from a field of four internal candidates. One of the oth</w:t>
      </w:r>
      <w:r>
        <w:rPr>
          <w:rFonts w:cs="Arial"/>
        </w:rPr>
        <w:t>er internal candidates was the chief academic officer who had been serving as interim s</w:t>
      </w:r>
      <w:r w:rsidRPr="00F04EDB">
        <w:rPr>
          <w:rFonts w:cs="Arial"/>
        </w:rPr>
        <w:t>uperintendent since the departure of the former superintendent in</w:t>
      </w:r>
      <w:r>
        <w:rPr>
          <w:rFonts w:cs="Arial"/>
        </w:rPr>
        <w:t xml:space="preserve"> the</w:t>
      </w:r>
      <w:r w:rsidRPr="00F04EDB">
        <w:rPr>
          <w:rFonts w:cs="Arial"/>
        </w:rPr>
        <w:t xml:space="preserve"> fall</w:t>
      </w:r>
      <w:r>
        <w:rPr>
          <w:rFonts w:cs="Arial"/>
        </w:rPr>
        <w:t xml:space="preserve"> of</w:t>
      </w:r>
      <w:r w:rsidRPr="00F04EDB">
        <w:rPr>
          <w:rFonts w:cs="Arial"/>
        </w:rPr>
        <w:t xml:space="preserve"> 2015 </w:t>
      </w:r>
      <w:r w:rsidRPr="009928D0">
        <w:rPr>
          <w:rFonts w:cs="Arial"/>
        </w:rPr>
        <w:t>after 6.5</w:t>
      </w:r>
      <w:r w:rsidRPr="00F04EDB">
        <w:rPr>
          <w:rFonts w:cs="Arial"/>
        </w:rPr>
        <w:t xml:space="preserve"> years in the district. The superintendent is a 41-year veteran teacher and administrator in the Worcester Public Schools, most recently having served as principal of South High School</w:t>
      </w:r>
      <w:r w:rsidRPr="00C85DEF">
        <w:rPr>
          <w:rFonts w:cs="Arial"/>
        </w:rPr>
        <w:t xml:space="preserve">. She directly supervises five administrators: </w:t>
      </w:r>
      <w:r>
        <w:rPr>
          <w:rFonts w:cs="Arial"/>
        </w:rPr>
        <w:t xml:space="preserve">the </w:t>
      </w:r>
      <w:r w:rsidRPr="00C85DEF">
        <w:rPr>
          <w:rFonts w:cs="Arial"/>
        </w:rPr>
        <w:t xml:space="preserve">chief academic officer, </w:t>
      </w:r>
      <w:r>
        <w:rPr>
          <w:rFonts w:cs="Arial"/>
        </w:rPr>
        <w:t xml:space="preserve">the </w:t>
      </w:r>
      <w:r w:rsidRPr="00C85DEF">
        <w:rPr>
          <w:rFonts w:cs="Arial"/>
        </w:rPr>
        <w:t xml:space="preserve">chief research and accountability officer, </w:t>
      </w:r>
      <w:r>
        <w:rPr>
          <w:rFonts w:cs="Arial"/>
        </w:rPr>
        <w:t xml:space="preserve">the </w:t>
      </w:r>
      <w:r w:rsidRPr="00C85DEF">
        <w:rPr>
          <w:rFonts w:cs="Arial"/>
        </w:rPr>
        <w:t xml:space="preserve">chief financial and operations officer, </w:t>
      </w:r>
      <w:r>
        <w:rPr>
          <w:rFonts w:cs="Arial"/>
        </w:rPr>
        <w:t xml:space="preserve">the </w:t>
      </w:r>
      <w:r w:rsidRPr="00C85DEF">
        <w:rPr>
          <w:rFonts w:cs="Arial"/>
        </w:rPr>
        <w:t>chief human resources</w:t>
      </w:r>
      <w:r>
        <w:rPr>
          <w:rFonts w:cs="Arial"/>
        </w:rPr>
        <w:t xml:space="preserve"> officer</w:t>
      </w:r>
      <w:r w:rsidRPr="00C85DEF">
        <w:rPr>
          <w:rFonts w:cs="Arial"/>
        </w:rPr>
        <w:t xml:space="preserve">, and </w:t>
      </w:r>
      <w:r>
        <w:rPr>
          <w:rFonts w:cs="Arial"/>
        </w:rPr>
        <w:t xml:space="preserve">the </w:t>
      </w:r>
      <w:r w:rsidRPr="00C85DEF">
        <w:rPr>
          <w:rFonts w:cs="Arial"/>
        </w:rPr>
        <w:t>school safety director.</w:t>
      </w:r>
      <w:r>
        <w:rPr>
          <w:rFonts w:cs="Arial"/>
        </w:rPr>
        <w:t xml:space="preserve"> </w:t>
      </w:r>
      <w:r>
        <w:rPr>
          <w:rFonts w:eastAsia="Times New Roman" w:cs="Times New Roman"/>
        </w:rPr>
        <w:t>T</w:t>
      </w:r>
      <w:r w:rsidRPr="006E76BE">
        <w:rPr>
          <w:rFonts w:eastAsia="Times New Roman" w:cs="Times New Roman"/>
        </w:rPr>
        <w:t>he superintendent is participating in the New Superintendent Induction Program</w:t>
      </w:r>
      <w:r w:rsidRPr="00B10A21">
        <w:rPr>
          <w:rFonts w:eastAsia="Times New Roman" w:cs="Times New Roman"/>
        </w:rPr>
        <w:t>, a three</w:t>
      </w:r>
      <w:r>
        <w:rPr>
          <w:rFonts w:eastAsia="Times New Roman" w:cs="Times New Roman"/>
        </w:rPr>
        <w:t>-</w:t>
      </w:r>
      <w:r w:rsidRPr="00B10A21">
        <w:rPr>
          <w:rFonts w:eastAsia="Times New Roman" w:cs="Times New Roman"/>
        </w:rPr>
        <w:t>year program</w:t>
      </w:r>
      <w:r>
        <w:rPr>
          <w:rFonts w:eastAsia="Times New Roman" w:cs="Times New Roman"/>
        </w:rPr>
        <w:t xml:space="preserve"> that provides professional development and coaching </w:t>
      </w:r>
      <w:r w:rsidRPr="006E76BE">
        <w:rPr>
          <w:rFonts w:eastAsia="Times New Roman" w:cs="Times New Roman"/>
        </w:rPr>
        <w:t>focuse</w:t>
      </w:r>
      <w:r>
        <w:rPr>
          <w:rFonts w:eastAsia="Times New Roman" w:cs="Times New Roman"/>
        </w:rPr>
        <w:t>d</w:t>
      </w:r>
      <w:r w:rsidRPr="006E76BE">
        <w:rPr>
          <w:rFonts w:eastAsia="Times New Roman" w:cs="Times New Roman"/>
        </w:rPr>
        <w:t xml:space="preserve"> on entry planning, team building, strategy development and robust supervision and evaluation.</w:t>
      </w:r>
      <w:r>
        <w:rPr>
          <w:rStyle w:val="FootnoteReference"/>
          <w:rFonts w:eastAsia="Times New Roman" w:cs="Times New Roman"/>
        </w:rPr>
        <w:footnoteReference w:id="8"/>
      </w:r>
    </w:p>
    <w:p w:rsidR="00D30C39" w:rsidRPr="00F04EDB" w:rsidRDefault="00D30C39" w:rsidP="00D30C39">
      <w:r>
        <w:rPr>
          <w:rFonts w:cs="Arial"/>
        </w:rPr>
        <w:t xml:space="preserve">Worcester </w:t>
      </w:r>
      <w:r w:rsidRPr="00F04EDB">
        <w:rPr>
          <w:rFonts w:cs="Arial"/>
        </w:rPr>
        <w:t>schools are divided into four geographic “quadrants</w:t>
      </w:r>
      <w:r w:rsidR="005D0618">
        <w:rPr>
          <w:rFonts w:cs="Arial"/>
        </w:rPr>
        <w:t>,</w:t>
      </w:r>
      <w:r w:rsidRPr="00F04EDB">
        <w:rPr>
          <w:rFonts w:cs="Arial"/>
        </w:rPr>
        <w:t xml:space="preserve">” each of which once had </w:t>
      </w:r>
      <w:r>
        <w:rPr>
          <w:rFonts w:cs="Arial"/>
        </w:rPr>
        <w:t>its</w:t>
      </w:r>
      <w:r w:rsidRPr="00F04EDB">
        <w:rPr>
          <w:rFonts w:cs="Arial"/>
        </w:rPr>
        <w:t xml:space="preserve"> own “quadrant manager</w:t>
      </w:r>
      <w:r>
        <w:rPr>
          <w:rFonts w:cs="Arial"/>
        </w:rPr>
        <w:t xml:space="preserve">.” </w:t>
      </w:r>
      <w:r w:rsidRPr="00F04EDB">
        <w:rPr>
          <w:rFonts w:cs="Arial"/>
        </w:rPr>
        <w:t>In recent years</w:t>
      </w:r>
      <w:r w:rsidR="00332703">
        <w:rPr>
          <w:rFonts w:cs="Arial"/>
        </w:rPr>
        <w:t>,</w:t>
      </w:r>
      <w:r w:rsidRPr="00F04EDB">
        <w:rPr>
          <w:rFonts w:cs="Arial"/>
        </w:rPr>
        <w:t xml:space="preserve"> reductions in administrative positions at</w:t>
      </w:r>
      <w:r>
        <w:rPr>
          <w:rFonts w:cs="Arial"/>
        </w:rPr>
        <w:t xml:space="preserve"> the</w:t>
      </w:r>
      <w:r w:rsidRPr="00F04EDB">
        <w:rPr>
          <w:rFonts w:cs="Arial"/>
        </w:rPr>
        <w:t xml:space="preserve"> central office meant that only two managers had responsibility for supervising and evaluating the principals in all four quadrants</w:t>
      </w:r>
      <w:r w:rsidR="00573281">
        <w:rPr>
          <w:rFonts w:cs="Arial"/>
        </w:rPr>
        <w:t xml:space="preserve"> and for Pre-K–12 curriculum development</w:t>
      </w:r>
      <w:r w:rsidRPr="00F04EDB">
        <w:rPr>
          <w:rFonts w:cs="Arial"/>
        </w:rPr>
        <w:t xml:space="preserve">. The superintendent has reallocated resources to restore </w:t>
      </w:r>
      <w:r>
        <w:rPr>
          <w:rFonts w:cs="Arial"/>
        </w:rPr>
        <w:t xml:space="preserve">managers’ positions </w:t>
      </w:r>
      <w:r w:rsidRPr="00F04EDB">
        <w:rPr>
          <w:rFonts w:cs="Arial"/>
        </w:rPr>
        <w:t xml:space="preserve">and </w:t>
      </w:r>
      <w:r>
        <w:rPr>
          <w:rFonts w:cs="Arial"/>
        </w:rPr>
        <w:t xml:space="preserve">to </w:t>
      </w:r>
      <w:r w:rsidRPr="00F04EDB">
        <w:rPr>
          <w:rFonts w:cs="Arial"/>
        </w:rPr>
        <w:t xml:space="preserve">reorganize these and other positions critical for advancing teaching and learning in the district. </w:t>
      </w:r>
      <w:r>
        <w:rPr>
          <w:rFonts w:cs="Arial"/>
        </w:rPr>
        <w:t>T</w:t>
      </w:r>
      <w:r w:rsidRPr="00F04EDB">
        <w:rPr>
          <w:rFonts w:cs="Arial"/>
        </w:rPr>
        <w:t xml:space="preserve">he </w:t>
      </w:r>
      <w:r>
        <w:rPr>
          <w:rFonts w:cs="Arial"/>
        </w:rPr>
        <w:t>newly reorganized positions are</w:t>
      </w:r>
      <w:r w:rsidR="0021439D">
        <w:rPr>
          <w:rFonts w:cs="Arial"/>
        </w:rPr>
        <w:t xml:space="preserve"> </w:t>
      </w:r>
      <w:r>
        <w:rPr>
          <w:rFonts w:cs="Arial"/>
        </w:rPr>
        <w:t>three</w:t>
      </w:r>
      <w:r w:rsidRPr="00F04EDB">
        <w:rPr>
          <w:rFonts w:cs="Arial"/>
        </w:rPr>
        <w:t xml:space="preserve"> managers </w:t>
      </w:r>
      <w:r w:rsidR="00AF1DA3">
        <w:rPr>
          <w:rFonts w:cs="Arial"/>
        </w:rPr>
        <w:t>of</w:t>
      </w:r>
      <w:r w:rsidR="00AF1DA3" w:rsidRPr="00F04EDB">
        <w:rPr>
          <w:rFonts w:cs="Arial"/>
        </w:rPr>
        <w:t xml:space="preserve"> </w:t>
      </w:r>
      <w:r w:rsidRPr="00F04EDB">
        <w:rPr>
          <w:rFonts w:cs="Arial"/>
        </w:rPr>
        <w:t>instruction and school leadership (</w:t>
      </w:r>
      <w:r>
        <w:rPr>
          <w:rFonts w:cs="Arial"/>
        </w:rPr>
        <w:t xml:space="preserve">two for the </w:t>
      </w:r>
      <w:r w:rsidRPr="00F04EDB">
        <w:rPr>
          <w:rFonts w:cs="Arial"/>
        </w:rPr>
        <w:t>elementary</w:t>
      </w:r>
      <w:r>
        <w:rPr>
          <w:rFonts w:cs="Arial"/>
        </w:rPr>
        <w:t xml:space="preserve"> level and one for the secondary level</w:t>
      </w:r>
      <w:r w:rsidRPr="00F04EDB">
        <w:rPr>
          <w:rFonts w:cs="Arial"/>
        </w:rPr>
        <w:t>)</w:t>
      </w:r>
      <w:r>
        <w:rPr>
          <w:rFonts w:cs="Arial"/>
        </w:rPr>
        <w:t xml:space="preserve"> and one</w:t>
      </w:r>
      <w:r w:rsidRPr="00F04EDB">
        <w:rPr>
          <w:rFonts w:cs="Arial"/>
        </w:rPr>
        <w:t xml:space="preserve"> manager of curriculum and learning. While these managers report directly to the chief academic officer, the superintendent is working directly with them to achieve her </w:t>
      </w:r>
      <w:r w:rsidR="005D0618">
        <w:rPr>
          <w:rFonts w:cs="Arial"/>
        </w:rPr>
        <w:t>goal</w:t>
      </w:r>
      <w:r w:rsidR="005D0618" w:rsidRPr="00F04EDB">
        <w:rPr>
          <w:rFonts w:cs="Arial"/>
        </w:rPr>
        <w:t xml:space="preserve"> </w:t>
      </w:r>
      <w:r w:rsidRPr="00F04EDB">
        <w:rPr>
          <w:rFonts w:cs="Arial"/>
        </w:rPr>
        <w:t xml:space="preserve">of focusing their work and the work of other district office staff on supporting the work of principals. </w:t>
      </w:r>
    </w:p>
    <w:p w:rsidR="006458FE" w:rsidRPr="00F04EDB" w:rsidRDefault="006458FE" w:rsidP="00AD2942">
      <w:pPr>
        <w:rPr>
          <w:rFonts w:cs="Arial"/>
        </w:rPr>
      </w:pPr>
      <w:r w:rsidRPr="00F04EDB">
        <w:rPr>
          <w:rFonts w:cs="Arial"/>
        </w:rPr>
        <w:t>The Education</w:t>
      </w:r>
      <w:r w:rsidR="0079470A">
        <w:rPr>
          <w:rFonts w:cs="Arial"/>
        </w:rPr>
        <w:t>al</w:t>
      </w:r>
      <w:r w:rsidRPr="00F04EDB">
        <w:rPr>
          <w:rFonts w:cs="Arial"/>
        </w:rPr>
        <w:t xml:space="preserve"> Association of Worcester (EAW) represents all professional and clerical staff except principals and </w:t>
      </w:r>
      <w:r w:rsidR="00D64EF1">
        <w:rPr>
          <w:rFonts w:cs="Arial"/>
        </w:rPr>
        <w:t>some</w:t>
      </w:r>
      <w:r w:rsidR="00D64EF1" w:rsidRPr="00F04EDB">
        <w:rPr>
          <w:rFonts w:cs="Arial"/>
        </w:rPr>
        <w:t xml:space="preserve"> </w:t>
      </w:r>
      <w:r w:rsidRPr="00F04EDB">
        <w:rPr>
          <w:rFonts w:cs="Arial"/>
        </w:rPr>
        <w:t xml:space="preserve">district office administrators. The EAW plays a significant role </w:t>
      </w:r>
      <w:r w:rsidR="00983ADD">
        <w:rPr>
          <w:rFonts w:cs="Arial"/>
        </w:rPr>
        <w:t xml:space="preserve">in the district, seeing its responsibility as </w:t>
      </w:r>
      <w:r w:rsidR="00D64EF1">
        <w:rPr>
          <w:rFonts w:cs="Arial"/>
        </w:rPr>
        <w:t xml:space="preserve">advocating </w:t>
      </w:r>
      <w:r w:rsidR="00983ADD">
        <w:rPr>
          <w:rFonts w:cs="Arial"/>
        </w:rPr>
        <w:t>for association</w:t>
      </w:r>
      <w:r w:rsidRPr="00F04EDB">
        <w:rPr>
          <w:rFonts w:cs="Arial"/>
        </w:rPr>
        <w:t xml:space="preserve"> members and ensuring that </w:t>
      </w:r>
      <w:r w:rsidR="00D3573A">
        <w:rPr>
          <w:rFonts w:cs="Arial"/>
        </w:rPr>
        <w:t>collective bargaining</w:t>
      </w:r>
      <w:r w:rsidR="00D3573A" w:rsidRPr="00F04EDB">
        <w:rPr>
          <w:rFonts w:cs="Arial"/>
        </w:rPr>
        <w:t xml:space="preserve"> </w:t>
      </w:r>
      <w:r w:rsidRPr="00F04EDB">
        <w:rPr>
          <w:rFonts w:cs="Arial"/>
        </w:rPr>
        <w:t xml:space="preserve">agreements are followed in all instances. It had a contested election in spring 2016, choosing new leadership over a president who had served for six years. In December 2016 </w:t>
      </w:r>
      <w:r w:rsidR="00D3573A">
        <w:rPr>
          <w:rFonts w:cs="Arial"/>
        </w:rPr>
        <w:t>association</w:t>
      </w:r>
      <w:r w:rsidR="00D3573A" w:rsidRPr="00F04EDB">
        <w:rPr>
          <w:rFonts w:cs="Arial"/>
        </w:rPr>
        <w:t xml:space="preserve"> </w:t>
      </w:r>
      <w:r w:rsidRPr="00F04EDB">
        <w:rPr>
          <w:rFonts w:cs="Arial"/>
        </w:rPr>
        <w:t xml:space="preserve">leaders reported 20 outstanding grievances and more than 16 “attorney assignments” including arbitrations and an unfair labor practice case.  </w:t>
      </w:r>
      <w:r w:rsidR="00A332D2">
        <w:rPr>
          <w:rFonts w:cs="Arial"/>
        </w:rPr>
        <w:t xml:space="preserve">Also, </w:t>
      </w:r>
      <w:r w:rsidR="00A332D2" w:rsidRPr="00F04EDB">
        <w:rPr>
          <w:rFonts w:cs="Arial"/>
        </w:rPr>
        <w:t>in December</w:t>
      </w:r>
      <w:r w:rsidR="00A332D2">
        <w:rPr>
          <w:rFonts w:cs="Arial"/>
        </w:rPr>
        <w:t xml:space="preserve"> 2016 t</w:t>
      </w:r>
      <w:r w:rsidR="00A332D2" w:rsidRPr="00F04EDB">
        <w:rPr>
          <w:rFonts w:cs="Arial"/>
        </w:rPr>
        <w:t xml:space="preserve">he </w:t>
      </w:r>
      <w:r w:rsidRPr="00F04EDB">
        <w:rPr>
          <w:rFonts w:cs="Arial"/>
        </w:rPr>
        <w:t xml:space="preserve">faculties at two schools took votes of </w:t>
      </w:r>
      <w:r w:rsidR="00171136">
        <w:rPr>
          <w:rFonts w:cs="Arial"/>
        </w:rPr>
        <w:t>“</w:t>
      </w:r>
      <w:r w:rsidRPr="00F04EDB">
        <w:rPr>
          <w:rFonts w:cs="Arial"/>
        </w:rPr>
        <w:t>no confidence</w:t>
      </w:r>
      <w:r w:rsidR="00171136">
        <w:rPr>
          <w:rFonts w:cs="Arial"/>
        </w:rPr>
        <w:t>”</w:t>
      </w:r>
      <w:r w:rsidRPr="00F04EDB">
        <w:rPr>
          <w:rFonts w:cs="Arial"/>
        </w:rPr>
        <w:t xml:space="preserve"> in two principals.</w:t>
      </w:r>
    </w:p>
    <w:p w:rsidR="006458FE" w:rsidRDefault="006458FE" w:rsidP="00AD2942"/>
    <w:p w:rsidR="00086B4D" w:rsidRDefault="00086B4D" w:rsidP="00AD2942"/>
    <w:p w:rsidR="00086B4D" w:rsidRPr="00F04EDB" w:rsidRDefault="00086B4D" w:rsidP="00AD2942"/>
    <w:p w:rsidR="006458FE" w:rsidRPr="0006114C" w:rsidRDefault="0047041E" w:rsidP="006458FE">
      <w:pPr>
        <w:tabs>
          <w:tab w:val="left" w:pos="360"/>
          <w:tab w:val="left" w:pos="720"/>
          <w:tab w:val="left" w:pos="1080"/>
          <w:tab w:val="left" w:pos="1440"/>
          <w:tab w:val="left" w:pos="1800"/>
          <w:tab w:val="left" w:pos="2160"/>
        </w:tabs>
        <w:rPr>
          <w:b/>
          <w:sz w:val="28"/>
          <w:szCs w:val="28"/>
        </w:rPr>
      </w:pPr>
      <w:r w:rsidRPr="0047041E">
        <w:rPr>
          <w:b/>
          <w:sz w:val="28"/>
          <w:szCs w:val="28"/>
        </w:rPr>
        <w:lastRenderedPageBreak/>
        <w:t>Strength Finding</w:t>
      </w:r>
    </w:p>
    <w:p w:rsidR="006458FE" w:rsidRPr="00F04EDB" w:rsidRDefault="006458FE" w:rsidP="00086B4D">
      <w:pPr>
        <w:pStyle w:val="NormalWeb"/>
        <w:numPr>
          <w:ilvl w:val="0"/>
          <w:numId w:val="3"/>
        </w:numPr>
        <w:spacing w:before="0" w:beforeAutospacing="0" w:after="200" w:afterAutospacing="0" w:line="276" w:lineRule="auto"/>
        <w:ind w:left="360"/>
        <w:rPr>
          <w:rFonts w:asciiTheme="minorHAnsi" w:hAnsiTheme="minorHAnsi"/>
          <w:b/>
          <w:sz w:val="22"/>
          <w:szCs w:val="22"/>
        </w:rPr>
      </w:pPr>
      <w:r w:rsidRPr="00F04EDB">
        <w:rPr>
          <w:rFonts w:asciiTheme="minorHAnsi" w:hAnsiTheme="minorHAnsi"/>
          <w:b/>
          <w:sz w:val="22"/>
          <w:szCs w:val="22"/>
        </w:rPr>
        <w:t xml:space="preserve">The superintendent’s reorganization of </w:t>
      </w:r>
      <w:r w:rsidR="009D030F">
        <w:rPr>
          <w:rFonts w:asciiTheme="minorHAnsi" w:hAnsiTheme="minorHAnsi"/>
          <w:b/>
          <w:sz w:val="22"/>
          <w:szCs w:val="22"/>
        </w:rPr>
        <w:t>district resources</w:t>
      </w:r>
      <w:r w:rsidR="00E2525C">
        <w:rPr>
          <w:rFonts w:asciiTheme="minorHAnsi" w:hAnsiTheme="minorHAnsi"/>
          <w:b/>
          <w:sz w:val="22"/>
          <w:szCs w:val="22"/>
        </w:rPr>
        <w:t xml:space="preserve"> and leadership positions</w:t>
      </w:r>
      <w:r w:rsidRPr="00F04EDB">
        <w:rPr>
          <w:rFonts w:asciiTheme="minorHAnsi" w:hAnsiTheme="minorHAnsi"/>
          <w:b/>
          <w:sz w:val="22"/>
          <w:szCs w:val="22"/>
        </w:rPr>
        <w:t xml:space="preserve">, </w:t>
      </w:r>
      <w:r w:rsidR="00E2525C">
        <w:rPr>
          <w:rFonts w:asciiTheme="minorHAnsi" w:hAnsiTheme="minorHAnsi"/>
          <w:b/>
          <w:sz w:val="22"/>
          <w:szCs w:val="22"/>
        </w:rPr>
        <w:t>along with associated changes in practice, have made support for teaching and learning more focused and systematic.</w:t>
      </w:r>
      <w:r w:rsidRPr="00F04EDB">
        <w:rPr>
          <w:rFonts w:asciiTheme="minorHAnsi" w:hAnsiTheme="minorHAnsi"/>
          <w:b/>
          <w:sz w:val="22"/>
          <w:szCs w:val="22"/>
        </w:rPr>
        <w:t xml:space="preserve"> </w:t>
      </w:r>
    </w:p>
    <w:p w:rsidR="006458FE" w:rsidRPr="00F04EDB" w:rsidRDefault="00126256" w:rsidP="00086B4D">
      <w:pPr>
        <w:pStyle w:val="NormalWeb"/>
        <w:numPr>
          <w:ilvl w:val="1"/>
          <w:numId w:val="3"/>
        </w:numPr>
        <w:spacing w:before="0" w:beforeAutospacing="0" w:after="200" w:afterAutospacing="0" w:line="276" w:lineRule="auto"/>
        <w:ind w:left="720"/>
        <w:rPr>
          <w:rFonts w:asciiTheme="minorHAnsi" w:hAnsiTheme="minorHAnsi"/>
          <w:sz w:val="22"/>
          <w:szCs w:val="22"/>
        </w:rPr>
      </w:pPr>
      <w:r>
        <w:rPr>
          <w:rFonts w:asciiTheme="minorHAnsi" w:hAnsiTheme="minorHAnsi"/>
          <w:sz w:val="22"/>
          <w:szCs w:val="22"/>
        </w:rPr>
        <w:t>The superintendent sought to bring greater direction and coordination for curriculum improvement efforts by combining responsibility for curriculum and professional development in the new position of manager of curriculum and learning.</w:t>
      </w:r>
    </w:p>
    <w:p w:rsidR="0047041E" w:rsidRDefault="006C468C" w:rsidP="00086B4D">
      <w:pPr>
        <w:pStyle w:val="NormalWeb"/>
        <w:tabs>
          <w:tab w:val="left" w:pos="360"/>
          <w:tab w:val="left" w:pos="720"/>
          <w:tab w:val="left" w:pos="1080"/>
        </w:tabs>
        <w:spacing w:before="0" w:beforeAutospacing="0" w:after="200" w:afterAutospacing="0" w:line="276" w:lineRule="auto"/>
        <w:ind w:left="1080" w:hanging="1080"/>
        <w:rPr>
          <w:rFonts w:asciiTheme="minorHAnsi" w:hAnsiTheme="minorHAnsi"/>
          <w:sz w:val="22"/>
          <w:szCs w:val="22"/>
        </w:rPr>
      </w:pPr>
      <w:r>
        <w:rPr>
          <w:rFonts w:asciiTheme="minorHAnsi" w:hAnsiTheme="minorHAnsi"/>
          <w:sz w:val="22"/>
          <w:szCs w:val="22"/>
        </w:rPr>
        <w:tab/>
      </w:r>
      <w:r w:rsidR="00AF1DA3">
        <w:rPr>
          <w:rFonts w:asciiTheme="minorHAnsi" w:hAnsiTheme="minorHAnsi"/>
          <w:sz w:val="22"/>
          <w:szCs w:val="22"/>
        </w:rPr>
        <w:tab/>
      </w:r>
      <w:r>
        <w:rPr>
          <w:rFonts w:asciiTheme="minorHAnsi" w:hAnsiTheme="minorHAnsi"/>
          <w:sz w:val="22"/>
          <w:szCs w:val="22"/>
        </w:rPr>
        <w:t>1.</w:t>
      </w:r>
      <w:r>
        <w:rPr>
          <w:rFonts w:asciiTheme="minorHAnsi" w:hAnsiTheme="minorHAnsi"/>
          <w:sz w:val="22"/>
          <w:szCs w:val="22"/>
        </w:rPr>
        <w:tab/>
      </w:r>
      <w:r w:rsidR="006458FE" w:rsidRPr="00F04EDB">
        <w:rPr>
          <w:rFonts w:asciiTheme="minorHAnsi" w:hAnsiTheme="minorHAnsi"/>
          <w:sz w:val="22"/>
          <w:szCs w:val="22"/>
        </w:rPr>
        <w:t>This manager has responsibility to direct, coordinate</w:t>
      </w:r>
      <w:r w:rsidR="007229CD">
        <w:rPr>
          <w:rFonts w:asciiTheme="minorHAnsi" w:hAnsiTheme="minorHAnsi"/>
          <w:sz w:val="22"/>
          <w:szCs w:val="22"/>
        </w:rPr>
        <w:t>,</w:t>
      </w:r>
      <w:r w:rsidR="006458FE" w:rsidRPr="00F04EDB">
        <w:rPr>
          <w:rFonts w:asciiTheme="minorHAnsi" w:hAnsiTheme="minorHAnsi"/>
          <w:sz w:val="22"/>
          <w:szCs w:val="22"/>
        </w:rPr>
        <w:t xml:space="preserve"> and support the work of </w:t>
      </w:r>
      <w:r w:rsidR="00772739">
        <w:rPr>
          <w:rFonts w:asciiTheme="minorHAnsi" w:hAnsiTheme="minorHAnsi"/>
          <w:sz w:val="22"/>
          <w:szCs w:val="22"/>
        </w:rPr>
        <w:t xml:space="preserve">11 </w:t>
      </w:r>
      <w:r w:rsidR="00210A4D">
        <w:rPr>
          <w:rFonts w:asciiTheme="minorHAnsi" w:hAnsiTheme="minorHAnsi"/>
          <w:sz w:val="22"/>
          <w:szCs w:val="22"/>
        </w:rPr>
        <w:t>academic</w:t>
      </w:r>
      <w:r w:rsidR="00210A4D" w:rsidRPr="00F04EDB">
        <w:rPr>
          <w:rFonts w:asciiTheme="minorHAnsi" w:hAnsiTheme="minorHAnsi"/>
          <w:sz w:val="22"/>
          <w:szCs w:val="22"/>
        </w:rPr>
        <w:t xml:space="preserve"> </w:t>
      </w:r>
      <w:r w:rsidR="006458FE" w:rsidRPr="00F04EDB">
        <w:rPr>
          <w:rFonts w:asciiTheme="minorHAnsi" w:hAnsiTheme="minorHAnsi"/>
          <w:sz w:val="22"/>
          <w:szCs w:val="22"/>
        </w:rPr>
        <w:t>liaisons.</w:t>
      </w:r>
    </w:p>
    <w:p w:rsidR="006458FE" w:rsidRPr="00F04EDB" w:rsidRDefault="006458FE" w:rsidP="00086B4D">
      <w:pPr>
        <w:pStyle w:val="NormalWeb"/>
        <w:numPr>
          <w:ilvl w:val="3"/>
          <w:numId w:val="3"/>
        </w:numPr>
        <w:spacing w:before="0" w:beforeAutospacing="0" w:after="200" w:afterAutospacing="0" w:line="276" w:lineRule="auto"/>
        <w:ind w:left="1440"/>
        <w:rPr>
          <w:rFonts w:asciiTheme="minorHAnsi" w:hAnsiTheme="minorHAnsi"/>
          <w:sz w:val="22"/>
          <w:szCs w:val="22"/>
        </w:rPr>
      </w:pPr>
      <w:r w:rsidRPr="00F04EDB">
        <w:rPr>
          <w:rFonts w:asciiTheme="minorHAnsi" w:hAnsiTheme="minorHAnsi"/>
          <w:sz w:val="22"/>
          <w:szCs w:val="22"/>
        </w:rPr>
        <w:t>School leaders report</w:t>
      </w:r>
      <w:r w:rsidR="007229CD">
        <w:rPr>
          <w:rFonts w:asciiTheme="minorHAnsi" w:hAnsiTheme="minorHAnsi"/>
          <w:sz w:val="22"/>
          <w:szCs w:val="22"/>
        </w:rPr>
        <w:t>ed</w:t>
      </w:r>
      <w:r w:rsidRPr="00F04EDB">
        <w:rPr>
          <w:rFonts w:asciiTheme="minorHAnsi" w:hAnsiTheme="minorHAnsi"/>
          <w:sz w:val="22"/>
          <w:szCs w:val="22"/>
        </w:rPr>
        <w:t xml:space="preserve"> that </w:t>
      </w:r>
      <w:r w:rsidR="00210A4D">
        <w:rPr>
          <w:rFonts w:asciiTheme="minorHAnsi" w:hAnsiTheme="minorHAnsi"/>
          <w:sz w:val="22"/>
          <w:szCs w:val="22"/>
        </w:rPr>
        <w:t>academic</w:t>
      </w:r>
      <w:r w:rsidR="00210A4D" w:rsidRPr="00F04EDB">
        <w:rPr>
          <w:rFonts w:asciiTheme="minorHAnsi" w:hAnsiTheme="minorHAnsi"/>
          <w:sz w:val="22"/>
          <w:szCs w:val="22"/>
        </w:rPr>
        <w:t xml:space="preserve"> </w:t>
      </w:r>
      <w:r w:rsidRPr="00F04EDB">
        <w:rPr>
          <w:rFonts w:asciiTheme="minorHAnsi" w:hAnsiTheme="minorHAnsi"/>
          <w:sz w:val="22"/>
          <w:szCs w:val="22"/>
        </w:rPr>
        <w:t xml:space="preserve">liaisons are spending more time in schools and are </w:t>
      </w:r>
      <w:r w:rsidR="009D030F" w:rsidRPr="00F04EDB">
        <w:rPr>
          <w:rFonts w:asciiTheme="minorHAnsi" w:hAnsiTheme="minorHAnsi"/>
          <w:sz w:val="22"/>
          <w:szCs w:val="22"/>
        </w:rPr>
        <w:t>help</w:t>
      </w:r>
      <w:r w:rsidR="009D030F">
        <w:rPr>
          <w:rFonts w:asciiTheme="minorHAnsi" w:hAnsiTheme="minorHAnsi"/>
          <w:sz w:val="22"/>
          <w:szCs w:val="22"/>
        </w:rPr>
        <w:t>ing</w:t>
      </w:r>
      <w:r w:rsidR="009D030F" w:rsidRPr="00F04EDB">
        <w:rPr>
          <w:rFonts w:asciiTheme="minorHAnsi" w:hAnsiTheme="minorHAnsi"/>
          <w:sz w:val="22"/>
          <w:szCs w:val="22"/>
        </w:rPr>
        <w:t xml:space="preserve"> </w:t>
      </w:r>
      <w:r w:rsidRPr="00F04EDB">
        <w:rPr>
          <w:rFonts w:asciiTheme="minorHAnsi" w:hAnsiTheme="minorHAnsi"/>
          <w:sz w:val="22"/>
          <w:szCs w:val="22"/>
        </w:rPr>
        <w:t xml:space="preserve">principals, coaches, and teachers. </w:t>
      </w:r>
    </w:p>
    <w:p w:rsidR="0047041E" w:rsidRDefault="00E82C9B" w:rsidP="00086B4D">
      <w:pPr>
        <w:pStyle w:val="NormalWeb"/>
        <w:tabs>
          <w:tab w:val="left" w:pos="360"/>
          <w:tab w:val="left" w:pos="720"/>
          <w:tab w:val="left" w:pos="1080"/>
          <w:tab w:val="left" w:pos="1440"/>
        </w:tabs>
        <w:spacing w:before="0" w:beforeAutospacing="0" w:after="200" w:afterAutospacing="0" w:line="276" w:lineRule="auto"/>
        <w:ind w:left="720" w:hanging="720"/>
        <w:rPr>
          <w:rFonts w:asciiTheme="minorHAnsi" w:hAnsiTheme="minorHAnsi"/>
          <w:sz w:val="22"/>
          <w:szCs w:val="22"/>
        </w:rPr>
      </w:pPr>
      <w:r>
        <w:rPr>
          <w:rFonts w:asciiTheme="minorHAnsi" w:hAnsiTheme="minorHAnsi"/>
          <w:b/>
          <w:sz w:val="22"/>
          <w:szCs w:val="22"/>
        </w:rPr>
        <w:tab/>
      </w:r>
      <w:r w:rsidR="00EA1B90">
        <w:rPr>
          <w:rFonts w:asciiTheme="minorHAnsi" w:hAnsiTheme="minorHAnsi"/>
          <w:b/>
          <w:sz w:val="22"/>
          <w:szCs w:val="22"/>
        </w:rPr>
        <w:t>B</w:t>
      </w:r>
      <w:r w:rsidR="0047041E" w:rsidRPr="0047041E">
        <w:rPr>
          <w:rFonts w:asciiTheme="minorHAnsi" w:hAnsiTheme="minorHAnsi"/>
          <w:b/>
          <w:sz w:val="22"/>
          <w:szCs w:val="22"/>
        </w:rPr>
        <w:t>.</w:t>
      </w:r>
      <w:r w:rsidR="006C468C">
        <w:rPr>
          <w:rFonts w:asciiTheme="minorHAnsi" w:hAnsiTheme="minorHAnsi"/>
          <w:b/>
          <w:sz w:val="22"/>
          <w:szCs w:val="22"/>
        </w:rPr>
        <w:tab/>
      </w:r>
      <w:r w:rsidR="006458FE" w:rsidRPr="00F04EDB">
        <w:rPr>
          <w:rFonts w:asciiTheme="minorHAnsi" w:hAnsiTheme="minorHAnsi"/>
          <w:sz w:val="22"/>
          <w:szCs w:val="22"/>
        </w:rPr>
        <w:t>The superintendent sought to provide greater direction and support for principals by expanding the number of “quadrant managers” from two K</w:t>
      </w:r>
      <w:r w:rsidR="00BD25DB">
        <w:rPr>
          <w:rFonts w:asciiTheme="minorHAnsi" w:hAnsiTheme="minorHAnsi"/>
          <w:sz w:val="22"/>
          <w:szCs w:val="22"/>
        </w:rPr>
        <w:t>–</w:t>
      </w:r>
      <w:r w:rsidR="006458FE" w:rsidRPr="00F04EDB">
        <w:rPr>
          <w:rFonts w:asciiTheme="minorHAnsi" w:hAnsiTheme="minorHAnsi"/>
          <w:sz w:val="22"/>
          <w:szCs w:val="22"/>
        </w:rPr>
        <w:t>12 managers to two elementary and one secondary manager of instruction and school leadership.</w:t>
      </w:r>
    </w:p>
    <w:p w:rsidR="0047041E" w:rsidRDefault="006C468C" w:rsidP="00086B4D">
      <w:pPr>
        <w:pStyle w:val="NormalWeb"/>
        <w:tabs>
          <w:tab w:val="left" w:pos="360"/>
          <w:tab w:val="left" w:pos="720"/>
          <w:tab w:val="left" w:pos="1080"/>
          <w:tab w:val="left" w:pos="1440"/>
          <w:tab w:val="left" w:pos="1800"/>
        </w:tabs>
        <w:spacing w:before="0" w:beforeAutospacing="0" w:after="200" w:afterAutospacing="0" w:line="276" w:lineRule="auto"/>
        <w:ind w:left="1080" w:hanging="1080"/>
        <w:rPr>
          <w:rFonts w:asciiTheme="minorHAnsi" w:hAnsiTheme="minorHAnsi"/>
          <w:sz w:val="22"/>
          <w:szCs w:val="22"/>
        </w:rPr>
      </w:pPr>
      <w:r>
        <w:rPr>
          <w:rFonts w:asciiTheme="minorHAnsi" w:hAnsiTheme="minorHAnsi"/>
          <w:sz w:val="22"/>
          <w:szCs w:val="22"/>
        </w:rPr>
        <w:tab/>
      </w:r>
      <w:r w:rsidR="00E82C9B">
        <w:rPr>
          <w:rFonts w:asciiTheme="minorHAnsi" w:hAnsiTheme="minorHAnsi"/>
          <w:sz w:val="22"/>
          <w:szCs w:val="22"/>
        </w:rPr>
        <w:tab/>
      </w:r>
      <w:r w:rsidR="00554959">
        <w:rPr>
          <w:rFonts w:asciiTheme="minorHAnsi" w:hAnsiTheme="minorHAnsi"/>
          <w:sz w:val="22"/>
          <w:szCs w:val="22"/>
        </w:rPr>
        <w:t>1.</w:t>
      </w:r>
      <w:r w:rsidR="00554959">
        <w:rPr>
          <w:rFonts w:asciiTheme="minorHAnsi" w:hAnsiTheme="minorHAnsi"/>
          <w:sz w:val="22"/>
          <w:szCs w:val="22"/>
        </w:rPr>
        <w:tab/>
      </w:r>
      <w:r w:rsidR="006458FE" w:rsidRPr="00F04EDB">
        <w:rPr>
          <w:rFonts w:asciiTheme="minorHAnsi" w:hAnsiTheme="minorHAnsi"/>
          <w:sz w:val="22"/>
          <w:szCs w:val="22"/>
        </w:rPr>
        <w:t>Principals report</w:t>
      </w:r>
      <w:r w:rsidR="001D3542">
        <w:rPr>
          <w:rFonts w:asciiTheme="minorHAnsi" w:hAnsiTheme="minorHAnsi"/>
          <w:sz w:val="22"/>
          <w:szCs w:val="22"/>
        </w:rPr>
        <w:t>ed</w:t>
      </w:r>
      <w:r w:rsidR="006458FE" w:rsidRPr="00F04EDB">
        <w:rPr>
          <w:rFonts w:asciiTheme="minorHAnsi" w:hAnsiTheme="minorHAnsi"/>
          <w:sz w:val="22"/>
          <w:szCs w:val="22"/>
        </w:rPr>
        <w:t xml:space="preserve"> that the managers are ensuring greater consistency, coordination</w:t>
      </w:r>
      <w:r w:rsidR="001D3542">
        <w:rPr>
          <w:rFonts w:asciiTheme="minorHAnsi" w:hAnsiTheme="minorHAnsi"/>
          <w:sz w:val="22"/>
          <w:szCs w:val="22"/>
        </w:rPr>
        <w:t>,</w:t>
      </w:r>
      <w:r w:rsidR="006458FE" w:rsidRPr="00F04EDB">
        <w:rPr>
          <w:rFonts w:asciiTheme="minorHAnsi" w:hAnsiTheme="minorHAnsi"/>
          <w:sz w:val="22"/>
          <w:szCs w:val="22"/>
        </w:rPr>
        <w:t xml:space="preserve"> and support </w:t>
      </w:r>
      <w:r w:rsidR="001D3542">
        <w:rPr>
          <w:rFonts w:asciiTheme="minorHAnsi" w:hAnsiTheme="minorHAnsi"/>
          <w:sz w:val="22"/>
          <w:szCs w:val="22"/>
        </w:rPr>
        <w:t>in 2016</w:t>
      </w:r>
      <w:r w:rsidR="00BD25DB">
        <w:rPr>
          <w:rFonts w:asciiTheme="minorHAnsi" w:hAnsiTheme="minorHAnsi"/>
          <w:sz w:val="22"/>
          <w:szCs w:val="22"/>
        </w:rPr>
        <w:t>–</w:t>
      </w:r>
      <w:r w:rsidR="001D3542">
        <w:rPr>
          <w:rFonts w:asciiTheme="minorHAnsi" w:hAnsiTheme="minorHAnsi"/>
          <w:sz w:val="22"/>
          <w:szCs w:val="22"/>
        </w:rPr>
        <w:t>2017</w:t>
      </w:r>
      <w:r w:rsidR="006458FE" w:rsidRPr="00F04EDB">
        <w:rPr>
          <w:rFonts w:asciiTheme="minorHAnsi" w:hAnsiTheme="minorHAnsi"/>
          <w:sz w:val="22"/>
          <w:szCs w:val="22"/>
        </w:rPr>
        <w:t>.</w:t>
      </w:r>
    </w:p>
    <w:p w:rsidR="0047041E" w:rsidRDefault="00E82C9B" w:rsidP="00086B4D">
      <w:pPr>
        <w:pStyle w:val="NormalWeb"/>
        <w:tabs>
          <w:tab w:val="left" w:pos="360"/>
          <w:tab w:val="left" w:pos="720"/>
          <w:tab w:val="left" w:pos="1080"/>
          <w:tab w:val="left" w:pos="1440"/>
          <w:tab w:val="left" w:pos="1800"/>
          <w:tab w:val="left" w:pos="2160"/>
        </w:tabs>
        <w:spacing w:before="0" w:beforeAutospacing="0" w:after="200" w:afterAutospacing="0" w:line="276" w:lineRule="auto"/>
        <w:ind w:left="720" w:hanging="720"/>
        <w:rPr>
          <w:rFonts w:asciiTheme="minorHAnsi" w:hAnsiTheme="minorHAnsi"/>
          <w:sz w:val="22"/>
          <w:szCs w:val="22"/>
        </w:rPr>
      </w:pPr>
      <w:r>
        <w:rPr>
          <w:rFonts w:asciiTheme="minorHAnsi" w:hAnsiTheme="minorHAnsi"/>
          <w:b/>
          <w:sz w:val="22"/>
          <w:szCs w:val="22"/>
        </w:rPr>
        <w:tab/>
      </w:r>
      <w:r w:rsidR="00EA1B90">
        <w:rPr>
          <w:rFonts w:asciiTheme="minorHAnsi" w:hAnsiTheme="minorHAnsi"/>
          <w:b/>
          <w:sz w:val="22"/>
          <w:szCs w:val="22"/>
        </w:rPr>
        <w:t>C</w:t>
      </w:r>
      <w:r w:rsidR="0047041E" w:rsidRPr="0047041E">
        <w:rPr>
          <w:rFonts w:asciiTheme="minorHAnsi" w:hAnsiTheme="minorHAnsi"/>
          <w:b/>
          <w:sz w:val="22"/>
          <w:szCs w:val="22"/>
        </w:rPr>
        <w:t>.</w:t>
      </w:r>
      <w:r w:rsidR="00554959">
        <w:rPr>
          <w:rFonts w:asciiTheme="minorHAnsi" w:hAnsiTheme="minorHAnsi"/>
          <w:b/>
          <w:sz w:val="22"/>
          <w:szCs w:val="22"/>
        </w:rPr>
        <w:tab/>
      </w:r>
      <w:r w:rsidR="006458FE" w:rsidRPr="00F04EDB">
        <w:rPr>
          <w:rFonts w:asciiTheme="minorHAnsi" w:hAnsiTheme="minorHAnsi"/>
          <w:sz w:val="22"/>
          <w:szCs w:val="22"/>
        </w:rPr>
        <w:t>The superintendent has strategic</w:t>
      </w:r>
      <w:r w:rsidR="00B443E1">
        <w:rPr>
          <w:rFonts w:asciiTheme="minorHAnsi" w:hAnsiTheme="minorHAnsi"/>
          <w:sz w:val="22"/>
          <w:szCs w:val="22"/>
        </w:rPr>
        <w:t>ally</w:t>
      </w:r>
      <w:r w:rsidR="006458FE" w:rsidRPr="00F04EDB">
        <w:rPr>
          <w:rFonts w:asciiTheme="minorHAnsi" w:hAnsiTheme="minorHAnsi"/>
          <w:sz w:val="22"/>
          <w:szCs w:val="22"/>
        </w:rPr>
        <w:t xml:space="preserve"> </w:t>
      </w:r>
      <w:r w:rsidR="00B443E1" w:rsidRPr="00F04EDB">
        <w:rPr>
          <w:rFonts w:asciiTheme="minorHAnsi" w:hAnsiTheme="minorHAnsi"/>
          <w:sz w:val="22"/>
          <w:szCs w:val="22"/>
        </w:rPr>
        <w:t>hir</w:t>
      </w:r>
      <w:r w:rsidR="00B443E1">
        <w:rPr>
          <w:rFonts w:asciiTheme="minorHAnsi" w:hAnsiTheme="minorHAnsi"/>
          <w:sz w:val="22"/>
          <w:szCs w:val="22"/>
        </w:rPr>
        <w:t>ed</w:t>
      </w:r>
      <w:r w:rsidR="00B443E1" w:rsidRPr="00F04EDB">
        <w:rPr>
          <w:rFonts w:asciiTheme="minorHAnsi" w:hAnsiTheme="minorHAnsi"/>
          <w:sz w:val="22"/>
          <w:szCs w:val="22"/>
        </w:rPr>
        <w:t xml:space="preserve"> </w:t>
      </w:r>
      <w:r w:rsidR="006458FE" w:rsidRPr="00F04EDB">
        <w:rPr>
          <w:rFonts w:asciiTheme="minorHAnsi" w:hAnsiTheme="minorHAnsi"/>
          <w:sz w:val="22"/>
          <w:szCs w:val="22"/>
        </w:rPr>
        <w:t xml:space="preserve">and </w:t>
      </w:r>
      <w:r w:rsidR="00B443E1" w:rsidRPr="00F04EDB">
        <w:rPr>
          <w:rFonts w:asciiTheme="minorHAnsi" w:hAnsiTheme="minorHAnsi"/>
          <w:sz w:val="22"/>
          <w:szCs w:val="22"/>
        </w:rPr>
        <w:t>assign</w:t>
      </w:r>
      <w:r w:rsidR="00B443E1">
        <w:rPr>
          <w:rFonts w:asciiTheme="minorHAnsi" w:hAnsiTheme="minorHAnsi"/>
          <w:sz w:val="22"/>
          <w:szCs w:val="22"/>
        </w:rPr>
        <w:t>ed</w:t>
      </w:r>
      <w:r w:rsidR="00B443E1" w:rsidRPr="00F04EDB">
        <w:rPr>
          <w:rFonts w:asciiTheme="minorHAnsi" w:hAnsiTheme="minorHAnsi"/>
          <w:sz w:val="22"/>
          <w:szCs w:val="22"/>
        </w:rPr>
        <w:t xml:space="preserve"> </w:t>
      </w:r>
      <w:r w:rsidR="006458FE" w:rsidRPr="00F04EDB">
        <w:rPr>
          <w:rFonts w:asciiTheme="minorHAnsi" w:hAnsiTheme="minorHAnsi"/>
          <w:sz w:val="22"/>
          <w:szCs w:val="22"/>
        </w:rPr>
        <w:t xml:space="preserve">leaders </w:t>
      </w:r>
      <w:r w:rsidR="005C37E7">
        <w:rPr>
          <w:rFonts w:asciiTheme="minorHAnsi" w:hAnsiTheme="minorHAnsi"/>
          <w:sz w:val="22"/>
          <w:szCs w:val="22"/>
        </w:rPr>
        <w:t>to advance teaching and learning</w:t>
      </w:r>
      <w:r w:rsidR="006458FE" w:rsidRPr="00F04EDB">
        <w:rPr>
          <w:rFonts w:asciiTheme="minorHAnsi" w:hAnsiTheme="minorHAnsi"/>
          <w:sz w:val="22"/>
          <w:szCs w:val="22"/>
        </w:rPr>
        <w:t>.</w:t>
      </w:r>
    </w:p>
    <w:p w:rsidR="0047041E" w:rsidRDefault="00E82C9B" w:rsidP="00086B4D">
      <w:pPr>
        <w:pStyle w:val="NormalWeb"/>
        <w:tabs>
          <w:tab w:val="left" w:pos="360"/>
          <w:tab w:val="left" w:pos="720"/>
          <w:tab w:val="left" w:pos="1080"/>
        </w:tabs>
        <w:spacing w:before="0" w:beforeAutospacing="0" w:after="200" w:afterAutospacing="0" w:line="276" w:lineRule="auto"/>
        <w:ind w:left="1080" w:hanging="1080"/>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1.</w:t>
      </w:r>
      <w:r>
        <w:rPr>
          <w:rFonts w:asciiTheme="minorHAnsi" w:hAnsiTheme="minorHAnsi"/>
          <w:sz w:val="22"/>
          <w:szCs w:val="22"/>
        </w:rPr>
        <w:tab/>
      </w:r>
      <w:r w:rsidR="006066AA">
        <w:rPr>
          <w:rFonts w:asciiTheme="minorHAnsi" w:hAnsiTheme="minorHAnsi"/>
          <w:sz w:val="22"/>
          <w:szCs w:val="22"/>
        </w:rPr>
        <w:t>The two new elementary managers of instruction and school l</w:t>
      </w:r>
      <w:r w:rsidR="006458FE" w:rsidRPr="00F04EDB">
        <w:rPr>
          <w:rFonts w:asciiTheme="minorHAnsi" w:hAnsiTheme="minorHAnsi"/>
          <w:sz w:val="22"/>
          <w:szCs w:val="22"/>
        </w:rPr>
        <w:t>eadership were principals committed to organizing district work to support school leaders and recognized by colleagues for doing so</w:t>
      </w:r>
      <w:r w:rsidR="00B443E1">
        <w:rPr>
          <w:rFonts w:asciiTheme="minorHAnsi" w:hAnsiTheme="minorHAnsi"/>
          <w:sz w:val="22"/>
          <w:szCs w:val="22"/>
        </w:rPr>
        <w:t xml:space="preserve"> successfully</w:t>
      </w:r>
      <w:r w:rsidR="006458FE" w:rsidRPr="00F04EDB">
        <w:rPr>
          <w:rFonts w:asciiTheme="minorHAnsi" w:hAnsiTheme="minorHAnsi"/>
          <w:sz w:val="22"/>
          <w:szCs w:val="22"/>
        </w:rPr>
        <w:t>.</w:t>
      </w:r>
    </w:p>
    <w:p w:rsidR="006458FE" w:rsidRPr="00F04EDB" w:rsidRDefault="006458FE" w:rsidP="00086B4D">
      <w:pPr>
        <w:pStyle w:val="NormalWeb"/>
        <w:numPr>
          <w:ilvl w:val="2"/>
          <w:numId w:val="3"/>
        </w:numPr>
        <w:spacing w:before="0" w:beforeAutospacing="0" w:after="200" w:afterAutospacing="0" w:line="276" w:lineRule="auto"/>
        <w:ind w:left="1080"/>
        <w:rPr>
          <w:rFonts w:asciiTheme="minorHAnsi" w:hAnsiTheme="minorHAnsi"/>
          <w:sz w:val="22"/>
          <w:szCs w:val="22"/>
        </w:rPr>
      </w:pPr>
      <w:r w:rsidRPr="00F04EDB">
        <w:rPr>
          <w:rFonts w:asciiTheme="minorHAnsi" w:hAnsiTheme="minorHAnsi"/>
          <w:sz w:val="22"/>
          <w:szCs w:val="22"/>
        </w:rPr>
        <w:t>The new superintendent has transferred to Level 4 elementary schools two principals who have led Level 4 schools to Level 1 status.</w:t>
      </w:r>
    </w:p>
    <w:p w:rsidR="0047041E" w:rsidRDefault="00E82C9B" w:rsidP="00086B4D">
      <w:pPr>
        <w:pStyle w:val="NormalWeb"/>
        <w:tabs>
          <w:tab w:val="left" w:pos="360"/>
          <w:tab w:val="left" w:pos="720"/>
          <w:tab w:val="left" w:pos="1080"/>
        </w:tabs>
        <w:spacing w:before="0" w:beforeAutospacing="0" w:after="200" w:afterAutospacing="0" w:line="276" w:lineRule="auto"/>
        <w:ind w:left="720" w:hanging="720"/>
        <w:rPr>
          <w:rFonts w:asciiTheme="minorHAnsi" w:hAnsiTheme="minorHAnsi"/>
          <w:sz w:val="22"/>
          <w:szCs w:val="22"/>
        </w:rPr>
      </w:pPr>
      <w:r>
        <w:rPr>
          <w:rFonts w:asciiTheme="minorHAnsi" w:hAnsiTheme="minorHAnsi"/>
          <w:b/>
          <w:sz w:val="22"/>
          <w:szCs w:val="22"/>
        </w:rPr>
        <w:tab/>
      </w:r>
      <w:r w:rsidR="00EA1B90">
        <w:rPr>
          <w:rFonts w:asciiTheme="minorHAnsi" w:hAnsiTheme="minorHAnsi"/>
          <w:b/>
          <w:sz w:val="22"/>
          <w:szCs w:val="22"/>
        </w:rPr>
        <w:t>D</w:t>
      </w:r>
      <w:r w:rsidR="0047041E" w:rsidRPr="0047041E">
        <w:rPr>
          <w:rFonts w:asciiTheme="minorHAnsi" w:hAnsiTheme="minorHAnsi"/>
          <w:b/>
          <w:sz w:val="22"/>
          <w:szCs w:val="22"/>
        </w:rPr>
        <w:t>.</w:t>
      </w:r>
      <w:r>
        <w:rPr>
          <w:rFonts w:asciiTheme="minorHAnsi" w:hAnsiTheme="minorHAnsi"/>
          <w:b/>
          <w:sz w:val="22"/>
          <w:szCs w:val="22"/>
        </w:rPr>
        <w:tab/>
      </w:r>
      <w:r w:rsidR="006458FE" w:rsidRPr="00F04EDB">
        <w:rPr>
          <w:rFonts w:asciiTheme="minorHAnsi" w:hAnsiTheme="minorHAnsi"/>
          <w:sz w:val="22"/>
          <w:szCs w:val="22"/>
        </w:rPr>
        <w:t xml:space="preserve">The academic leadership team, with support from the superintendent, has </w:t>
      </w:r>
      <w:r w:rsidR="00B443E1" w:rsidRPr="00F04EDB">
        <w:rPr>
          <w:rFonts w:asciiTheme="minorHAnsi" w:hAnsiTheme="minorHAnsi"/>
          <w:sz w:val="22"/>
          <w:szCs w:val="22"/>
        </w:rPr>
        <w:t>rede</w:t>
      </w:r>
      <w:r w:rsidR="00B443E1">
        <w:rPr>
          <w:rFonts w:asciiTheme="minorHAnsi" w:hAnsiTheme="minorHAnsi"/>
          <w:sz w:val="22"/>
          <w:szCs w:val="22"/>
        </w:rPr>
        <w:t>signed</w:t>
      </w:r>
      <w:r w:rsidR="00B443E1" w:rsidRPr="00F04EDB">
        <w:rPr>
          <w:rFonts w:asciiTheme="minorHAnsi" w:hAnsiTheme="minorHAnsi"/>
          <w:sz w:val="22"/>
          <w:szCs w:val="22"/>
        </w:rPr>
        <w:t xml:space="preserve"> </w:t>
      </w:r>
      <w:r w:rsidR="006458FE" w:rsidRPr="00F04EDB">
        <w:rPr>
          <w:rFonts w:asciiTheme="minorHAnsi" w:hAnsiTheme="minorHAnsi"/>
          <w:sz w:val="22"/>
          <w:szCs w:val="22"/>
        </w:rPr>
        <w:t>district practices and processes to ensure more systematic and focused attention on supporting principals.</w:t>
      </w:r>
    </w:p>
    <w:p w:rsidR="0047041E" w:rsidRDefault="00E82C9B" w:rsidP="00086B4D">
      <w:pPr>
        <w:pStyle w:val="NormalWeb"/>
        <w:tabs>
          <w:tab w:val="left" w:pos="360"/>
          <w:tab w:val="left" w:pos="720"/>
          <w:tab w:val="left" w:pos="1080"/>
        </w:tabs>
        <w:spacing w:before="0" w:beforeAutospacing="0" w:after="200" w:afterAutospacing="0" w:line="276" w:lineRule="auto"/>
        <w:ind w:left="1080" w:hanging="1080"/>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1.</w:t>
      </w:r>
      <w:r>
        <w:rPr>
          <w:rFonts w:asciiTheme="minorHAnsi" w:hAnsiTheme="minorHAnsi"/>
          <w:sz w:val="22"/>
          <w:szCs w:val="22"/>
        </w:rPr>
        <w:tab/>
      </w:r>
      <w:r w:rsidR="006458FE" w:rsidRPr="00F04EDB">
        <w:rPr>
          <w:rFonts w:asciiTheme="minorHAnsi" w:hAnsiTheme="minorHAnsi"/>
          <w:sz w:val="22"/>
          <w:szCs w:val="22"/>
        </w:rPr>
        <w:t>District leaders report</w:t>
      </w:r>
      <w:r w:rsidR="00C04242">
        <w:rPr>
          <w:rFonts w:asciiTheme="minorHAnsi" w:hAnsiTheme="minorHAnsi"/>
          <w:sz w:val="22"/>
          <w:szCs w:val="22"/>
        </w:rPr>
        <w:t>ed</w:t>
      </w:r>
      <w:r w:rsidR="006458FE" w:rsidRPr="00F04EDB">
        <w:rPr>
          <w:rFonts w:asciiTheme="minorHAnsi" w:hAnsiTheme="minorHAnsi"/>
          <w:sz w:val="22"/>
          <w:szCs w:val="22"/>
        </w:rPr>
        <w:t xml:space="preserve"> that they provide different kinds and intensity of assistance to schools based on four levels of need:  green (ongoing support to sustain high performance); yellow (need more support to sustain progress); red (need more intensive support to make progress); and “hot red” (need the most intensive support to reverse very low and/or downward performance trends).</w:t>
      </w:r>
    </w:p>
    <w:p w:rsidR="006458FE" w:rsidRPr="00F04EDB" w:rsidRDefault="006458FE" w:rsidP="007A19A3">
      <w:pPr>
        <w:pStyle w:val="NormalWeb"/>
        <w:numPr>
          <w:ilvl w:val="3"/>
          <w:numId w:val="3"/>
        </w:numPr>
        <w:spacing w:before="0" w:beforeAutospacing="0" w:after="200" w:afterAutospacing="0" w:line="276" w:lineRule="auto"/>
        <w:ind w:left="1440"/>
        <w:rPr>
          <w:rFonts w:asciiTheme="minorHAnsi" w:hAnsiTheme="minorHAnsi"/>
          <w:sz w:val="22"/>
          <w:szCs w:val="22"/>
        </w:rPr>
      </w:pPr>
      <w:r w:rsidRPr="00F04EDB">
        <w:rPr>
          <w:rFonts w:asciiTheme="minorHAnsi" w:hAnsiTheme="minorHAnsi"/>
          <w:sz w:val="22"/>
          <w:szCs w:val="22"/>
        </w:rPr>
        <w:t xml:space="preserve">The superintendent and managers </w:t>
      </w:r>
      <w:r w:rsidR="00B443E1">
        <w:rPr>
          <w:rFonts w:asciiTheme="minorHAnsi" w:hAnsiTheme="minorHAnsi"/>
          <w:sz w:val="22"/>
          <w:szCs w:val="22"/>
        </w:rPr>
        <w:t>said</w:t>
      </w:r>
      <w:r w:rsidR="00B443E1" w:rsidRPr="00F04EDB">
        <w:rPr>
          <w:rFonts w:asciiTheme="minorHAnsi" w:hAnsiTheme="minorHAnsi"/>
          <w:sz w:val="22"/>
          <w:szCs w:val="22"/>
        </w:rPr>
        <w:t xml:space="preserve"> </w:t>
      </w:r>
      <w:r w:rsidRPr="00F04EDB">
        <w:rPr>
          <w:rFonts w:asciiTheme="minorHAnsi" w:hAnsiTheme="minorHAnsi"/>
          <w:sz w:val="22"/>
          <w:szCs w:val="22"/>
        </w:rPr>
        <w:t>that each of them is expected to spend a substantial portion of at least one day each week in one of their “hot red” schools, working with the principal and staff and observing classes.</w:t>
      </w:r>
    </w:p>
    <w:p w:rsidR="006458FE" w:rsidRPr="00F04EDB" w:rsidRDefault="006458FE" w:rsidP="007A19A3">
      <w:pPr>
        <w:pStyle w:val="NormalWeb"/>
        <w:numPr>
          <w:ilvl w:val="3"/>
          <w:numId w:val="3"/>
        </w:numPr>
        <w:spacing w:before="0" w:beforeAutospacing="0" w:after="200" w:afterAutospacing="0" w:line="276" w:lineRule="auto"/>
        <w:ind w:left="1440"/>
        <w:rPr>
          <w:rFonts w:asciiTheme="minorHAnsi" w:hAnsiTheme="minorHAnsi"/>
          <w:sz w:val="22"/>
          <w:szCs w:val="22"/>
        </w:rPr>
      </w:pPr>
      <w:r w:rsidRPr="00F04EDB">
        <w:rPr>
          <w:rFonts w:asciiTheme="minorHAnsi" w:hAnsiTheme="minorHAnsi"/>
          <w:sz w:val="22"/>
          <w:szCs w:val="22"/>
        </w:rPr>
        <w:lastRenderedPageBreak/>
        <w:t xml:space="preserve">Managers and principals </w:t>
      </w:r>
      <w:r w:rsidR="00B443E1">
        <w:rPr>
          <w:rFonts w:asciiTheme="minorHAnsi" w:hAnsiTheme="minorHAnsi"/>
          <w:sz w:val="22"/>
          <w:szCs w:val="22"/>
        </w:rPr>
        <w:t>not</w:t>
      </w:r>
      <w:r w:rsidR="00B443E1" w:rsidRPr="00F04EDB">
        <w:rPr>
          <w:rFonts w:asciiTheme="minorHAnsi" w:hAnsiTheme="minorHAnsi"/>
          <w:sz w:val="22"/>
          <w:szCs w:val="22"/>
        </w:rPr>
        <w:t>ed</w:t>
      </w:r>
      <w:r w:rsidRPr="00F04EDB">
        <w:rPr>
          <w:rFonts w:asciiTheme="minorHAnsi" w:hAnsiTheme="minorHAnsi"/>
          <w:sz w:val="22"/>
          <w:szCs w:val="22"/>
        </w:rPr>
        <w:t xml:space="preserve">, as an example, the decision to have all teachers and administrators at the six “hot red” schools take the Skillful Teaching course offered by Research for Better Teaching after their analysis concluded that basic Tier 1 instruction was generally </w:t>
      </w:r>
      <w:r w:rsidR="00C04242">
        <w:rPr>
          <w:rFonts w:asciiTheme="minorHAnsi" w:hAnsiTheme="minorHAnsi"/>
          <w:sz w:val="22"/>
          <w:szCs w:val="22"/>
        </w:rPr>
        <w:t>not strong</w:t>
      </w:r>
      <w:r w:rsidR="00C04242" w:rsidRPr="00F04EDB">
        <w:rPr>
          <w:rFonts w:asciiTheme="minorHAnsi" w:hAnsiTheme="minorHAnsi"/>
          <w:sz w:val="22"/>
          <w:szCs w:val="22"/>
        </w:rPr>
        <w:t xml:space="preserve"> </w:t>
      </w:r>
      <w:r w:rsidRPr="00F04EDB">
        <w:rPr>
          <w:rFonts w:asciiTheme="minorHAnsi" w:hAnsiTheme="minorHAnsi"/>
          <w:sz w:val="22"/>
          <w:szCs w:val="22"/>
        </w:rPr>
        <w:t>in all six schools.</w:t>
      </w:r>
    </w:p>
    <w:p w:rsidR="0047041E" w:rsidRDefault="00B13205" w:rsidP="0047041E">
      <w:pPr>
        <w:pStyle w:val="NormalWeb"/>
        <w:tabs>
          <w:tab w:val="left" w:pos="360"/>
          <w:tab w:val="left" w:pos="720"/>
          <w:tab w:val="left" w:pos="1080"/>
        </w:tabs>
        <w:spacing w:before="0" w:beforeAutospacing="0" w:after="200" w:afterAutospacing="0" w:line="276" w:lineRule="auto"/>
        <w:ind w:left="1080" w:hanging="1080"/>
        <w:rPr>
          <w:rFonts w:asciiTheme="minorHAnsi" w:hAnsiTheme="minorHAnsi"/>
          <w:sz w:val="22"/>
          <w:szCs w:val="22"/>
        </w:rPr>
      </w:pPr>
      <w:r>
        <w:rPr>
          <w:rFonts w:asciiTheme="minorHAnsi" w:hAnsiTheme="minorHAnsi"/>
          <w:sz w:val="22"/>
          <w:szCs w:val="22"/>
        </w:rPr>
        <w:tab/>
      </w:r>
      <w:r w:rsidR="00BB049D">
        <w:rPr>
          <w:rFonts w:asciiTheme="minorHAnsi" w:hAnsiTheme="minorHAnsi"/>
          <w:sz w:val="22"/>
          <w:szCs w:val="22"/>
        </w:rPr>
        <w:tab/>
      </w:r>
      <w:r w:rsidR="00E82C9B">
        <w:rPr>
          <w:rFonts w:asciiTheme="minorHAnsi" w:hAnsiTheme="minorHAnsi"/>
          <w:sz w:val="22"/>
          <w:szCs w:val="22"/>
        </w:rPr>
        <w:t>2.</w:t>
      </w:r>
      <w:r>
        <w:rPr>
          <w:rFonts w:asciiTheme="minorHAnsi" w:hAnsiTheme="minorHAnsi"/>
          <w:sz w:val="22"/>
          <w:szCs w:val="22"/>
        </w:rPr>
        <w:tab/>
      </w:r>
      <w:r w:rsidR="006458FE" w:rsidRPr="00F04EDB">
        <w:rPr>
          <w:rFonts w:asciiTheme="minorHAnsi" w:hAnsiTheme="minorHAnsi"/>
          <w:sz w:val="22"/>
          <w:szCs w:val="22"/>
        </w:rPr>
        <w:t>District leaders redesigned the School Accountability Plan (SAP) template, support structure</w:t>
      </w:r>
      <w:r w:rsidR="00C04242">
        <w:rPr>
          <w:rFonts w:asciiTheme="minorHAnsi" w:hAnsiTheme="minorHAnsi"/>
          <w:sz w:val="22"/>
          <w:szCs w:val="22"/>
        </w:rPr>
        <w:t>,</w:t>
      </w:r>
      <w:r w:rsidR="006458FE" w:rsidRPr="00F04EDB">
        <w:rPr>
          <w:rFonts w:asciiTheme="minorHAnsi" w:hAnsiTheme="minorHAnsi"/>
          <w:sz w:val="22"/>
          <w:szCs w:val="22"/>
        </w:rPr>
        <w:t xml:space="preserve"> and expectations for accountability in 2016</w:t>
      </w:r>
      <w:r w:rsidR="00BD25DB">
        <w:rPr>
          <w:rFonts w:asciiTheme="minorHAnsi" w:hAnsiTheme="minorHAnsi"/>
          <w:sz w:val="22"/>
          <w:szCs w:val="22"/>
        </w:rPr>
        <w:t>–</w:t>
      </w:r>
      <w:r w:rsidR="00C04242">
        <w:rPr>
          <w:rFonts w:asciiTheme="minorHAnsi" w:hAnsiTheme="minorHAnsi"/>
          <w:sz w:val="22"/>
          <w:szCs w:val="22"/>
        </w:rPr>
        <w:t>20</w:t>
      </w:r>
      <w:r w:rsidR="006458FE" w:rsidRPr="00F04EDB">
        <w:rPr>
          <w:rFonts w:asciiTheme="minorHAnsi" w:hAnsiTheme="minorHAnsi"/>
          <w:sz w:val="22"/>
          <w:szCs w:val="22"/>
        </w:rPr>
        <w:t>17.</w:t>
      </w:r>
    </w:p>
    <w:p w:rsidR="0047041E" w:rsidRDefault="00E82C9B" w:rsidP="0047041E">
      <w:pPr>
        <w:pStyle w:val="NormalWeb"/>
        <w:tabs>
          <w:tab w:val="left" w:pos="360"/>
          <w:tab w:val="left" w:pos="720"/>
          <w:tab w:val="left" w:pos="1080"/>
          <w:tab w:val="left" w:pos="1440"/>
          <w:tab w:val="left" w:pos="1800"/>
        </w:tabs>
        <w:spacing w:before="0" w:beforeAutospacing="0" w:after="200" w:afterAutospacing="0" w:line="276" w:lineRule="auto"/>
        <w:ind w:left="1440" w:hanging="1440"/>
        <w:rPr>
          <w:rFonts w:asciiTheme="minorHAnsi" w:hAnsiTheme="minorHAnsi"/>
          <w:sz w:val="22"/>
          <w:szCs w:val="22"/>
        </w:rPr>
      </w:pPr>
      <w:r>
        <w:rPr>
          <w:rFonts w:asciiTheme="minorHAnsi" w:hAnsiTheme="minorHAnsi"/>
          <w:sz w:val="22"/>
          <w:szCs w:val="22"/>
        </w:rPr>
        <w:tab/>
      </w:r>
      <w:r w:rsidR="00B13205">
        <w:rPr>
          <w:rFonts w:asciiTheme="minorHAnsi" w:hAnsiTheme="minorHAnsi"/>
          <w:sz w:val="22"/>
          <w:szCs w:val="22"/>
        </w:rPr>
        <w:tab/>
      </w:r>
      <w:r w:rsidR="008533C0">
        <w:rPr>
          <w:rFonts w:asciiTheme="minorHAnsi" w:hAnsiTheme="minorHAnsi"/>
          <w:sz w:val="22"/>
          <w:szCs w:val="22"/>
        </w:rPr>
        <w:tab/>
      </w:r>
      <w:r>
        <w:rPr>
          <w:rFonts w:asciiTheme="minorHAnsi" w:hAnsiTheme="minorHAnsi"/>
          <w:sz w:val="22"/>
          <w:szCs w:val="22"/>
        </w:rPr>
        <w:t>a.</w:t>
      </w:r>
      <w:r>
        <w:rPr>
          <w:rFonts w:asciiTheme="minorHAnsi" w:hAnsiTheme="minorHAnsi"/>
          <w:sz w:val="22"/>
          <w:szCs w:val="22"/>
        </w:rPr>
        <w:tab/>
      </w:r>
      <w:r w:rsidR="00B443E1">
        <w:rPr>
          <w:rFonts w:asciiTheme="minorHAnsi" w:hAnsiTheme="minorHAnsi"/>
          <w:sz w:val="22"/>
          <w:szCs w:val="22"/>
        </w:rPr>
        <w:t>District leaders simplified t</w:t>
      </w:r>
      <w:r w:rsidR="00B443E1" w:rsidRPr="00F04EDB">
        <w:rPr>
          <w:rFonts w:asciiTheme="minorHAnsi" w:hAnsiTheme="minorHAnsi"/>
          <w:sz w:val="22"/>
          <w:szCs w:val="22"/>
        </w:rPr>
        <w:t xml:space="preserve">he </w:t>
      </w:r>
      <w:r w:rsidR="006458FE" w:rsidRPr="00F04EDB">
        <w:rPr>
          <w:rFonts w:asciiTheme="minorHAnsi" w:hAnsiTheme="minorHAnsi"/>
          <w:sz w:val="22"/>
          <w:szCs w:val="22"/>
        </w:rPr>
        <w:t xml:space="preserve">plan template to focus on the four key school turnaround practices identified by ESE. </w:t>
      </w:r>
    </w:p>
    <w:p w:rsidR="0047041E" w:rsidRDefault="00E82C9B" w:rsidP="0047041E">
      <w:pPr>
        <w:pStyle w:val="NormalWeb"/>
        <w:tabs>
          <w:tab w:val="left" w:pos="360"/>
          <w:tab w:val="left" w:pos="720"/>
          <w:tab w:val="left" w:pos="1080"/>
          <w:tab w:val="left" w:pos="1440"/>
        </w:tabs>
        <w:spacing w:before="0" w:beforeAutospacing="0" w:after="200" w:afterAutospacing="0" w:line="276" w:lineRule="auto"/>
        <w:rPr>
          <w:rFonts w:asciiTheme="minorHAnsi" w:hAnsiTheme="minorHAnsi"/>
          <w:sz w:val="22"/>
          <w:szCs w:val="22"/>
        </w:rPr>
      </w:pPr>
      <w:r>
        <w:rPr>
          <w:rFonts w:asciiTheme="minorHAnsi" w:hAnsiTheme="minorHAnsi"/>
          <w:sz w:val="22"/>
          <w:szCs w:val="22"/>
        </w:rPr>
        <w:tab/>
      </w:r>
      <w:r w:rsidR="00B13205">
        <w:rPr>
          <w:rFonts w:asciiTheme="minorHAnsi" w:hAnsiTheme="minorHAnsi"/>
          <w:sz w:val="22"/>
          <w:szCs w:val="22"/>
        </w:rPr>
        <w:tab/>
      </w:r>
      <w:r w:rsidR="008533C0">
        <w:rPr>
          <w:rFonts w:asciiTheme="minorHAnsi" w:hAnsiTheme="minorHAnsi"/>
          <w:sz w:val="22"/>
          <w:szCs w:val="22"/>
        </w:rPr>
        <w:tab/>
      </w:r>
      <w:r>
        <w:rPr>
          <w:rFonts w:asciiTheme="minorHAnsi" w:hAnsiTheme="minorHAnsi"/>
          <w:sz w:val="22"/>
          <w:szCs w:val="22"/>
        </w:rPr>
        <w:t>b.</w:t>
      </w:r>
      <w:r>
        <w:rPr>
          <w:rFonts w:asciiTheme="minorHAnsi" w:hAnsiTheme="minorHAnsi"/>
          <w:sz w:val="22"/>
          <w:szCs w:val="22"/>
        </w:rPr>
        <w:tab/>
      </w:r>
      <w:r w:rsidR="006458FE" w:rsidRPr="00F04EDB">
        <w:rPr>
          <w:rFonts w:asciiTheme="minorHAnsi" w:hAnsiTheme="minorHAnsi"/>
          <w:sz w:val="22"/>
          <w:szCs w:val="22"/>
        </w:rPr>
        <w:t>School administrators report</w:t>
      </w:r>
      <w:r w:rsidR="00D025CA">
        <w:rPr>
          <w:rFonts w:asciiTheme="minorHAnsi" w:hAnsiTheme="minorHAnsi"/>
          <w:sz w:val="22"/>
          <w:szCs w:val="22"/>
        </w:rPr>
        <w:t>ed</w:t>
      </w:r>
      <w:r w:rsidR="006458FE" w:rsidRPr="00F04EDB">
        <w:rPr>
          <w:rFonts w:asciiTheme="minorHAnsi" w:hAnsiTheme="minorHAnsi"/>
          <w:sz w:val="22"/>
          <w:szCs w:val="22"/>
        </w:rPr>
        <w:t xml:space="preserve"> that the new SAPs are more streamlined and focused.</w:t>
      </w:r>
    </w:p>
    <w:p w:rsidR="006458FE" w:rsidRPr="00F04EDB" w:rsidRDefault="006458FE" w:rsidP="00E82C9B">
      <w:pPr>
        <w:pStyle w:val="NormalWeb"/>
        <w:numPr>
          <w:ilvl w:val="3"/>
          <w:numId w:val="3"/>
        </w:numPr>
        <w:spacing w:before="0" w:beforeAutospacing="0" w:after="200" w:afterAutospacing="0" w:line="276" w:lineRule="auto"/>
        <w:ind w:left="1440"/>
        <w:rPr>
          <w:rFonts w:asciiTheme="minorHAnsi" w:hAnsiTheme="minorHAnsi"/>
          <w:sz w:val="22"/>
          <w:szCs w:val="22"/>
        </w:rPr>
      </w:pPr>
      <w:r w:rsidRPr="00F04EDB">
        <w:rPr>
          <w:rFonts w:asciiTheme="minorHAnsi" w:hAnsiTheme="minorHAnsi"/>
          <w:sz w:val="22"/>
          <w:szCs w:val="22"/>
        </w:rPr>
        <w:t xml:space="preserve">District and school administrators </w:t>
      </w:r>
      <w:r w:rsidR="00D025CA">
        <w:rPr>
          <w:rFonts w:asciiTheme="minorHAnsi" w:hAnsiTheme="minorHAnsi"/>
          <w:sz w:val="22"/>
          <w:szCs w:val="22"/>
        </w:rPr>
        <w:t>said</w:t>
      </w:r>
      <w:r w:rsidR="00D025CA" w:rsidRPr="00F04EDB">
        <w:rPr>
          <w:rFonts w:asciiTheme="minorHAnsi" w:hAnsiTheme="minorHAnsi"/>
          <w:sz w:val="22"/>
          <w:szCs w:val="22"/>
        </w:rPr>
        <w:t xml:space="preserve"> </w:t>
      </w:r>
      <w:r w:rsidRPr="00F04EDB">
        <w:rPr>
          <w:rFonts w:asciiTheme="minorHAnsi" w:hAnsiTheme="minorHAnsi"/>
          <w:sz w:val="22"/>
          <w:szCs w:val="22"/>
        </w:rPr>
        <w:t xml:space="preserve">that </w:t>
      </w:r>
      <w:r w:rsidR="00D025CA">
        <w:rPr>
          <w:rFonts w:asciiTheme="minorHAnsi" w:hAnsiTheme="minorHAnsi"/>
          <w:sz w:val="22"/>
          <w:szCs w:val="22"/>
        </w:rPr>
        <w:t xml:space="preserve">in the </w:t>
      </w:r>
      <w:r w:rsidRPr="00F04EDB">
        <w:rPr>
          <w:rFonts w:asciiTheme="minorHAnsi" w:hAnsiTheme="minorHAnsi"/>
          <w:sz w:val="22"/>
          <w:szCs w:val="22"/>
        </w:rPr>
        <w:t xml:space="preserve">fall </w:t>
      </w:r>
      <w:r w:rsidR="00D025CA">
        <w:rPr>
          <w:rFonts w:asciiTheme="minorHAnsi" w:hAnsiTheme="minorHAnsi"/>
          <w:sz w:val="22"/>
          <w:szCs w:val="22"/>
        </w:rPr>
        <w:t>2016</w:t>
      </w:r>
      <w:r w:rsidR="00BD25DB">
        <w:rPr>
          <w:rFonts w:asciiTheme="minorHAnsi" w:hAnsiTheme="minorHAnsi"/>
          <w:sz w:val="22"/>
          <w:szCs w:val="22"/>
        </w:rPr>
        <w:t>–</w:t>
      </w:r>
      <w:r w:rsidR="00D025CA">
        <w:rPr>
          <w:rFonts w:asciiTheme="minorHAnsi" w:hAnsiTheme="minorHAnsi"/>
          <w:sz w:val="22"/>
          <w:szCs w:val="22"/>
        </w:rPr>
        <w:t xml:space="preserve">2017 </w:t>
      </w:r>
      <w:r w:rsidRPr="00F04EDB">
        <w:rPr>
          <w:rFonts w:asciiTheme="minorHAnsi" w:hAnsiTheme="minorHAnsi"/>
          <w:sz w:val="22"/>
          <w:szCs w:val="22"/>
        </w:rPr>
        <w:t xml:space="preserve">key district leaders, including the superintendent, worked with five principals to </w:t>
      </w:r>
      <w:r w:rsidR="006066AA">
        <w:rPr>
          <w:rFonts w:asciiTheme="minorHAnsi" w:hAnsiTheme="minorHAnsi"/>
          <w:sz w:val="22"/>
          <w:szCs w:val="22"/>
        </w:rPr>
        <w:t xml:space="preserve">offer </w:t>
      </w:r>
      <w:r w:rsidRPr="00F04EDB">
        <w:rPr>
          <w:rFonts w:asciiTheme="minorHAnsi" w:hAnsiTheme="minorHAnsi"/>
          <w:sz w:val="22"/>
          <w:szCs w:val="22"/>
        </w:rPr>
        <w:t xml:space="preserve">feedback on their first drafts </w:t>
      </w:r>
      <w:r w:rsidR="00D025CA">
        <w:rPr>
          <w:rFonts w:asciiTheme="minorHAnsi" w:hAnsiTheme="minorHAnsi"/>
          <w:sz w:val="22"/>
          <w:szCs w:val="22"/>
        </w:rPr>
        <w:t xml:space="preserve">of the SAPs </w:t>
      </w:r>
      <w:r w:rsidRPr="00F04EDB">
        <w:rPr>
          <w:rFonts w:asciiTheme="minorHAnsi" w:hAnsiTheme="minorHAnsi"/>
          <w:sz w:val="22"/>
          <w:szCs w:val="22"/>
        </w:rPr>
        <w:t>and guide revisions when needed.</w:t>
      </w:r>
    </w:p>
    <w:p w:rsidR="006458FE" w:rsidRPr="00F04EDB" w:rsidRDefault="00D025CA" w:rsidP="00E82C9B">
      <w:pPr>
        <w:pStyle w:val="NormalWeb"/>
        <w:numPr>
          <w:ilvl w:val="3"/>
          <w:numId w:val="3"/>
        </w:numPr>
        <w:spacing w:before="0" w:beforeAutospacing="0" w:after="200" w:afterAutospacing="0" w:line="276" w:lineRule="auto"/>
        <w:ind w:left="1440"/>
        <w:rPr>
          <w:rFonts w:asciiTheme="minorHAnsi" w:hAnsiTheme="minorHAnsi"/>
          <w:sz w:val="22"/>
          <w:szCs w:val="22"/>
        </w:rPr>
      </w:pPr>
      <w:r>
        <w:rPr>
          <w:rFonts w:asciiTheme="minorHAnsi" w:hAnsiTheme="minorHAnsi"/>
          <w:sz w:val="22"/>
          <w:szCs w:val="22"/>
        </w:rPr>
        <w:t>D</w:t>
      </w:r>
      <w:r w:rsidR="006458FE" w:rsidRPr="00F04EDB">
        <w:rPr>
          <w:rFonts w:asciiTheme="minorHAnsi" w:hAnsiTheme="minorHAnsi"/>
          <w:sz w:val="22"/>
          <w:szCs w:val="22"/>
        </w:rPr>
        <w:t xml:space="preserve">istrict leaders and school administrators applauded a peer review process initiated </w:t>
      </w:r>
      <w:r>
        <w:rPr>
          <w:rFonts w:asciiTheme="minorHAnsi" w:hAnsiTheme="minorHAnsi"/>
          <w:sz w:val="22"/>
          <w:szCs w:val="22"/>
        </w:rPr>
        <w:t>in 2016</w:t>
      </w:r>
      <w:r w:rsidR="00BD25DB">
        <w:rPr>
          <w:rFonts w:asciiTheme="minorHAnsi" w:hAnsiTheme="minorHAnsi"/>
          <w:sz w:val="22"/>
          <w:szCs w:val="22"/>
        </w:rPr>
        <w:t>–</w:t>
      </w:r>
      <w:r>
        <w:rPr>
          <w:rFonts w:asciiTheme="minorHAnsi" w:hAnsiTheme="minorHAnsi"/>
          <w:sz w:val="22"/>
          <w:szCs w:val="22"/>
        </w:rPr>
        <w:t>2017</w:t>
      </w:r>
      <w:r w:rsidR="006458FE" w:rsidRPr="00F04EDB">
        <w:rPr>
          <w:rFonts w:asciiTheme="minorHAnsi" w:hAnsiTheme="minorHAnsi"/>
          <w:sz w:val="22"/>
          <w:szCs w:val="22"/>
        </w:rPr>
        <w:t xml:space="preserve"> through which principal pairs or trios </w:t>
      </w:r>
      <w:r w:rsidR="00B443E1" w:rsidRPr="00F04EDB">
        <w:rPr>
          <w:rFonts w:asciiTheme="minorHAnsi" w:hAnsiTheme="minorHAnsi"/>
          <w:sz w:val="22"/>
          <w:szCs w:val="22"/>
        </w:rPr>
        <w:t>g</w:t>
      </w:r>
      <w:r w:rsidR="00B443E1">
        <w:rPr>
          <w:rFonts w:asciiTheme="minorHAnsi" w:hAnsiTheme="minorHAnsi"/>
          <w:sz w:val="22"/>
          <w:szCs w:val="22"/>
        </w:rPr>
        <w:t>i</w:t>
      </w:r>
      <w:r w:rsidR="00B443E1" w:rsidRPr="00F04EDB">
        <w:rPr>
          <w:rFonts w:asciiTheme="minorHAnsi" w:hAnsiTheme="minorHAnsi"/>
          <w:sz w:val="22"/>
          <w:szCs w:val="22"/>
        </w:rPr>
        <w:t xml:space="preserve">ve </w:t>
      </w:r>
      <w:r w:rsidR="006458FE" w:rsidRPr="00F04EDB">
        <w:rPr>
          <w:rFonts w:asciiTheme="minorHAnsi" w:hAnsiTheme="minorHAnsi"/>
          <w:sz w:val="22"/>
          <w:szCs w:val="22"/>
        </w:rPr>
        <w:t xml:space="preserve">each other feedback on their SAPs. </w:t>
      </w:r>
    </w:p>
    <w:p w:rsidR="006458FE" w:rsidRPr="00F04EDB" w:rsidRDefault="006458FE" w:rsidP="007A19A3">
      <w:pPr>
        <w:pStyle w:val="NormalWeb"/>
        <w:numPr>
          <w:ilvl w:val="2"/>
          <w:numId w:val="3"/>
        </w:numPr>
        <w:spacing w:before="0" w:beforeAutospacing="0" w:after="200" w:afterAutospacing="0" w:line="276" w:lineRule="auto"/>
        <w:ind w:left="1080"/>
        <w:rPr>
          <w:rFonts w:asciiTheme="minorHAnsi" w:hAnsiTheme="minorHAnsi"/>
          <w:sz w:val="22"/>
          <w:szCs w:val="22"/>
        </w:rPr>
      </w:pPr>
      <w:r w:rsidRPr="00F04EDB">
        <w:rPr>
          <w:rFonts w:asciiTheme="minorHAnsi" w:hAnsiTheme="minorHAnsi"/>
          <w:sz w:val="22"/>
          <w:szCs w:val="22"/>
        </w:rPr>
        <w:t xml:space="preserve">To focus and coordinate district office support for school </w:t>
      </w:r>
      <w:r w:rsidR="006F1181">
        <w:rPr>
          <w:rFonts w:asciiTheme="minorHAnsi" w:hAnsiTheme="minorHAnsi"/>
          <w:sz w:val="22"/>
          <w:szCs w:val="22"/>
        </w:rPr>
        <w:t>leaders, the three managers of i</w:t>
      </w:r>
      <w:r w:rsidRPr="00F04EDB">
        <w:rPr>
          <w:rFonts w:asciiTheme="minorHAnsi" w:hAnsiTheme="minorHAnsi"/>
          <w:sz w:val="22"/>
          <w:szCs w:val="22"/>
        </w:rPr>
        <w:t>nstruction and school leadership report</w:t>
      </w:r>
      <w:r w:rsidR="00B254E1">
        <w:rPr>
          <w:rFonts w:asciiTheme="minorHAnsi" w:hAnsiTheme="minorHAnsi"/>
          <w:sz w:val="22"/>
          <w:szCs w:val="22"/>
        </w:rPr>
        <w:t>ed</w:t>
      </w:r>
      <w:r w:rsidRPr="00F04EDB">
        <w:rPr>
          <w:rFonts w:asciiTheme="minorHAnsi" w:hAnsiTheme="minorHAnsi"/>
          <w:sz w:val="22"/>
          <w:szCs w:val="22"/>
        </w:rPr>
        <w:t xml:space="preserve"> that they have begun </w:t>
      </w:r>
      <w:r w:rsidR="00B254E1">
        <w:rPr>
          <w:rFonts w:asciiTheme="minorHAnsi" w:hAnsiTheme="minorHAnsi"/>
          <w:sz w:val="22"/>
          <w:szCs w:val="22"/>
        </w:rPr>
        <w:t>in 2016</w:t>
      </w:r>
      <w:r w:rsidR="00BD25DB">
        <w:rPr>
          <w:rFonts w:asciiTheme="minorHAnsi" w:hAnsiTheme="minorHAnsi"/>
          <w:sz w:val="22"/>
          <w:szCs w:val="22"/>
        </w:rPr>
        <w:t>–</w:t>
      </w:r>
      <w:r w:rsidR="00B254E1">
        <w:rPr>
          <w:rFonts w:asciiTheme="minorHAnsi" w:hAnsiTheme="minorHAnsi"/>
          <w:sz w:val="22"/>
          <w:szCs w:val="22"/>
        </w:rPr>
        <w:t>2017</w:t>
      </w:r>
      <w:r w:rsidRPr="00F04EDB">
        <w:rPr>
          <w:rFonts w:asciiTheme="minorHAnsi" w:hAnsiTheme="minorHAnsi"/>
          <w:sz w:val="22"/>
          <w:szCs w:val="22"/>
        </w:rPr>
        <w:t xml:space="preserve"> to write and disseminate to elementary</w:t>
      </w:r>
      <w:r w:rsidR="00B254E1">
        <w:rPr>
          <w:rFonts w:asciiTheme="minorHAnsi" w:hAnsiTheme="minorHAnsi"/>
          <w:sz w:val="22"/>
          <w:szCs w:val="22"/>
        </w:rPr>
        <w:t>-</w:t>
      </w:r>
      <w:r w:rsidRPr="00F04EDB">
        <w:rPr>
          <w:rFonts w:asciiTheme="minorHAnsi" w:hAnsiTheme="minorHAnsi"/>
          <w:sz w:val="22"/>
          <w:szCs w:val="22"/>
        </w:rPr>
        <w:t xml:space="preserve"> and secondary</w:t>
      </w:r>
      <w:r w:rsidR="00B254E1">
        <w:rPr>
          <w:rFonts w:asciiTheme="minorHAnsi" w:hAnsiTheme="minorHAnsi"/>
          <w:sz w:val="22"/>
          <w:szCs w:val="22"/>
        </w:rPr>
        <w:t>-</w:t>
      </w:r>
      <w:r w:rsidRPr="00F04EDB">
        <w:rPr>
          <w:rFonts w:asciiTheme="minorHAnsi" w:hAnsiTheme="minorHAnsi"/>
          <w:sz w:val="22"/>
          <w:szCs w:val="22"/>
        </w:rPr>
        <w:t>school leaders weekly two-page newsletters that point leaders to relevant tools and resources, dates to remember, and deadlines.</w:t>
      </w:r>
    </w:p>
    <w:p w:rsidR="006458FE" w:rsidRPr="00F04EDB" w:rsidRDefault="006458FE" w:rsidP="007A19A3">
      <w:pPr>
        <w:pStyle w:val="NormalWeb"/>
        <w:numPr>
          <w:ilvl w:val="3"/>
          <w:numId w:val="3"/>
        </w:numPr>
        <w:spacing w:before="0" w:beforeAutospacing="0" w:after="200" w:afterAutospacing="0" w:line="276" w:lineRule="auto"/>
        <w:ind w:left="1440"/>
        <w:contextualSpacing/>
        <w:rPr>
          <w:rFonts w:asciiTheme="minorHAnsi" w:hAnsiTheme="minorHAnsi"/>
          <w:sz w:val="22"/>
          <w:szCs w:val="22"/>
        </w:rPr>
      </w:pPr>
      <w:r w:rsidRPr="00F04EDB">
        <w:rPr>
          <w:rFonts w:asciiTheme="minorHAnsi" w:hAnsiTheme="minorHAnsi"/>
          <w:sz w:val="22"/>
          <w:szCs w:val="22"/>
        </w:rPr>
        <w:t>Principals report</w:t>
      </w:r>
      <w:r w:rsidR="00B254E1">
        <w:rPr>
          <w:rFonts w:asciiTheme="minorHAnsi" w:hAnsiTheme="minorHAnsi"/>
          <w:sz w:val="22"/>
          <w:szCs w:val="22"/>
        </w:rPr>
        <w:t>ed</w:t>
      </w:r>
      <w:r w:rsidRPr="00F04EDB">
        <w:rPr>
          <w:rFonts w:asciiTheme="minorHAnsi" w:hAnsiTheme="minorHAnsi"/>
          <w:sz w:val="22"/>
          <w:szCs w:val="22"/>
        </w:rPr>
        <w:t xml:space="preserve"> that the written, email</w:t>
      </w:r>
      <w:r w:rsidR="00B443E1">
        <w:rPr>
          <w:rFonts w:asciiTheme="minorHAnsi" w:hAnsiTheme="minorHAnsi"/>
          <w:sz w:val="22"/>
          <w:szCs w:val="22"/>
        </w:rPr>
        <w:t>,</w:t>
      </w:r>
      <w:r w:rsidRPr="00F04EDB">
        <w:rPr>
          <w:rFonts w:asciiTheme="minorHAnsi" w:hAnsiTheme="minorHAnsi"/>
          <w:sz w:val="22"/>
          <w:szCs w:val="22"/>
        </w:rPr>
        <w:t xml:space="preserve"> and in-person communication from the managers and superintendent has been comprehensive and helpful. </w:t>
      </w:r>
    </w:p>
    <w:p w:rsidR="006458FE" w:rsidRPr="00F04EDB" w:rsidRDefault="006458FE" w:rsidP="006458FE">
      <w:pPr>
        <w:pStyle w:val="NormalWeb"/>
        <w:spacing w:before="0" w:beforeAutospacing="0" w:after="200" w:afterAutospacing="0" w:line="276" w:lineRule="auto"/>
        <w:contextualSpacing/>
        <w:rPr>
          <w:rFonts w:asciiTheme="minorHAnsi" w:hAnsiTheme="minorHAnsi"/>
          <w:sz w:val="22"/>
          <w:szCs w:val="22"/>
        </w:rPr>
      </w:pPr>
    </w:p>
    <w:p w:rsidR="006458FE" w:rsidRPr="00F04EDB" w:rsidRDefault="006458FE" w:rsidP="007A19A3">
      <w:pPr>
        <w:pStyle w:val="NormalWeb"/>
        <w:numPr>
          <w:ilvl w:val="2"/>
          <w:numId w:val="3"/>
        </w:numPr>
        <w:spacing w:before="0" w:beforeAutospacing="0" w:after="200" w:afterAutospacing="0" w:line="276" w:lineRule="auto"/>
        <w:ind w:left="1080"/>
        <w:contextualSpacing/>
        <w:rPr>
          <w:rFonts w:asciiTheme="minorHAnsi" w:hAnsiTheme="minorHAnsi"/>
          <w:sz w:val="22"/>
          <w:szCs w:val="22"/>
        </w:rPr>
      </w:pPr>
      <w:r w:rsidRPr="00F04EDB">
        <w:rPr>
          <w:rFonts w:asciiTheme="minorHAnsi" w:hAnsiTheme="minorHAnsi"/>
          <w:sz w:val="22"/>
          <w:szCs w:val="22"/>
        </w:rPr>
        <w:t xml:space="preserve">To reduce the amount of time school leaders would be out of their </w:t>
      </w:r>
      <w:r w:rsidR="00B13205">
        <w:rPr>
          <w:rFonts w:asciiTheme="minorHAnsi" w:hAnsiTheme="minorHAnsi"/>
          <w:sz w:val="22"/>
          <w:szCs w:val="22"/>
        </w:rPr>
        <w:t>school</w:t>
      </w:r>
      <w:r w:rsidR="00B13205" w:rsidRPr="00F04EDB">
        <w:rPr>
          <w:rFonts w:asciiTheme="minorHAnsi" w:hAnsiTheme="minorHAnsi"/>
          <w:sz w:val="22"/>
          <w:szCs w:val="22"/>
        </w:rPr>
        <w:t xml:space="preserve">s </w:t>
      </w:r>
      <w:r w:rsidRPr="00F04EDB">
        <w:rPr>
          <w:rFonts w:asciiTheme="minorHAnsi" w:hAnsiTheme="minorHAnsi"/>
          <w:sz w:val="22"/>
          <w:szCs w:val="22"/>
        </w:rPr>
        <w:t>and focus professional learning, district leaders changed the cohort-based Principal Leadership and Assistance Network (PLAN) meetings for 2016</w:t>
      </w:r>
      <w:r w:rsidR="00BD25DB">
        <w:rPr>
          <w:rFonts w:asciiTheme="minorHAnsi" w:hAnsiTheme="minorHAnsi"/>
          <w:sz w:val="22"/>
          <w:szCs w:val="22"/>
        </w:rPr>
        <w:t>–</w:t>
      </w:r>
      <w:r w:rsidR="00B254E1">
        <w:rPr>
          <w:rFonts w:asciiTheme="minorHAnsi" w:hAnsiTheme="minorHAnsi"/>
          <w:sz w:val="22"/>
          <w:szCs w:val="22"/>
        </w:rPr>
        <w:t>20</w:t>
      </w:r>
      <w:r w:rsidRPr="00F04EDB">
        <w:rPr>
          <w:rFonts w:asciiTheme="minorHAnsi" w:hAnsiTheme="minorHAnsi"/>
          <w:sz w:val="22"/>
          <w:szCs w:val="22"/>
        </w:rPr>
        <w:t xml:space="preserve">17 from all-day meetings to focused two-hour meetings scheduled immediately before districtwide principal meetings. </w:t>
      </w:r>
    </w:p>
    <w:p w:rsidR="006458FE" w:rsidRPr="00F04EDB" w:rsidRDefault="006458FE" w:rsidP="00AD2942">
      <w:pPr>
        <w:pStyle w:val="NormalWeb"/>
        <w:spacing w:before="0" w:beforeAutospacing="0" w:after="200" w:afterAutospacing="0" w:line="276" w:lineRule="auto"/>
        <w:ind w:left="1080" w:hanging="360"/>
        <w:contextualSpacing/>
        <w:rPr>
          <w:rFonts w:asciiTheme="minorHAnsi" w:hAnsiTheme="minorHAnsi"/>
          <w:sz w:val="22"/>
          <w:szCs w:val="22"/>
        </w:rPr>
      </w:pPr>
    </w:p>
    <w:p w:rsidR="00AD2942" w:rsidRPr="00F04EDB" w:rsidRDefault="006458FE" w:rsidP="007A19A3">
      <w:pPr>
        <w:pStyle w:val="NormalWeb"/>
        <w:numPr>
          <w:ilvl w:val="3"/>
          <w:numId w:val="3"/>
        </w:numPr>
        <w:spacing w:before="0" w:beforeAutospacing="0" w:after="200" w:afterAutospacing="0" w:line="276" w:lineRule="auto"/>
        <w:ind w:left="1440"/>
        <w:contextualSpacing/>
        <w:rPr>
          <w:rFonts w:asciiTheme="minorHAnsi" w:hAnsiTheme="minorHAnsi"/>
          <w:sz w:val="22"/>
          <w:szCs w:val="22"/>
        </w:rPr>
      </w:pPr>
      <w:r w:rsidRPr="00F04EDB">
        <w:rPr>
          <w:rFonts w:asciiTheme="minorHAnsi" w:hAnsiTheme="minorHAnsi"/>
          <w:sz w:val="22"/>
          <w:szCs w:val="22"/>
        </w:rPr>
        <w:t>School leaders report</w:t>
      </w:r>
      <w:r w:rsidR="00B254E1">
        <w:rPr>
          <w:rFonts w:asciiTheme="minorHAnsi" w:hAnsiTheme="minorHAnsi"/>
          <w:sz w:val="22"/>
          <w:szCs w:val="22"/>
        </w:rPr>
        <w:t>ed</w:t>
      </w:r>
      <w:r w:rsidRPr="00F04EDB">
        <w:rPr>
          <w:rFonts w:asciiTheme="minorHAnsi" w:hAnsiTheme="minorHAnsi"/>
          <w:sz w:val="22"/>
          <w:szCs w:val="22"/>
        </w:rPr>
        <w:t xml:space="preserve"> that PLAN meetings are more useful and </w:t>
      </w:r>
      <w:r w:rsidR="00B254E1">
        <w:rPr>
          <w:rFonts w:asciiTheme="minorHAnsi" w:hAnsiTheme="minorHAnsi"/>
          <w:sz w:val="22"/>
          <w:szCs w:val="22"/>
        </w:rPr>
        <w:t xml:space="preserve">more </w:t>
      </w:r>
      <w:r w:rsidRPr="00F04EDB">
        <w:rPr>
          <w:rFonts w:asciiTheme="minorHAnsi" w:hAnsiTheme="minorHAnsi"/>
          <w:sz w:val="22"/>
          <w:szCs w:val="22"/>
        </w:rPr>
        <w:t>focus</w:t>
      </w:r>
      <w:r w:rsidR="00B254E1">
        <w:rPr>
          <w:rFonts w:asciiTheme="minorHAnsi" w:hAnsiTheme="minorHAnsi"/>
          <w:sz w:val="22"/>
          <w:szCs w:val="22"/>
        </w:rPr>
        <w:t>ed</w:t>
      </w:r>
      <w:r w:rsidRPr="00F04EDB">
        <w:rPr>
          <w:rFonts w:asciiTheme="minorHAnsi" w:hAnsiTheme="minorHAnsi"/>
          <w:sz w:val="22"/>
          <w:szCs w:val="22"/>
        </w:rPr>
        <w:t xml:space="preserve"> on professional learning.</w:t>
      </w:r>
    </w:p>
    <w:p w:rsidR="00AD2942" w:rsidRPr="00F04EDB" w:rsidRDefault="00AD2942" w:rsidP="00AD2942">
      <w:pPr>
        <w:pStyle w:val="NormalWeb"/>
        <w:spacing w:before="0" w:beforeAutospacing="0" w:after="200" w:afterAutospacing="0" w:line="276" w:lineRule="auto"/>
        <w:ind w:left="1440"/>
        <w:contextualSpacing/>
        <w:rPr>
          <w:rFonts w:asciiTheme="minorHAnsi" w:hAnsiTheme="minorHAnsi"/>
          <w:sz w:val="22"/>
          <w:szCs w:val="22"/>
        </w:rPr>
      </w:pPr>
    </w:p>
    <w:p w:rsidR="006458FE" w:rsidRPr="00F04EDB" w:rsidRDefault="006458FE" w:rsidP="007A19A3">
      <w:pPr>
        <w:pStyle w:val="NormalWeb"/>
        <w:numPr>
          <w:ilvl w:val="3"/>
          <w:numId w:val="3"/>
        </w:numPr>
        <w:spacing w:before="0" w:beforeAutospacing="0" w:after="200" w:afterAutospacing="0" w:line="276" w:lineRule="auto"/>
        <w:ind w:left="1440"/>
        <w:contextualSpacing/>
        <w:rPr>
          <w:rFonts w:asciiTheme="minorHAnsi" w:hAnsiTheme="minorHAnsi"/>
          <w:sz w:val="22"/>
          <w:szCs w:val="22"/>
        </w:rPr>
      </w:pPr>
      <w:r w:rsidRPr="00F04EDB">
        <w:rPr>
          <w:rFonts w:asciiTheme="minorHAnsi" w:hAnsiTheme="minorHAnsi"/>
          <w:sz w:val="22"/>
          <w:szCs w:val="22"/>
        </w:rPr>
        <w:t>District leaders described the focus of PLAN meetings as “sharing be</w:t>
      </w:r>
      <w:r w:rsidR="006F1181">
        <w:rPr>
          <w:rFonts w:asciiTheme="minorHAnsi" w:hAnsiTheme="minorHAnsi"/>
          <w:sz w:val="22"/>
          <w:szCs w:val="22"/>
        </w:rPr>
        <w:t>s</w:t>
      </w:r>
      <w:r w:rsidRPr="00F04EDB">
        <w:rPr>
          <w:rFonts w:asciiTheme="minorHAnsi" w:hAnsiTheme="minorHAnsi"/>
          <w:sz w:val="22"/>
          <w:szCs w:val="22"/>
        </w:rPr>
        <w:t>t/promising practices” such as data binders, videotaping lessons with feedback</w:t>
      </w:r>
      <w:r w:rsidR="00B254E1">
        <w:rPr>
          <w:rFonts w:asciiTheme="minorHAnsi" w:hAnsiTheme="minorHAnsi"/>
          <w:sz w:val="22"/>
          <w:szCs w:val="22"/>
        </w:rPr>
        <w:t>,</w:t>
      </w:r>
      <w:r w:rsidRPr="00F04EDB">
        <w:rPr>
          <w:rFonts w:asciiTheme="minorHAnsi" w:hAnsiTheme="minorHAnsi"/>
          <w:sz w:val="22"/>
          <w:szCs w:val="22"/>
        </w:rPr>
        <w:t xml:space="preserve"> and curriculum alignment.</w:t>
      </w:r>
    </w:p>
    <w:p w:rsidR="006458FE" w:rsidRPr="00F04EDB" w:rsidRDefault="006458FE" w:rsidP="006458FE">
      <w:pPr>
        <w:pStyle w:val="NormalWeb"/>
        <w:spacing w:before="0" w:beforeAutospacing="0" w:after="200" w:afterAutospacing="0" w:line="276" w:lineRule="auto"/>
        <w:contextualSpacing/>
        <w:rPr>
          <w:rFonts w:asciiTheme="minorHAnsi" w:hAnsiTheme="minorHAnsi"/>
          <w:sz w:val="22"/>
          <w:szCs w:val="22"/>
        </w:rPr>
      </w:pPr>
    </w:p>
    <w:p w:rsidR="006458FE" w:rsidRDefault="006458FE" w:rsidP="006458FE">
      <w:pPr>
        <w:pStyle w:val="NormalWeb"/>
        <w:spacing w:before="0" w:beforeAutospacing="0" w:after="200" w:afterAutospacing="0" w:line="276" w:lineRule="auto"/>
        <w:contextualSpacing/>
        <w:rPr>
          <w:rFonts w:asciiTheme="minorHAnsi" w:hAnsiTheme="minorHAnsi"/>
          <w:sz w:val="22"/>
          <w:szCs w:val="22"/>
        </w:rPr>
      </w:pPr>
      <w:r w:rsidRPr="00F04EDB">
        <w:rPr>
          <w:rFonts w:asciiTheme="minorHAnsi" w:hAnsiTheme="minorHAnsi"/>
          <w:b/>
          <w:sz w:val="22"/>
          <w:szCs w:val="22"/>
        </w:rPr>
        <w:t>Impact</w:t>
      </w:r>
      <w:r w:rsidRPr="00F04EDB">
        <w:rPr>
          <w:rFonts w:asciiTheme="minorHAnsi" w:hAnsiTheme="minorHAnsi"/>
          <w:sz w:val="22"/>
          <w:szCs w:val="22"/>
        </w:rPr>
        <w:t xml:space="preserve">: The recent reorganization and changes in practice and processes support greater focus on and coordination of improvement </w:t>
      </w:r>
      <w:r w:rsidR="004D3DAB">
        <w:rPr>
          <w:rFonts w:asciiTheme="minorHAnsi" w:hAnsiTheme="minorHAnsi"/>
          <w:sz w:val="22"/>
          <w:szCs w:val="22"/>
        </w:rPr>
        <w:t>to teaching and learning</w:t>
      </w:r>
      <w:r w:rsidRPr="00F04EDB">
        <w:rPr>
          <w:rFonts w:asciiTheme="minorHAnsi" w:hAnsiTheme="minorHAnsi"/>
          <w:sz w:val="22"/>
          <w:szCs w:val="22"/>
        </w:rPr>
        <w:t xml:space="preserve">.  If sustained, they can also ensure more support, </w:t>
      </w:r>
      <w:r w:rsidRPr="00F04EDB">
        <w:rPr>
          <w:rFonts w:asciiTheme="minorHAnsi" w:hAnsiTheme="minorHAnsi"/>
          <w:sz w:val="22"/>
          <w:szCs w:val="22"/>
        </w:rPr>
        <w:lastRenderedPageBreak/>
        <w:t>guidance</w:t>
      </w:r>
      <w:r w:rsidR="004D3DAB">
        <w:rPr>
          <w:rFonts w:asciiTheme="minorHAnsi" w:hAnsiTheme="minorHAnsi"/>
          <w:sz w:val="22"/>
          <w:szCs w:val="22"/>
        </w:rPr>
        <w:t>,</w:t>
      </w:r>
      <w:r w:rsidRPr="00F04EDB">
        <w:rPr>
          <w:rFonts w:asciiTheme="minorHAnsi" w:hAnsiTheme="minorHAnsi"/>
          <w:sz w:val="22"/>
          <w:szCs w:val="22"/>
        </w:rPr>
        <w:t xml:space="preserve"> and accountability for principals that will </w:t>
      </w:r>
      <w:r w:rsidR="0068579C">
        <w:rPr>
          <w:rFonts w:asciiTheme="minorHAnsi" w:hAnsiTheme="minorHAnsi"/>
          <w:sz w:val="22"/>
          <w:szCs w:val="22"/>
        </w:rPr>
        <w:t xml:space="preserve">likely </w:t>
      </w:r>
      <w:r w:rsidRPr="00F04EDB">
        <w:rPr>
          <w:rFonts w:asciiTheme="minorHAnsi" w:hAnsiTheme="minorHAnsi"/>
          <w:sz w:val="22"/>
          <w:szCs w:val="22"/>
        </w:rPr>
        <w:t xml:space="preserve">lead to improved school leadership and </w:t>
      </w:r>
      <w:r w:rsidR="004D3DAB">
        <w:rPr>
          <w:rFonts w:asciiTheme="minorHAnsi" w:hAnsiTheme="minorHAnsi"/>
          <w:sz w:val="22"/>
          <w:szCs w:val="22"/>
        </w:rPr>
        <w:t>more consistent</w:t>
      </w:r>
      <w:r w:rsidRPr="00F04EDB">
        <w:rPr>
          <w:rFonts w:asciiTheme="minorHAnsi" w:hAnsiTheme="minorHAnsi"/>
          <w:sz w:val="22"/>
          <w:szCs w:val="22"/>
        </w:rPr>
        <w:t xml:space="preserve"> school practices and performance. </w:t>
      </w:r>
    </w:p>
    <w:p w:rsidR="006A15E3" w:rsidRPr="006A15E3" w:rsidRDefault="006A15E3" w:rsidP="006458FE">
      <w:pPr>
        <w:pStyle w:val="NormalWeb"/>
        <w:spacing w:before="0" w:beforeAutospacing="0" w:after="200" w:afterAutospacing="0" w:line="276" w:lineRule="auto"/>
        <w:contextualSpacing/>
        <w:rPr>
          <w:rFonts w:asciiTheme="minorHAnsi" w:hAnsiTheme="minorHAnsi"/>
          <w:sz w:val="22"/>
          <w:szCs w:val="22"/>
        </w:rPr>
      </w:pPr>
    </w:p>
    <w:p w:rsidR="006458FE" w:rsidRPr="006A15E3" w:rsidRDefault="0047041E" w:rsidP="006458FE">
      <w:pPr>
        <w:pStyle w:val="NormalWeb"/>
        <w:spacing w:before="0" w:beforeAutospacing="0" w:after="200" w:afterAutospacing="0" w:line="276" w:lineRule="auto"/>
        <w:rPr>
          <w:rFonts w:asciiTheme="minorHAnsi" w:hAnsiTheme="minorHAnsi"/>
          <w:b/>
          <w:i/>
          <w:sz w:val="28"/>
          <w:szCs w:val="28"/>
        </w:rPr>
      </w:pPr>
      <w:r w:rsidRPr="0047041E">
        <w:rPr>
          <w:rFonts w:asciiTheme="minorHAnsi" w:hAnsiTheme="minorHAnsi"/>
          <w:b/>
          <w:sz w:val="28"/>
          <w:szCs w:val="28"/>
        </w:rPr>
        <w:t>Challenges and Areas for Growth</w:t>
      </w:r>
      <w:r w:rsidR="006458FE" w:rsidRPr="006A15E3">
        <w:rPr>
          <w:rFonts w:asciiTheme="minorHAnsi" w:hAnsiTheme="minorHAnsi"/>
          <w:b/>
          <w:i/>
          <w:sz w:val="28"/>
          <w:szCs w:val="28"/>
        </w:rPr>
        <w:t xml:space="preserve"> </w:t>
      </w:r>
    </w:p>
    <w:p w:rsidR="006458FE" w:rsidRPr="00F04EDB" w:rsidRDefault="006613F4" w:rsidP="00EE2CC8">
      <w:pPr>
        <w:pStyle w:val="NormalWeb"/>
        <w:spacing w:before="0" w:beforeAutospacing="0" w:after="200" w:afterAutospacing="0" w:line="276" w:lineRule="auto"/>
        <w:ind w:left="360" w:hanging="360"/>
        <w:rPr>
          <w:rFonts w:asciiTheme="minorHAnsi" w:hAnsiTheme="minorHAnsi"/>
          <w:b/>
          <w:sz w:val="22"/>
          <w:szCs w:val="22"/>
        </w:rPr>
      </w:pPr>
      <w:r w:rsidRPr="00F04EDB">
        <w:rPr>
          <w:rFonts w:asciiTheme="minorHAnsi" w:hAnsiTheme="minorHAnsi"/>
          <w:b/>
          <w:sz w:val="22"/>
          <w:szCs w:val="22"/>
        </w:rPr>
        <w:t>2.</w:t>
      </w:r>
      <w:r w:rsidRPr="00F04EDB">
        <w:rPr>
          <w:rFonts w:asciiTheme="minorHAnsi" w:hAnsiTheme="minorHAnsi"/>
          <w:b/>
          <w:sz w:val="22"/>
          <w:szCs w:val="22"/>
        </w:rPr>
        <w:tab/>
      </w:r>
      <w:r w:rsidR="00850436">
        <w:rPr>
          <w:rFonts w:asciiTheme="minorHAnsi" w:hAnsiTheme="minorHAnsi"/>
          <w:b/>
          <w:sz w:val="22"/>
          <w:szCs w:val="22"/>
        </w:rPr>
        <w:t>S</w:t>
      </w:r>
      <w:r w:rsidR="006F1181">
        <w:rPr>
          <w:rFonts w:asciiTheme="minorHAnsi" w:hAnsiTheme="minorHAnsi"/>
          <w:b/>
          <w:sz w:val="22"/>
          <w:szCs w:val="22"/>
        </w:rPr>
        <w:t>chool c</w:t>
      </w:r>
      <w:r w:rsidR="006458FE" w:rsidRPr="00F04EDB">
        <w:rPr>
          <w:rFonts w:asciiTheme="minorHAnsi" w:hAnsiTheme="minorHAnsi"/>
          <w:b/>
          <w:sz w:val="22"/>
          <w:szCs w:val="22"/>
        </w:rPr>
        <w:t xml:space="preserve">ommittee members </w:t>
      </w:r>
      <w:r w:rsidR="00850436" w:rsidRPr="00F04EDB">
        <w:rPr>
          <w:rFonts w:asciiTheme="minorHAnsi" w:hAnsiTheme="minorHAnsi"/>
          <w:b/>
          <w:sz w:val="22"/>
          <w:szCs w:val="22"/>
        </w:rPr>
        <w:t>mak</w:t>
      </w:r>
      <w:r w:rsidR="00850436">
        <w:rPr>
          <w:rFonts w:asciiTheme="minorHAnsi" w:hAnsiTheme="minorHAnsi"/>
          <w:b/>
          <w:sz w:val="22"/>
          <w:szCs w:val="22"/>
        </w:rPr>
        <w:t>e</w:t>
      </w:r>
      <w:r w:rsidR="00850436" w:rsidRPr="00F04EDB">
        <w:rPr>
          <w:rFonts w:asciiTheme="minorHAnsi" w:hAnsiTheme="minorHAnsi"/>
          <w:b/>
          <w:sz w:val="22"/>
          <w:szCs w:val="22"/>
        </w:rPr>
        <w:t xml:space="preserve"> </w:t>
      </w:r>
      <w:r w:rsidR="006458FE" w:rsidRPr="00F04EDB">
        <w:rPr>
          <w:rFonts w:asciiTheme="minorHAnsi" w:hAnsiTheme="minorHAnsi"/>
          <w:b/>
          <w:sz w:val="22"/>
          <w:szCs w:val="22"/>
        </w:rPr>
        <w:t xml:space="preserve">many motions </w:t>
      </w:r>
      <w:r w:rsidR="00850436">
        <w:rPr>
          <w:rFonts w:asciiTheme="minorHAnsi" w:hAnsiTheme="minorHAnsi"/>
          <w:b/>
          <w:sz w:val="22"/>
          <w:szCs w:val="22"/>
        </w:rPr>
        <w:t>that require action by</w:t>
      </w:r>
      <w:r w:rsidR="006458FE" w:rsidRPr="00F04EDB">
        <w:rPr>
          <w:rFonts w:asciiTheme="minorHAnsi" w:hAnsiTheme="minorHAnsi"/>
          <w:b/>
          <w:sz w:val="22"/>
          <w:szCs w:val="22"/>
        </w:rPr>
        <w:t xml:space="preserve"> </w:t>
      </w:r>
      <w:r w:rsidR="00850436" w:rsidRPr="00F04EDB">
        <w:rPr>
          <w:rFonts w:asciiTheme="minorHAnsi" w:hAnsiTheme="minorHAnsi"/>
          <w:b/>
          <w:sz w:val="22"/>
          <w:szCs w:val="22"/>
        </w:rPr>
        <w:t>administrat</w:t>
      </w:r>
      <w:r w:rsidR="00850436">
        <w:rPr>
          <w:rFonts w:asciiTheme="minorHAnsi" w:hAnsiTheme="minorHAnsi"/>
          <w:b/>
          <w:sz w:val="22"/>
          <w:szCs w:val="22"/>
        </w:rPr>
        <w:t>ors</w:t>
      </w:r>
      <w:r w:rsidR="00850436" w:rsidRPr="00F04EDB">
        <w:rPr>
          <w:rFonts w:asciiTheme="minorHAnsi" w:hAnsiTheme="minorHAnsi"/>
          <w:b/>
          <w:sz w:val="22"/>
          <w:szCs w:val="22"/>
        </w:rPr>
        <w:t xml:space="preserve"> </w:t>
      </w:r>
      <w:r w:rsidR="00850436">
        <w:rPr>
          <w:rFonts w:asciiTheme="minorHAnsi" w:hAnsiTheme="minorHAnsi"/>
          <w:b/>
          <w:sz w:val="22"/>
          <w:szCs w:val="22"/>
        </w:rPr>
        <w:t>and administrators devote much time</w:t>
      </w:r>
      <w:r w:rsidR="006458FE" w:rsidRPr="00F04EDB">
        <w:rPr>
          <w:rFonts w:asciiTheme="minorHAnsi" w:hAnsiTheme="minorHAnsi"/>
          <w:b/>
          <w:sz w:val="22"/>
          <w:szCs w:val="22"/>
        </w:rPr>
        <w:t xml:space="preserve"> </w:t>
      </w:r>
      <w:r w:rsidR="00850436">
        <w:rPr>
          <w:rFonts w:asciiTheme="minorHAnsi" w:hAnsiTheme="minorHAnsi"/>
          <w:b/>
          <w:sz w:val="22"/>
          <w:szCs w:val="22"/>
        </w:rPr>
        <w:t xml:space="preserve">responding </w:t>
      </w:r>
      <w:r w:rsidR="006458FE" w:rsidRPr="00F04EDB">
        <w:rPr>
          <w:rFonts w:asciiTheme="minorHAnsi" w:hAnsiTheme="minorHAnsi"/>
          <w:b/>
          <w:sz w:val="22"/>
          <w:szCs w:val="22"/>
        </w:rPr>
        <w:t xml:space="preserve">to </w:t>
      </w:r>
      <w:r w:rsidR="00C8480D">
        <w:rPr>
          <w:rFonts w:asciiTheme="minorHAnsi" w:hAnsiTheme="minorHAnsi"/>
          <w:b/>
          <w:sz w:val="22"/>
          <w:szCs w:val="22"/>
        </w:rPr>
        <w:t xml:space="preserve">these </w:t>
      </w:r>
      <w:r w:rsidR="00850436">
        <w:rPr>
          <w:rFonts w:asciiTheme="minorHAnsi" w:hAnsiTheme="minorHAnsi"/>
          <w:b/>
          <w:sz w:val="22"/>
          <w:szCs w:val="22"/>
        </w:rPr>
        <w:t>motions</w:t>
      </w:r>
      <w:r w:rsidR="006458FE" w:rsidRPr="00F04EDB">
        <w:rPr>
          <w:rFonts w:asciiTheme="minorHAnsi" w:hAnsiTheme="minorHAnsi"/>
          <w:b/>
          <w:sz w:val="22"/>
          <w:szCs w:val="22"/>
        </w:rPr>
        <w:t>.</w:t>
      </w:r>
      <w:r w:rsidR="006B3651">
        <w:rPr>
          <w:rFonts w:asciiTheme="minorHAnsi" w:hAnsiTheme="minorHAnsi"/>
          <w:b/>
          <w:sz w:val="22"/>
          <w:szCs w:val="22"/>
        </w:rPr>
        <w:t xml:space="preserve"> Few motions </w:t>
      </w:r>
      <w:r w:rsidR="001275C5">
        <w:rPr>
          <w:rFonts w:asciiTheme="minorHAnsi" w:hAnsiTheme="minorHAnsi"/>
          <w:b/>
          <w:sz w:val="22"/>
          <w:szCs w:val="22"/>
        </w:rPr>
        <w:t xml:space="preserve">that require action by administrators </w:t>
      </w:r>
      <w:r w:rsidR="006B3651">
        <w:rPr>
          <w:rFonts w:asciiTheme="minorHAnsi" w:hAnsiTheme="minorHAnsi"/>
          <w:b/>
          <w:sz w:val="22"/>
          <w:szCs w:val="22"/>
        </w:rPr>
        <w:t xml:space="preserve">are aligned with district priorities for continuous improvement or </w:t>
      </w:r>
      <w:r w:rsidR="002C5B3F">
        <w:rPr>
          <w:rFonts w:asciiTheme="minorHAnsi" w:hAnsiTheme="minorHAnsi"/>
          <w:b/>
          <w:sz w:val="22"/>
          <w:szCs w:val="22"/>
        </w:rPr>
        <w:t>with</w:t>
      </w:r>
      <w:r w:rsidR="006B3651">
        <w:rPr>
          <w:rFonts w:asciiTheme="minorHAnsi" w:hAnsiTheme="minorHAnsi"/>
          <w:b/>
          <w:sz w:val="22"/>
          <w:szCs w:val="22"/>
        </w:rPr>
        <w:t xml:space="preserve"> administrators’</w:t>
      </w:r>
      <w:r w:rsidR="006458FE" w:rsidRPr="00F04EDB">
        <w:rPr>
          <w:rFonts w:asciiTheme="minorHAnsi" w:hAnsiTheme="minorHAnsi"/>
          <w:b/>
          <w:sz w:val="22"/>
          <w:szCs w:val="22"/>
        </w:rPr>
        <w:t xml:space="preserve"> </w:t>
      </w:r>
      <w:r w:rsidR="006B3651">
        <w:rPr>
          <w:rFonts w:asciiTheme="minorHAnsi" w:hAnsiTheme="minorHAnsi"/>
          <w:b/>
          <w:sz w:val="22"/>
          <w:szCs w:val="22"/>
        </w:rPr>
        <w:t>main responsibilities.</w:t>
      </w:r>
    </w:p>
    <w:p w:rsidR="006458FE" w:rsidRPr="00F04EDB" w:rsidRDefault="006458FE" w:rsidP="00EE2CC8">
      <w:pPr>
        <w:pStyle w:val="NormalWeb"/>
        <w:numPr>
          <w:ilvl w:val="1"/>
          <w:numId w:val="4"/>
        </w:numPr>
        <w:spacing w:before="0" w:beforeAutospacing="0" w:after="200" w:afterAutospacing="0" w:line="276" w:lineRule="auto"/>
        <w:rPr>
          <w:rFonts w:asciiTheme="minorHAnsi" w:hAnsiTheme="minorHAnsi"/>
          <w:sz w:val="22"/>
          <w:szCs w:val="22"/>
        </w:rPr>
      </w:pPr>
      <w:r w:rsidRPr="00F04EDB">
        <w:rPr>
          <w:rFonts w:asciiTheme="minorHAnsi" w:hAnsiTheme="minorHAnsi"/>
          <w:sz w:val="22"/>
          <w:szCs w:val="22"/>
        </w:rPr>
        <w:t xml:space="preserve">School </w:t>
      </w:r>
      <w:r w:rsidR="006B3651">
        <w:rPr>
          <w:rFonts w:asciiTheme="minorHAnsi" w:hAnsiTheme="minorHAnsi"/>
          <w:sz w:val="22"/>
          <w:szCs w:val="22"/>
        </w:rPr>
        <w:t>c</w:t>
      </w:r>
      <w:r w:rsidR="006B3651" w:rsidRPr="00F04EDB">
        <w:rPr>
          <w:rFonts w:asciiTheme="minorHAnsi" w:hAnsiTheme="minorHAnsi"/>
          <w:sz w:val="22"/>
          <w:szCs w:val="22"/>
        </w:rPr>
        <w:t xml:space="preserve">ommittee </w:t>
      </w:r>
      <w:r w:rsidRPr="00F04EDB">
        <w:rPr>
          <w:rFonts w:asciiTheme="minorHAnsi" w:hAnsiTheme="minorHAnsi"/>
          <w:sz w:val="22"/>
          <w:szCs w:val="22"/>
        </w:rPr>
        <w:t xml:space="preserve">members make many motions </w:t>
      </w:r>
      <w:r w:rsidR="006B3651">
        <w:rPr>
          <w:rFonts w:asciiTheme="minorHAnsi" w:hAnsiTheme="minorHAnsi"/>
          <w:sz w:val="22"/>
          <w:szCs w:val="22"/>
        </w:rPr>
        <w:t>requesting information from administrators</w:t>
      </w:r>
      <w:r w:rsidRPr="00F04EDB">
        <w:rPr>
          <w:rFonts w:asciiTheme="minorHAnsi" w:hAnsiTheme="minorHAnsi"/>
          <w:sz w:val="22"/>
          <w:szCs w:val="22"/>
        </w:rPr>
        <w:t>.</w:t>
      </w:r>
    </w:p>
    <w:p w:rsidR="008D72D2" w:rsidRDefault="006458FE" w:rsidP="00EE2CC8">
      <w:pPr>
        <w:pStyle w:val="NormalWeb"/>
        <w:numPr>
          <w:ilvl w:val="2"/>
          <w:numId w:val="4"/>
        </w:numPr>
        <w:spacing w:before="0" w:beforeAutospacing="0" w:after="200" w:afterAutospacing="0" w:line="276" w:lineRule="auto"/>
        <w:rPr>
          <w:rFonts w:asciiTheme="minorHAnsi" w:hAnsiTheme="minorHAnsi"/>
          <w:sz w:val="22"/>
          <w:szCs w:val="22"/>
        </w:rPr>
      </w:pPr>
      <w:r w:rsidRPr="00F04EDB">
        <w:rPr>
          <w:rFonts w:asciiTheme="minorHAnsi" w:hAnsiTheme="minorHAnsi"/>
          <w:sz w:val="22"/>
          <w:szCs w:val="22"/>
        </w:rPr>
        <w:t>School committee members submit items for inclusion on meeting agendas to the committee’s clerk; consultation with the</w:t>
      </w:r>
      <w:r w:rsidR="006F1181">
        <w:rPr>
          <w:rFonts w:asciiTheme="minorHAnsi" w:hAnsiTheme="minorHAnsi"/>
          <w:sz w:val="22"/>
          <w:szCs w:val="22"/>
        </w:rPr>
        <w:t xml:space="preserve"> superintendent is not required</w:t>
      </w:r>
      <w:r w:rsidRPr="00F04EDB">
        <w:rPr>
          <w:rFonts w:asciiTheme="minorHAnsi" w:hAnsiTheme="minorHAnsi"/>
          <w:sz w:val="22"/>
          <w:szCs w:val="22"/>
        </w:rPr>
        <w:t xml:space="preserve"> or typical. </w:t>
      </w:r>
    </w:p>
    <w:p w:rsidR="006613F4" w:rsidRPr="00F04EDB" w:rsidRDefault="006458FE" w:rsidP="00EE2CC8">
      <w:pPr>
        <w:pStyle w:val="NormalWeb"/>
        <w:numPr>
          <w:ilvl w:val="2"/>
          <w:numId w:val="4"/>
        </w:numPr>
        <w:spacing w:before="0" w:beforeAutospacing="0" w:after="200" w:afterAutospacing="0" w:line="276" w:lineRule="auto"/>
        <w:rPr>
          <w:rFonts w:asciiTheme="minorHAnsi" w:hAnsiTheme="minorHAnsi"/>
          <w:sz w:val="22"/>
          <w:szCs w:val="22"/>
        </w:rPr>
      </w:pPr>
      <w:r w:rsidRPr="00F04EDB">
        <w:rPr>
          <w:rFonts w:asciiTheme="minorHAnsi" w:hAnsiTheme="minorHAnsi"/>
          <w:sz w:val="22"/>
          <w:szCs w:val="22"/>
        </w:rPr>
        <w:t xml:space="preserve">During committee meetings, some motions are referred to one of the standing subcommittees. The subcommittee, in turn, reports its deliberations </w:t>
      </w:r>
      <w:r w:rsidR="008970D2" w:rsidRPr="00F04EDB">
        <w:rPr>
          <w:rFonts w:asciiTheme="minorHAnsi" w:hAnsiTheme="minorHAnsi"/>
          <w:sz w:val="22"/>
          <w:szCs w:val="22"/>
        </w:rPr>
        <w:t xml:space="preserve">to the school committee </w:t>
      </w:r>
      <w:r w:rsidRPr="00F04EDB">
        <w:rPr>
          <w:rFonts w:asciiTheme="minorHAnsi" w:hAnsiTheme="minorHAnsi"/>
          <w:sz w:val="22"/>
          <w:szCs w:val="22"/>
        </w:rPr>
        <w:t xml:space="preserve">and typically makes additional motions for administrative action. </w:t>
      </w:r>
    </w:p>
    <w:p w:rsidR="006613F4" w:rsidRPr="00F04EDB" w:rsidRDefault="006458FE" w:rsidP="00EE2CC8">
      <w:pPr>
        <w:pStyle w:val="NormalWeb"/>
        <w:numPr>
          <w:ilvl w:val="2"/>
          <w:numId w:val="4"/>
        </w:numPr>
        <w:spacing w:before="0" w:beforeAutospacing="0" w:after="200" w:afterAutospacing="0" w:line="276" w:lineRule="auto"/>
        <w:rPr>
          <w:rFonts w:asciiTheme="minorHAnsi" w:hAnsiTheme="minorHAnsi"/>
          <w:sz w:val="22"/>
          <w:szCs w:val="22"/>
        </w:rPr>
      </w:pPr>
      <w:r w:rsidRPr="00F04EDB">
        <w:rPr>
          <w:rFonts w:asciiTheme="minorHAnsi" w:hAnsiTheme="minorHAnsi"/>
          <w:sz w:val="22"/>
          <w:szCs w:val="22"/>
        </w:rPr>
        <w:t>School committee members report</w:t>
      </w:r>
      <w:r w:rsidR="006B3651">
        <w:rPr>
          <w:rFonts w:asciiTheme="minorHAnsi" w:hAnsiTheme="minorHAnsi"/>
          <w:sz w:val="22"/>
          <w:szCs w:val="22"/>
        </w:rPr>
        <w:t>ed</w:t>
      </w:r>
      <w:r w:rsidRPr="00F04EDB">
        <w:rPr>
          <w:rFonts w:asciiTheme="minorHAnsi" w:hAnsiTheme="minorHAnsi"/>
          <w:sz w:val="22"/>
          <w:szCs w:val="22"/>
        </w:rPr>
        <w:t xml:space="preserve"> that their requests for information are often spurred by conversations with constituents, including teachers.</w:t>
      </w:r>
    </w:p>
    <w:p w:rsidR="00EE2CC8" w:rsidRDefault="006458FE" w:rsidP="00EE2CC8">
      <w:pPr>
        <w:pStyle w:val="NormalWeb"/>
        <w:numPr>
          <w:ilvl w:val="2"/>
          <w:numId w:val="4"/>
        </w:numPr>
        <w:spacing w:before="0" w:beforeAutospacing="0" w:after="200" w:afterAutospacing="0" w:line="276" w:lineRule="auto"/>
        <w:rPr>
          <w:rFonts w:asciiTheme="minorHAnsi" w:hAnsiTheme="minorHAnsi"/>
          <w:sz w:val="22"/>
          <w:szCs w:val="22"/>
        </w:rPr>
      </w:pPr>
      <w:r w:rsidRPr="00EE2CC8">
        <w:rPr>
          <w:rFonts w:asciiTheme="minorHAnsi" w:hAnsiTheme="minorHAnsi"/>
          <w:sz w:val="22"/>
          <w:szCs w:val="22"/>
        </w:rPr>
        <w:t>As of mid-January 2017, the clerk for the school committee reported 52 outstanding motions awaiting administrator</w:t>
      </w:r>
      <w:r w:rsidR="008970D2" w:rsidRPr="00EE2CC8">
        <w:rPr>
          <w:rFonts w:asciiTheme="minorHAnsi" w:hAnsiTheme="minorHAnsi"/>
          <w:sz w:val="22"/>
          <w:szCs w:val="22"/>
        </w:rPr>
        <w:t>s’</w:t>
      </w:r>
      <w:r w:rsidRPr="00EE2CC8">
        <w:rPr>
          <w:rFonts w:asciiTheme="minorHAnsi" w:hAnsiTheme="minorHAnsi"/>
          <w:sz w:val="22"/>
          <w:szCs w:val="22"/>
        </w:rPr>
        <w:t xml:space="preserve"> response, excluding 17 motions made, but not responded to, in June 2016 during budget deliberations.</w:t>
      </w:r>
    </w:p>
    <w:p w:rsidR="006613F4" w:rsidRDefault="006B3651" w:rsidP="00EE2CC8">
      <w:pPr>
        <w:pStyle w:val="NormalWeb"/>
        <w:numPr>
          <w:ilvl w:val="2"/>
          <w:numId w:val="4"/>
        </w:numPr>
        <w:spacing w:before="0" w:beforeAutospacing="0" w:after="200" w:afterAutospacing="0" w:line="276" w:lineRule="auto"/>
        <w:rPr>
          <w:rFonts w:asciiTheme="minorHAnsi" w:hAnsiTheme="minorHAnsi"/>
          <w:sz w:val="22"/>
          <w:szCs w:val="22"/>
        </w:rPr>
      </w:pPr>
      <w:r w:rsidRPr="00EE2CC8">
        <w:rPr>
          <w:rFonts w:asciiTheme="minorHAnsi" w:hAnsiTheme="minorHAnsi"/>
          <w:sz w:val="22"/>
          <w:szCs w:val="22"/>
        </w:rPr>
        <w:t>C</w:t>
      </w:r>
      <w:r w:rsidR="006458FE" w:rsidRPr="00EE2CC8">
        <w:rPr>
          <w:rFonts w:asciiTheme="minorHAnsi" w:hAnsiTheme="minorHAnsi"/>
          <w:sz w:val="22"/>
          <w:szCs w:val="22"/>
        </w:rPr>
        <w:t>ommittee members estimated that the members make approximately 15 motions at each meeting, not including routine motions</w:t>
      </w:r>
      <w:r w:rsidR="006458FE" w:rsidRPr="00F04EDB">
        <w:rPr>
          <w:rFonts w:asciiTheme="minorHAnsi" w:hAnsiTheme="minorHAnsi"/>
          <w:sz w:val="22"/>
          <w:szCs w:val="22"/>
        </w:rPr>
        <w:t>.</w:t>
      </w:r>
      <w:r w:rsidRPr="00EE2CC8">
        <w:rPr>
          <w:rStyle w:val="FootnoteReference"/>
          <w:rFonts w:asciiTheme="minorHAnsi" w:hAnsiTheme="minorHAnsi"/>
          <w:sz w:val="22"/>
          <w:szCs w:val="22"/>
        </w:rPr>
        <w:footnoteReference w:id="9"/>
      </w:r>
      <w:r w:rsidR="006458FE" w:rsidRPr="00EE2CC8">
        <w:rPr>
          <w:rFonts w:asciiTheme="minorHAnsi" w:hAnsiTheme="minorHAnsi"/>
          <w:sz w:val="22"/>
          <w:szCs w:val="22"/>
        </w:rPr>
        <w:t xml:space="preserve"> </w:t>
      </w:r>
    </w:p>
    <w:p w:rsidR="006458FE" w:rsidRDefault="006458FE" w:rsidP="00EE2CC8">
      <w:pPr>
        <w:pStyle w:val="NormalWeb"/>
        <w:numPr>
          <w:ilvl w:val="2"/>
          <w:numId w:val="4"/>
        </w:numPr>
        <w:spacing w:before="0" w:beforeAutospacing="0" w:after="200" w:afterAutospacing="0" w:line="276" w:lineRule="auto"/>
        <w:rPr>
          <w:rFonts w:asciiTheme="minorHAnsi" w:hAnsiTheme="minorHAnsi"/>
          <w:sz w:val="22"/>
          <w:szCs w:val="22"/>
        </w:rPr>
      </w:pPr>
      <w:r w:rsidRPr="00F04EDB">
        <w:rPr>
          <w:rFonts w:asciiTheme="minorHAnsi" w:hAnsiTheme="minorHAnsi"/>
          <w:sz w:val="22"/>
          <w:szCs w:val="22"/>
        </w:rPr>
        <w:t xml:space="preserve">A review of the minutes for the </w:t>
      </w:r>
      <w:r w:rsidR="005002A5">
        <w:rPr>
          <w:rFonts w:asciiTheme="minorHAnsi" w:hAnsiTheme="minorHAnsi"/>
          <w:sz w:val="22"/>
          <w:szCs w:val="22"/>
        </w:rPr>
        <w:t>7</w:t>
      </w:r>
      <w:r w:rsidR="005002A5" w:rsidRPr="00F04EDB">
        <w:rPr>
          <w:rFonts w:asciiTheme="minorHAnsi" w:hAnsiTheme="minorHAnsi"/>
          <w:sz w:val="22"/>
          <w:szCs w:val="22"/>
        </w:rPr>
        <w:t xml:space="preserve"> </w:t>
      </w:r>
      <w:r w:rsidRPr="00F04EDB">
        <w:rPr>
          <w:rFonts w:asciiTheme="minorHAnsi" w:hAnsiTheme="minorHAnsi"/>
          <w:sz w:val="22"/>
          <w:szCs w:val="22"/>
        </w:rPr>
        <w:t>regular committee meetings of September 15, October 6, October 20, November 3, November 17, December 3, and December 17, 2016</w:t>
      </w:r>
      <w:r w:rsidR="006B3651">
        <w:rPr>
          <w:rFonts w:asciiTheme="minorHAnsi" w:hAnsiTheme="minorHAnsi"/>
          <w:sz w:val="22"/>
          <w:szCs w:val="22"/>
        </w:rPr>
        <w:t>,</w:t>
      </w:r>
      <w:r w:rsidRPr="00F04EDB">
        <w:rPr>
          <w:rFonts w:asciiTheme="minorHAnsi" w:hAnsiTheme="minorHAnsi"/>
          <w:sz w:val="22"/>
          <w:szCs w:val="22"/>
        </w:rPr>
        <w:t xml:space="preserve"> </w:t>
      </w:r>
      <w:r w:rsidR="006B3651">
        <w:rPr>
          <w:rFonts w:asciiTheme="minorHAnsi" w:hAnsiTheme="minorHAnsi"/>
          <w:sz w:val="22"/>
          <w:szCs w:val="22"/>
        </w:rPr>
        <w:t>indicated</w:t>
      </w:r>
      <w:r w:rsidR="006B3651" w:rsidRPr="00F04EDB">
        <w:rPr>
          <w:rFonts w:asciiTheme="minorHAnsi" w:hAnsiTheme="minorHAnsi"/>
          <w:sz w:val="22"/>
          <w:szCs w:val="22"/>
        </w:rPr>
        <w:t xml:space="preserve"> </w:t>
      </w:r>
      <w:r w:rsidRPr="00F04EDB">
        <w:rPr>
          <w:rFonts w:asciiTheme="minorHAnsi" w:hAnsiTheme="minorHAnsi"/>
          <w:sz w:val="22"/>
          <w:szCs w:val="22"/>
        </w:rPr>
        <w:t>that committee members made 113 new, non-routine</w:t>
      </w:r>
      <w:r w:rsidR="0072696A">
        <w:rPr>
          <w:rFonts w:asciiTheme="minorHAnsi" w:hAnsiTheme="minorHAnsi"/>
          <w:sz w:val="22"/>
          <w:szCs w:val="22"/>
        </w:rPr>
        <w:t xml:space="preserve"> </w:t>
      </w:r>
      <w:r w:rsidRPr="00F04EDB">
        <w:rPr>
          <w:rFonts w:asciiTheme="minorHAnsi" w:hAnsiTheme="minorHAnsi"/>
          <w:sz w:val="22"/>
          <w:szCs w:val="22"/>
        </w:rPr>
        <w:t xml:space="preserve">motions that require action by the administration, or an average of 16 motions per meeting, ranging from </w:t>
      </w:r>
      <w:r w:rsidR="006B3651">
        <w:rPr>
          <w:rFonts w:asciiTheme="minorHAnsi" w:hAnsiTheme="minorHAnsi"/>
          <w:sz w:val="22"/>
          <w:szCs w:val="22"/>
        </w:rPr>
        <w:t>5</w:t>
      </w:r>
      <w:r w:rsidR="006B3651" w:rsidRPr="00F04EDB">
        <w:rPr>
          <w:rFonts w:asciiTheme="minorHAnsi" w:hAnsiTheme="minorHAnsi"/>
          <w:sz w:val="22"/>
          <w:szCs w:val="22"/>
        </w:rPr>
        <w:t xml:space="preserve"> </w:t>
      </w:r>
      <w:r w:rsidRPr="00F04EDB">
        <w:rPr>
          <w:rFonts w:asciiTheme="minorHAnsi" w:hAnsiTheme="minorHAnsi"/>
          <w:sz w:val="22"/>
          <w:szCs w:val="22"/>
        </w:rPr>
        <w:t>on November 3 to 31 on October 20.</w:t>
      </w:r>
    </w:p>
    <w:p w:rsidR="00EE2CC8" w:rsidRPr="00F04EDB" w:rsidRDefault="00EE2CC8" w:rsidP="00EE2CC8">
      <w:pPr>
        <w:pStyle w:val="NormalWeb"/>
        <w:numPr>
          <w:ilvl w:val="1"/>
          <w:numId w:val="4"/>
        </w:numPr>
        <w:spacing w:before="0" w:beforeAutospacing="0" w:after="200" w:afterAutospacing="0" w:line="276" w:lineRule="auto"/>
        <w:rPr>
          <w:rFonts w:asciiTheme="minorHAnsi" w:hAnsiTheme="minorHAnsi"/>
          <w:sz w:val="22"/>
          <w:szCs w:val="22"/>
        </w:rPr>
      </w:pPr>
      <w:r w:rsidRPr="00F04EDB">
        <w:rPr>
          <w:rFonts w:asciiTheme="minorHAnsi" w:hAnsiTheme="minorHAnsi"/>
          <w:sz w:val="22"/>
          <w:szCs w:val="22"/>
        </w:rPr>
        <w:t>Few motions made by members are aligned with district leaders’ priorities for improving teaching and learning or with district goals for the year.</w:t>
      </w:r>
    </w:p>
    <w:p w:rsidR="0047041E" w:rsidRDefault="008D72D2" w:rsidP="0047041E">
      <w:pPr>
        <w:pStyle w:val="NormalWeb"/>
        <w:tabs>
          <w:tab w:val="left" w:pos="360"/>
          <w:tab w:val="left" w:pos="720"/>
          <w:tab w:val="left" w:pos="1080"/>
          <w:tab w:val="left" w:pos="1440"/>
        </w:tabs>
        <w:spacing w:before="0" w:beforeAutospacing="0" w:after="200" w:afterAutospacing="0" w:line="276" w:lineRule="auto"/>
        <w:ind w:left="1080" w:hanging="1080"/>
        <w:rPr>
          <w:rFonts w:asciiTheme="minorHAnsi" w:hAnsiTheme="minorHAnsi"/>
          <w:sz w:val="22"/>
          <w:szCs w:val="22"/>
        </w:rPr>
      </w:pPr>
      <w:r>
        <w:rPr>
          <w:rFonts w:asciiTheme="minorHAnsi" w:hAnsiTheme="minorHAnsi"/>
          <w:sz w:val="22"/>
          <w:szCs w:val="22"/>
        </w:rPr>
        <w:tab/>
      </w:r>
      <w:r w:rsidR="00E82C9B">
        <w:rPr>
          <w:rFonts w:asciiTheme="minorHAnsi" w:hAnsiTheme="minorHAnsi"/>
          <w:sz w:val="22"/>
          <w:szCs w:val="22"/>
        </w:rPr>
        <w:tab/>
      </w:r>
      <w:r>
        <w:rPr>
          <w:rFonts w:asciiTheme="minorHAnsi" w:hAnsiTheme="minorHAnsi"/>
          <w:sz w:val="22"/>
          <w:szCs w:val="22"/>
        </w:rPr>
        <w:t>1.</w:t>
      </w:r>
      <w:r>
        <w:rPr>
          <w:rFonts w:asciiTheme="minorHAnsi" w:hAnsiTheme="minorHAnsi"/>
          <w:sz w:val="22"/>
          <w:szCs w:val="22"/>
        </w:rPr>
        <w:tab/>
      </w:r>
      <w:r w:rsidR="006458FE" w:rsidRPr="00F04EDB">
        <w:rPr>
          <w:rFonts w:asciiTheme="minorHAnsi" w:hAnsiTheme="minorHAnsi"/>
          <w:sz w:val="22"/>
          <w:szCs w:val="22"/>
        </w:rPr>
        <w:t xml:space="preserve">The motions </w:t>
      </w:r>
      <w:r w:rsidR="00C010B8">
        <w:rPr>
          <w:rFonts w:asciiTheme="minorHAnsi" w:hAnsiTheme="minorHAnsi"/>
          <w:sz w:val="22"/>
          <w:szCs w:val="22"/>
        </w:rPr>
        <w:t xml:space="preserve">reviewed </w:t>
      </w:r>
      <w:r w:rsidR="006458FE" w:rsidRPr="00F04EDB">
        <w:rPr>
          <w:rFonts w:asciiTheme="minorHAnsi" w:hAnsiTheme="minorHAnsi"/>
          <w:sz w:val="22"/>
          <w:szCs w:val="22"/>
        </w:rPr>
        <w:t>encompassed a wide range of topics, including: consider teaching “Smiley Face Song” in honor of Worcester native Harvey Ball</w:t>
      </w:r>
      <w:r w:rsidR="00CC4669">
        <w:rPr>
          <w:rFonts w:asciiTheme="minorHAnsi" w:hAnsiTheme="minorHAnsi"/>
          <w:sz w:val="22"/>
          <w:szCs w:val="22"/>
        </w:rPr>
        <w:t>;</w:t>
      </w:r>
      <w:r w:rsidR="006458FE" w:rsidRPr="00F04EDB">
        <w:rPr>
          <w:rFonts w:asciiTheme="minorHAnsi" w:hAnsiTheme="minorHAnsi"/>
          <w:sz w:val="22"/>
          <w:szCs w:val="22"/>
        </w:rPr>
        <w:t xml:space="preserve"> report on the number and description of community service activities performed by the Junior ROTC in 2015</w:t>
      </w:r>
      <w:r w:rsidR="005002A5">
        <w:rPr>
          <w:rFonts w:asciiTheme="minorHAnsi" w:hAnsiTheme="minorHAnsi"/>
          <w:sz w:val="22"/>
          <w:szCs w:val="22"/>
        </w:rPr>
        <w:t>–</w:t>
      </w:r>
      <w:r w:rsidR="006B3651">
        <w:rPr>
          <w:rFonts w:asciiTheme="minorHAnsi" w:hAnsiTheme="minorHAnsi"/>
          <w:sz w:val="22"/>
          <w:szCs w:val="22"/>
        </w:rPr>
        <w:t>20</w:t>
      </w:r>
      <w:r w:rsidR="006458FE" w:rsidRPr="00F04EDB">
        <w:rPr>
          <w:rFonts w:asciiTheme="minorHAnsi" w:hAnsiTheme="minorHAnsi"/>
          <w:sz w:val="22"/>
          <w:szCs w:val="22"/>
        </w:rPr>
        <w:t>16 and 2016</w:t>
      </w:r>
      <w:r w:rsidR="005002A5">
        <w:rPr>
          <w:rFonts w:asciiTheme="minorHAnsi" w:hAnsiTheme="minorHAnsi"/>
          <w:sz w:val="22"/>
          <w:szCs w:val="22"/>
        </w:rPr>
        <w:t>–</w:t>
      </w:r>
      <w:r w:rsidR="006B3651">
        <w:rPr>
          <w:rFonts w:asciiTheme="minorHAnsi" w:hAnsiTheme="minorHAnsi"/>
          <w:sz w:val="22"/>
          <w:szCs w:val="22"/>
        </w:rPr>
        <w:t>20</w:t>
      </w:r>
      <w:r w:rsidR="006458FE" w:rsidRPr="00F04EDB">
        <w:rPr>
          <w:rFonts w:asciiTheme="minorHAnsi" w:hAnsiTheme="minorHAnsi"/>
          <w:sz w:val="22"/>
          <w:szCs w:val="22"/>
        </w:rPr>
        <w:t>17</w:t>
      </w:r>
      <w:r w:rsidR="00CC4669">
        <w:rPr>
          <w:rFonts w:asciiTheme="minorHAnsi" w:hAnsiTheme="minorHAnsi"/>
          <w:sz w:val="22"/>
          <w:szCs w:val="22"/>
        </w:rPr>
        <w:t>;</w:t>
      </w:r>
      <w:r w:rsidR="006458FE" w:rsidRPr="00F04EDB">
        <w:rPr>
          <w:rFonts w:asciiTheme="minorHAnsi" w:hAnsiTheme="minorHAnsi"/>
          <w:sz w:val="22"/>
          <w:szCs w:val="22"/>
        </w:rPr>
        <w:t xml:space="preserve"> provide an inventory </w:t>
      </w:r>
      <w:r w:rsidR="006B3651">
        <w:rPr>
          <w:rFonts w:asciiTheme="minorHAnsi" w:hAnsiTheme="minorHAnsi"/>
          <w:sz w:val="22"/>
          <w:szCs w:val="22"/>
        </w:rPr>
        <w:t>about</w:t>
      </w:r>
      <w:r w:rsidR="006B3651" w:rsidRPr="00F04EDB">
        <w:rPr>
          <w:rFonts w:asciiTheme="minorHAnsi" w:hAnsiTheme="minorHAnsi"/>
          <w:sz w:val="22"/>
          <w:szCs w:val="22"/>
        </w:rPr>
        <w:t xml:space="preserve"> </w:t>
      </w:r>
      <w:r w:rsidR="006458FE" w:rsidRPr="00F04EDB">
        <w:rPr>
          <w:rFonts w:asciiTheme="minorHAnsi" w:hAnsiTheme="minorHAnsi"/>
          <w:sz w:val="22"/>
          <w:szCs w:val="22"/>
        </w:rPr>
        <w:t xml:space="preserve">the availability of </w:t>
      </w:r>
      <w:r w:rsidR="006B3651">
        <w:rPr>
          <w:rFonts w:asciiTheme="minorHAnsi" w:hAnsiTheme="minorHAnsi"/>
          <w:sz w:val="22"/>
          <w:szCs w:val="22"/>
        </w:rPr>
        <w:t>[</w:t>
      </w:r>
      <w:r w:rsidR="006458FE" w:rsidRPr="00F04EDB">
        <w:rPr>
          <w:rFonts w:asciiTheme="minorHAnsi" w:hAnsiTheme="minorHAnsi"/>
          <w:sz w:val="22"/>
          <w:szCs w:val="22"/>
        </w:rPr>
        <w:t>elementary literacy</w:t>
      </w:r>
      <w:r w:rsidR="006B3651">
        <w:rPr>
          <w:rFonts w:asciiTheme="minorHAnsi" w:hAnsiTheme="minorHAnsi"/>
          <w:sz w:val="22"/>
          <w:szCs w:val="22"/>
        </w:rPr>
        <w:t>]</w:t>
      </w:r>
      <w:r w:rsidR="006B3651" w:rsidRPr="00F04EDB">
        <w:rPr>
          <w:rFonts w:asciiTheme="minorHAnsi" w:hAnsiTheme="minorHAnsi"/>
          <w:sz w:val="22"/>
          <w:szCs w:val="22"/>
        </w:rPr>
        <w:t xml:space="preserve"> </w:t>
      </w:r>
      <w:r w:rsidR="006458FE" w:rsidRPr="00F04EDB">
        <w:rPr>
          <w:rFonts w:asciiTheme="minorHAnsi" w:hAnsiTheme="minorHAnsi"/>
          <w:sz w:val="22"/>
          <w:szCs w:val="22"/>
        </w:rPr>
        <w:t>tool kits</w:t>
      </w:r>
      <w:r w:rsidR="00CC4669">
        <w:rPr>
          <w:rFonts w:asciiTheme="minorHAnsi" w:hAnsiTheme="minorHAnsi"/>
          <w:sz w:val="22"/>
          <w:szCs w:val="22"/>
        </w:rPr>
        <w:t>;</w:t>
      </w:r>
      <w:r w:rsidR="006458FE" w:rsidRPr="00F04EDB">
        <w:rPr>
          <w:rFonts w:asciiTheme="minorHAnsi" w:hAnsiTheme="minorHAnsi"/>
          <w:sz w:val="22"/>
          <w:szCs w:val="22"/>
        </w:rPr>
        <w:t xml:space="preserve"> </w:t>
      </w:r>
      <w:r w:rsidR="006458FE" w:rsidRPr="00F04EDB">
        <w:rPr>
          <w:rFonts w:asciiTheme="minorHAnsi" w:hAnsiTheme="minorHAnsi"/>
          <w:sz w:val="22"/>
          <w:szCs w:val="22"/>
        </w:rPr>
        <w:lastRenderedPageBreak/>
        <w:t>consider the feasibility of establishing a citywide girls ice hockey team</w:t>
      </w:r>
      <w:r w:rsidR="00CC4669">
        <w:rPr>
          <w:rFonts w:asciiTheme="minorHAnsi" w:hAnsiTheme="minorHAnsi"/>
          <w:sz w:val="22"/>
          <w:szCs w:val="22"/>
        </w:rPr>
        <w:t>;</w:t>
      </w:r>
      <w:r w:rsidR="006458FE" w:rsidRPr="00F04EDB">
        <w:rPr>
          <w:rFonts w:asciiTheme="minorHAnsi" w:hAnsiTheme="minorHAnsi"/>
          <w:sz w:val="22"/>
          <w:szCs w:val="22"/>
        </w:rPr>
        <w:t xml:space="preserve"> and establish an advisory committee to review options for an earlier start time for secondary school students.</w:t>
      </w:r>
    </w:p>
    <w:p w:rsidR="006458FE" w:rsidRPr="00F04EDB" w:rsidRDefault="006458FE" w:rsidP="00EE2CC8">
      <w:pPr>
        <w:pStyle w:val="NormalWeb"/>
        <w:numPr>
          <w:ilvl w:val="1"/>
          <w:numId w:val="4"/>
        </w:numPr>
        <w:spacing w:before="0" w:beforeAutospacing="0" w:after="200" w:afterAutospacing="0" w:line="276" w:lineRule="auto"/>
        <w:rPr>
          <w:rFonts w:asciiTheme="minorHAnsi" w:hAnsiTheme="minorHAnsi"/>
          <w:sz w:val="22"/>
          <w:szCs w:val="22"/>
        </w:rPr>
      </w:pPr>
      <w:r w:rsidRPr="00F04EDB">
        <w:rPr>
          <w:rFonts w:asciiTheme="minorHAnsi" w:hAnsiTheme="minorHAnsi"/>
          <w:sz w:val="22"/>
          <w:szCs w:val="22"/>
        </w:rPr>
        <w:t>District and school leaders devote much time to responding to motions</w:t>
      </w:r>
      <w:r w:rsidR="006B3651">
        <w:rPr>
          <w:rFonts w:asciiTheme="minorHAnsi" w:hAnsiTheme="minorHAnsi"/>
          <w:sz w:val="22"/>
          <w:szCs w:val="22"/>
        </w:rPr>
        <w:t>.</w:t>
      </w:r>
    </w:p>
    <w:p w:rsidR="006458FE" w:rsidRPr="00F04EDB" w:rsidRDefault="006458FE" w:rsidP="00EE2CC8">
      <w:pPr>
        <w:pStyle w:val="NormalWeb"/>
        <w:numPr>
          <w:ilvl w:val="2"/>
          <w:numId w:val="4"/>
        </w:numPr>
        <w:spacing w:before="0" w:beforeAutospacing="0" w:after="200" w:afterAutospacing="0" w:line="276" w:lineRule="auto"/>
        <w:rPr>
          <w:rFonts w:asciiTheme="minorHAnsi" w:hAnsiTheme="minorHAnsi"/>
          <w:sz w:val="22"/>
          <w:szCs w:val="22"/>
        </w:rPr>
      </w:pPr>
      <w:r w:rsidRPr="00F04EDB">
        <w:rPr>
          <w:rFonts w:asciiTheme="minorHAnsi" w:hAnsiTheme="minorHAnsi"/>
          <w:sz w:val="22"/>
          <w:szCs w:val="22"/>
        </w:rPr>
        <w:t>District leaders reported that they spend up to four hours</w:t>
      </w:r>
      <w:r w:rsidR="006F1181">
        <w:rPr>
          <w:rFonts w:asciiTheme="minorHAnsi" w:hAnsiTheme="minorHAnsi"/>
          <w:sz w:val="22"/>
          <w:szCs w:val="22"/>
        </w:rPr>
        <w:t xml:space="preserve"> each Tuesday meeting with the clerk to the school c</w:t>
      </w:r>
      <w:r w:rsidRPr="00F04EDB">
        <w:rPr>
          <w:rFonts w:asciiTheme="minorHAnsi" w:hAnsiTheme="minorHAnsi"/>
          <w:sz w:val="22"/>
          <w:szCs w:val="22"/>
        </w:rPr>
        <w:t>ommittee reviewing, assigning</w:t>
      </w:r>
      <w:r w:rsidR="006B3651">
        <w:rPr>
          <w:rFonts w:asciiTheme="minorHAnsi" w:hAnsiTheme="minorHAnsi"/>
          <w:sz w:val="22"/>
          <w:szCs w:val="22"/>
        </w:rPr>
        <w:t>,</w:t>
      </w:r>
      <w:r w:rsidRPr="00F04EDB">
        <w:rPr>
          <w:rFonts w:asciiTheme="minorHAnsi" w:hAnsiTheme="minorHAnsi"/>
          <w:sz w:val="22"/>
          <w:szCs w:val="22"/>
        </w:rPr>
        <w:t xml:space="preserve"> and planning responses to motions.</w:t>
      </w:r>
    </w:p>
    <w:p w:rsidR="006458FE" w:rsidRDefault="006458FE" w:rsidP="00EE2CC8">
      <w:pPr>
        <w:pStyle w:val="NormalWeb"/>
        <w:numPr>
          <w:ilvl w:val="2"/>
          <w:numId w:val="4"/>
        </w:numPr>
        <w:spacing w:before="0" w:beforeAutospacing="0" w:after="200" w:afterAutospacing="0" w:line="276" w:lineRule="auto"/>
        <w:rPr>
          <w:rFonts w:asciiTheme="minorHAnsi" w:hAnsiTheme="minorHAnsi"/>
          <w:sz w:val="22"/>
          <w:szCs w:val="22"/>
        </w:rPr>
      </w:pPr>
      <w:r w:rsidRPr="00F04EDB">
        <w:rPr>
          <w:rFonts w:asciiTheme="minorHAnsi" w:hAnsiTheme="minorHAnsi"/>
          <w:sz w:val="22"/>
          <w:szCs w:val="22"/>
        </w:rPr>
        <w:t xml:space="preserve">District and school leaders </w:t>
      </w:r>
      <w:r w:rsidR="006B3651">
        <w:rPr>
          <w:rFonts w:asciiTheme="minorHAnsi" w:hAnsiTheme="minorHAnsi"/>
          <w:sz w:val="22"/>
          <w:szCs w:val="22"/>
        </w:rPr>
        <w:t>stated</w:t>
      </w:r>
      <w:r w:rsidR="006B3651" w:rsidRPr="00F04EDB">
        <w:rPr>
          <w:rFonts w:asciiTheme="minorHAnsi" w:hAnsiTheme="minorHAnsi"/>
          <w:sz w:val="22"/>
          <w:szCs w:val="22"/>
        </w:rPr>
        <w:t xml:space="preserve"> </w:t>
      </w:r>
      <w:r w:rsidRPr="00F04EDB">
        <w:rPr>
          <w:rFonts w:asciiTheme="minorHAnsi" w:hAnsiTheme="minorHAnsi"/>
          <w:sz w:val="22"/>
          <w:szCs w:val="22"/>
        </w:rPr>
        <w:t xml:space="preserve">that they are often distracted from the work they consider central to their </w:t>
      </w:r>
      <w:r w:rsidR="005002A5">
        <w:rPr>
          <w:rFonts w:asciiTheme="minorHAnsi" w:hAnsiTheme="minorHAnsi"/>
          <w:sz w:val="22"/>
          <w:szCs w:val="22"/>
        </w:rPr>
        <w:t>responsibilities</w:t>
      </w:r>
      <w:r w:rsidR="005002A5" w:rsidRPr="00F04EDB">
        <w:rPr>
          <w:rFonts w:asciiTheme="minorHAnsi" w:hAnsiTheme="minorHAnsi"/>
          <w:sz w:val="22"/>
          <w:szCs w:val="22"/>
        </w:rPr>
        <w:t xml:space="preserve"> </w:t>
      </w:r>
      <w:r w:rsidRPr="00F04EDB">
        <w:rPr>
          <w:rFonts w:asciiTheme="minorHAnsi" w:hAnsiTheme="minorHAnsi"/>
          <w:sz w:val="22"/>
          <w:szCs w:val="22"/>
        </w:rPr>
        <w:t xml:space="preserve">to respond to </w:t>
      </w:r>
      <w:r w:rsidR="008970D2">
        <w:rPr>
          <w:rFonts w:asciiTheme="minorHAnsi" w:hAnsiTheme="minorHAnsi"/>
          <w:sz w:val="22"/>
          <w:szCs w:val="22"/>
        </w:rPr>
        <w:t xml:space="preserve">urgent </w:t>
      </w:r>
      <w:r w:rsidRPr="00F04EDB">
        <w:rPr>
          <w:rFonts w:asciiTheme="minorHAnsi" w:hAnsiTheme="minorHAnsi"/>
          <w:sz w:val="22"/>
          <w:szCs w:val="22"/>
        </w:rPr>
        <w:t xml:space="preserve">requests for information about topics they see as not aligned with district priorities to improve teaching and learning and/or related to their </w:t>
      </w:r>
      <w:r w:rsidR="005002A5">
        <w:rPr>
          <w:rFonts w:asciiTheme="minorHAnsi" w:hAnsiTheme="minorHAnsi"/>
          <w:sz w:val="22"/>
          <w:szCs w:val="22"/>
        </w:rPr>
        <w:t>core</w:t>
      </w:r>
      <w:r w:rsidR="005002A5" w:rsidRPr="00F04EDB">
        <w:rPr>
          <w:rFonts w:asciiTheme="minorHAnsi" w:hAnsiTheme="minorHAnsi"/>
          <w:sz w:val="22"/>
          <w:szCs w:val="22"/>
        </w:rPr>
        <w:t xml:space="preserve"> </w:t>
      </w:r>
      <w:r w:rsidRPr="00F04EDB">
        <w:rPr>
          <w:rFonts w:asciiTheme="minorHAnsi" w:hAnsiTheme="minorHAnsi"/>
          <w:sz w:val="22"/>
          <w:szCs w:val="22"/>
        </w:rPr>
        <w:t>responsibilities.</w:t>
      </w:r>
      <w:r w:rsidRPr="00F04EDB">
        <w:rPr>
          <w:rStyle w:val="FootnoteReference"/>
          <w:rFonts w:asciiTheme="minorHAnsi" w:hAnsiTheme="minorHAnsi"/>
          <w:sz w:val="22"/>
          <w:szCs w:val="22"/>
        </w:rPr>
        <w:t xml:space="preserve"> </w:t>
      </w:r>
    </w:p>
    <w:p w:rsidR="00C010B8" w:rsidRPr="00F04EDB" w:rsidRDefault="00C010B8" w:rsidP="00C010B8">
      <w:pPr>
        <w:pStyle w:val="NormalWeb"/>
        <w:numPr>
          <w:ilvl w:val="2"/>
          <w:numId w:val="4"/>
        </w:numPr>
        <w:spacing w:before="0" w:beforeAutospacing="0" w:after="200" w:afterAutospacing="0" w:line="276" w:lineRule="auto"/>
        <w:rPr>
          <w:rFonts w:asciiTheme="minorHAnsi" w:hAnsiTheme="minorHAnsi"/>
          <w:sz w:val="22"/>
          <w:szCs w:val="22"/>
        </w:rPr>
      </w:pPr>
      <w:r w:rsidRPr="00F04EDB">
        <w:rPr>
          <w:rFonts w:asciiTheme="minorHAnsi" w:hAnsiTheme="minorHAnsi"/>
          <w:sz w:val="22"/>
          <w:szCs w:val="22"/>
        </w:rPr>
        <w:t xml:space="preserve">District leaders </w:t>
      </w:r>
      <w:r>
        <w:rPr>
          <w:rFonts w:asciiTheme="minorHAnsi" w:hAnsiTheme="minorHAnsi"/>
          <w:sz w:val="22"/>
          <w:szCs w:val="22"/>
        </w:rPr>
        <w:t xml:space="preserve">said </w:t>
      </w:r>
      <w:r w:rsidRPr="00F04EDB">
        <w:rPr>
          <w:rFonts w:asciiTheme="minorHAnsi" w:hAnsiTheme="minorHAnsi"/>
          <w:sz w:val="22"/>
          <w:szCs w:val="22"/>
        </w:rPr>
        <w:t xml:space="preserve">that they are generally expected to respond to requests for information at the next school committee or subcommittee meeting. </w:t>
      </w:r>
    </w:p>
    <w:p w:rsidR="006458FE" w:rsidRPr="00F04EDB" w:rsidRDefault="006458FE" w:rsidP="00EE2CC8">
      <w:pPr>
        <w:pStyle w:val="NormalWeb"/>
        <w:numPr>
          <w:ilvl w:val="2"/>
          <w:numId w:val="4"/>
        </w:numPr>
        <w:spacing w:before="0" w:beforeAutospacing="0" w:after="200" w:afterAutospacing="0" w:line="276" w:lineRule="auto"/>
        <w:rPr>
          <w:rFonts w:asciiTheme="minorHAnsi" w:hAnsiTheme="minorHAnsi"/>
          <w:sz w:val="22"/>
          <w:szCs w:val="22"/>
        </w:rPr>
      </w:pPr>
      <w:r w:rsidRPr="00F04EDB">
        <w:rPr>
          <w:rFonts w:asciiTheme="minorHAnsi" w:hAnsiTheme="minorHAnsi"/>
          <w:sz w:val="22"/>
          <w:szCs w:val="22"/>
        </w:rPr>
        <w:t>District and school staff also spend time gathering a</w:t>
      </w:r>
      <w:r w:rsidR="006F1181">
        <w:rPr>
          <w:rFonts w:asciiTheme="minorHAnsi" w:hAnsiTheme="minorHAnsi"/>
          <w:sz w:val="22"/>
          <w:szCs w:val="22"/>
        </w:rPr>
        <w:t xml:space="preserve">nd sharing the information </w:t>
      </w:r>
      <w:r w:rsidR="001275C5">
        <w:rPr>
          <w:rFonts w:asciiTheme="minorHAnsi" w:hAnsiTheme="minorHAnsi"/>
          <w:sz w:val="22"/>
          <w:szCs w:val="22"/>
        </w:rPr>
        <w:t xml:space="preserve">that </w:t>
      </w:r>
      <w:r w:rsidR="006F1181">
        <w:rPr>
          <w:rFonts w:asciiTheme="minorHAnsi" w:hAnsiTheme="minorHAnsi"/>
          <w:sz w:val="22"/>
          <w:szCs w:val="22"/>
        </w:rPr>
        <w:t>the clerk for the school c</w:t>
      </w:r>
      <w:r w:rsidRPr="00F04EDB">
        <w:rPr>
          <w:rFonts w:asciiTheme="minorHAnsi" w:hAnsiTheme="minorHAnsi"/>
          <w:sz w:val="22"/>
          <w:szCs w:val="22"/>
        </w:rPr>
        <w:t>ommittee needs to respond to motions designed to recognize students or staff.</w:t>
      </w:r>
    </w:p>
    <w:p w:rsidR="006458FE" w:rsidRDefault="006458FE" w:rsidP="00EE2CC8">
      <w:pPr>
        <w:pStyle w:val="NormalWeb"/>
        <w:numPr>
          <w:ilvl w:val="3"/>
          <w:numId w:val="4"/>
        </w:numPr>
        <w:spacing w:before="0" w:beforeAutospacing="0" w:after="200" w:afterAutospacing="0" w:line="276" w:lineRule="auto"/>
        <w:rPr>
          <w:rFonts w:asciiTheme="minorHAnsi" w:hAnsiTheme="minorHAnsi"/>
          <w:sz w:val="22"/>
          <w:szCs w:val="22"/>
        </w:rPr>
      </w:pPr>
      <w:r w:rsidRPr="00F04EDB">
        <w:rPr>
          <w:rFonts w:asciiTheme="minorHAnsi" w:hAnsiTheme="minorHAnsi"/>
          <w:sz w:val="22"/>
          <w:szCs w:val="22"/>
        </w:rPr>
        <w:t xml:space="preserve">Administrators often provide the content for the letters and certificates and the recipients’ contact information and explore options for a date for a staff member to join the recipients at a school committee meeting. </w:t>
      </w:r>
    </w:p>
    <w:p w:rsidR="001275C5" w:rsidRPr="00F04EDB" w:rsidRDefault="00C010B8" w:rsidP="00C010B8">
      <w:pPr>
        <w:pStyle w:val="NormalWeb"/>
        <w:tabs>
          <w:tab w:val="left" w:pos="360"/>
          <w:tab w:val="left" w:pos="720"/>
          <w:tab w:val="left" w:pos="1080"/>
          <w:tab w:val="left" w:pos="1440"/>
        </w:tabs>
        <w:spacing w:before="0" w:beforeAutospacing="0" w:after="200" w:afterAutospacing="0" w:line="276" w:lineRule="auto"/>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5.</w:t>
      </w:r>
      <w:r>
        <w:rPr>
          <w:rFonts w:asciiTheme="minorHAnsi" w:hAnsiTheme="minorHAnsi"/>
          <w:sz w:val="22"/>
          <w:szCs w:val="22"/>
        </w:rPr>
        <w:tab/>
      </w:r>
      <w:r w:rsidR="001275C5" w:rsidRPr="00F04EDB">
        <w:rPr>
          <w:rFonts w:asciiTheme="minorHAnsi" w:hAnsiTheme="minorHAnsi"/>
          <w:sz w:val="22"/>
          <w:szCs w:val="22"/>
        </w:rPr>
        <w:t xml:space="preserve">Two </w:t>
      </w:r>
      <w:r w:rsidR="001275C5">
        <w:rPr>
          <w:rFonts w:asciiTheme="minorHAnsi" w:hAnsiTheme="minorHAnsi"/>
          <w:sz w:val="22"/>
          <w:szCs w:val="22"/>
        </w:rPr>
        <w:t>clerks support the work of the clerk of the school c</w:t>
      </w:r>
      <w:r w:rsidR="001275C5" w:rsidRPr="00F04EDB">
        <w:rPr>
          <w:rFonts w:asciiTheme="minorHAnsi" w:hAnsiTheme="minorHAnsi"/>
          <w:sz w:val="22"/>
          <w:szCs w:val="22"/>
        </w:rPr>
        <w:t>ommittee.</w:t>
      </w:r>
    </w:p>
    <w:p w:rsidR="00F04EDB" w:rsidRPr="00D1655D" w:rsidRDefault="006458FE" w:rsidP="00EE2CC8">
      <w:pPr>
        <w:pStyle w:val="NormalWeb"/>
        <w:spacing w:before="0" w:beforeAutospacing="0" w:after="200" w:afterAutospacing="0" w:line="276" w:lineRule="auto"/>
        <w:rPr>
          <w:rFonts w:asciiTheme="minorHAnsi" w:hAnsiTheme="minorHAnsi"/>
          <w:sz w:val="22"/>
          <w:szCs w:val="22"/>
        </w:rPr>
      </w:pPr>
      <w:r w:rsidRPr="00F04EDB">
        <w:rPr>
          <w:rFonts w:asciiTheme="minorHAnsi" w:hAnsiTheme="minorHAnsi"/>
          <w:b/>
          <w:sz w:val="22"/>
          <w:szCs w:val="22"/>
        </w:rPr>
        <w:t>Impact</w:t>
      </w:r>
      <w:r w:rsidRPr="00F04EDB">
        <w:rPr>
          <w:rFonts w:asciiTheme="minorHAnsi" w:hAnsiTheme="minorHAnsi"/>
          <w:sz w:val="22"/>
          <w:szCs w:val="22"/>
        </w:rPr>
        <w:t xml:space="preserve">:  The large number of school committee motions seeking information from </w:t>
      </w:r>
      <w:r w:rsidR="002542FD" w:rsidRPr="00F04EDB">
        <w:rPr>
          <w:rFonts w:asciiTheme="minorHAnsi" w:hAnsiTheme="minorHAnsi"/>
          <w:sz w:val="22"/>
          <w:szCs w:val="22"/>
        </w:rPr>
        <w:t>administrat</w:t>
      </w:r>
      <w:r w:rsidR="002542FD">
        <w:rPr>
          <w:rFonts w:asciiTheme="minorHAnsi" w:hAnsiTheme="minorHAnsi"/>
          <w:sz w:val="22"/>
          <w:szCs w:val="22"/>
        </w:rPr>
        <w:t>ors</w:t>
      </w:r>
      <w:r w:rsidR="00997E6B">
        <w:rPr>
          <w:rFonts w:asciiTheme="minorHAnsi" w:hAnsiTheme="minorHAnsi"/>
          <w:sz w:val="22"/>
          <w:szCs w:val="22"/>
        </w:rPr>
        <w:t xml:space="preserve"> </w:t>
      </w:r>
      <w:r w:rsidRPr="00F04EDB">
        <w:rPr>
          <w:rFonts w:asciiTheme="minorHAnsi" w:hAnsiTheme="minorHAnsi"/>
          <w:sz w:val="22"/>
          <w:szCs w:val="22"/>
        </w:rPr>
        <w:t>demand</w:t>
      </w:r>
      <w:r w:rsidR="002542FD">
        <w:rPr>
          <w:rFonts w:asciiTheme="minorHAnsi" w:hAnsiTheme="minorHAnsi"/>
          <w:sz w:val="22"/>
          <w:szCs w:val="22"/>
        </w:rPr>
        <w:t>s</w:t>
      </w:r>
      <w:r w:rsidRPr="00F04EDB">
        <w:rPr>
          <w:rFonts w:asciiTheme="minorHAnsi" w:hAnsiTheme="minorHAnsi"/>
          <w:sz w:val="22"/>
          <w:szCs w:val="22"/>
        </w:rPr>
        <w:t xml:space="preserve"> </w:t>
      </w:r>
      <w:r w:rsidR="00A7792B">
        <w:rPr>
          <w:rFonts w:asciiTheme="minorHAnsi" w:hAnsiTheme="minorHAnsi"/>
          <w:sz w:val="22"/>
          <w:szCs w:val="22"/>
        </w:rPr>
        <w:t>much</w:t>
      </w:r>
      <w:r w:rsidR="00A7792B" w:rsidRPr="00F04EDB">
        <w:rPr>
          <w:rFonts w:asciiTheme="minorHAnsi" w:hAnsiTheme="minorHAnsi"/>
          <w:sz w:val="22"/>
          <w:szCs w:val="22"/>
        </w:rPr>
        <w:t xml:space="preserve"> </w:t>
      </w:r>
      <w:r w:rsidRPr="00F04EDB">
        <w:rPr>
          <w:rFonts w:asciiTheme="minorHAnsi" w:hAnsiTheme="minorHAnsi"/>
          <w:sz w:val="22"/>
          <w:szCs w:val="22"/>
        </w:rPr>
        <w:t>time and attention of many district and school administrators at a significant cost to the time and attention they can pay to their core leadership responsibilities. Because the requests are often not related to the district’s goals, the</w:t>
      </w:r>
      <w:r w:rsidR="002542FD">
        <w:rPr>
          <w:rFonts w:asciiTheme="minorHAnsi" w:hAnsiTheme="minorHAnsi"/>
          <w:sz w:val="22"/>
          <w:szCs w:val="22"/>
        </w:rPr>
        <w:t>y</w:t>
      </w:r>
      <w:r w:rsidRPr="00F04EDB">
        <w:rPr>
          <w:rFonts w:asciiTheme="minorHAnsi" w:hAnsiTheme="minorHAnsi"/>
          <w:sz w:val="22"/>
          <w:szCs w:val="22"/>
        </w:rPr>
        <w:t xml:space="preserve"> </w:t>
      </w:r>
      <w:r w:rsidR="0068003B">
        <w:rPr>
          <w:rFonts w:asciiTheme="minorHAnsi" w:hAnsiTheme="minorHAnsi"/>
          <w:sz w:val="22"/>
          <w:szCs w:val="22"/>
        </w:rPr>
        <w:t xml:space="preserve">distract </w:t>
      </w:r>
      <w:r w:rsidR="002542FD">
        <w:rPr>
          <w:rFonts w:asciiTheme="minorHAnsi" w:hAnsiTheme="minorHAnsi"/>
          <w:sz w:val="22"/>
          <w:szCs w:val="22"/>
        </w:rPr>
        <w:t>district and school administrators</w:t>
      </w:r>
      <w:r w:rsidR="002542FD" w:rsidRPr="00F04EDB">
        <w:rPr>
          <w:rFonts w:asciiTheme="minorHAnsi" w:hAnsiTheme="minorHAnsi"/>
          <w:sz w:val="22"/>
          <w:szCs w:val="22"/>
        </w:rPr>
        <w:t xml:space="preserve"> </w:t>
      </w:r>
      <w:r w:rsidR="0068003B">
        <w:rPr>
          <w:rFonts w:asciiTheme="minorHAnsi" w:hAnsiTheme="minorHAnsi"/>
          <w:sz w:val="22"/>
          <w:szCs w:val="22"/>
        </w:rPr>
        <w:t xml:space="preserve">from the instructional </w:t>
      </w:r>
      <w:r w:rsidR="0068003B" w:rsidRPr="00D1655D">
        <w:rPr>
          <w:rFonts w:asciiTheme="minorHAnsi" w:hAnsiTheme="minorHAnsi"/>
          <w:sz w:val="22"/>
          <w:szCs w:val="22"/>
        </w:rPr>
        <w:t>leadership work that is critical</w:t>
      </w:r>
      <w:r w:rsidRPr="00D1655D">
        <w:rPr>
          <w:rFonts w:asciiTheme="minorHAnsi" w:hAnsiTheme="minorHAnsi"/>
          <w:sz w:val="22"/>
          <w:szCs w:val="22"/>
        </w:rPr>
        <w:t xml:space="preserve"> to school improvement. </w:t>
      </w:r>
    </w:p>
    <w:p w:rsidR="00F04EDB" w:rsidRPr="00D1655D" w:rsidRDefault="00B16593" w:rsidP="00F04EDB">
      <w:pPr>
        <w:tabs>
          <w:tab w:val="left" w:pos="360"/>
          <w:tab w:val="left" w:pos="720"/>
          <w:tab w:val="left" w:pos="1080"/>
          <w:tab w:val="left" w:pos="1440"/>
          <w:tab w:val="left" w:pos="1800"/>
          <w:tab w:val="left" w:pos="2160"/>
        </w:tabs>
        <w:ind w:left="360" w:hanging="360"/>
        <w:rPr>
          <w:b/>
        </w:rPr>
      </w:pPr>
      <w:r w:rsidRPr="00D1655D">
        <w:rPr>
          <w:b/>
        </w:rPr>
        <w:t>3</w:t>
      </w:r>
      <w:r w:rsidR="00F04EDB" w:rsidRPr="00D1655D">
        <w:rPr>
          <w:b/>
        </w:rPr>
        <w:t>.</w:t>
      </w:r>
      <w:r w:rsidR="00F04EDB" w:rsidRPr="00D1655D">
        <w:rPr>
          <w:b/>
        </w:rPr>
        <w:tab/>
      </w:r>
      <w:r w:rsidR="00A80BF9" w:rsidRPr="00D1655D">
        <w:rPr>
          <w:b/>
        </w:rPr>
        <w:t xml:space="preserve">District and school leaders have not scheduled regular grade-level and content-level teacher meetings at all schools to focus on monitoring progress for all students, and </w:t>
      </w:r>
      <w:r w:rsidR="002F222D" w:rsidRPr="00D1655D">
        <w:rPr>
          <w:b/>
        </w:rPr>
        <w:t xml:space="preserve">on </w:t>
      </w:r>
      <w:r w:rsidR="00A80BF9" w:rsidRPr="00D1655D">
        <w:rPr>
          <w:b/>
        </w:rPr>
        <w:t>using data to improve teaching, learning, and curriculum.</w:t>
      </w:r>
      <w:r w:rsidR="00805993" w:rsidRPr="00D1655D">
        <w:rPr>
          <w:b/>
        </w:rPr>
        <w:t xml:space="preserve"> The district has not </w:t>
      </w:r>
      <w:r w:rsidR="00667441" w:rsidRPr="00D1655D">
        <w:rPr>
          <w:b/>
        </w:rPr>
        <w:t>articulated</w:t>
      </w:r>
      <w:r w:rsidR="00805993" w:rsidRPr="00D1655D">
        <w:rPr>
          <w:b/>
        </w:rPr>
        <w:t xml:space="preserve"> expectations for teachers’ use of </w:t>
      </w:r>
      <w:r w:rsidR="00667441" w:rsidRPr="00D1655D">
        <w:rPr>
          <w:b/>
        </w:rPr>
        <w:t xml:space="preserve">collaborative </w:t>
      </w:r>
      <w:r w:rsidR="00805993" w:rsidRPr="00D1655D">
        <w:rPr>
          <w:b/>
        </w:rPr>
        <w:t>meeting time.</w:t>
      </w:r>
    </w:p>
    <w:p w:rsidR="00A80BF9" w:rsidRPr="00D1655D" w:rsidRDefault="00F04EDB" w:rsidP="00A80BF9">
      <w:pPr>
        <w:tabs>
          <w:tab w:val="left" w:pos="360"/>
          <w:tab w:val="left" w:pos="1080"/>
          <w:tab w:val="left" w:pos="1440"/>
          <w:tab w:val="left" w:pos="1800"/>
        </w:tabs>
        <w:ind w:left="720" w:hanging="360"/>
      </w:pPr>
      <w:r w:rsidRPr="00D1655D">
        <w:t xml:space="preserve"> </w:t>
      </w:r>
      <w:r w:rsidRPr="00D1655D">
        <w:rPr>
          <w:b/>
        </w:rPr>
        <w:t>A.</w:t>
      </w:r>
      <w:r w:rsidRPr="00D1655D">
        <w:t xml:space="preserve">  </w:t>
      </w:r>
      <w:r w:rsidR="00A80BF9" w:rsidRPr="00D1655D">
        <w:t xml:space="preserve"> Interviews and a document review indicated that Common Planning Time (CPT) is inconsistent across schools and school levels.</w:t>
      </w:r>
      <w:r w:rsidR="00A80BF9" w:rsidRPr="00D1655D">
        <w:rPr>
          <w:rStyle w:val="FootnoteReference"/>
        </w:rPr>
        <w:footnoteReference w:id="10"/>
      </w:r>
    </w:p>
    <w:p w:rsidR="00A80BF9" w:rsidRPr="00D1655D" w:rsidRDefault="00A80BF9" w:rsidP="00A80BF9">
      <w:pPr>
        <w:tabs>
          <w:tab w:val="left" w:pos="360"/>
          <w:tab w:val="left" w:pos="1080"/>
          <w:tab w:val="left" w:pos="1440"/>
          <w:tab w:val="left" w:pos="1800"/>
        </w:tabs>
        <w:ind w:left="1080" w:hanging="360"/>
      </w:pPr>
      <w:r w:rsidRPr="00D1655D">
        <w:t>1.</w:t>
      </w:r>
      <w:r w:rsidRPr="00D1655D">
        <w:tab/>
        <w:t xml:space="preserve">CPT is usually defined as time dedicated for grade-level or content-level teacher teams to collaboratively learn from each other, discuss students’ progress, analyze data, develop and analyze lessons, and work together in other ways to improve their practice.  </w:t>
      </w:r>
    </w:p>
    <w:p w:rsidR="00F04EDB" w:rsidRPr="00D1655D" w:rsidRDefault="00A80BF9" w:rsidP="00F04EDB">
      <w:pPr>
        <w:tabs>
          <w:tab w:val="left" w:pos="360"/>
          <w:tab w:val="left" w:pos="1080"/>
          <w:tab w:val="left" w:pos="1440"/>
          <w:tab w:val="left" w:pos="1800"/>
        </w:tabs>
        <w:ind w:left="1080" w:hanging="360"/>
      </w:pPr>
      <w:r w:rsidRPr="00D1655D">
        <w:lastRenderedPageBreak/>
        <w:t>2</w:t>
      </w:r>
      <w:r w:rsidR="00F04EDB" w:rsidRPr="00D1655D">
        <w:t>.</w:t>
      </w:r>
      <w:r w:rsidR="00F04EDB" w:rsidRPr="00D1655D">
        <w:tab/>
      </w:r>
      <w:r w:rsidR="00297078" w:rsidRPr="00D1655D">
        <w:t xml:space="preserve">Common prep time is defined as time during the school day for teachers, typically working independently, to plan and prepare for classes.  </w:t>
      </w:r>
      <w:r w:rsidR="00F04EDB" w:rsidRPr="00D1655D">
        <w:t xml:space="preserve">Although contractually all teachers have common prep time,   </w:t>
      </w:r>
      <w:r w:rsidR="00297078" w:rsidRPr="00D1655D">
        <w:t xml:space="preserve">teachers </w:t>
      </w:r>
      <w:r w:rsidR="00F04EDB" w:rsidRPr="00D1655D">
        <w:t>may choose to meet with colleagues during this non-teaching time, but they cannot be required to do so.</w:t>
      </w:r>
    </w:p>
    <w:p w:rsidR="00F04EDB" w:rsidRPr="00D1655D" w:rsidRDefault="00B47EFE" w:rsidP="00F04EDB">
      <w:pPr>
        <w:tabs>
          <w:tab w:val="left" w:pos="360"/>
          <w:tab w:val="left" w:pos="1080"/>
          <w:tab w:val="left" w:pos="1440"/>
          <w:tab w:val="left" w:pos="1800"/>
        </w:tabs>
        <w:ind w:left="1080" w:hanging="360"/>
      </w:pPr>
      <w:r w:rsidRPr="00D1655D">
        <w:t>3.</w:t>
      </w:r>
      <w:r w:rsidRPr="00D1655D">
        <w:tab/>
      </w:r>
      <w:r w:rsidR="00297078" w:rsidRPr="00D1655D">
        <w:t xml:space="preserve">Some administrators said </w:t>
      </w:r>
      <w:r w:rsidR="00F04EDB" w:rsidRPr="00D1655D">
        <w:t xml:space="preserve">that having more standardized </w:t>
      </w:r>
      <w:r w:rsidR="00297078" w:rsidRPr="00D1655D">
        <w:t>CPT</w:t>
      </w:r>
      <w:r w:rsidR="00F04EDB" w:rsidRPr="00D1655D">
        <w:t xml:space="preserve"> was a district goal.</w:t>
      </w:r>
    </w:p>
    <w:p w:rsidR="00F04EDB" w:rsidRPr="00D1655D" w:rsidRDefault="00297078" w:rsidP="00F04EDB">
      <w:pPr>
        <w:tabs>
          <w:tab w:val="left" w:pos="360"/>
          <w:tab w:val="left" w:pos="720"/>
          <w:tab w:val="left" w:pos="1080"/>
          <w:tab w:val="left" w:pos="1440"/>
          <w:tab w:val="left" w:pos="1800"/>
          <w:tab w:val="left" w:pos="2160"/>
        </w:tabs>
        <w:ind w:left="720" w:hanging="360"/>
      </w:pPr>
      <w:r w:rsidRPr="00D1655D">
        <w:rPr>
          <w:b/>
        </w:rPr>
        <w:t>B</w:t>
      </w:r>
      <w:r w:rsidR="00F04EDB" w:rsidRPr="00D1655D">
        <w:rPr>
          <w:b/>
        </w:rPr>
        <w:t>.</w:t>
      </w:r>
      <w:r w:rsidR="00F04EDB" w:rsidRPr="00D1655D">
        <w:tab/>
        <w:t>At the elementary level, managers stated that all schools</w:t>
      </w:r>
      <w:r w:rsidR="00071217" w:rsidRPr="00D1655D">
        <w:t xml:space="preserve"> had CPT</w:t>
      </w:r>
      <w:r w:rsidR="00F04EDB" w:rsidRPr="00D1655D">
        <w:t xml:space="preserve">.  </w:t>
      </w:r>
      <w:r w:rsidR="00071217" w:rsidRPr="00D1655D">
        <w:t xml:space="preserve">Managers and some </w:t>
      </w:r>
      <w:r w:rsidR="00F04EDB" w:rsidRPr="00D1655D">
        <w:t xml:space="preserve">teachers told the team that CPT looks different in each </w:t>
      </w:r>
      <w:r w:rsidR="00071217" w:rsidRPr="00D1655D">
        <w:t>school</w:t>
      </w:r>
      <w:r w:rsidR="00F04EDB" w:rsidRPr="00D1655D">
        <w:t xml:space="preserve">. </w:t>
      </w:r>
    </w:p>
    <w:p w:rsidR="00F04EDB" w:rsidRPr="00D1655D" w:rsidRDefault="00F04EDB" w:rsidP="00386849">
      <w:pPr>
        <w:pStyle w:val="ListParagraph"/>
        <w:numPr>
          <w:ilvl w:val="0"/>
          <w:numId w:val="6"/>
        </w:numPr>
        <w:tabs>
          <w:tab w:val="left" w:pos="360"/>
          <w:tab w:val="left" w:pos="720"/>
          <w:tab w:val="left" w:pos="1080"/>
          <w:tab w:val="left" w:pos="1800"/>
        </w:tabs>
        <w:contextualSpacing w:val="0"/>
      </w:pPr>
      <w:r w:rsidRPr="00D1655D">
        <w:t>In various interviews</w:t>
      </w:r>
      <w:r w:rsidR="00D1349D" w:rsidRPr="00D1655D">
        <w:t xml:space="preserve"> with staff and teachers</w:t>
      </w:r>
      <w:r w:rsidRPr="00D1655D">
        <w:t xml:space="preserve">, the team </w:t>
      </w:r>
      <w:r w:rsidR="00D1349D" w:rsidRPr="00D1655D">
        <w:t xml:space="preserve">was told </w:t>
      </w:r>
      <w:r w:rsidRPr="00D1655D">
        <w:t xml:space="preserve">that CPT ranges from 30 minutes daily at the Level 4 and low Level 3 schools, to once or twice or three times a week at others. </w:t>
      </w:r>
    </w:p>
    <w:p w:rsidR="00F04EDB" w:rsidRPr="00D1655D" w:rsidRDefault="00F04EDB" w:rsidP="00386849">
      <w:pPr>
        <w:pStyle w:val="ListParagraph"/>
        <w:numPr>
          <w:ilvl w:val="0"/>
          <w:numId w:val="6"/>
        </w:numPr>
        <w:tabs>
          <w:tab w:val="left" w:pos="360"/>
          <w:tab w:val="left" w:pos="720"/>
          <w:tab w:val="left" w:pos="1080"/>
          <w:tab w:val="left" w:pos="1800"/>
        </w:tabs>
        <w:contextualSpacing w:val="0"/>
      </w:pPr>
      <w:r w:rsidRPr="00D1655D">
        <w:t xml:space="preserve">The use of </w:t>
      </w:r>
      <w:r w:rsidR="00D1349D" w:rsidRPr="00D1655D">
        <w:t>CPT</w:t>
      </w:r>
      <w:r w:rsidRPr="00D1655D">
        <w:t xml:space="preserve"> for special education teachers and guidance counselors to meet with </w:t>
      </w:r>
      <w:r w:rsidR="00D1349D" w:rsidRPr="00D1655D">
        <w:t>grade-</w:t>
      </w:r>
      <w:r w:rsidRPr="00D1655D">
        <w:t xml:space="preserve">level teachers to discuss student progress does not exist at all </w:t>
      </w:r>
      <w:r w:rsidR="002F222D" w:rsidRPr="00D1655D">
        <w:t xml:space="preserve">elementary </w:t>
      </w:r>
      <w:r w:rsidRPr="00D1655D">
        <w:t>schools.</w:t>
      </w:r>
    </w:p>
    <w:p w:rsidR="00F04EDB" w:rsidRPr="00D1655D" w:rsidRDefault="003036A8" w:rsidP="00F04EDB">
      <w:pPr>
        <w:tabs>
          <w:tab w:val="left" w:pos="360"/>
          <w:tab w:val="left" w:pos="720"/>
          <w:tab w:val="left" w:pos="1080"/>
          <w:tab w:val="left" w:pos="1800"/>
        </w:tabs>
        <w:ind w:left="720" w:hanging="360"/>
      </w:pPr>
      <w:r w:rsidRPr="00D1655D">
        <w:rPr>
          <w:b/>
        </w:rPr>
        <w:t>C</w:t>
      </w:r>
      <w:r w:rsidR="00F04EDB" w:rsidRPr="00D1655D">
        <w:rPr>
          <w:b/>
        </w:rPr>
        <w:t>.</w:t>
      </w:r>
      <w:r w:rsidR="00F04EDB" w:rsidRPr="00D1655D">
        <w:rPr>
          <w:b/>
        </w:rPr>
        <w:tab/>
      </w:r>
      <w:r w:rsidR="00D1349D" w:rsidRPr="00D1655D">
        <w:t xml:space="preserve">Administrators and teachers said that time </w:t>
      </w:r>
      <w:r w:rsidR="00F04EDB" w:rsidRPr="00D1655D">
        <w:t xml:space="preserve">allocated for CPT </w:t>
      </w:r>
      <w:r w:rsidR="00737225" w:rsidRPr="00D1655D">
        <w:t xml:space="preserve">varied </w:t>
      </w:r>
      <w:r w:rsidR="00F04EDB" w:rsidRPr="00D1655D">
        <w:t xml:space="preserve">across middle schools.   </w:t>
      </w:r>
    </w:p>
    <w:p w:rsidR="00F04EDB" w:rsidRPr="00D1655D" w:rsidRDefault="00F04EDB" w:rsidP="00F04EDB">
      <w:pPr>
        <w:pStyle w:val="ListParagraph"/>
        <w:tabs>
          <w:tab w:val="left" w:pos="360"/>
          <w:tab w:val="left" w:pos="720"/>
          <w:tab w:val="left" w:pos="1080"/>
          <w:tab w:val="left" w:pos="1800"/>
        </w:tabs>
        <w:ind w:left="1080" w:hanging="360"/>
        <w:contextualSpacing w:val="0"/>
      </w:pPr>
      <w:r w:rsidRPr="00D1655D">
        <w:t xml:space="preserve"> 1.</w:t>
      </w:r>
      <w:r w:rsidRPr="00D1655D">
        <w:tab/>
        <w:t>At one middle school</w:t>
      </w:r>
      <w:r w:rsidR="00D1349D" w:rsidRPr="00D1655D">
        <w:t>,</w:t>
      </w:r>
      <w:r w:rsidRPr="00D1655D">
        <w:t xml:space="preserve"> CPT takes place three times a week: once by cluster (i.e., interdisciplinary teams) and twice by department. Teachers often discuss student issues in </w:t>
      </w:r>
      <w:r w:rsidR="006D3D2D" w:rsidRPr="00D1655D">
        <w:t xml:space="preserve">the </w:t>
      </w:r>
      <w:r w:rsidRPr="00D1655D">
        <w:t>cluster meetings and the use of data to improve teaching, learning</w:t>
      </w:r>
      <w:r w:rsidR="00D1349D" w:rsidRPr="00D1655D">
        <w:t>,</w:t>
      </w:r>
      <w:r w:rsidRPr="00D1655D">
        <w:t xml:space="preserve"> and curriculum in </w:t>
      </w:r>
      <w:r w:rsidR="006D3D2D" w:rsidRPr="00D1655D">
        <w:t xml:space="preserve">the </w:t>
      </w:r>
      <w:r w:rsidR="00D1349D" w:rsidRPr="00D1655D">
        <w:t>content-</w:t>
      </w:r>
      <w:r w:rsidRPr="00D1655D">
        <w:t xml:space="preserve">area meetings. </w:t>
      </w:r>
    </w:p>
    <w:p w:rsidR="00F04EDB" w:rsidRPr="00D1655D" w:rsidRDefault="00F04EDB" w:rsidP="00F04EDB">
      <w:pPr>
        <w:pStyle w:val="ListParagraph"/>
        <w:tabs>
          <w:tab w:val="left" w:pos="360"/>
          <w:tab w:val="left" w:pos="720"/>
          <w:tab w:val="left" w:pos="1080"/>
          <w:tab w:val="left" w:pos="1800"/>
        </w:tabs>
        <w:ind w:left="1080" w:hanging="360"/>
        <w:contextualSpacing w:val="0"/>
      </w:pPr>
      <w:r w:rsidRPr="00D1655D">
        <w:t>2.</w:t>
      </w:r>
      <w:r w:rsidRPr="00D1655D">
        <w:tab/>
        <w:t xml:space="preserve">In another middle school, CPT is “disconnected” and </w:t>
      </w:r>
      <w:r w:rsidR="00D1349D" w:rsidRPr="00D1655D">
        <w:t xml:space="preserve">takes place </w:t>
      </w:r>
      <w:r w:rsidRPr="00D1655D">
        <w:t xml:space="preserve">twice a week by teacher team and once a month by department at faculty meetings. </w:t>
      </w:r>
    </w:p>
    <w:p w:rsidR="00F04EDB" w:rsidRPr="00D1655D" w:rsidRDefault="00F04EDB" w:rsidP="00F04EDB">
      <w:pPr>
        <w:pStyle w:val="ListParagraph"/>
        <w:tabs>
          <w:tab w:val="left" w:pos="360"/>
          <w:tab w:val="left" w:pos="720"/>
          <w:tab w:val="left" w:pos="1080"/>
          <w:tab w:val="left" w:pos="1800"/>
        </w:tabs>
        <w:ind w:left="1080" w:hanging="360"/>
        <w:contextualSpacing w:val="0"/>
      </w:pPr>
      <w:r w:rsidRPr="00D1655D">
        <w:t>3.</w:t>
      </w:r>
      <w:r w:rsidRPr="00D1655D">
        <w:tab/>
        <w:t xml:space="preserve">At a third middle school, CPT </w:t>
      </w:r>
      <w:r w:rsidR="00D1349D" w:rsidRPr="00D1655D">
        <w:t xml:space="preserve">takes place </w:t>
      </w:r>
      <w:r w:rsidRPr="00D1655D">
        <w:t>once a week.</w:t>
      </w:r>
    </w:p>
    <w:p w:rsidR="00F04EDB" w:rsidRPr="00D1655D" w:rsidRDefault="003036A8" w:rsidP="00F04EDB">
      <w:pPr>
        <w:tabs>
          <w:tab w:val="left" w:pos="360"/>
          <w:tab w:val="left" w:pos="720"/>
          <w:tab w:val="left" w:pos="1440"/>
          <w:tab w:val="left" w:pos="1800"/>
        </w:tabs>
        <w:ind w:left="720" w:hanging="360"/>
      </w:pPr>
      <w:r w:rsidRPr="00D1655D">
        <w:rPr>
          <w:b/>
        </w:rPr>
        <w:t>D</w:t>
      </w:r>
      <w:r w:rsidR="00F04EDB" w:rsidRPr="00D1655D">
        <w:rPr>
          <w:b/>
        </w:rPr>
        <w:t>.</w:t>
      </w:r>
      <w:r w:rsidR="00F04EDB" w:rsidRPr="00D1655D">
        <w:t xml:space="preserve"> </w:t>
      </w:r>
      <w:r w:rsidR="00F04EDB" w:rsidRPr="00D1655D">
        <w:tab/>
        <w:t xml:space="preserve">At the high schools, </w:t>
      </w:r>
      <w:r w:rsidR="002F222D" w:rsidRPr="00D1655D">
        <w:t xml:space="preserve">time allocated for </w:t>
      </w:r>
      <w:r w:rsidR="00F04EDB" w:rsidRPr="00D1655D">
        <w:t xml:space="preserve">CPT </w:t>
      </w:r>
      <w:r w:rsidR="002F222D" w:rsidRPr="00D1655D">
        <w:t>varies</w:t>
      </w:r>
      <w:r w:rsidR="00F04EDB" w:rsidRPr="00D1655D">
        <w:t>.</w:t>
      </w:r>
    </w:p>
    <w:p w:rsidR="00F04EDB" w:rsidRPr="00D1655D" w:rsidRDefault="006D3D2D" w:rsidP="00F04EDB">
      <w:pPr>
        <w:tabs>
          <w:tab w:val="left" w:pos="360"/>
          <w:tab w:val="left" w:pos="1080"/>
          <w:tab w:val="left" w:pos="1440"/>
          <w:tab w:val="left" w:pos="1800"/>
        </w:tabs>
        <w:ind w:left="1080" w:hanging="360"/>
      </w:pPr>
      <w:r w:rsidRPr="00D1655D">
        <w:t xml:space="preserve">1. </w:t>
      </w:r>
      <w:r w:rsidRPr="00D1655D">
        <w:tab/>
        <w:t xml:space="preserve">At two high schools, grade 9 and </w:t>
      </w:r>
      <w:r w:rsidR="00F04EDB" w:rsidRPr="00D1655D">
        <w:t>10 teacher teams meet once or twice a week for CPT.</w:t>
      </w:r>
    </w:p>
    <w:p w:rsidR="00F04EDB" w:rsidRPr="00D1655D" w:rsidRDefault="000474F0" w:rsidP="00F04EDB">
      <w:pPr>
        <w:tabs>
          <w:tab w:val="left" w:pos="360"/>
          <w:tab w:val="left" w:pos="1080"/>
          <w:tab w:val="left" w:pos="1440"/>
          <w:tab w:val="left" w:pos="1800"/>
        </w:tabs>
        <w:ind w:left="1080" w:hanging="360"/>
      </w:pPr>
      <w:r w:rsidRPr="00D1655D">
        <w:t>2.</w:t>
      </w:r>
      <w:r w:rsidRPr="00D1655D">
        <w:tab/>
        <w:t>At some</w:t>
      </w:r>
      <w:r w:rsidR="006D3D2D" w:rsidRPr="00D1655D">
        <w:t xml:space="preserve"> </w:t>
      </w:r>
      <w:r w:rsidR="00F04EDB" w:rsidRPr="00D1655D">
        <w:t xml:space="preserve">high schools, teachers </w:t>
      </w:r>
      <w:r w:rsidR="00D1349D" w:rsidRPr="00D1655D">
        <w:t xml:space="preserve">do not </w:t>
      </w:r>
      <w:r w:rsidR="00F04EDB" w:rsidRPr="00D1655D">
        <w:t xml:space="preserve">have </w:t>
      </w:r>
      <w:r w:rsidR="00D1349D" w:rsidRPr="00D1655D">
        <w:t>CPT;</w:t>
      </w:r>
      <w:r w:rsidR="00F04EDB" w:rsidRPr="00D1655D">
        <w:t xml:space="preserve"> at others, only grade 11 and 12 teachers have scheduled </w:t>
      </w:r>
      <w:r w:rsidR="00D1349D" w:rsidRPr="00D1655D">
        <w:t>CPT</w:t>
      </w:r>
      <w:r w:rsidR="00F04EDB" w:rsidRPr="00D1655D">
        <w:t>.</w:t>
      </w:r>
    </w:p>
    <w:p w:rsidR="00F04EDB" w:rsidRPr="00D1655D" w:rsidRDefault="00F04EDB" w:rsidP="00F04EDB">
      <w:pPr>
        <w:tabs>
          <w:tab w:val="left" w:pos="360"/>
          <w:tab w:val="left" w:pos="1080"/>
          <w:tab w:val="left" w:pos="1440"/>
          <w:tab w:val="left" w:pos="1800"/>
        </w:tabs>
        <w:ind w:left="1080" w:hanging="360"/>
      </w:pPr>
      <w:r w:rsidRPr="00D1655D">
        <w:t>3.</w:t>
      </w:r>
      <w:r w:rsidRPr="00D1655D">
        <w:tab/>
        <w:t xml:space="preserve">Some high school teachers told the team that </w:t>
      </w:r>
      <w:r w:rsidR="002F222D" w:rsidRPr="00D1655D">
        <w:t xml:space="preserve">CPT was their </w:t>
      </w:r>
      <w:r w:rsidRPr="00D1655D">
        <w:t>“duty period” on the days they were not assigned to a “duty.”</w:t>
      </w:r>
      <w:r w:rsidRPr="00D1655D">
        <w:rPr>
          <w:rStyle w:val="FootnoteReference"/>
        </w:rPr>
        <w:t xml:space="preserve"> </w:t>
      </w:r>
      <w:r w:rsidRPr="00D1655D">
        <w:t xml:space="preserve">Teachers at other high schools might meet after school in monthly department meetings and monthly faculty meetings to collaborate. </w:t>
      </w:r>
    </w:p>
    <w:p w:rsidR="0047041E" w:rsidRDefault="00EA7250" w:rsidP="00EA7250">
      <w:pPr>
        <w:tabs>
          <w:tab w:val="left" w:pos="360"/>
          <w:tab w:val="left" w:pos="720"/>
          <w:tab w:val="left" w:pos="1080"/>
          <w:tab w:val="left" w:pos="1440"/>
          <w:tab w:val="left" w:pos="1800"/>
        </w:tabs>
        <w:ind w:left="720" w:hanging="720"/>
      </w:pPr>
      <w:r>
        <w:rPr>
          <w:b/>
        </w:rPr>
        <w:tab/>
      </w:r>
      <w:r w:rsidR="0047041E" w:rsidRPr="0047041E">
        <w:rPr>
          <w:b/>
        </w:rPr>
        <w:t>E.</w:t>
      </w:r>
      <w:r w:rsidR="003036A8" w:rsidRPr="00D1655D">
        <w:rPr>
          <w:b/>
        </w:rPr>
        <w:tab/>
      </w:r>
      <w:r w:rsidR="003036A8" w:rsidRPr="00D1655D">
        <w:t>District administrators stated that the district does not have standard expectations for how teachers use CPT for improvement. For example, some elementary teachers noted that work on curriculum depended on the school and that innovation schools had “lots more autonomy.”</w:t>
      </w:r>
    </w:p>
    <w:p w:rsidR="005B649C" w:rsidRDefault="00F04EDB" w:rsidP="005B649C">
      <w:pPr>
        <w:tabs>
          <w:tab w:val="left" w:pos="360"/>
          <w:tab w:val="left" w:pos="720"/>
          <w:tab w:val="left" w:pos="1080"/>
          <w:tab w:val="left" w:pos="1800"/>
        </w:tabs>
      </w:pPr>
      <w:r w:rsidRPr="00D1655D">
        <w:rPr>
          <w:b/>
        </w:rPr>
        <w:t>Impact:</w:t>
      </w:r>
      <w:r w:rsidRPr="00D1655D">
        <w:t xml:space="preserve">  Without </w:t>
      </w:r>
      <w:r w:rsidR="004F1303" w:rsidRPr="00D1655D">
        <w:t>structured</w:t>
      </w:r>
      <w:r w:rsidRPr="00D1655D">
        <w:t>, frequent common planning time</w:t>
      </w:r>
      <w:r w:rsidR="004C0DF8" w:rsidRPr="00D1655D">
        <w:t xml:space="preserve"> (CPT)</w:t>
      </w:r>
      <w:r w:rsidRPr="00D1655D">
        <w:t xml:space="preserve">, teachers </w:t>
      </w:r>
      <w:r w:rsidR="004F1303" w:rsidRPr="00D1655D">
        <w:t>have limited opportunities to improve instruction in a</w:t>
      </w:r>
      <w:r w:rsidRPr="00D1655D">
        <w:t xml:space="preserve"> </w:t>
      </w:r>
      <w:r w:rsidR="004F1303" w:rsidRPr="00D1655D">
        <w:t xml:space="preserve">collaborative </w:t>
      </w:r>
      <w:r w:rsidRPr="00D1655D">
        <w:t xml:space="preserve">and </w:t>
      </w:r>
      <w:r w:rsidR="004F1303" w:rsidRPr="00D1655D">
        <w:t xml:space="preserve">constructive </w:t>
      </w:r>
      <w:r w:rsidRPr="00D1655D">
        <w:t xml:space="preserve">way.  Without </w:t>
      </w:r>
      <w:r w:rsidR="002F222D" w:rsidRPr="00D1655D">
        <w:t xml:space="preserve">common </w:t>
      </w:r>
      <w:r w:rsidRPr="00D1655D">
        <w:t xml:space="preserve">and </w:t>
      </w:r>
      <w:r w:rsidR="002F222D" w:rsidRPr="00D1655D">
        <w:t xml:space="preserve">articulated </w:t>
      </w:r>
      <w:r w:rsidRPr="00D1655D">
        <w:lastRenderedPageBreak/>
        <w:t xml:space="preserve">expectations for how </w:t>
      </w:r>
      <w:r w:rsidR="002F222D" w:rsidRPr="00D1655D">
        <w:t xml:space="preserve">CPT should </w:t>
      </w:r>
      <w:r w:rsidRPr="00D1655D">
        <w:t>be used</w:t>
      </w:r>
      <w:r w:rsidR="002F222D" w:rsidRPr="00D1655D">
        <w:t xml:space="preserve"> across the district</w:t>
      </w:r>
      <w:r w:rsidRPr="00D1655D">
        <w:t>, CPT cannot function as a primary and ongoing form of teacher</w:t>
      </w:r>
      <w:r w:rsidR="002F222D" w:rsidRPr="00D1655D">
        <w:t>s’</w:t>
      </w:r>
      <w:r w:rsidRPr="00D1655D">
        <w:t xml:space="preserve"> professional development.  </w:t>
      </w:r>
    </w:p>
    <w:p w:rsidR="006458FE" w:rsidRPr="005B649C" w:rsidRDefault="006458FE" w:rsidP="005B649C">
      <w:pPr>
        <w:tabs>
          <w:tab w:val="left" w:pos="360"/>
          <w:tab w:val="left" w:pos="720"/>
          <w:tab w:val="left" w:pos="1080"/>
          <w:tab w:val="left" w:pos="1800"/>
        </w:tabs>
        <w:rPr>
          <w:b/>
          <w:sz w:val="28"/>
          <w:szCs w:val="28"/>
        </w:rPr>
      </w:pPr>
      <w:r w:rsidRPr="005B649C">
        <w:rPr>
          <w:b/>
          <w:sz w:val="28"/>
          <w:szCs w:val="28"/>
        </w:rPr>
        <w:t>Recommendation</w:t>
      </w:r>
      <w:r w:rsidR="00F04EDB" w:rsidRPr="005B649C">
        <w:rPr>
          <w:b/>
          <w:sz w:val="28"/>
          <w:szCs w:val="28"/>
        </w:rPr>
        <w:t>s</w:t>
      </w:r>
    </w:p>
    <w:p w:rsidR="006458FE" w:rsidRPr="00BA0701" w:rsidRDefault="006A15E3" w:rsidP="00BA0701">
      <w:pPr>
        <w:pStyle w:val="NormalWeb"/>
        <w:spacing w:before="0" w:beforeAutospacing="0" w:after="200" w:afterAutospacing="0" w:line="276" w:lineRule="auto"/>
        <w:ind w:left="360" w:hanging="360"/>
        <w:rPr>
          <w:rFonts w:asciiTheme="minorHAnsi" w:hAnsiTheme="minorHAnsi"/>
          <w:b/>
          <w:sz w:val="22"/>
          <w:szCs w:val="22"/>
        </w:rPr>
      </w:pPr>
      <w:r w:rsidRPr="00BA0701">
        <w:rPr>
          <w:rFonts w:asciiTheme="minorHAnsi" w:hAnsiTheme="minorHAnsi"/>
          <w:b/>
          <w:sz w:val="22"/>
          <w:szCs w:val="22"/>
        </w:rPr>
        <w:t>1.</w:t>
      </w:r>
      <w:r w:rsidRPr="00BA0701">
        <w:rPr>
          <w:rFonts w:asciiTheme="minorHAnsi" w:hAnsiTheme="minorHAnsi"/>
          <w:b/>
          <w:sz w:val="22"/>
          <w:szCs w:val="22"/>
        </w:rPr>
        <w:tab/>
      </w:r>
      <w:r w:rsidR="006458FE" w:rsidRPr="00BA0701">
        <w:rPr>
          <w:rFonts w:asciiTheme="minorHAnsi" w:hAnsiTheme="minorHAnsi"/>
          <w:b/>
          <w:sz w:val="22"/>
          <w:szCs w:val="22"/>
        </w:rPr>
        <w:t xml:space="preserve">School committee members </w:t>
      </w:r>
      <w:r w:rsidR="00C75272">
        <w:rPr>
          <w:rFonts w:asciiTheme="minorHAnsi" w:hAnsiTheme="minorHAnsi"/>
          <w:b/>
          <w:sz w:val="22"/>
          <w:szCs w:val="22"/>
        </w:rPr>
        <w:t>should</w:t>
      </w:r>
      <w:r w:rsidR="00C75272" w:rsidRPr="00BA0701">
        <w:rPr>
          <w:rFonts w:asciiTheme="minorHAnsi" w:hAnsiTheme="minorHAnsi"/>
          <w:b/>
          <w:sz w:val="22"/>
          <w:szCs w:val="22"/>
        </w:rPr>
        <w:t xml:space="preserve"> </w:t>
      </w:r>
      <w:r w:rsidR="006458FE" w:rsidRPr="00BA0701">
        <w:rPr>
          <w:rFonts w:asciiTheme="minorHAnsi" w:hAnsiTheme="minorHAnsi"/>
          <w:b/>
          <w:sz w:val="22"/>
          <w:szCs w:val="22"/>
        </w:rPr>
        <w:t xml:space="preserve">exercise a great deal more restraint in </w:t>
      </w:r>
      <w:r w:rsidR="00C75272">
        <w:rPr>
          <w:rFonts w:asciiTheme="minorHAnsi" w:hAnsiTheme="minorHAnsi"/>
          <w:b/>
          <w:sz w:val="22"/>
          <w:szCs w:val="22"/>
        </w:rPr>
        <w:t xml:space="preserve">making </w:t>
      </w:r>
      <w:r w:rsidR="006458FE" w:rsidRPr="00BA0701">
        <w:rPr>
          <w:rFonts w:asciiTheme="minorHAnsi" w:hAnsiTheme="minorHAnsi"/>
          <w:b/>
          <w:sz w:val="22"/>
          <w:szCs w:val="22"/>
        </w:rPr>
        <w:t xml:space="preserve">motions </w:t>
      </w:r>
      <w:r w:rsidR="00C75272">
        <w:rPr>
          <w:rFonts w:asciiTheme="minorHAnsi" w:hAnsiTheme="minorHAnsi"/>
          <w:b/>
          <w:sz w:val="22"/>
          <w:szCs w:val="22"/>
        </w:rPr>
        <w:t>that are not</w:t>
      </w:r>
      <w:r w:rsidR="006458FE" w:rsidRPr="00BA0701">
        <w:rPr>
          <w:rFonts w:asciiTheme="minorHAnsi" w:hAnsiTheme="minorHAnsi"/>
          <w:b/>
          <w:sz w:val="22"/>
          <w:szCs w:val="22"/>
        </w:rPr>
        <w:t xml:space="preserve"> </w:t>
      </w:r>
      <w:r w:rsidR="00C75272">
        <w:rPr>
          <w:rFonts w:asciiTheme="minorHAnsi" w:hAnsiTheme="minorHAnsi"/>
          <w:b/>
          <w:sz w:val="22"/>
          <w:szCs w:val="22"/>
        </w:rPr>
        <w:t xml:space="preserve">related to </w:t>
      </w:r>
      <w:r w:rsidR="006458FE" w:rsidRPr="00BA0701">
        <w:rPr>
          <w:rFonts w:asciiTheme="minorHAnsi" w:hAnsiTheme="minorHAnsi"/>
          <w:b/>
          <w:sz w:val="22"/>
          <w:szCs w:val="22"/>
        </w:rPr>
        <w:t>the critical task of improving the quality of teaching and learning.</w:t>
      </w:r>
    </w:p>
    <w:p w:rsidR="0076447D" w:rsidRDefault="00C75272" w:rsidP="00BA0701">
      <w:pPr>
        <w:pStyle w:val="NormalWeb"/>
        <w:spacing w:before="0" w:beforeAutospacing="0" w:after="200" w:afterAutospacing="0" w:line="276" w:lineRule="auto"/>
        <w:ind w:left="720" w:hanging="360"/>
        <w:rPr>
          <w:rFonts w:asciiTheme="minorHAnsi" w:hAnsiTheme="minorHAnsi"/>
          <w:sz w:val="22"/>
          <w:szCs w:val="22"/>
        </w:rPr>
      </w:pPr>
      <w:r>
        <w:rPr>
          <w:rFonts w:asciiTheme="minorHAnsi" w:hAnsiTheme="minorHAnsi"/>
          <w:b/>
          <w:sz w:val="22"/>
          <w:szCs w:val="22"/>
        </w:rPr>
        <w:t>A</w:t>
      </w:r>
      <w:r w:rsidR="0076447D" w:rsidRPr="0076447D">
        <w:rPr>
          <w:rFonts w:asciiTheme="minorHAnsi" w:hAnsiTheme="minorHAnsi"/>
          <w:b/>
          <w:sz w:val="22"/>
          <w:szCs w:val="22"/>
        </w:rPr>
        <w:t>.</w:t>
      </w:r>
      <w:r w:rsidR="0076447D">
        <w:rPr>
          <w:rFonts w:asciiTheme="minorHAnsi" w:hAnsiTheme="minorHAnsi"/>
          <w:sz w:val="22"/>
          <w:szCs w:val="22"/>
        </w:rPr>
        <w:tab/>
      </w:r>
      <w:r w:rsidR="006458FE" w:rsidRPr="00F04EDB">
        <w:rPr>
          <w:rFonts w:asciiTheme="minorHAnsi" w:hAnsiTheme="minorHAnsi"/>
          <w:sz w:val="22"/>
          <w:szCs w:val="22"/>
        </w:rPr>
        <w:t xml:space="preserve">The school committee and </w:t>
      </w:r>
      <w:r>
        <w:rPr>
          <w:rFonts w:asciiTheme="minorHAnsi" w:hAnsiTheme="minorHAnsi"/>
          <w:sz w:val="22"/>
          <w:szCs w:val="22"/>
        </w:rPr>
        <w:t xml:space="preserve">the </w:t>
      </w:r>
      <w:r w:rsidR="006458FE" w:rsidRPr="00F04EDB">
        <w:rPr>
          <w:rFonts w:asciiTheme="minorHAnsi" w:hAnsiTheme="minorHAnsi"/>
          <w:sz w:val="22"/>
          <w:szCs w:val="22"/>
        </w:rPr>
        <w:t xml:space="preserve">superintendent should consider </w:t>
      </w:r>
      <w:r w:rsidR="00AC25F2" w:rsidRPr="00F04EDB">
        <w:rPr>
          <w:rFonts w:asciiTheme="minorHAnsi" w:hAnsiTheme="minorHAnsi"/>
          <w:sz w:val="22"/>
          <w:szCs w:val="22"/>
        </w:rPr>
        <w:t>collaborati</w:t>
      </w:r>
      <w:r w:rsidR="00AC25F2">
        <w:rPr>
          <w:rFonts w:asciiTheme="minorHAnsi" w:hAnsiTheme="minorHAnsi"/>
          <w:sz w:val="22"/>
          <w:szCs w:val="22"/>
        </w:rPr>
        <w:t>ng</w:t>
      </w:r>
      <w:r w:rsidR="00AC25F2" w:rsidRPr="00F04EDB">
        <w:rPr>
          <w:rFonts w:asciiTheme="minorHAnsi" w:hAnsiTheme="minorHAnsi"/>
          <w:sz w:val="22"/>
          <w:szCs w:val="22"/>
        </w:rPr>
        <w:t xml:space="preserve"> </w:t>
      </w:r>
      <w:r w:rsidR="006458FE" w:rsidRPr="00F04EDB">
        <w:rPr>
          <w:rFonts w:asciiTheme="minorHAnsi" w:hAnsiTheme="minorHAnsi"/>
          <w:sz w:val="22"/>
          <w:szCs w:val="22"/>
        </w:rPr>
        <w:t>to identify motions that are likely to advance school performance</w:t>
      </w:r>
      <w:r w:rsidR="0076447D">
        <w:rPr>
          <w:rFonts w:asciiTheme="minorHAnsi" w:hAnsiTheme="minorHAnsi"/>
          <w:sz w:val="22"/>
          <w:szCs w:val="22"/>
        </w:rPr>
        <w:t>.</w:t>
      </w:r>
    </w:p>
    <w:p w:rsidR="0076447D" w:rsidRDefault="0076447D" w:rsidP="0076447D">
      <w:pPr>
        <w:pStyle w:val="NormalWeb"/>
        <w:spacing w:before="0" w:beforeAutospacing="0" w:after="200" w:afterAutospacing="0" w:line="276" w:lineRule="auto"/>
        <w:ind w:left="1080" w:hanging="360"/>
        <w:rPr>
          <w:rFonts w:asciiTheme="minorHAnsi" w:hAnsiTheme="minorHAnsi"/>
          <w:sz w:val="22"/>
          <w:szCs w:val="22"/>
        </w:rPr>
      </w:pPr>
      <w:r>
        <w:rPr>
          <w:rFonts w:asciiTheme="minorHAnsi" w:hAnsiTheme="minorHAnsi"/>
          <w:sz w:val="22"/>
          <w:szCs w:val="22"/>
        </w:rPr>
        <w:t>1.</w:t>
      </w:r>
      <w:r>
        <w:rPr>
          <w:rFonts w:asciiTheme="minorHAnsi" w:hAnsiTheme="minorHAnsi"/>
          <w:sz w:val="22"/>
          <w:szCs w:val="22"/>
        </w:rPr>
        <w:tab/>
      </w:r>
      <w:r w:rsidR="006458FE" w:rsidRPr="00F04EDB">
        <w:rPr>
          <w:rFonts w:asciiTheme="minorHAnsi" w:hAnsiTheme="minorHAnsi"/>
          <w:sz w:val="22"/>
          <w:szCs w:val="22"/>
        </w:rPr>
        <w:t xml:space="preserve">The </w:t>
      </w:r>
      <w:r w:rsidR="00717B4D">
        <w:rPr>
          <w:rFonts w:asciiTheme="minorHAnsi" w:hAnsiTheme="minorHAnsi"/>
          <w:sz w:val="22"/>
          <w:szCs w:val="22"/>
        </w:rPr>
        <w:t xml:space="preserve">superintendent and the school committee </w:t>
      </w:r>
      <w:r w:rsidR="006458FE" w:rsidRPr="00F04EDB">
        <w:rPr>
          <w:rFonts w:asciiTheme="minorHAnsi" w:hAnsiTheme="minorHAnsi"/>
          <w:sz w:val="22"/>
          <w:szCs w:val="22"/>
        </w:rPr>
        <w:t>should use the annual goal setting process to agree</w:t>
      </w:r>
      <w:r>
        <w:rPr>
          <w:rFonts w:asciiTheme="minorHAnsi" w:hAnsiTheme="minorHAnsi"/>
          <w:sz w:val="22"/>
          <w:szCs w:val="22"/>
        </w:rPr>
        <w:t xml:space="preserve"> </w:t>
      </w:r>
      <w:r w:rsidR="006458FE" w:rsidRPr="00F04EDB">
        <w:rPr>
          <w:rFonts w:asciiTheme="minorHAnsi" w:hAnsiTheme="minorHAnsi"/>
          <w:sz w:val="22"/>
          <w:szCs w:val="22"/>
        </w:rPr>
        <w:t xml:space="preserve">about the focus for the district’s work in the year ahead and the information </w:t>
      </w:r>
      <w:r w:rsidR="00646931">
        <w:rPr>
          <w:rFonts w:asciiTheme="minorHAnsi" w:hAnsiTheme="minorHAnsi"/>
          <w:sz w:val="22"/>
          <w:szCs w:val="22"/>
        </w:rPr>
        <w:t xml:space="preserve">that </w:t>
      </w:r>
      <w:r w:rsidR="006458FE" w:rsidRPr="00F04EDB">
        <w:rPr>
          <w:rFonts w:asciiTheme="minorHAnsi" w:hAnsiTheme="minorHAnsi"/>
          <w:sz w:val="22"/>
          <w:szCs w:val="22"/>
        </w:rPr>
        <w:t xml:space="preserve">the school committee will need to inform and support that work. In that way, school committee members and administrators can adopt a more predictable and systematic approach to gathering and analyzing the information </w:t>
      </w:r>
      <w:r w:rsidR="00CB3330">
        <w:rPr>
          <w:rFonts w:asciiTheme="minorHAnsi" w:hAnsiTheme="minorHAnsi"/>
          <w:sz w:val="22"/>
          <w:szCs w:val="22"/>
        </w:rPr>
        <w:t xml:space="preserve">that </w:t>
      </w:r>
      <w:r w:rsidR="006458FE" w:rsidRPr="00F04EDB">
        <w:rPr>
          <w:rFonts w:asciiTheme="minorHAnsi" w:hAnsiTheme="minorHAnsi"/>
          <w:sz w:val="22"/>
          <w:szCs w:val="22"/>
        </w:rPr>
        <w:t xml:space="preserve">school committee members and the superintendent need.  </w:t>
      </w:r>
    </w:p>
    <w:p w:rsidR="0076447D" w:rsidRDefault="00646931" w:rsidP="0076447D">
      <w:pPr>
        <w:pStyle w:val="NormalWeb"/>
        <w:spacing w:before="0" w:beforeAutospacing="0" w:after="200" w:afterAutospacing="0" w:line="276" w:lineRule="auto"/>
        <w:ind w:left="1080" w:hanging="360"/>
        <w:rPr>
          <w:rFonts w:asciiTheme="minorHAnsi" w:hAnsiTheme="minorHAnsi"/>
          <w:sz w:val="22"/>
          <w:szCs w:val="22"/>
        </w:rPr>
      </w:pPr>
      <w:r>
        <w:rPr>
          <w:rFonts w:asciiTheme="minorHAnsi" w:hAnsiTheme="minorHAnsi"/>
          <w:sz w:val="22"/>
          <w:szCs w:val="22"/>
        </w:rPr>
        <w:t>2</w:t>
      </w:r>
      <w:r w:rsidR="0076447D">
        <w:rPr>
          <w:rFonts w:asciiTheme="minorHAnsi" w:hAnsiTheme="minorHAnsi"/>
          <w:sz w:val="22"/>
          <w:szCs w:val="22"/>
        </w:rPr>
        <w:t>.</w:t>
      </w:r>
      <w:r w:rsidR="0076447D">
        <w:rPr>
          <w:rFonts w:asciiTheme="minorHAnsi" w:hAnsiTheme="minorHAnsi"/>
          <w:sz w:val="22"/>
          <w:szCs w:val="22"/>
        </w:rPr>
        <w:tab/>
      </w:r>
      <w:r w:rsidR="006458FE" w:rsidRPr="00F04EDB">
        <w:rPr>
          <w:rFonts w:asciiTheme="minorHAnsi" w:hAnsiTheme="minorHAnsi"/>
          <w:sz w:val="22"/>
          <w:szCs w:val="22"/>
        </w:rPr>
        <w:t xml:space="preserve">To increase efficiency and focus further, the school committee should consider using the “consent agenda” process used by many committees </w:t>
      </w:r>
      <w:r>
        <w:rPr>
          <w:rFonts w:asciiTheme="minorHAnsi" w:hAnsiTheme="minorHAnsi"/>
          <w:sz w:val="22"/>
          <w:szCs w:val="22"/>
        </w:rPr>
        <w:t>to</w:t>
      </w:r>
      <w:r w:rsidRPr="00F04EDB">
        <w:rPr>
          <w:rFonts w:asciiTheme="minorHAnsi" w:hAnsiTheme="minorHAnsi"/>
          <w:sz w:val="22"/>
          <w:szCs w:val="22"/>
        </w:rPr>
        <w:t xml:space="preserve"> reduc</w:t>
      </w:r>
      <w:r>
        <w:rPr>
          <w:rFonts w:asciiTheme="minorHAnsi" w:hAnsiTheme="minorHAnsi"/>
          <w:sz w:val="22"/>
          <w:szCs w:val="22"/>
        </w:rPr>
        <w:t>e</w:t>
      </w:r>
      <w:r w:rsidRPr="00F04EDB">
        <w:rPr>
          <w:rFonts w:asciiTheme="minorHAnsi" w:hAnsiTheme="minorHAnsi"/>
          <w:sz w:val="22"/>
          <w:szCs w:val="22"/>
        </w:rPr>
        <w:t xml:space="preserve"> </w:t>
      </w:r>
      <w:r w:rsidR="006458FE" w:rsidRPr="00F04EDB">
        <w:rPr>
          <w:rFonts w:asciiTheme="minorHAnsi" w:hAnsiTheme="minorHAnsi"/>
          <w:sz w:val="22"/>
          <w:szCs w:val="22"/>
        </w:rPr>
        <w:t>the time required to act on routine action items. Under a consent agenda, all routine matters are bundled as one action</w:t>
      </w:r>
      <w:r>
        <w:rPr>
          <w:rFonts w:asciiTheme="minorHAnsi" w:hAnsiTheme="minorHAnsi"/>
          <w:sz w:val="22"/>
          <w:szCs w:val="22"/>
        </w:rPr>
        <w:t>;</w:t>
      </w:r>
      <w:r w:rsidRPr="00F04EDB">
        <w:rPr>
          <w:rFonts w:asciiTheme="minorHAnsi" w:hAnsiTheme="minorHAnsi"/>
          <w:sz w:val="22"/>
          <w:szCs w:val="22"/>
        </w:rPr>
        <w:t xml:space="preserve"> </w:t>
      </w:r>
      <w:r w:rsidR="006458FE" w:rsidRPr="00F04EDB">
        <w:rPr>
          <w:rFonts w:asciiTheme="minorHAnsi" w:hAnsiTheme="minorHAnsi"/>
          <w:sz w:val="22"/>
          <w:szCs w:val="22"/>
        </w:rPr>
        <w:t xml:space="preserve">members agree in advance that discussion of consent agenda items </w:t>
      </w:r>
      <w:r>
        <w:rPr>
          <w:rFonts w:asciiTheme="minorHAnsi" w:hAnsiTheme="minorHAnsi"/>
          <w:sz w:val="22"/>
          <w:szCs w:val="22"/>
        </w:rPr>
        <w:t xml:space="preserve">will only take place if </w:t>
      </w:r>
      <w:r w:rsidR="006458FE" w:rsidRPr="00F04EDB">
        <w:rPr>
          <w:rFonts w:asciiTheme="minorHAnsi" w:hAnsiTheme="minorHAnsi"/>
          <w:sz w:val="22"/>
          <w:szCs w:val="22"/>
        </w:rPr>
        <w:t xml:space="preserve">a member </w:t>
      </w:r>
      <w:r w:rsidR="008918DB">
        <w:rPr>
          <w:rFonts w:asciiTheme="minorHAnsi" w:hAnsiTheme="minorHAnsi"/>
          <w:sz w:val="22"/>
          <w:szCs w:val="22"/>
        </w:rPr>
        <w:t>proposes,</w:t>
      </w:r>
      <w:r w:rsidR="008918DB" w:rsidRPr="00F04EDB">
        <w:rPr>
          <w:rFonts w:asciiTheme="minorHAnsi" w:hAnsiTheme="minorHAnsi"/>
          <w:sz w:val="22"/>
          <w:szCs w:val="22"/>
        </w:rPr>
        <w:t xml:space="preserve"> </w:t>
      </w:r>
      <w:r w:rsidR="006458FE" w:rsidRPr="00F04EDB">
        <w:rPr>
          <w:rFonts w:asciiTheme="minorHAnsi" w:hAnsiTheme="minorHAnsi"/>
          <w:sz w:val="22"/>
          <w:szCs w:val="22"/>
        </w:rPr>
        <w:t xml:space="preserve">and </w:t>
      </w:r>
      <w:r>
        <w:rPr>
          <w:rFonts w:asciiTheme="minorHAnsi" w:hAnsiTheme="minorHAnsi"/>
          <w:sz w:val="22"/>
          <w:szCs w:val="22"/>
        </w:rPr>
        <w:t>the committee</w:t>
      </w:r>
      <w:r w:rsidR="006458FE" w:rsidRPr="00F04EDB">
        <w:rPr>
          <w:rFonts w:asciiTheme="minorHAnsi" w:hAnsiTheme="minorHAnsi"/>
          <w:sz w:val="22"/>
          <w:szCs w:val="22"/>
        </w:rPr>
        <w:t xml:space="preserve"> </w:t>
      </w:r>
      <w:r w:rsidRPr="00F04EDB">
        <w:rPr>
          <w:rFonts w:asciiTheme="minorHAnsi" w:hAnsiTheme="minorHAnsi"/>
          <w:sz w:val="22"/>
          <w:szCs w:val="22"/>
        </w:rPr>
        <w:t>vote</w:t>
      </w:r>
      <w:r>
        <w:rPr>
          <w:rFonts w:asciiTheme="minorHAnsi" w:hAnsiTheme="minorHAnsi"/>
          <w:sz w:val="22"/>
          <w:szCs w:val="22"/>
        </w:rPr>
        <w:t>s</w:t>
      </w:r>
      <w:r w:rsidR="008918DB">
        <w:rPr>
          <w:rFonts w:asciiTheme="minorHAnsi" w:hAnsiTheme="minorHAnsi"/>
          <w:sz w:val="22"/>
          <w:szCs w:val="22"/>
        </w:rPr>
        <w:t>,</w:t>
      </w:r>
      <w:r>
        <w:rPr>
          <w:rFonts w:asciiTheme="minorHAnsi" w:hAnsiTheme="minorHAnsi"/>
          <w:sz w:val="22"/>
          <w:szCs w:val="22"/>
        </w:rPr>
        <w:t xml:space="preserve"> </w:t>
      </w:r>
      <w:r w:rsidR="006458FE" w:rsidRPr="00F04EDB">
        <w:rPr>
          <w:rFonts w:asciiTheme="minorHAnsi" w:hAnsiTheme="minorHAnsi"/>
          <w:sz w:val="22"/>
          <w:szCs w:val="22"/>
        </w:rPr>
        <w:t>to remove a specific motion from the consent agenda for separate action.</w:t>
      </w:r>
    </w:p>
    <w:p w:rsidR="006458FE" w:rsidRDefault="001275C5" w:rsidP="0076447D">
      <w:pPr>
        <w:pStyle w:val="NormalWeb"/>
        <w:spacing w:before="0" w:beforeAutospacing="0" w:after="200" w:afterAutospacing="0" w:line="276" w:lineRule="auto"/>
        <w:ind w:left="1080" w:hanging="360"/>
        <w:rPr>
          <w:rFonts w:asciiTheme="minorHAnsi" w:hAnsiTheme="minorHAnsi"/>
          <w:sz w:val="22"/>
          <w:szCs w:val="22"/>
        </w:rPr>
      </w:pPr>
      <w:r>
        <w:rPr>
          <w:rFonts w:asciiTheme="minorHAnsi" w:hAnsiTheme="minorHAnsi"/>
          <w:sz w:val="22"/>
          <w:szCs w:val="22"/>
        </w:rPr>
        <w:t>3</w:t>
      </w:r>
      <w:r w:rsidR="0076447D">
        <w:rPr>
          <w:rFonts w:asciiTheme="minorHAnsi" w:hAnsiTheme="minorHAnsi"/>
          <w:sz w:val="22"/>
          <w:szCs w:val="22"/>
        </w:rPr>
        <w:t>.</w:t>
      </w:r>
      <w:r w:rsidR="0076447D">
        <w:rPr>
          <w:rFonts w:asciiTheme="minorHAnsi" w:hAnsiTheme="minorHAnsi"/>
          <w:sz w:val="22"/>
          <w:szCs w:val="22"/>
        </w:rPr>
        <w:tab/>
      </w:r>
      <w:r w:rsidR="006458FE" w:rsidRPr="00F04EDB">
        <w:rPr>
          <w:rFonts w:asciiTheme="minorHAnsi" w:hAnsiTheme="minorHAnsi"/>
          <w:sz w:val="22"/>
          <w:szCs w:val="22"/>
        </w:rPr>
        <w:t>With increased efficiency</w:t>
      </w:r>
      <w:r w:rsidR="00737225">
        <w:rPr>
          <w:rFonts w:asciiTheme="minorHAnsi" w:hAnsiTheme="minorHAnsi"/>
          <w:sz w:val="22"/>
          <w:szCs w:val="22"/>
        </w:rPr>
        <w:t xml:space="preserve"> and focus in the work of the school committee</w:t>
      </w:r>
      <w:r w:rsidR="006458FE" w:rsidRPr="00F04EDB">
        <w:rPr>
          <w:rFonts w:asciiTheme="minorHAnsi" w:hAnsiTheme="minorHAnsi"/>
          <w:sz w:val="22"/>
          <w:szCs w:val="22"/>
        </w:rPr>
        <w:t>, the school committee and superintendent should consider ways to reallocate staff time from the office of the clerk to other offices with more direct impact on teaching and learning.</w:t>
      </w:r>
    </w:p>
    <w:p w:rsidR="006458FE" w:rsidRDefault="006458FE" w:rsidP="006458FE">
      <w:pPr>
        <w:pStyle w:val="NormalWeb"/>
        <w:spacing w:before="0" w:beforeAutospacing="0" w:after="200" w:afterAutospacing="0" w:line="276" w:lineRule="auto"/>
        <w:rPr>
          <w:rFonts w:asciiTheme="minorHAnsi" w:hAnsiTheme="minorHAnsi"/>
          <w:sz w:val="22"/>
          <w:szCs w:val="22"/>
        </w:rPr>
      </w:pPr>
      <w:r w:rsidRPr="00BA0701">
        <w:rPr>
          <w:rFonts w:asciiTheme="minorHAnsi" w:hAnsiTheme="minorHAnsi"/>
          <w:b/>
          <w:sz w:val="22"/>
          <w:szCs w:val="22"/>
        </w:rPr>
        <w:t>Benefit:</w:t>
      </w:r>
      <w:r w:rsidRPr="00F04EDB">
        <w:rPr>
          <w:rFonts w:asciiTheme="minorHAnsi" w:hAnsiTheme="minorHAnsi"/>
          <w:sz w:val="22"/>
          <w:szCs w:val="22"/>
        </w:rPr>
        <w:t xml:space="preserve">  </w:t>
      </w:r>
      <w:r w:rsidR="00646931">
        <w:rPr>
          <w:rFonts w:asciiTheme="minorHAnsi" w:hAnsiTheme="minorHAnsi"/>
          <w:sz w:val="22"/>
          <w:szCs w:val="22"/>
        </w:rPr>
        <w:t>By implementing this recommendation</w:t>
      </w:r>
      <w:r w:rsidRPr="00F04EDB">
        <w:rPr>
          <w:rFonts w:asciiTheme="minorHAnsi" w:hAnsiTheme="minorHAnsi"/>
          <w:sz w:val="22"/>
          <w:szCs w:val="22"/>
        </w:rPr>
        <w:t xml:space="preserve">, district and school leaders will be able to </w:t>
      </w:r>
      <w:r w:rsidR="00646931">
        <w:rPr>
          <w:rFonts w:asciiTheme="minorHAnsi" w:hAnsiTheme="minorHAnsi"/>
          <w:sz w:val="22"/>
          <w:szCs w:val="22"/>
        </w:rPr>
        <w:t>maintain a consistent focus</w:t>
      </w:r>
      <w:r w:rsidRPr="00F04EDB">
        <w:rPr>
          <w:rFonts w:asciiTheme="minorHAnsi" w:hAnsiTheme="minorHAnsi"/>
          <w:sz w:val="22"/>
          <w:szCs w:val="22"/>
        </w:rPr>
        <w:t xml:space="preserve"> </w:t>
      </w:r>
      <w:r w:rsidR="00646931">
        <w:rPr>
          <w:rFonts w:asciiTheme="minorHAnsi" w:hAnsiTheme="minorHAnsi"/>
          <w:sz w:val="22"/>
          <w:szCs w:val="22"/>
        </w:rPr>
        <w:t>on</w:t>
      </w:r>
      <w:r w:rsidR="00646931" w:rsidRPr="00F04EDB">
        <w:rPr>
          <w:rFonts w:asciiTheme="minorHAnsi" w:hAnsiTheme="minorHAnsi"/>
          <w:sz w:val="22"/>
          <w:szCs w:val="22"/>
        </w:rPr>
        <w:t xml:space="preserve"> </w:t>
      </w:r>
      <w:r w:rsidRPr="00F04EDB">
        <w:rPr>
          <w:rFonts w:asciiTheme="minorHAnsi" w:hAnsiTheme="minorHAnsi"/>
          <w:sz w:val="22"/>
          <w:szCs w:val="22"/>
        </w:rPr>
        <w:t xml:space="preserve">the work that is critical to </w:t>
      </w:r>
      <w:r w:rsidR="00A7792B">
        <w:rPr>
          <w:rFonts w:asciiTheme="minorHAnsi" w:hAnsiTheme="minorHAnsi"/>
          <w:sz w:val="22"/>
          <w:szCs w:val="22"/>
        </w:rPr>
        <w:t>advancing the district’s priorities so</w:t>
      </w:r>
      <w:r w:rsidR="006E5C70">
        <w:rPr>
          <w:rFonts w:asciiTheme="minorHAnsi" w:hAnsiTheme="minorHAnsi"/>
          <w:sz w:val="22"/>
          <w:szCs w:val="22"/>
        </w:rPr>
        <w:t xml:space="preserve"> as to </w:t>
      </w:r>
      <w:r w:rsidR="006E5C70" w:rsidRPr="00F04EDB">
        <w:rPr>
          <w:rFonts w:asciiTheme="minorHAnsi" w:hAnsiTheme="minorHAnsi"/>
          <w:sz w:val="22"/>
          <w:szCs w:val="22"/>
        </w:rPr>
        <w:t>achiev</w:t>
      </w:r>
      <w:r w:rsidR="006E5C70">
        <w:rPr>
          <w:rFonts w:asciiTheme="minorHAnsi" w:hAnsiTheme="minorHAnsi"/>
          <w:sz w:val="22"/>
          <w:szCs w:val="22"/>
        </w:rPr>
        <w:t>e</w:t>
      </w:r>
      <w:r w:rsidR="006E5C70" w:rsidRPr="00F04EDB">
        <w:rPr>
          <w:rFonts w:asciiTheme="minorHAnsi" w:hAnsiTheme="minorHAnsi"/>
          <w:sz w:val="22"/>
          <w:szCs w:val="22"/>
        </w:rPr>
        <w:t xml:space="preserve"> </w:t>
      </w:r>
      <w:r w:rsidR="006E5C70">
        <w:rPr>
          <w:rFonts w:asciiTheme="minorHAnsi" w:hAnsiTheme="minorHAnsi"/>
          <w:sz w:val="22"/>
          <w:szCs w:val="22"/>
        </w:rPr>
        <w:t>its</w:t>
      </w:r>
      <w:r w:rsidRPr="00F04EDB">
        <w:rPr>
          <w:rFonts w:asciiTheme="minorHAnsi" w:hAnsiTheme="minorHAnsi"/>
          <w:sz w:val="22"/>
          <w:szCs w:val="22"/>
        </w:rPr>
        <w:t xml:space="preserve"> goal of becoming </w:t>
      </w:r>
      <w:r w:rsidR="00AC25F2">
        <w:rPr>
          <w:rFonts w:asciiTheme="minorHAnsi" w:hAnsiTheme="minorHAnsi"/>
          <w:sz w:val="22"/>
          <w:szCs w:val="22"/>
        </w:rPr>
        <w:t>a model</w:t>
      </w:r>
      <w:r w:rsidRPr="00F04EDB">
        <w:rPr>
          <w:rFonts w:asciiTheme="minorHAnsi" w:hAnsiTheme="minorHAnsi"/>
          <w:sz w:val="22"/>
          <w:szCs w:val="22"/>
        </w:rPr>
        <w:t xml:space="preserve"> urban district in </w:t>
      </w:r>
      <w:r w:rsidR="00AC25F2">
        <w:rPr>
          <w:rFonts w:asciiTheme="minorHAnsi" w:hAnsiTheme="minorHAnsi"/>
          <w:sz w:val="22"/>
          <w:szCs w:val="22"/>
        </w:rPr>
        <w:t>the Commonwealth</w:t>
      </w:r>
      <w:r w:rsidRPr="00F04EDB">
        <w:rPr>
          <w:rFonts w:asciiTheme="minorHAnsi" w:hAnsiTheme="minorHAnsi"/>
          <w:sz w:val="22"/>
          <w:szCs w:val="22"/>
        </w:rPr>
        <w:t xml:space="preserve">. </w:t>
      </w:r>
    </w:p>
    <w:p w:rsidR="006458FE" w:rsidRPr="00BA0701" w:rsidRDefault="006458FE" w:rsidP="006458FE">
      <w:pPr>
        <w:pStyle w:val="NormalWeb"/>
        <w:spacing w:before="0" w:beforeAutospacing="0" w:after="200" w:afterAutospacing="0" w:line="276" w:lineRule="auto"/>
        <w:rPr>
          <w:rFonts w:asciiTheme="minorHAnsi" w:hAnsiTheme="minorHAnsi"/>
          <w:b/>
          <w:sz w:val="22"/>
          <w:szCs w:val="22"/>
        </w:rPr>
      </w:pPr>
      <w:r w:rsidRPr="00BA0701">
        <w:rPr>
          <w:rFonts w:asciiTheme="minorHAnsi" w:hAnsiTheme="minorHAnsi"/>
          <w:b/>
          <w:sz w:val="22"/>
          <w:szCs w:val="22"/>
        </w:rPr>
        <w:t>Recommended resource:</w:t>
      </w:r>
    </w:p>
    <w:p w:rsidR="0047041E" w:rsidRDefault="006458FE" w:rsidP="0047041E">
      <w:pPr>
        <w:pStyle w:val="ListParagraph"/>
        <w:numPr>
          <w:ilvl w:val="0"/>
          <w:numId w:val="7"/>
        </w:numPr>
        <w:ind w:left="360"/>
        <w:contextualSpacing w:val="0"/>
        <w:rPr>
          <w:rFonts w:cs="Calibri"/>
          <w:bCs/>
        </w:rPr>
      </w:pPr>
      <w:r w:rsidRPr="00BA0701">
        <w:rPr>
          <w:rFonts w:cs="Calibri"/>
          <w:bCs/>
        </w:rPr>
        <w:t>The</w:t>
      </w:r>
      <w:r w:rsidRPr="00BA0701">
        <w:rPr>
          <w:rFonts w:cs="Calibri"/>
          <w:bCs/>
          <w:i/>
        </w:rPr>
        <w:t xml:space="preserve"> District Governance Program </w:t>
      </w:r>
      <w:r w:rsidRPr="00BA0701">
        <w:rPr>
          <w:rFonts w:cs="Calibri"/>
          <w:bCs/>
        </w:rPr>
        <w:t>(</w:t>
      </w:r>
      <w:hyperlink r:id="rId18" w:history="1">
        <w:r w:rsidRPr="00BA0701">
          <w:rPr>
            <w:rStyle w:val="Hyperlink"/>
            <w:rFonts w:cs="Calibri"/>
            <w:bCs/>
          </w:rPr>
          <w:t>http://www.masc.org/field-services/district-governance-project</w:t>
        </w:r>
      </w:hyperlink>
      <w:r w:rsidRPr="00BA0701">
        <w:rPr>
          <w:rFonts w:cs="Calibri"/>
          <w:bCs/>
        </w:rPr>
        <w:t xml:space="preserve">), provided by the Massachusetts Association of School Committees, is designed to focus on continuous improvement and to build understanding of the roles and responsibilities of the school committee and the superintendent.  </w:t>
      </w:r>
    </w:p>
    <w:p w:rsidR="00C9530A" w:rsidRDefault="00C9530A" w:rsidP="00C9530A">
      <w:pPr>
        <w:rPr>
          <w:rFonts w:cs="Calibri"/>
          <w:bCs/>
        </w:rPr>
      </w:pPr>
    </w:p>
    <w:p w:rsidR="00C9530A" w:rsidRDefault="00C9530A" w:rsidP="00C9530A">
      <w:pPr>
        <w:rPr>
          <w:rFonts w:cs="Calibri"/>
          <w:bCs/>
        </w:rPr>
      </w:pPr>
    </w:p>
    <w:p w:rsidR="00C9530A" w:rsidRPr="00C9530A" w:rsidRDefault="00C9530A" w:rsidP="00C9530A">
      <w:pPr>
        <w:rPr>
          <w:rFonts w:cs="Calibri"/>
          <w:bCs/>
        </w:rPr>
      </w:pPr>
    </w:p>
    <w:p w:rsidR="006136B8" w:rsidRPr="00D56980" w:rsidRDefault="00735B58" w:rsidP="00735B58">
      <w:pPr>
        <w:tabs>
          <w:tab w:val="left" w:pos="360"/>
          <w:tab w:val="left" w:pos="720"/>
          <w:tab w:val="left" w:pos="1080"/>
          <w:tab w:val="left" w:pos="1440"/>
          <w:tab w:val="left" w:pos="1800"/>
          <w:tab w:val="left" w:pos="2160"/>
        </w:tabs>
        <w:ind w:left="360" w:hanging="360"/>
      </w:pPr>
      <w:r w:rsidRPr="0076447D">
        <w:rPr>
          <w:b/>
        </w:rPr>
        <w:lastRenderedPageBreak/>
        <w:t>2.</w:t>
      </w:r>
      <w:r w:rsidRPr="0076447D">
        <w:t xml:space="preserve"> </w:t>
      </w:r>
      <w:r w:rsidR="0076447D" w:rsidRPr="0076447D">
        <w:tab/>
      </w:r>
      <w:r w:rsidR="006136B8" w:rsidRPr="00D56980">
        <w:rPr>
          <w:b/>
        </w:rPr>
        <w:t xml:space="preserve">The district should </w:t>
      </w:r>
      <w:r w:rsidR="008A6738" w:rsidRPr="00D56980">
        <w:rPr>
          <w:b/>
        </w:rPr>
        <w:t>consider ways to provide sufficient</w:t>
      </w:r>
      <w:r w:rsidR="003255AE" w:rsidRPr="00D56980">
        <w:rPr>
          <w:b/>
        </w:rPr>
        <w:t>, regular</w:t>
      </w:r>
      <w:r w:rsidR="008A6738" w:rsidRPr="00D56980">
        <w:rPr>
          <w:b/>
        </w:rPr>
        <w:t xml:space="preserve"> </w:t>
      </w:r>
      <w:r w:rsidR="003255AE" w:rsidRPr="00D56980">
        <w:rPr>
          <w:b/>
        </w:rPr>
        <w:t>common planning time</w:t>
      </w:r>
      <w:r w:rsidR="001A7DBA" w:rsidRPr="00D56980">
        <w:rPr>
          <w:b/>
        </w:rPr>
        <w:t xml:space="preserve"> for all teachers</w:t>
      </w:r>
      <w:r w:rsidR="0076447D" w:rsidRPr="00D56980">
        <w:rPr>
          <w:b/>
        </w:rPr>
        <w:t>.</w:t>
      </w:r>
      <w:r w:rsidR="006136B8" w:rsidRPr="00D56980">
        <w:t xml:space="preserve">  </w:t>
      </w:r>
    </w:p>
    <w:p w:rsidR="00735B58" w:rsidRPr="00D56980" w:rsidRDefault="00735B58" w:rsidP="00337798">
      <w:pPr>
        <w:tabs>
          <w:tab w:val="left" w:pos="360"/>
          <w:tab w:val="left" w:pos="1080"/>
          <w:tab w:val="left" w:pos="1440"/>
          <w:tab w:val="left" w:pos="1800"/>
        </w:tabs>
        <w:ind w:left="720" w:hanging="360"/>
      </w:pPr>
      <w:r w:rsidRPr="00D56980">
        <w:rPr>
          <w:b/>
        </w:rPr>
        <w:t>A.</w:t>
      </w:r>
      <w:r w:rsidR="000474F0" w:rsidRPr="00D56980">
        <w:t xml:space="preserve">  </w:t>
      </w:r>
      <w:r w:rsidR="000474F0" w:rsidRPr="00D56980">
        <w:tab/>
      </w:r>
      <w:r w:rsidR="002A47A8" w:rsidRPr="00D56980">
        <w:t>D</w:t>
      </w:r>
      <w:r w:rsidR="00337798" w:rsidRPr="00D56980">
        <w:t xml:space="preserve">istrict </w:t>
      </w:r>
      <w:r w:rsidR="002A47A8" w:rsidRPr="00D56980">
        <w:t xml:space="preserve">leaders </w:t>
      </w:r>
      <w:r w:rsidR="00337798" w:rsidRPr="00D56980">
        <w:t xml:space="preserve">should </w:t>
      </w:r>
      <w:r w:rsidR="003255AE" w:rsidRPr="00D56980">
        <w:t xml:space="preserve">review </w:t>
      </w:r>
      <w:r w:rsidR="00337798" w:rsidRPr="00D56980">
        <w:t>school schedules and work with the E</w:t>
      </w:r>
      <w:r w:rsidR="003255AE" w:rsidRPr="00D56980">
        <w:t xml:space="preserve">ducational </w:t>
      </w:r>
      <w:r w:rsidR="00337798" w:rsidRPr="00D56980">
        <w:t>A</w:t>
      </w:r>
      <w:r w:rsidR="003255AE" w:rsidRPr="00D56980">
        <w:t xml:space="preserve">ssociation of </w:t>
      </w:r>
      <w:r w:rsidR="00337798" w:rsidRPr="00D56980">
        <w:t>W</w:t>
      </w:r>
      <w:r w:rsidR="003255AE" w:rsidRPr="00D56980">
        <w:t>orcester</w:t>
      </w:r>
      <w:r w:rsidR="00337798" w:rsidRPr="00D56980">
        <w:t xml:space="preserve"> to find ways</w:t>
      </w:r>
      <w:r w:rsidR="002A47A8" w:rsidRPr="00D56980">
        <w:t xml:space="preserve"> for all teachers to have adequate, frequent opportunities to meet with colleagues during the school day, </w:t>
      </w:r>
      <w:r w:rsidR="00D17C06" w:rsidRPr="00D56980">
        <w:t xml:space="preserve">at least once </w:t>
      </w:r>
      <w:r w:rsidR="002A47A8" w:rsidRPr="00D56980">
        <w:t>each week,</w:t>
      </w:r>
      <w:r w:rsidR="00337798" w:rsidRPr="00D56980">
        <w:t xml:space="preserve"> at all schools.</w:t>
      </w:r>
    </w:p>
    <w:p w:rsidR="00337798" w:rsidRPr="00D56980" w:rsidRDefault="00337798" w:rsidP="00337798">
      <w:pPr>
        <w:tabs>
          <w:tab w:val="left" w:pos="360"/>
          <w:tab w:val="left" w:pos="1080"/>
          <w:tab w:val="left" w:pos="1440"/>
          <w:tab w:val="left" w:pos="1800"/>
        </w:tabs>
        <w:ind w:left="720" w:hanging="360"/>
      </w:pPr>
      <w:r w:rsidRPr="00D56980">
        <w:rPr>
          <w:b/>
        </w:rPr>
        <w:t>B.</w:t>
      </w:r>
      <w:r w:rsidRPr="00D56980">
        <w:rPr>
          <w:b/>
        </w:rPr>
        <w:tab/>
      </w:r>
      <w:r w:rsidRPr="00D56980">
        <w:t>The district sh</w:t>
      </w:r>
      <w:r w:rsidR="00D17C06" w:rsidRPr="00D56980">
        <w:t>ould set common expectations for</w:t>
      </w:r>
      <w:r w:rsidRPr="00D56980">
        <w:t xml:space="preserve"> how to use common planning time</w:t>
      </w:r>
      <w:r w:rsidR="00D17C06" w:rsidRPr="00D56980">
        <w:t xml:space="preserve">. Examples include:  </w:t>
      </w:r>
      <w:r w:rsidRPr="00D56980">
        <w:t xml:space="preserve">to monitor </w:t>
      </w:r>
      <w:r w:rsidR="002A47A8" w:rsidRPr="00D56980">
        <w:t>progress and develop strategies to support struggling</w:t>
      </w:r>
      <w:r w:rsidRPr="00D56980">
        <w:t xml:space="preserve"> general education students, special education students and English language learners; to </w:t>
      </w:r>
      <w:r w:rsidR="00BE38AF" w:rsidRPr="00D56980">
        <w:t xml:space="preserve">provide a forum to </w:t>
      </w:r>
      <w:r w:rsidRPr="00D56980">
        <w:t>enable teacher</w:t>
      </w:r>
      <w:r w:rsidR="002A47A8" w:rsidRPr="00D56980">
        <w:t>s’</w:t>
      </w:r>
      <w:r w:rsidRPr="00D56980">
        <w:t xml:space="preserve"> </w:t>
      </w:r>
      <w:r w:rsidR="002A47A8" w:rsidRPr="00D56980">
        <w:t xml:space="preserve">professional </w:t>
      </w:r>
      <w:r w:rsidRPr="00D56980">
        <w:t>growth and development; and to analyze and use data to modify and adjust instruction, improve student learning</w:t>
      </w:r>
      <w:r w:rsidR="001A7DBA" w:rsidRPr="00D56980">
        <w:t>,</w:t>
      </w:r>
      <w:r w:rsidRPr="00D56980">
        <w:t xml:space="preserve"> and revise the curriculum.</w:t>
      </w:r>
    </w:p>
    <w:p w:rsidR="00D17C06" w:rsidRPr="00D56980" w:rsidRDefault="00D17C06" w:rsidP="00337798">
      <w:pPr>
        <w:tabs>
          <w:tab w:val="left" w:pos="360"/>
          <w:tab w:val="left" w:pos="1080"/>
          <w:tab w:val="left" w:pos="1440"/>
          <w:tab w:val="left" w:pos="1800"/>
        </w:tabs>
        <w:ind w:left="720" w:hanging="360"/>
      </w:pPr>
      <w:r w:rsidRPr="00D56980">
        <w:rPr>
          <w:b/>
        </w:rPr>
        <w:t>C.</w:t>
      </w:r>
      <w:r w:rsidRPr="00D56980">
        <w:tab/>
        <w:t xml:space="preserve">District and school leaders can build on excellent “best practice” models that exist in </w:t>
      </w:r>
      <w:r w:rsidR="001A7DBA" w:rsidRPr="00D56980">
        <w:t>the district</w:t>
      </w:r>
      <w:r w:rsidRPr="00D56980">
        <w:t xml:space="preserve"> for scheduling and using common planning time for improvement.  </w:t>
      </w:r>
    </w:p>
    <w:p w:rsidR="007C01ED" w:rsidRPr="00D56980" w:rsidRDefault="00826664" w:rsidP="006458FE">
      <w:r w:rsidRPr="00D56980">
        <w:rPr>
          <w:b/>
        </w:rPr>
        <w:t>Benefit</w:t>
      </w:r>
      <w:r w:rsidR="00BE38AF" w:rsidRPr="00D56980">
        <w:rPr>
          <w:b/>
        </w:rPr>
        <w:t>:</w:t>
      </w:r>
      <w:r w:rsidR="00E82C9B" w:rsidRPr="00D56980">
        <w:rPr>
          <w:b/>
        </w:rPr>
        <w:t xml:space="preserve"> </w:t>
      </w:r>
      <w:r w:rsidR="008A6738" w:rsidRPr="00D56980">
        <w:t>I</w:t>
      </w:r>
      <w:r w:rsidR="00BE38AF" w:rsidRPr="00D56980">
        <w:t xml:space="preserve">mplementing this recommendation </w:t>
      </w:r>
      <w:r w:rsidR="001A7DBA" w:rsidRPr="00D56980">
        <w:t xml:space="preserve">will </w:t>
      </w:r>
      <w:r w:rsidR="00CA3C70" w:rsidRPr="00D56980">
        <w:t>enable</w:t>
      </w:r>
      <w:r w:rsidR="001A7DBA" w:rsidRPr="00D56980">
        <w:t xml:space="preserve"> </w:t>
      </w:r>
      <w:r w:rsidR="00BE38AF" w:rsidRPr="00D56980">
        <w:t xml:space="preserve">teachers </w:t>
      </w:r>
      <w:r w:rsidR="00CA3C70" w:rsidRPr="00D56980">
        <w:t xml:space="preserve">to </w:t>
      </w:r>
      <w:r w:rsidR="00BE38AF" w:rsidRPr="00D56980">
        <w:t>more closely monitor student achievement</w:t>
      </w:r>
      <w:r w:rsidR="00CA3C70" w:rsidRPr="00D56980">
        <w:t>,</w:t>
      </w:r>
      <w:r w:rsidR="00BE38AF" w:rsidRPr="00D56980">
        <w:t xml:space="preserve"> better address the diverse needs of </w:t>
      </w:r>
      <w:r w:rsidR="0047041E" w:rsidRPr="0047041E">
        <w:t>all</w:t>
      </w:r>
      <w:r w:rsidR="00BE38AF" w:rsidRPr="00D56980">
        <w:t xml:space="preserve"> learners</w:t>
      </w:r>
      <w:r w:rsidR="00CA3C70" w:rsidRPr="00D56980">
        <w:t>,</w:t>
      </w:r>
      <w:r w:rsidR="00737225" w:rsidRPr="00D56980">
        <w:t xml:space="preserve"> </w:t>
      </w:r>
      <w:r w:rsidR="00CA3C70" w:rsidRPr="00D56980">
        <w:t xml:space="preserve">and </w:t>
      </w:r>
      <w:r w:rsidR="00BE38AF" w:rsidRPr="00D56980">
        <w:t xml:space="preserve">have more opportunities to grow and develop professionally.  When grade-level or course-level teachers have shared time to </w:t>
      </w:r>
      <w:r w:rsidR="00224925" w:rsidRPr="00D56980">
        <w:t xml:space="preserve">analyze </w:t>
      </w:r>
      <w:r w:rsidR="00BE38AF" w:rsidRPr="00D56980">
        <w:t>and discuss student achievement data</w:t>
      </w:r>
      <w:r w:rsidR="00D17C06" w:rsidRPr="00D56980">
        <w:t>, student work,</w:t>
      </w:r>
      <w:r w:rsidR="00BE38AF" w:rsidRPr="00D56980">
        <w:t xml:space="preserve"> and other information, teachers and leaders can make </w:t>
      </w:r>
      <w:r w:rsidR="00224925" w:rsidRPr="00D56980">
        <w:t xml:space="preserve">timely </w:t>
      </w:r>
      <w:r w:rsidR="00E149B8" w:rsidRPr="00D56980">
        <w:t xml:space="preserve">needed adjustments to teaching </w:t>
      </w:r>
      <w:r w:rsidR="00BE38AF" w:rsidRPr="00D56980">
        <w:t xml:space="preserve">and the curriculum.  </w:t>
      </w:r>
      <w:r w:rsidR="00D17C06" w:rsidRPr="00D56980">
        <w:t xml:space="preserve"> </w:t>
      </w:r>
    </w:p>
    <w:p w:rsidR="00E149B8" w:rsidRPr="00D56980" w:rsidRDefault="00E149B8" w:rsidP="00E149B8">
      <w:pPr>
        <w:pStyle w:val="NormalWeb"/>
        <w:spacing w:before="0" w:beforeAutospacing="0" w:after="200" w:afterAutospacing="0" w:line="276" w:lineRule="auto"/>
        <w:rPr>
          <w:rFonts w:asciiTheme="minorHAnsi" w:hAnsiTheme="minorHAnsi"/>
          <w:b/>
          <w:sz w:val="22"/>
          <w:szCs w:val="22"/>
        </w:rPr>
      </w:pPr>
      <w:r w:rsidRPr="00D56980">
        <w:rPr>
          <w:rFonts w:asciiTheme="minorHAnsi" w:hAnsiTheme="minorHAnsi"/>
          <w:b/>
          <w:sz w:val="22"/>
          <w:szCs w:val="22"/>
        </w:rPr>
        <w:t>Recommended resource</w:t>
      </w:r>
      <w:r w:rsidR="00224925" w:rsidRPr="00D56980">
        <w:rPr>
          <w:rFonts w:asciiTheme="minorHAnsi" w:hAnsiTheme="minorHAnsi"/>
          <w:b/>
          <w:sz w:val="22"/>
          <w:szCs w:val="22"/>
        </w:rPr>
        <w:t>s</w:t>
      </w:r>
      <w:r w:rsidRPr="00D56980">
        <w:rPr>
          <w:rFonts w:asciiTheme="minorHAnsi" w:hAnsiTheme="minorHAnsi"/>
          <w:b/>
          <w:sz w:val="22"/>
          <w:szCs w:val="22"/>
        </w:rPr>
        <w:t>:</w:t>
      </w:r>
    </w:p>
    <w:p w:rsidR="0047041E" w:rsidRDefault="002A47A8" w:rsidP="0047041E">
      <w:pPr>
        <w:pStyle w:val="ListParagraph"/>
        <w:numPr>
          <w:ilvl w:val="0"/>
          <w:numId w:val="5"/>
        </w:numPr>
        <w:tabs>
          <w:tab w:val="left" w:pos="720"/>
          <w:tab w:val="left" w:pos="1080"/>
          <w:tab w:val="left" w:pos="1440"/>
          <w:tab w:val="left" w:pos="1800"/>
          <w:tab w:val="left" w:pos="2160"/>
          <w:tab w:val="left" w:pos="2520"/>
          <w:tab w:val="left" w:pos="2880"/>
          <w:tab w:val="left" w:pos="2970"/>
        </w:tabs>
        <w:ind w:left="360"/>
        <w:contextualSpacing w:val="0"/>
        <w:rPr>
          <w:rFonts w:cs="Calibri"/>
        </w:rPr>
      </w:pPr>
      <w:r w:rsidRPr="00D56980">
        <w:rPr>
          <w:rFonts w:cs="Calibri"/>
          <w:i/>
        </w:rPr>
        <w:t xml:space="preserve">Time for Deeper Learning: </w:t>
      </w:r>
      <w:r w:rsidRPr="00D56980">
        <w:rPr>
          <w:rFonts w:cs="Calibri"/>
          <w:bCs/>
          <w:i/>
        </w:rPr>
        <w:t>Lessons from Five High Schools</w:t>
      </w:r>
      <w:r w:rsidRPr="00D56980">
        <w:rPr>
          <w:rFonts w:cs="Calibri"/>
          <w:b/>
          <w:bCs/>
        </w:rPr>
        <w:t xml:space="preserve"> </w:t>
      </w:r>
      <w:r w:rsidRPr="00D56980">
        <w:rPr>
          <w:rFonts w:cs="Calibri"/>
        </w:rPr>
        <w:t>(</w:t>
      </w:r>
      <w:hyperlink r:id="rId19" w:history="1">
        <w:r w:rsidRPr="00D56980">
          <w:rPr>
            <w:rStyle w:val="Hyperlink"/>
          </w:rPr>
          <w:t>http://www.timeandlearning.org/publications/time-deeper-learning</w:t>
        </w:r>
      </w:hyperlink>
      <w:r w:rsidRPr="00D56980">
        <w:rPr>
          <w:rFonts w:cs="Calibri"/>
        </w:rPr>
        <w:t>), from Mass2020, examines how schools that prioritize deeper learning are using whatever time they have available—whether through an expanded day or during a traditional school schedule—to reach their educational goals.</w:t>
      </w:r>
    </w:p>
    <w:p w:rsidR="0047041E" w:rsidRDefault="00AD27DC" w:rsidP="0047041E">
      <w:pPr>
        <w:pStyle w:val="ListParagraph"/>
        <w:ind w:left="360" w:hanging="360"/>
        <w:contextualSpacing w:val="0"/>
        <w:rPr>
          <w:rFonts w:eastAsia="Times New Roman"/>
        </w:rPr>
      </w:pPr>
      <w:r w:rsidRPr="00D56980">
        <w:rPr>
          <w:rFonts w:ascii="Symbol" w:eastAsia="Times New Roman" w:hAnsi="Symbol"/>
        </w:rPr>
        <w:t></w:t>
      </w:r>
      <w:r w:rsidRPr="00D56980">
        <w:rPr>
          <w:rFonts w:eastAsia="Times New Roman"/>
          <w:sz w:val="14"/>
          <w:szCs w:val="14"/>
        </w:rPr>
        <w:t xml:space="preserve">     </w:t>
      </w:r>
      <w:r w:rsidR="00826664" w:rsidRPr="00D56980">
        <w:rPr>
          <w:rFonts w:eastAsia="Times New Roman"/>
          <w:sz w:val="14"/>
          <w:szCs w:val="14"/>
        </w:rPr>
        <w:tab/>
      </w:r>
      <w:r w:rsidR="0047041E" w:rsidRPr="0047041E">
        <w:rPr>
          <w:rFonts w:eastAsia="Times New Roman"/>
        </w:rPr>
        <w:t>In</w:t>
      </w:r>
      <w:r w:rsidR="00A44055" w:rsidRPr="00D56980">
        <w:rPr>
          <w:rFonts w:eastAsia="Times New Roman"/>
          <w:sz w:val="14"/>
          <w:szCs w:val="14"/>
        </w:rPr>
        <w:t xml:space="preserve"> </w:t>
      </w:r>
      <w:r w:rsidR="00A44055" w:rsidRPr="00D56980">
        <w:rPr>
          <w:rFonts w:ascii="Calibri" w:eastAsia="Times New Roman" w:hAnsi="Calibri"/>
          <w:i/>
          <w:iCs/>
        </w:rPr>
        <w:t>Time for Teachers: Leveraging Time to Strengthen Instruction &amp; Empower Teachers</w:t>
      </w:r>
      <w:r w:rsidR="00A44055" w:rsidRPr="00D56980">
        <w:rPr>
          <w:rFonts w:ascii="Calibri" w:eastAsia="Times New Roman" w:hAnsi="Calibri"/>
          <w:color w:val="3366FF"/>
        </w:rPr>
        <w:t xml:space="preserve"> (</w:t>
      </w:r>
      <w:hyperlink r:id="rId20" w:history="1">
        <w:r w:rsidR="00733764" w:rsidRPr="00D56980">
          <w:rPr>
            <w:rStyle w:val="Hyperlink"/>
            <w:rFonts w:ascii="Calibri" w:eastAsia="Times New Roman" w:hAnsi="Calibri"/>
          </w:rPr>
          <w:t>http://www.timeandlearning.org/school-resources/time-teachers</w:t>
        </w:r>
      </w:hyperlink>
      <w:r w:rsidRPr="00D56980">
        <w:rPr>
          <w:rFonts w:ascii="Calibri" w:eastAsia="Times New Roman" w:hAnsi="Calibri"/>
        </w:rPr>
        <w:t xml:space="preserve"> </w:t>
      </w:r>
      <w:r w:rsidR="00A44055" w:rsidRPr="00D56980">
        <w:rPr>
          <w:rFonts w:ascii="Calibri" w:eastAsia="Times New Roman" w:hAnsi="Calibri"/>
        </w:rPr>
        <w:t xml:space="preserve">authors  Claire Kaplan, Roy Chan, David Farbman, and Ami Novoryta </w:t>
      </w:r>
      <w:r w:rsidRPr="00D56980">
        <w:rPr>
          <w:rFonts w:ascii="Calibri" w:eastAsia="Times New Roman" w:hAnsi="Calibri"/>
        </w:rPr>
        <w:t>examine 17 high-performing and fast-improving schools around the country that have taken advantage of expanded school schedules to provide students with more time for engaging academic and enrichment classes and teachers with more time to collaborate with colleagues, analyze students data, create new lesson plans, and develop new skills</w:t>
      </w:r>
      <w:r w:rsidRPr="00D56980">
        <w:rPr>
          <w:rFonts w:eastAsia="Times New Roman"/>
        </w:rPr>
        <w:t>.</w:t>
      </w:r>
      <w:r w:rsidRPr="00AD27DC">
        <w:rPr>
          <w:rFonts w:eastAsia="Times New Roman"/>
        </w:rPr>
        <w:t> </w:t>
      </w:r>
    </w:p>
    <w:p w:rsidR="0023695F" w:rsidRPr="00BA0701" w:rsidRDefault="00083AA1" w:rsidP="0023695F">
      <w:pPr>
        <w:pStyle w:val="Section"/>
        <w:rPr>
          <w:szCs w:val="36"/>
        </w:rPr>
      </w:pPr>
      <w:bookmarkStart w:id="11" w:name="_Toc484611573"/>
      <w:r w:rsidRPr="00BA0701">
        <w:rPr>
          <w:szCs w:val="36"/>
        </w:rPr>
        <w:lastRenderedPageBreak/>
        <w:t>Curriculum and Instruction</w:t>
      </w:r>
      <w:bookmarkEnd w:id="11"/>
    </w:p>
    <w:p w:rsidR="00342350" w:rsidRDefault="0023695F" w:rsidP="00342350">
      <w:pPr>
        <w:rPr>
          <w:b/>
          <w:i/>
          <w:sz w:val="28"/>
          <w:szCs w:val="28"/>
        </w:rPr>
      </w:pPr>
      <w:r w:rsidRPr="00BA0701">
        <w:rPr>
          <w:b/>
          <w:i/>
          <w:sz w:val="28"/>
          <w:szCs w:val="28"/>
        </w:rPr>
        <w:t>Contextual Background</w:t>
      </w:r>
    </w:p>
    <w:p w:rsidR="00980095" w:rsidRDefault="000837CA" w:rsidP="00980095">
      <w:pPr>
        <w:pStyle w:val="CommentText"/>
        <w:spacing w:line="276" w:lineRule="auto"/>
        <w:rPr>
          <w:sz w:val="22"/>
          <w:szCs w:val="22"/>
        </w:rPr>
      </w:pPr>
      <w:r>
        <w:rPr>
          <w:sz w:val="22"/>
          <w:szCs w:val="22"/>
        </w:rPr>
        <w:t xml:space="preserve">The </w:t>
      </w:r>
      <w:r w:rsidR="00C613E4">
        <w:rPr>
          <w:sz w:val="22"/>
          <w:szCs w:val="22"/>
        </w:rPr>
        <w:t>district has</w:t>
      </w:r>
      <w:r>
        <w:rPr>
          <w:sz w:val="22"/>
          <w:szCs w:val="22"/>
        </w:rPr>
        <w:t xml:space="preserve"> inconsistently addressed c</w:t>
      </w:r>
      <w:r w:rsidR="00E15AC6">
        <w:rPr>
          <w:sz w:val="22"/>
          <w:szCs w:val="22"/>
        </w:rPr>
        <w:t xml:space="preserve">urriculum development </w:t>
      </w:r>
      <w:r w:rsidR="00C6629C">
        <w:rPr>
          <w:sz w:val="22"/>
          <w:szCs w:val="22"/>
        </w:rPr>
        <w:t xml:space="preserve">and </w:t>
      </w:r>
      <w:r w:rsidR="00C6629C">
        <w:rPr>
          <w:rFonts w:ascii="Calibri" w:eastAsia="Times New Roman" w:hAnsi="Calibri" w:cs="Calibri"/>
          <w:sz w:val="22"/>
          <w:szCs w:val="22"/>
        </w:rPr>
        <w:t>a</w:t>
      </w:r>
      <w:r w:rsidR="00C6629C" w:rsidRPr="00C6629C">
        <w:rPr>
          <w:rFonts w:ascii="Calibri" w:eastAsia="Times New Roman" w:hAnsi="Calibri" w:cs="Calibri"/>
          <w:sz w:val="22"/>
          <w:szCs w:val="22"/>
        </w:rPr>
        <w:t>t the time of the site visit</w:t>
      </w:r>
      <w:r w:rsidR="00BA43E6">
        <w:rPr>
          <w:rFonts w:ascii="Calibri" w:eastAsia="Times New Roman" w:hAnsi="Calibri" w:cs="Calibri"/>
          <w:sz w:val="22"/>
          <w:szCs w:val="22"/>
        </w:rPr>
        <w:t xml:space="preserve"> in January 2017</w:t>
      </w:r>
      <w:r w:rsidR="00C6629C" w:rsidRPr="00C6629C">
        <w:rPr>
          <w:rFonts w:eastAsia="Times New Roman" w:cs="Calibri"/>
          <w:sz w:val="22"/>
          <w:szCs w:val="22"/>
        </w:rPr>
        <w:t xml:space="preserve"> </w:t>
      </w:r>
      <w:r w:rsidR="00C6629C" w:rsidRPr="00C6629C">
        <w:rPr>
          <w:rFonts w:eastAsia="Times New Roman" w:cs="Helvetica"/>
          <w:sz w:val="22"/>
          <w:szCs w:val="22"/>
        </w:rPr>
        <w:t>K</w:t>
      </w:r>
      <w:r w:rsidR="00C613E4">
        <w:rPr>
          <w:rFonts w:eastAsia="Times New Roman" w:cs="Helvetica"/>
          <w:sz w:val="22"/>
          <w:szCs w:val="22"/>
        </w:rPr>
        <w:t>–</w:t>
      </w:r>
      <w:r w:rsidR="00C6629C" w:rsidRPr="00C6629C">
        <w:rPr>
          <w:rFonts w:eastAsia="Times New Roman" w:cs="Helvetica"/>
          <w:sz w:val="22"/>
          <w:szCs w:val="22"/>
        </w:rPr>
        <w:t>12 ELA, math</w:t>
      </w:r>
      <w:r w:rsidR="00C613E4">
        <w:rPr>
          <w:rFonts w:eastAsia="Times New Roman" w:cs="Helvetica"/>
          <w:sz w:val="22"/>
          <w:szCs w:val="22"/>
        </w:rPr>
        <w:t>,</w:t>
      </w:r>
      <w:r w:rsidR="00C6629C" w:rsidRPr="00C6629C">
        <w:rPr>
          <w:rFonts w:eastAsia="Times New Roman" w:cs="Helvetica"/>
          <w:sz w:val="22"/>
          <w:szCs w:val="22"/>
        </w:rPr>
        <w:t xml:space="preserve"> </w:t>
      </w:r>
      <w:r>
        <w:rPr>
          <w:rFonts w:eastAsia="Times New Roman" w:cs="Helvetica"/>
          <w:sz w:val="22"/>
          <w:szCs w:val="22"/>
        </w:rPr>
        <w:t>and s</w:t>
      </w:r>
      <w:r w:rsidR="00C6629C" w:rsidRPr="00C6629C">
        <w:rPr>
          <w:rFonts w:eastAsia="Times New Roman" w:cs="Helvetica"/>
          <w:sz w:val="22"/>
          <w:szCs w:val="22"/>
        </w:rPr>
        <w:t>cience documents were incomplete.</w:t>
      </w:r>
      <w:r w:rsidR="00C6629C">
        <w:rPr>
          <w:rFonts w:eastAsia="Times New Roman" w:cs="Helvetica"/>
          <w:sz w:val="22"/>
          <w:szCs w:val="22"/>
        </w:rPr>
        <w:t xml:space="preserve">  </w:t>
      </w:r>
      <w:r>
        <w:rPr>
          <w:sz w:val="22"/>
          <w:szCs w:val="22"/>
        </w:rPr>
        <w:t xml:space="preserve">This work, </w:t>
      </w:r>
      <w:r w:rsidR="00367076">
        <w:rPr>
          <w:sz w:val="22"/>
          <w:szCs w:val="22"/>
        </w:rPr>
        <w:t xml:space="preserve">now </w:t>
      </w:r>
      <w:r>
        <w:rPr>
          <w:sz w:val="22"/>
          <w:szCs w:val="22"/>
        </w:rPr>
        <w:t>overseen by the chief academic officer, was previously managed</w:t>
      </w:r>
      <w:r w:rsidR="00980095">
        <w:rPr>
          <w:sz w:val="22"/>
          <w:szCs w:val="22"/>
        </w:rPr>
        <w:t xml:space="preserve"> by</w:t>
      </w:r>
      <w:r w:rsidR="00367076">
        <w:rPr>
          <w:sz w:val="22"/>
          <w:szCs w:val="22"/>
        </w:rPr>
        <w:t xml:space="preserve"> </w:t>
      </w:r>
      <w:r w:rsidR="008234D3">
        <w:rPr>
          <w:sz w:val="22"/>
          <w:szCs w:val="22"/>
        </w:rPr>
        <w:t>four q</w:t>
      </w:r>
      <w:r w:rsidR="00980095">
        <w:rPr>
          <w:sz w:val="22"/>
          <w:szCs w:val="22"/>
        </w:rPr>
        <w:t xml:space="preserve">uadrant managers who </w:t>
      </w:r>
      <w:r w:rsidR="00367076">
        <w:rPr>
          <w:sz w:val="22"/>
          <w:szCs w:val="22"/>
        </w:rPr>
        <w:t>were responsible for</w:t>
      </w:r>
      <w:r>
        <w:rPr>
          <w:sz w:val="22"/>
          <w:szCs w:val="22"/>
        </w:rPr>
        <w:t xml:space="preserve"> </w:t>
      </w:r>
      <w:r w:rsidR="00367076">
        <w:rPr>
          <w:sz w:val="22"/>
          <w:szCs w:val="22"/>
        </w:rPr>
        <w:t>P</w:t>
      </w:r>
      <w:r w:rsidR="002E4B6D">
        <w:rPr>
          <w:sz w:val="22"/>
          <w:szCs w:val="22"/>
        </w:rPr>
        <w:t>re-</w:t>
      </w:r>
      <w:r>
        <w:rPr>
          <w:sz w:val="22"/>
          <w:szCs w:val="22"/>
        </w:rPr>
        <w:t>K</w:t>
      </w:r>
      <w:r w:rsidR="002E4B6D">
        <w:rPr>
          <w:sz w:val="22"/>
          <w:szCs w:val="22"/>
        </w:rPr>
        <w:t>–</w:t>
      </w:r>
      <w:r>
        <w:rPr>
          <w:sz w:val="22"/>
          <w:szCs w:val="22"/>
        </w:rPr>
        <w:t>12</w:t>
      </w:r>
      <w:r w:rsidR="008234D3">
        <w:rPr>
          <w:sz w:val="22"/>
          <w:szCs w:val="22"/>
        </w:rPr>
        <w:t xml:space="preserve"> curriculum development</w:t>
      </w:r>
      <w:r>
        <w:rPr>
          <w:sz w:val="22"/>
          <w:szCs w:val="22"/>
        </w:rPr>
        <w:t xml:space="preserve"> in all content areas</w:t>
      </w:r>
      <w:r w:rsidR="008234D3">
        <w:rPr>
          <w:sz w:val="22"/>
          <w:szCs w:val="22"/>
        </w:rPr>
        <w:t xml:space="preserve"> in each </w:t>
      </w:r>
      <w:r w:rsidR="00BA43E6">
        <w:rPr>
          <w:sz w:val="22"/>
          <w:szCs w:val="22"/>
        </w:rPr>
        <w:t xml:space="preserve">of the district’s </w:t>
      </w:r>
      <w:r w:rsidR="008234D3">
        <w:rPr>
          <w:sz w:val="22"/>
          <w:szCs w:val="22"/>
        </w:rPr>
        <w:t>quadrant</w:t>
      </w:r>
      <w:r w:rsidR="00BA43E6">
        <w:rPr>
          <w:sz w:val="22"/>
          <w:szCs w:val="22"/>
        </w:rPr>
        <w:t>s</w:t>
      </w:r>
      <w:r w:rsidR="00980095">
        <w:rPr>
          <w:sz w:val="22"/>
          <w:szCs w:val="22"/>
        </w:rPr>
        <w:t>: Burncoat, Doherty, North, a</w:t>
      </w:r>
      <w:r w:rsidR="00D17C06">
        <w:rPr>
          <w:sz w:val="22"/>
          <w:szCs w:val="22"/>
        </w:rPr>
        <w:t xml:space="preserve">nd South. </w:t>
      </w:r>
      <w:r w:rsidR="00367076">
        <w:rPr>
          <w:sz w:val="22"/>
          <w:szCs w:val="22"/>
        </w:rPr>
        <w:t xml:space="preserve"> </w:t>
      </w:r>
      <w:r w:rsidR="00980095">
        <w:rPr>
          <w:sz w:val="22"/>
          <w:szCs w:val="22"/>
        </w:rPr>
        <w:t xml:space="preserve">As part of her </w:t>
      </w:r>
      <w:r w:rsidR="002E4B6D">
        <w:rPr>
          <w:sz w:val="22"/>
          <w:szCs w:val="22"/>
        </w:rPr>
        <w:t>“</w:t>
      </w:r>
      <w:r w:rsidR="0047041E" w:rsidRPr="0047041E">
        <w:rPr>
          <w:sz w:val="22"/>
          <w:szCs w:val="22"/>
        </w:rPr>
        <w:t>First 100 Days Report</w:t>
      </w:r>
      <w:r w:rsidR="00980095">
        <w:rPr>
          <w:sz w:val="22"/>
          <w:szCs w:val="22"/>
        </w:rPr>
        <w:t>,</w:t>
      </w:r>
      <w:r w:rsidR="002E4B6D">
        <w:rPr>
          <w:sz w:val="22"/>
          <w:szCs w:val="22"/>
        </w:rPr>
        <w:t>”</w:t>
      </w:r>
      <w:r w:rsidR="00980095">
        <w:rPr>
          <w:sz w:val="22"/>
          <w:szCs w:val="22"/>
        </w:rPr>
        <w:t xml:space="preserve"> the superintendent analyzed the district’s current procedural and operational structures for curriculum</w:t>
      </w:r>
      <w:r w:rsidR="00EB155B">
        <w:rPr>
          <w:sz w:val="22"/>
          <w:szCs w:val="22"/>
        </w:rPr>
        <w:t xml:space="preserve"> development and id</w:t>
      </w:r>
      <w:r w:rsidR="00D17C06">
        <w:rPr>
          <w:sz w:val="22"/>
          <w:szCs w:val="22"/>
        </w:rPr>
        <w:t>entified curriculum development</w:t>
      </w:r>
      <w:r w:rsidR="00367076">
        <w:rPr>
          <w:sz w:val="22"/>
          <w:szCs w:val="22"/>
        </w:rPr>
        <w:t xml:space="preserve"> as </w:t>
      </w:r>
      <w:r w:rsidR="00980095">
        <w:rPr>
          <w:sz w:val="22"/>
          <w:szCs w:val="22"/>
        </w:rPr>
        <w:t>one of several district priorities.</w:t>
      </w:r>
    </w:p>
    <w:p w:rsidR="00980095" w:rsidRDefault="008234D3" w:rsidP="00980095">
      <w:pPr>
        <w:pStyle w:val="CommentText"/>
        <w:spacing w:line="276" w:lineRule="auto"/>
        <w:rPr>
          <w:sz w:val="22"/>
          <w:szCs w:val="22"/>
        </w:rPr>
      </w:pPr>
      <w:r>
        <w:rPr>
          <w:sz w:val="22"/>
          <w:szCs w:val="22"/>
        </w:rPr>
        <w:t>The superintendent has reo</w:t>
      </w:r>
      <w:r w:rsidR="00EB155B">
        <w:rPr>
          <w:sz w:val="22"/>
          <w:szCs w:val="22"/>
        </w:rPr>
        <w:t>rganized the central office by restructuring</w:t>
      </w:r>
      <w:r>
        <w:rPr>
          <w:sz w:val="22"/>
          <w:szCs w:val="22"/>
        </w:rPr>
        <w:t xml:space="preserve"> several leadership positions to</w:t>
      </w:r>
      <w:r w:rsidR="00980095">
        <w:rPr>
          <w:sz w:val="22"/>
          <w:szCs w:val="22"/>
        </w:rPr>
        <w:t xml:space="preserve"> crea</w:t>
      </w:r>
      <w:r>
        <w:rPr>
          <w:sz w:val="22"/>
          <w:szCs w:val="22"/>
        </w:rPr>
        <w:t>te</w:t>
      </w:r>
      <w:r w:rsidR="00980095">
        <w:rPr>
          <w:sz w:val="22"/>
          <w:szCs w:val="22"/>
        </w:rPr>
        <w:t xml:space="preserve"> a network of position</w:t>
      </w:r>
      <w:r>
        <w:rPr>
          <w:sz w:val="22"/>
          <w:szCs w:val="22"/>
        </w:rPr>
        <w:t xml:space="preserve">s </w:t>
      </w:r>
      <w:r w:rsidR="00C6629C">
        <w:rPr>
          <w:sz w:val="22"/>
          <w:szCs w:val="22"/>
        </w:rPr>
        <w:t>to oversee</w:t>
      </w:r>
      <w:r>
        <w:rPr>
          <w:sz w:val="22"/>
          <w:szCs w:val="22"/>
        </w:rPr>
        <w:t xml:space="preserve"> </w:t>
      </w:r>
      <w:r w:rsidR="00980095">
        <w:rPr>
          <w:sz w:val="22"/>
          <w:szCs w:val="22"/>
        </w:rPr>
        <w:t>and support</w:t>
      </w:r>
      <w:r w:rsidR="00C6629C">
        <w:rPr>
          <w:sz w:val="22"/>
          <w:szCs w:val="22"/>
        </w:rPr>
        <w:t xml:space="preserve"> </w:t>
      </w:r>
      <w:r>
        <w:rPr>
          <w:sz w:val="22"/>
          <w:szCs w:val="22"/>
        </w:rPr>
        <w:t>curriculum. The manager of curriculum and l</w:t>
      </w:r>
      <w:r w:rsidR="00980095">
        <w:rPr>
          <w:sz w:val="22"/>
          <w:szCs w:val="22"/>
        </w:rPr>
        <w:t>earning is a ne</w:t>
      </w:r>
      <w:r w:rsidR="000E2E45">
        <w:rPr>
          <w:sz w:val="22"/>
          <w:szCs w:val="22"/>
        </w:rPr>
        <w:t>w position</w:t>
      </w:r>
      <w:r w:rsidR="00D17C06">
        <w:rPr>
          <w:sz w:val="22"/>
          <w:szCs w:val="22"/>
        </w:rPr>
        <w:t xml:space="preserve"> with responsibility</w:t>
      </w:r>
      <w:r>
        <w:rPr>
          <w:sz w:val="22"/>
          <w:szCs w:val="22"/>
        </w:rPr>
        <w:t xml:space="preserve"> for coordinating</w:t>
      </w:r>
      <w:r w:rsidR="00980095">
        <w:rPr>
          <w:sz w:val="22"/>
          <w:szCs w:val="22"/>
        </w:rPr>
        <w:t xml:space="preserve"> curriculum and professional l</w:t>
      </w:r>
      <w:r w:rsidR="00EB155B">
        <w:rPr>
          <w:sz w:val="22"/>
          <w:szCs w:val="22"/>
        </w:rPr>
        <w:t xml:space="preserve">earning </w:t>
      </w:r>
      <w:r>
        <w:rPr>
          <w:sz w:val="22"/>
          <w:szCs w:val="22"/>
        </w:rPr>
        <w:t xml:space="preserve">to improve </w:t>
      </w:r>
      <w:r w:rsidR="00EB155B">
        <w:rPr>
          <w:sz w:val="22"/>
          <w:szCs w:val="22"/>
        </w:rPr>
        <w:t>teaching and learn</w:t>
      </w:r>
      <w:r w:rsidR="00C6629C">
        <w:rPr>
          <w:sz w:val="22"/>
          <w:szCs w:val="22"/>
        </w:rPr>
        <w:t xml:space="preserve">ing.  </w:t>
      </w:r>
      <w:r w:rsidR="000E2E45">
        <w:rPr>
          <w:sz w:val="22"/>
          <w:szCs w:val="22"/>
        </w:rPr>
        <w:t xml:space="preserve">The manager </w:t>
      </w:r>
      <w:r w:rsidR="00704F1F">
        <w:rPr>
          <w:sz w:val="22"/>
          <w:szCs w:val="22"/>
        </w:rPr>
        <w:t xml:space="preserve">of curriculum and learning </w:t>
      </w:r>
      <w:r w:rsidR="00E15AC6">
        <w:rPr>
          <w:sz w:val="22"/>
          <w:szCs w:val="22"/>
        </w:rPr>
        <w:t xml:space="preserve">supervises the </w:t>
      </w:r>
      <w:r w:rsidR="00DA1CB2">
        <w:rPr>
          <w:sz w:val="22"/>
          <w:szCs w:val="22"/>
        </w:rPr>
        <w:t xml:space="preserve">academic </w:t>
      </w:r>
      <w:r w:rsidR="00E15AC6">
        <w:rPr>
          <w:sz w:val="22"/>
          <w:szCs w:val="22"/>
        </w:rPr>
        <w:t>liaisons</w:t>
      </w:r>
      <w:r w:rsidR="00E15AC6">
        <w:rPr>
          <w:rStyle w:val="FootnoteReference"/>
          <w:sz w:val="22"/>
          <w:szCs w:val="22"/>
        </w:rPr>
        <w:footnoteReference w:id="11"/>
      </w:r>
      <w:r w:rsidR="00E15AC6">
        <w:rPr>
          <w:sz w:val="22"/>
          <w:szCs w:val="22"/>
        </w:rPr>
        <w:t xml:space="preserve"> in their work to support P</w:t>
      </w:r>
      <w:r w:rsidR="00C613E4">
        <w:rPr>
          <w:sz w:val="22"/>
          <w:szCs w:val="22"/>
        </w:rPr>
        <w:t>re-</w:t>
      </w:r>
      <w:r w:rsidR="00E15AC6">
        <w:rPr>
          <w:sz w:val="22"/>
          <w:szCs w:val="22"/>
        </w:rPr>
        <w:t>K</w:t>
      </w:r>
      <w:r w:rsidR="00C613E4">
        <w:rPr>
          <w:sz w:val="22"/>
          <w:szCs w:val="22"/>
        </w:rPr>
        <w:t>–</w:t>
      </w:r>
      <w:r w:rsidR="007E1510">
        <w:rPr>
          <w:sz w:val="22"/>
          <w:szCs w:val="22"/>
        </w:rPr>
        <w:t xml:space="preserve"> </w:t>
      </w:r>
      <w:r w:rsidR="00E15AC6">
        <w:rPr>
          <w:sz w:val="22"/>
          <w:szCs w:val="22"/>
        </w:rPr>
        <w:t>12 curriculum development, the elementary science coach</w:t>
      </w:r>
      <w:r w:rsidR="007E1510">
        <w:rPr>
          <w:sz w:val="22"/>
          <w:szCs w:val="22"/>
        </w:rPr>
        <w:t>,</w:t>
      </w:r>
      <w:r w:rsidR="00E15AC6">
        <w:rPr>
          <w:sz w:val="22"/>
          <w:szCs w:val="22"/>
        </w:rPr>
        <w:t xml:space="preserve"> and 49 school-based instructional coaches.  The</w:t>
      </w:r>
      <w:r w:rsidR="00C6629C">
        <w:rPr>
          <w:sz w:val="22"/>
          <w:szCs w:val="22"/>
        </w:rPr>
        <w:t xml:space="preserve"> </w:t>
      </w:r>
      <w:r w:rsidR="00980095">
        <w:rPr>
          <w:sz w:val="22"/>
          <w:szCs w:val="22"/>
        </w:rPr>
        <w:t xml:space="preserve">office </w:t>
      </w:r>
      <w:r w:rsidR="00704F1F">
        <w:rPr>
          <w:sz w:val="22"/>
          <w:szCs w:val="22"/>
        </w:rPr>
        <w:t xml:space="preserve">of curriculum and learning </w:t>
      </w:r>
      <w:r w:rsidR="00980095">
        <w:rPr>
          <w:sz w:val="22"/>
          <w:szCs w:val="22"/>
        </w:rPr>
        <w:t>distributes a monthly newsle</w:t>
      </w:r>
      <w:r w:rsidR="00367076">
        <w:rPr>
          <w:sz w:val="22"/>
          <w:szCs w:val="22"/>
        </w:rPr>
        <w:t xml:space="preserve">tter to principals to </w:t>
      </w:r>
      <w:r w:rsidR="00980095">
        <w:rPr>
          <w:sz w:val="22"/>
          <w:szCs w:val="22"/>
        </w:rPr>
        <w:t>update</w:t>
      </w:r>
      <w:r w:rsidR="00367076">
        <w:rPr>
          <w:sz w:val="22"/>
          <w:szCs w:val="22"/>
        </w:rPr>
        <w:t xml:space="preserve"> them</w:t>
      </w:r>
      <w:r w:rsidR="00980095">
        <w:rPr>
          <w:sz w:val="22"/>
          <w:szCs w:val="22"/>
        </w:rPr>
        <w:t xml:space="preserve"> on district initiatives and </w:t>
      </w:r>
      <w:r w:rsidR="00EB155B">
        <w:rPr>
          <w:sz w:val="22"/>
          <w:szCs w:val="22"/>
        </w:rPr>
        <w:t xml:space="preserve">professional learning </w:t>
      </w:r>
      <w:r w:rsidR="00980095">
        <w:rPr>
          <w:sz w:val="22"/>
          <w:szCs w:val="22"/>
        </w:rPr>
        <w:t>opportunities.</w:t>
      </w:r>
    </w:p>
    <w:p w:rsidR="00980095" w:rsidRDefault="00980095" w:rsidP="00980095">
      <w:pPr>
        <w:pStyle w:val="CommentText"/>
        <w:spacing w:line="276" w:lineRule="auto"/>
        <w:rPr>
          <w:sz w:val="22"/>
          <w:szCs w:val="22"/>
        </w:rPr>
      </w:pPr>
      <w:r>
        <w:rPr>
          <w:sz w:val="22"/>
          <w:szCs w:val="22"/>
        </w:rPr>
        <w:t>The office of</w:t>
      </w:r>
      <w:r w:rsidR="008E29E7">
        <w:rPr>
          <w:sz w:val="22"/>
          <w:szCs w:val="22"/>
        </w:rPr>
        <w:t xml:space="preserve"> curriculum and l</w:t>
      </w:r>
      <w:r>
        <w:rPr>
          <w:sz w:val="22"/>
          <w:szCs w:val="22"/>
        </w:rPr>
        <w:t xml:space="preserve">earning </w:t>
      </w:r>
      <w:r w:rsidR="000E2E45">
        <w:rPr>
          <w:sz w:val="22"/>
          <w:szCs w:val="22"/>
        </w:rPr>
        <w:t xml:space="preserve">also </w:t>
      </w:r>
      <w:r>
        <w:rPr>
          <w:sz w:val="22"/>
          <w:szCs w:val="22"/>
        </w:rPr>
        <w:t>develops a comprehensive professional learning plan that is upd</w:t>
      </w:r>
      <w:r w:rsidR="008E29E7">
        <w:rPr>
          <w:sz w:val="22"/>
          <w:szCs w:val="22"/>
        </w:rPr>
        <w:t xml:space="preserve">ated each year.  </w:t>
      </w:r>
      <w:r w:rsidR="000E2E45">
        <w:rPr>
          <w:sz w:val="22"/>
          <w:szCs w:val="22"/>
        </w:rPr>
        <w:t>The 2016</w:t>
      </w:r>
      <w:r w:rsidR="00BD25DB">
        <w:rPr>
          <w:sz w:val="22"/>
          <w:szCs w:val="22"/>
        </w:rPr>
        <w:t>–</w:t>
      </w:r>
      <w:r w:rsidR="000E2E45">
        <w:rPr>
          <w:sz w:val="22"/>
          <w:szCs w:val="22"/>
        </w:rPr>
        <w:t xml:space="preserve">2017 </w:t>
      </w:r>
      <w:r w:rsidR="008E29E7">
        <w:rPr>
          <w:sz w:val="22"/>
          <w:szCs w:val="22"/>
        </w:rPr>
        <w:t>p</w:t>
      </w:r>
      <w:r>
        <w:rPr>
          <w:sz w:val="22"/>
          <w:szCs w:val="22"/>
        </w:rPr>
        <w:t>lan includes topics that focus on district priorities a</w:t>
      </w:r>
      <w:r w:rsidR="000E2E45">
        <w:rPr>
          <w:sz w:val="22"/>
          <w:szCs w:val="22"/>
        </w:rPr>
        <w:t>nd are differentiated to promote</w:t>
      </w:r>
      <w:r>
        <w:rPr>
          <w:sz w:val="22"/>
          <w:szCs w:val="22"/>
        </w:rPr>
        <w:t xml:space="preserve"> “continuous learning and professional growth” at all levels.</w:t>
      </w:r>
      <w:r w:rsidR="008E29E7">
        <w:rPr>
          <w:sz w:val="22"/>
          <w:szCs w:val="22"/>
        </w:rPr>
        <w:t xml:space="preserve"> </w:t>
      </w:r>
      <w:r w:rsidR="006E7D39">
        <w:rPr>
          <w:sz w:val="22"/>
          <w:szCs w:val="22"/>
        </w:rPr>
        <w:t xml:space="preserve">Academic </w:t>
      </w:r>
      <w:r>
        <w:rPr>
          <w:sz w:val="22"/>
          <w:szCs w:val="22"/>
        </w:rPr>
        <w:t>liaisons and managers as well as outside consultants</w:t>
      </w:r>
      <w:r w:rsidR="00D17C06">
        <w:rPr>
          <w:sz w:val="22"/>
          <w:szCs w:val="22"/>
        </w:rPr>
        <w:t xml:space="preserve"> facilitate </w:t>
      </w:r>
      <w:r w:rsidR="008E29E7">
        <w:rPr>
          <w:sz w:val="22"/>
          <w:szCs w:val="22"/>
        </w:rPr>
        <w:t>professional learning offerings</w:t>
      </w:r>
      <w:r>
        <w:rPr>
          <w:sz w:val="22"/>
          <w:szCs w:val="22"/>
        </w:rPr>
        <w:t xml:space="preserve">.  </w:t>
      </w:r>
      <w:r w:rsidR="000B738B">
        <w:rPr>
          <w:sz w:val="22"/>
          <w:szCs w:val="22"/>
        </w:rPr>
        <w:t xml:space="preserve">A broad </w:t>
      </w:r>
      <w:r>
        <w:rPr>
          <w:sz w:val="22"/>
          <w:szCs w:val="22"/>
        </w:rPr>
        <w:t xml:space="preserve">range of topics </w:t>
      </w:r>
      <w:r w:rsidR="00EE0456">
        <w:rPr>
          <w:sz w:val="22"/>
          <w:szCs w:val="22"/>
        </w:rPr>
        <w:t xml:space="preserve">is </w:t>
      </w:r>
      <w:r>
        <w:rPr>
          <w:sz w:val="22"/>
          <w:szCs w:val="22"/>
        </w:rPr>
        <w:t>offered and</w:t>
      </w:r>
      <w:r w:rsidR="000E2E45">
        <w:rPr>
          <w:sz w:val="22"/>
          <w:szCs w:val="22"/>
        </w:rPr>
        <w:t xml:space="preserve"> </w:t>
      </w:r>
      <w:r w:rsidR="00D17C06">
        <w:rPr>
          <w:sz w:val="22"/>
          <w:szCs w:val="22"/>
        </w:rPr>
        <w:t>training focused</w:t>
      </w:r>
      <w:r>
        <w:rPr>
          <w:sz w:val="22"/>
          <w:szCs w:val="22"/>
        </w:rPr>
        <w:t xml:space="preserve"> on improving instruction may be targeted toward specific audiences. For example, </w:t>
      </w:r>
      <w:r w:rsidRPr="008E29E7">
        <w:rPr>
          <w:i/>
          <w:sz w:val="22"/>
          <w:szCs w:val="22"/>
        </w:rPr>
        <w:t>Skillful Teacher</w:t>
      </w:r>
      <w:r>
        <w:rPr>
          <w:sz w:val="22"/>
          <w:szCs w:val="22"/>
        </w:rPr>
        <w:t xml:space="preserve"> training has been offered multiple times.  However, this training is</w:t>
      </w:r>
      <w:r w:rsidR="008E29E7">
        <w:rPr>
          <w:sz w:val="22"/>
          <w:szCs w:val="22"/>
        </w:rPr>
        <w:t xml:space="preserve"> now</w:t>
      </w:r>
      <w:r>
        <w:rPr>
          <w:sz w:val="22"/>
          <w:szCs w:val="22"/>
        </w:rPr>
        <w:t xml:space="preserve"> targeted for teachers in Level 4 and low achieving Level 3 schools only, so not all teachers have the opportunity to participate</w:t>
      </w:r>
      <w:r w:rsidR="000E2E45">
        <w:rPr>
          <w:sz w:val="22"/>
          <w:szCs w:val="22"/>
        </w:rPr>
        <w:t xml:space="preserve"> </w:t>
      </w:r>
      <w:r w:rsidR="00BA43E6">
        <w:rPr>
          <w:sz w:val="22"/>
          <w:szCs w:val="22"/>
        </w:rPr>
        <w:t>in 2016–2017</w:t>
      </w:r>
      <w:r>
        <w:rPr>
          <w:sz w:val="22"/>
          <w:szCs w:val="22"/>
        </w:rPr>
        <w:t>.</w:t>
      </w:r>
      <w:r w:rsidRPr="008C5CD7">
        <w:rPr>
          <w:rStyle w:val="FootnoteReference"/>
          <w:sz w:val="22"/>
          <w:szCs w:val="22"/>
        </w:rPr>
        <w:t xml:space="preserve"> </w:t>
      </w:r>
      <w:r>
        <w:rPr>
          <w:sz w:val="22"/>
          <w:szCs w:val="22"/>
        </w:rPr>
        <w:t xml:space="preserve">The district will be </w:t>
      </w:r>
      <w:r w:rsidR="00704F1F">
        <w:rPr>
          <w:sz w:val="22"/>
          <w:szCs w:val="22"/>
        </w:rPr>
        <w:t xml:space="preserve">challenged </w:t>
      </w:r>
      <w:r>
        <w:rPr>
          <w:sz w:val="22"/>
          <w:szCs w:val="22"/>
        </w:rPr>
        <w:t>to provide sustained professional learning opportunities that will enable teachers to master strategies that support improvements in teaching and learning</w:t>
      </w:r>
      <w:r w:rsidR="008E29E7">
        <w:rPr>
          <w:sz w:val="22"/>
          <w:szCs w:val="22"/>
        </w:rPr>
        <w:t xml:space="preserve"> at all school levels</w:t>
      </w:r>
      <w:r>
        <w:rPr>
          <w:sz w:val="22"/>
          <w:szCs w:val="22"/>
        </w:rPr>
        <w:t>.</w:t>
      </w:r>
    </w:p>
    <w:p w:rsidR="00980095" w:rsidRDefault="000E2E45" w:rsidP="00980095">
      <w:pPr>
        <w:pStyle w:val="CommentText"/>
        <w:spacing w:line="276" w:lineRule="auto"/>
        <w:rPr>
          <w:sz w:val="22"/>
          <w:szCs w:val="22"/>
        </w:rPr>
      </w:pPr>
      <w:r>
        <w:rPr>
          <w:sz w:val="22"/>
          <w:szCs w:val="22"/>
        </w:rPr>
        <w:t>P</w:t>
      </w:r>
      <w:r w:rsidR="002E4B6D">
        <w:rPr>
          <w:sz w:val="22"/>
          <w:szCs w:val="22"/>
        </w:rPr>
        <w:t>re</w:t>
      </w:r>
      <w:r w:rsidR="00C613E4">
        <w:rPr>
          <w:sz w:val="22"/>
          <w:szCs w:val="22"/>
        </w:rPr>
        <w:t>-</w:t>
      </w:r>
      <w:r>
        <w:rPr>
          <w:sz w:val="22"/>
          <w:szCs w:val="22"/>
        </w:rPr>
        <w:t>K</w:t>
      </w:r>
      <w:r w:rsidR="002E4B6D">
        <w:rPr>
          <w:sz w:val="22"/>
          <w:szCs w:val="22"/>
        </w:rPr>
        <w:t>–</w:t>
      </w:r>
      <w:r>
        <w:rPr>
          <w:sz w:val="22"/>
          <w:szCs w:val="22"/>
        </w:rPr>
        <w:t>12 c</w:t>
      </w:r>
      <w:r w:rsidR="00980095">
        <w:rPr>
          <w:sz w:val="22"/>
          <w:szCs w:val="22"/>
        </w:rPr>
        <w:t>urriculum map templates are common and incorporate Understanding by Design</w:t>
      </w:r>
      <w:r>
        <w:rPr>
          <w:sz w:val="22"/>
          <w:szCs w:val="22"/>
        </w:rPr>
        <w:t xml:space="preserve"> (UbD)</w:t>
      </w:r>
      <w:r w:rsidR="00980095">
        <w:rPr>
          <w:sz w:val="22"/>
          <w:szCs w:val="22"/>
        </w:rPr>
        <w:t xml:space="preserve"> elements.  However, common instructional materials vary by content area across the district. Science is the most complete with uniform kits K</w:t>
      </w:r>
      <w:r w:rsidR="00E82C9B">
        <w:rPr>
          <w:sz w:val="22"/>
          <w:szCs w:val="22"/>
        </w:rPr>
        <w:t>–</w:t>
      </w:r>
      <w:r w:rsidR="00980095">
        <w:rPr>
          <w:sz w:val="22"/>
          <w:szCs w:val="22"/>
        </w:rPr>
        <w:t>2, textbooks/kits in grades 3</w:t>
      </w:r>
      <w:r w:rsidR="002E4B6D">
        <w:rPr>
          <w:sz w:val="22"/>
          <w:szCs w:val="22"/>
        </w:rPr>
        <w:t>–</w:t>
      </w:r>
      <w:r w:rsidR="00980095">
        <w:rPr>
          <w:sz w:val="22"/>
          <w:szCs w:val="22"/>
        </w:rPr>
        <w:t>6</w:t>
      </w:r>
      <w:r w:rsidR="007E1510">
        <w:rPr>
          <w:sz w:val="22"/>
          <w:szCs w:val="22"/>
        </w:rPr>
        <w:t>,</w:t>
      </w:r>
      <w:r w:rsidR="00980095">
        <w:rPr>
          <w:sz w:val="22"/>
          <w:szCs w:val="22"/>
        </w:rPr>
        <w:t xml:space="preserve"> and plans for updated common texts in grades 7</w:t>
      </w:r>
      <w:r w:rsidR="002E4B6D">
        <w:rPr>
          <w:sz w:val="22"/>
          <w:szCs w:val="22"/>
        </w:rPr>
        <w:t>–</w:t>
      </w:r>
      <w:r w:rsidR="00980095">
        <w:rPr>
          <w:sz w:val="22"/>
          <w:szCs w:val="22"/>
        </w:rPr>
        <w:t xml:space="preserve">12.  </w:t>
      </w:r>
    </w:p>
    <w:p w:rsidR="00980095" w:rsidRDefault="00980095" w:rsidP="00980095">
      <w:pPr>
        <w:pStyle w:val="CommentText"/>
        <w:spacing w:line="276" w:lineRule="auto"/>
        <w:rPr>
          <w:sz w:val="22"/>
          <w:szCs w:val="22"/>
        </w:rPr>
      </w:pPr>
      <w:r>
        <w:rPr>
          <w:sz w:val="22"/>
          <w:szCs w:val="22"/>
        </w:rPr>
        <w:t xml:space="preserve">The use of core instructional resources for math instruction is consistent across grade levels and schools. While various resources </w:t>
      </w:r>
      <w:r w:rsidR="000B738B">
        <w:rPr>
          <w:sz w:val="22"/>
          <w:szCs w:val="22"/>
        </w:rPr>
        <w:t xml:space="preserve">are </w:t>
      </w:r>
      <w:r>
        <w:rPr>
          <w:sz w:val="22"/>
          <w:szCs w:val="22"/>
        </w:rPr>
        <w:t xml:space="preserve">available at the elementary level, all schools have access to </w:t>
      </w:r>
      <w:r w:rsidRPr="000E2E45">
        <w:rPr>
          <w:i/>
          <w:sz w:val="22"/>
          <w:szCs w:val="22"/>
        </w:rPr>
        <w:t>Everyday Math</w:t>
      </w:r>
      <w:r>
        <w:rPr>
          <w:sz w:val="22"/>
          <w:szCs w:val="22"/>
        </w:rPr>
        <w:t xml:space="preserve"> (the former common text),</w:t>
      </w:r>
      <w:r w:rsidRPr="000E2E45">
        <w:rPr>
          <w:i/>
          <w:sz w:val="22"/>
          <w:szCs w:val="22"/>
        </w:rPr>
        <w:t xml:space="preserve"> EngageNY</w:t>
      </w:r>
      <w:r>
        <w:rPr>
          <w:sz w:val="22"/>
          <w:szCs w:val="22"/>
        </w:rPr>
        <w:t xml:space="preserve">, and </w:t>
      </w:r>
      <w:r w:rsidRPr="000E2E45">
        <w:rPr>
          <w:i/>
          <w:sz w:val="22"/>
          <w:szCs w:val="22"/>
        </w:rPr>
        <w:t>Go Math</w:t>
      </w:r>
      <w:r>
        <w:rPr>
          <w:sz w:val="22"/>
          <w:szCs w:val="22"/>
        </w:rPr>
        <w:t>, the most current resource purchased for math instruction.</w:t>
      </w:r>
      <w:r w:rsidRPr="005B72F9">
        <w:rPr>
          <w:rStyle w:val="FootnoteReference"/>
          <w:sz w:val="22"/>
          <w:szCs w:val="22"/>
        </w:rPr>
        <w:t xml:space="preserve"> </w:t>
      </w:r>
    </w:p>
    <w:p w:rsidR="00980095" w:rsidRDefault="00C613E4" w:rsidP="00980095">
      <w:pPr>
        <w:pStyle w:val="CommentText"/>
        <w:spacing w:line="276" w:lineRule="auto"/>
        <w:rPr>
          <w:sz w:val="22"/>
          <w:szCs w:val="22"/>
        </w:rPr>
      </w:pPr>
      <w:r>
        <w:rPr>
          <w:sz w:val="22"/>
          <w:szCs w:val="22"/>
        </w:rPr>
        <w:lastRenderedPageBreak/>
        <w:t>A</w:t>
      </w:r>
      <w:r w:rsidR="000E2E45">
        <w:rPr>
          <w:sz w:val="22"/>
          <w:szCs w:val="22"/>
        </w:rPr>
        <w:t>t</w:t>
      </w:r>
      <w:r w:rsidR="00980095">
        <w:rPr>
          <w:sz w:val="22"/>
          <w:szCs w:val="22"/>
        </w:rPr>
        <w:t xml:space="preserve"> the</w:t>
      </w:r>
      <w:r w:rsidR="000E2E45">
        <w:rPr>
          <w:sz w:val="22"/>
          <w:szCs w:val="22"/>
        </w:rPr>
        <w:t xml:space="preserve"> elementary schools, teachers use s</w:t>
      </w:r>
      <w:r w:rsidR="00980095">
        <w:rPr>
          <w:sz w:val="22"/>
          <w:szCs w:val="22"/>
        </w:rPr>
        <w:t>everal resources, structures</w:t>
      </w:r>
      <w:r w:rsidR="00916A52">
        <w:rPr>
          <w:sz w:val="22"/>
          <w:szCs w:val="22"/>
        </w:rPr>
        <w:t>,</w:t>
      </w:r>
      <w:r w:rsidR="00980095">
        <w:rPr>
          <w:sz w:val="22"/>
          <w:szCs w:val="22"/>
        </w:rPr>
        <w:t xml:space="preserve"> and programs to teach th</w:t>
      </w:r>
      <w:r w:rsidR="002D56EB">
        <w:rPr>
          <w:sz w:val="22"/>
          <w:szCs w:val="22"/>
        </w:rPr>
        <w:t xml:space="preserve">e ELA and literacy </w:t>
      </w:r>
      <w:r w:rsidR="000E2E45">
        <w:rPr>
          <w:sz w:val="22"/>
          <w:szCs w:val="22"/>
        </w:rPr>
        <w:t>standards</w:t>
      </w:r>
      <w:r w:rsidR="00C3474D">
        <w:rPr>
          <w:sz w:val="22"/>
          <w:szCs w:val="22"/>
        </w:rPr>
        <w:t>,</w:t>
      </w:r>
      <w:r w:rsidR="00C609A7">
        <w:rPr>
          <w:sz w:val="22"/>
          <w:szCs w:val="22"/>
        </w:rPr>
        <w:t xml:space="preserve"> </w:t>
      </w:r>
      <w:r w:rsidR="000E2E45">
        <w:rPr>
          <w:sz w:val="22"/>
          <w:szCs w:val="22"/>
        </w:rPr>
        <w:t>an</w:t>
      </w:r>
      <w:r w:rsidR="006E7D39">
        <w:rPr>
          <w:sz w:val="22"/>
          <w:szCs w:val="22"/>
        </w:rPr>
        <w:t>d</w:t>
      </w:r>
      <w:r w:rsidR="000E2E45">
        <w:rPr>
          <w:sz w:val="22"/>
          <w:szCs w:val="22"/>
        </w:rPr>
        <w:t xml:space="preserve"> each school chooses its own materials.</w:t>
      </w:r>
      <w:r w:rsidR="000D7416">
        <w:rPr>
          <w:sz w:val="22"/>
          <w:szCs w:val="22"/>
        </w:rPr>
        <w:t xml:space="preserve">  T</w:t>
      </w:r>
      <w:r w:rsidR="00980095">
        <w:rPr>
          <w:sz w:val="22"/>
          <w:szCs w:val="22"/>
        </w:rPr>
        <w:t xml:space="preserve">he </w:t>
      </w:r>
      <w:r w:rsidR="00980095" w:rsidRPr="000E2E45">
        <w:rPr>
          <w:i/>
          <w:sz w:val="22"/>
          <w:szCs w:val="22"/>
        </w:rPr>
        <w:t>Fountas</w:t>
      </w:r>
      <w:r w:rsidR="000E2E45" w:rsidRPr="000E2E45">
        <w:rPr>
          <w:i/>
          <w:sz w:val="22"/>
          <w:szCs w:val="22"/>
        </w:rPr>
        <w:t xml:space="preserve"> and</w:t>
      </w:r>
      <w:r w:rsidR="00980095" w:rsidRPr="000E2E45">
        <w:rPr>
          <w:i/>
          <w:sz w:val="22"/>
          <w:szCs w:val="22"/>
        </w:rPr>
        <w:t xml:space="preserve"> Pinnell Bench</w:t>
      </w:r>
      <w:r w:rsidR="000D7416" w:rsidRPr="000E2E45">
        <w:rPr>
          <w:i/>
          <w:sz w:val="22"/>
          <w:szCs w:val="22"/>
        </w:rPr>
        <w:t xml:space="preserve">mark Assessment System </w:t>
      </w:r>
      <w:r w:rsidR="000D7416">
        <w:rPr>
          <w:sz w:val="22"/>
          <w:szCs w:val="22"/>
        </w:rPr>
        <w:t>(BAS) is the only common resource</w:t>
      </w:r>
      <w:r w:rsidR="00980095">
        <w:rPr>
          <w:sz w:val="22"/>
          <w:szCs w:val="22"/>
        </w:rPr>
        <w:t xml:space="preserve"> used in all elementary schools.</w:t>
      </w:r>
    </w:p>
    <w:p w:rsidR="005442EF" w:rsidRDefault="00980095" w:rsidP="00980095">
      <w:pPr>
        <w:pStyle w:val="CommentText"/>
        <w:spacing w:line="276" w:lineRule="auto"/>
        <w:rPr>
          <w:sz w:val="22"/>
          <w:szCs w:val="22"/>
        </w:rPr>
      </w:pPr>
      <w:r>
        <w:rPr>
          <w:sz w:val="22"/>
          <w:szCs w:val="22"/>
        </w:rPr>
        <w:t>Literacy is at the forefront of the superintendent’s improvement goals. She has made balanced literacy a priority for the district</w:t>
      </w:r>
      <w:r w:rsidR="000E2E45">
        <w:rPr>
          <w:sz w:val="22"/>
          <w:szCs w:val="22"/>
        </w:rPr>
        <w:t xml:space="preserve"> and set the expectation </w:t>
      </w:r>
      <w:r>
        <w:rPr>
          <w:sz w:val="22"/>
          <w:szCs w:val="22"/>
        </w:rPr>
        <w:t>that every teacher is a teacher of literacy.</w:t>
      </w:r>
      <w:r w:rsidR="00367076">
        <w:rPr>
          <w:sz w:val="22"/>
          <w:szCs w:val="22"/>
        </w:rPr>
        <w:t xml:space="preserve"> Furthermore, </w:t>
      </w:r>
      <w:r w:rsidR="00B64CD6">
        <w:rPr>
          <w:sz w:val="22"/>
          <w:szCs w:val="22"/>
        </w:rPr>
        <w:t>t</w:t>
      </w:r>
      <w:r>
        <w:rPr>
          <w:sz w:val="22"/>
          <w:szCs w:val="22"/>
        </w:rPr>
        <w:t xml:space="preserve">he implementation of balanced literacy </w:t>
      </w:r>
      <w:r w:rsidR="005442EF">
        <w:rPr>
          <w:sz w:val="22"/>
          <w:szCs w:val="22"/>
        </w:rPr>
        <w:t>instruction is an initiative at</w:t>
      </w:r>
      <w:r>
        <w:rPr>
          <w:sz w:val="22"/>
          <w:szCs w:val="22"/>
        </w:rPr>
        <w:t xml:space="preserve"> all elementary schools. </w:t>
      </w:r>
      <w:r w:rsidR="005442EF">
        <w:rPr>
          <w:sz w:val="22"/>
          <w:szCs w:val="22"/>
        </w:rPr>
        <w:t>To support this, t</w:t>
      </w:r>
      <w:r w:rsidR="00F45124">
        <w:rPr>
          <w:sz w:val="22"/>
          <w:szCs w:val="22"/>
        </w:rPr>
        <w:t xml:space="preserve">he professional learning </w:t>
      </w:r>
      <w:r w:rsidR="005B6BE5">
        <w:rPr>
          <w:sz w:val="22"/>
          <w:szCs w:val="22"/>
        </w:rPr>
        <w:t>plan</w:t>
      </w:r>
      <w:r w:rsidR="00F45124">
        <w:rPr>
          <w:sz w:val="22"/>
          <w:szCs w:val="22"/>
        </w:rPr>
        <w:t xml:space="preserve"> has prioritized reading, writing</w:t>
      </w:r>
      <w:r w:rsidR="00BC1245">
        <w:rPr>
          <w:sz w:val="22"/>
          <w:szCs w:val="22"/>
        </w:rPr>
        <w:t>,</w:t>
      </w:r>
      <w:r w:rsidR="00F45124">
        <w:rPr>
          <w:sz w:val="22"/>
          <w:szCs w:val="22"/>
        </w:rPr>
        <w:t xml:space="preserve"> and discourse and expanded </w:t>
      </w:r>
      <w:r>
        <w:rPr>
          <w:sz w:val="22"/>
          <w:szCs w:val="22"/>
        </w:rPr>
        <w:t>K</w:t>
      </w:r>
      <w:r w:rsidR="00C613E4">
        <w:rPr>
          <w:sz w:val="22"/>
          <w:szCs w:val="22"/>
        </w:rPr>
        <w:t>–</w:t>
      </w:r>
      <w:r>
        <w:rPr>
          <w:sz w:val="22"/>
          <w:szCs w:val="22"/>
        </w:rPr>
        <w:t>2 literacy training beyond the</w:t>
      </w:r>
      <w:r w:rsidR="00F45124">
        <w:rPr>
          <w:sz w:val="22"/>
          <w:szCs w:val="22"/>
        </w:rPr>
        <w:t xml:space="preserve"> six lowest performing </w:t>
      </w:r>
      <w:r>
        <w:rPr>
          <w:sz w:val="22"/>
          <w:szCs w:val="22"/>
        </w:rPr>
        <w:t xml:space="preserve">schools. </w:t>
      </w:r>
      <w:r w:rsidRPr="0032001B">
        <w:rPr>
          <w:i/>
          <w:sz w:val="22"/>
          <w:szCs w:val="22"/>
        </w:rPr>
        <w:t>Keys to Literacy</w:t>
      </w:r>
      <w:r>
        <w:rPr>
          <w:sz w:val="22"/>
          <w:szCs w:val="22"/>
        </w:rPr>
        <w:t xml:space="preserve"> workshops offer training in reading comprehension and explicit vocabulary development strategies.</w:t>
      </w:r>
      <w:r w:rsidR="00F45124">
        <w:rPr>
          <w:sz w:val="22"/>
          <w:szCs w:val="22"/>
        </w:rPr>
        <w:t xml:space="preserve"> </w:t>
      </w:r>
      <w:r w:rsidR="005B6BE5">
        <w:rPr>
          <w:sz w:val="22"/>
          <w:szCs w:val="22"/>
        </w:rPr>
        <w:t>At</w:t>
      </w:r>
      <w:r w:rsidR="00F45124">
        <w:rPr>
          <w:sz w:val="22"/>
          <w:szCs w:val="22"/>
        </w:rPr>
        <w:t xml:space="preserve"> t</w:t>
      </w:r>
      <w:r>
        <w:rPr>
          <w:sz w:val="22"/>
          <w:szCs w:val="22"/>
        </w:rPr>
        <w:t xml:space="preserve">he August 2016 administrative team </w:t>
      </w:r>
      <w:r w:rsidR="005B6BE5">
        <w:rPr>
          <w:sz w:val="22"/>
          <w:szCs w:val="22"/>
        </w:rPr>
        <w:t xml:space="preserve">meeting, </w:t>
      </w:r>
      <w:r>
        <w:rPr>
          <w:sz w:val="22"/>
          <w:szCs w:val="22"/>
        </w:rPr>
        <w:t>professional development focused on balanced literacy.</w:t>
      </w:r>
    </w:p>
    <w:p w:rsidR="007009FF" w:rsidRPr="00904A38" w:rsidRDefault="007009FF" w:rsidP="007009FF">
      <w:pPr>
        <w:pStyle w:val="CommentText"/>
        <w:spacing w:line="276" w:lineRule="auto"/>
        <w:rPr>
          <w:sz w:val="22"/>
          <w:szCs w:val="22"/>
        </w:rPr>
      </w:pPr>
      <w:r w:rsidRPr="0096553B">
        <w:rPr>
          <w:sz w:val="22"/>
          <w:szCs w:val="22"/>
        </w:rPr>
        <w:t xml:space="preserve">The </w:t>
      </w:r>
      <w:r>
        <w:rPr>
          <w:sz w:val="22"/>
          <w:szCs w:val="22"/>
        </w:rPr>
        <w:t xml:space="preserve">review </w:t>
      </w:r>
      <w:r w:rsidRPr="0096553B">
        <w:rPr>
          <w:sz w:val="22"/>
          <w:szCs w:val="22"/>
        </w:rPr>
        <w:t>team observed 249 classes</w:t>
      </w:r>
      <w:r>
        <w:rPr>
          <w:sz w:val="22"/>
          <w:szCs w:val="22"/>
        </w:rPr>
        <w:t xml:space="preserve"> in 35</w:t>
      </w:r>
      <w:r w:rsidRPr="0096553B">
        <w:rPr>
          <w:sz w:val="22"/>
          <w:szCs w:val="22"/>
        </w:rPr>
        <w:t xml:space="preserve"> of the 44 </w:t>
      </w:r>
      <w:r>
        <w:rPr>
          <w:sz w:val="22"/>
          <w:szCs w:val="22"/>
        </w:rPr>
        <w:t xml:space="preserve">district </w:t>
      </w:r>
      <w:r w:rsidRPr="0096553B">
        <w:rPr>
          <w:sz w:val="22"/>
          <w:szCs w:val="22"/>
        </w:rPr>
        <w:t>schools:</w:t>
      </w:r>
      <w:r>
        <w:rPr>
          <w:sz w:val="22"/>
          <w:szCs w:val="22"/>
        </w:rPr>
        <w:t xml:space="preserve"> </w:t>
      </w:r>
      <w:r w:rsidRPr="0096553B">
        <w:rPr>
          <w:sz w:val="22"/>
          <w:szCs w:val="22"/>
        </w:rPr>
        <w:t xml:space="preserve"> 48 classes in grades 9</w:t>
      </w:r>
      <w:r>
        <w:rPr>
          <w:sz w:val="22"/>
          <w:szCs w:val="22"/>
        </w:rPr>
        <w:t>–</w:t>
      </w:r>
      <w:r w:rsidRPr="0096553B">
        <w:rPr>
          <w:sz w:val="22"/>
          <w:szCs w:val="22"/>
        </w:rPr>
        <w:t>12, 31 classes in grades 7</w:t>
      </w:r>
      <w:r>
        <w:rPr>
          <w:sz w:val="22"/>
          <w:szCs w:val="22"/>
        </w:rPr>
        <w:t>–</w:t>
      </w:r>
      <w:r w:rsidRPr="0096553B">
        <w:rPr>
          <w:sz w:val="22"/>
          <w:szCs w:val="22"/>
        </w:rPr>
        <w:t xml:space="preserve">8, and 170 classes in </w:t>
      </w:r>
      <w:r>
        <w:rPr>
          <w:sz w:val="22"/>
          <w:szCs w:val="22"/>
        </w:rPr>
        <w:t xml:space="preserve">kindergarten through grade </w:t>
      </w:r>
      <w:r w:rsidRPr="0096553B">
        <w:rPr>
          <w:sz w:val="22"/>
          <w:szCs w:val="22"/>
        </w:rPr>
        <w:t>6.</w:t>
      </w:r>
      <w:r>
        <w:rPr>
          <w:rStyle w:val="FootnoteReference"/>
          <w:sz w:val="22"/>
          <w:szCs w:val="22"/>
        </w:rPr>
        <w:footnoteReference w:id="12"/>
      </w:r>
      <w:r w:rsidRPr="0096553B">
        <w:rPr>
          <w:sz w:val="22"/>
          <w:szCs w:val="22"/>
        </w:rPr>
        <w:t xml:space="preserve">  The team observed 108 ELA classes, 95 mathematics classes, </w:t>
      </w:r>
      <w:r w:rsidRPr="00513BAE">
        <w:rPr>
          <w:sz w:val="22"/>
          <w:szCs w:val="22"/>
        </w:rPr>
        <w:t xml:space="preserve">17 science classes, and 29 classes in other subject areas. </w:t>
      </w:r>
      <w:r w:rsidRPr="0096553B">
        <w:rPr>
          <w:sz w:val="22"/>
          <w:szCs w:val="22"/>
        </w:rPr>
        <w:t xml:space="preserve">Among the classes observed were </w:t>
      </w:r>
      <w:r>
        <w:rPr>
          <w:sz w:val="22"/>
          <w:szCs w:val="22"/>
        </w:rPr>
        <w:t xml:space="preserve">three </w:t>
      </w:r>
      <w:r w:rsidRPr="0096553B">
        <w:rPr>
          <w:sz w:val="22"/>
          <w:szCs w:val="22"/>
        </w:rPr>
        <w:t xml:space="preserve">career/technical education classes. The observations were approximately 20 minutes in length. All review team members collected data using ESE’s </w:t>
      </w:r>
      <w:r>
        <w:rPr>
          <w:sz w:val="22"/>
          <w:szCs w:val="22"/>
        </w:rPr>
        <w:t>I</w:t>
      </w:r>
      <w:r w:rsidRPr="0096553B">
        <w:rPr>
          <w:sz w:val="22"/>
          <w:szCs w:val="22"/>
        </w:rPr>
        <w:t xml:space="preserve">nstructional </w:t>
      </w:r>
      <w:r>
        <w:rPr>
          <w:sz w:val="22"/>
          <w:szCs w:val="22"/>
        </w:rPr>
        <w:t>I</w:t>
      </w:r>
      <w:r w:rsidRPr="0096553B">
        <w:rPr>
          <w:sz w:val="22"/>
          <w:szCs w:val="22"/>
        </w:rPr>
        <w:t>nventory, a tool for recording observed characteristics of standards-based teaching. This data is presented in Appendix C.</w:t>
      </w:r>
    </w:p>
    <w:p w:rsidR="007009FF" w:rsidRDefault="007009FF" w:rsidP="00980095">
      <w:pPr>
        <w:pStyle w:val="CommentText"/>
        <w:spacing w:line="276" w:lineRule="auto"/>
        <w:rPr>
          <w:sz w:val="22"/>
          <w:szCs w:val="22"/>
        </w:rPr>
      </w:pPr>
    </w:p>
    <w:p w:rsidR="00980095" w:rsidRPr="005A294C" w:rsidRDefault="00980095" w:rsidP="00980095">
      <w:pPr>
        <w:pStyle w:val="CommentText"/>
        <w:spacing w:line="276" w:lineRule="auto"/>
        <w:rPr>
          <w:sz w:val="22"/>
          <w:szCs w:val="22"/>
        </w:rPr>
      </w:pPr>
      <w:r w:rsidRPr="005A294C">
        <w:rPr>
          <w:b/>
          <w:sz w:val="28"/>
          <w:szCs w:val="28"/>
        </w:rPr>
        <w:t xml:space="preserve">Strength Finding </w:t>
      </w:r>
    </w:p>
    <w:p w:rsidR="00980095" w:rsidRPr="00F269C1" w:rsidRDefault="00980095" w:rsidP="00980095">
      <w:pPr>
        <w:tabs>
          <w:tab w:val="left" w:pos="360"/>
          <w:tab w:val="left" w:pos="720"/>
          <w:tab w:val="left" w:pos="1080"/>
          <w:tab w:val="left" w:pos="1440"/>
          <w:tab w:val="left" w:pos="1800"/>
          <w:tab w:val="left" w:pos="2160"/>
        </w:tabs>
        <w:ind w:left="360" w:hanging="360"/>
        <w:rPr>
          <w:b/>
          <w:i/>
        </w:rPr>
      </w:pPr>
      <w:r>
        <w:rPr>
          <w:b/>
        </w:rPr>
        <w:t xml:space="preserve">1. </w:t>
      </w:r>
      <w:r w:rsidR="005442EF">
        <w:rPr>
          <w:b/>
        </w:rPr>
        <w:tab/>
        <w:t>The district has initiated several</w:t>
      </w:r>
      <w:r>
        <w:rPr>
          <w:b/>
        </w:rPr>
        <w:t xml:space="preserve"> promising practices to more consistently coordinate and support improvement efforts in curriculum and instruction. </w:t>
      </w:r>
    </w:p>
    <w:p w:rsidR="00980095" w:rsidRPr="007D664F" w:rsidRDefault="002C0DB3" w:rsidP="00386849">
      <w:pPr>
        <w:pStyle w:val="ListParagraph"/>
        <w:numPr>
          <w:ilvl w:val="1"/>
          <w:numId w:val="8"/>
        </w:numPr>
        <w:tabs>
          <w:tab w:val="left" w:pos="360"/>
          <w:tab w:val="left" w:pos="720"/>
          <w:tab w:val="left" w:pos="1080"/>
          <w:tab w:val="left" w:pos="1440"/>
          <w:tab w:val="left" w:pos="1800"/>
          <w:tab w:val="left" w:pos="2160"/>
        </w:tabs>
        <w:ind w:left="720"/>
        <w:contextualSpacing w:val="0"/>
        <w:rPr>
          <w:i/>
        </w:rPr>
      </w:pPr>
      <w:r>
        <w:t xml:space="preserve">Interviews and a document review indicated that </w:t>
      </w:r>
      <w:r w:rsidR="00980095" w:rsidRPr="007D664F">
        <w:t>a</w:t>
      </w:r>
      <w:r w:rsidR="00980095">
        <w:t xml:space="preserve"> new</w:t>
      </w:r>
      <w:r w:rsidR="00980095" w:rsidRPr="007D664F">
        <w:t xml:space="preserve"> d</w:t>
      </w:r>
      <w:r w:rsidR="005442EF">
        <w:t>istrict</w:t>
      </w:r>
      <w:r w:rsidR="00980095" w:rsidRPr="007D664F">
        <w:t xml:space="preserve">wide </w:t>
      </w:r>
      <w:r w:rsidR="005442EF">
        <w:t>position, the manager of curriculum and l</w:t>
      </w:r>
      <w:r w:rsidR="00980095">
        <w:t>earning</w:t>
      </w:r>
      <w:r>
        <w:t xml:space="preserve">, </w:t>
      </w:r>
      <w:r w:rsidR="00980095" w:rsidRPr="007D664F">
        <w:t>supports teachers and school administrators in all aspects of teaching and</w:t>
      </w:r>
      <w:r w:rsidR="00980095">
        <w:t xml:space="preserve"> learning by level and content and works closely with the three </w:t>
      </w:r>
      <w:r w:rsidR="005442EF">
        <w:t>m</w:t>
      </w:r>
      <w:r w:rsidR="00980095">
        <w:t xml:space="preserve">anagers </w:t>
      </w:r>
      <w:r w:rsidR="005442EF">
        <w:t>of i</w:t>
      </w:r>
      <w:r w:rsidR="00980095">
        <w:t xml:space="preserve">nstruction and </w:t>
      </w:r>
      <w:r w:rsidR="005442EF">
        <w:t>school l</w:t>
      </w:r>
      <w:r w:rsidR="00980095">
        <w:t xml:space="preserve">eadership to support school improvement. </w:t>
      </w:r>
    </w:p>
    <w:p w:rsidR="00C613E4" w:rsidRPr="00C613E4" w:rsidRDefault="00980095" w:rsidP="00386849">
      <w:pPr>
        <w:pStyle w:val="ListParagraph"/>
        <w:numPr>
          <w:ilvl w:val="2"/>
          <w:numId w:val="8"/>
        </w:numPr>
        <w:tabs>
          <w:tab w:val="left" w:pos="360"/>
          <w:tab w:val="left" w:pos="720"/>
          <w:tab w:val="left" w:pos="1080"/>
          <w:tab w:val="left" w:pos="1440"/>
          <w:tab w:val="left" w:pos="1800"/>
          <w:tab w:val="left" w:pos="2160"/>
        </w:tabs>
        <w:ind w:left="1080"/>
        <w:contextualSpacing w:val="0"/>
        <w:rPr>
          <w:b/>
          <w:i/>
        </w:rPr>
      </w:pPr>
      <w:r>
        <w:t xml:space="preserve">District </w:t>
      </w:r>
      <w:r w:rsidR="005442EF">
        <w:t xml:space="preserve">administrators </w:t>
      </w:r>
      <w:r w:rsidR="002C0DB3">
        <w:t xml:space="preserve">said </w:t>
      </w:r>
      <w:r w:rsidR="005442EF">
        <w:t>that the manager of curriculum and l</w:t>
      </w:r>
      <w:r>
        <w:t>earnin</w:t>
      </w:r>
      <w:r w:rsidR="005442EF">
        <w:t>g is responsible for the oversight</w:t>
      </w:r>
      <w:r>
        <w:t xml:space="preserve"> of </w:t>
      </w:r>
      <w:r w:rsidR="009D3B38">
        <w:t xml:space="preserve">districtwide </w:t>
      </w:r>
      <w:r>
        <w:t>curriculum development, the professional development program</w:t>
      </w:r>
      <w:r w:rsidR="002C0DB3">
        <w:t>,</w:t>
      </w:r>
      <w:r>
        <w:t xml:space="preserve"> and additional professional learning opportunities that support the implementation of district initiatives. </w:t>
      </w:r>
    </w:p>
    <w:p w:rsidR="00C613E4" w:rsidRDefault="00C613E4" w:rsidP="00C613E4">
      <w:pPr>
        <w:tabs>
          <w:tab w:val="left" w:pos="360"/>
          <w:tab w:val="left" w:pos="720"/>
          <w:tab w:val="left" w:pos="1080"/>
          <w:tab w:val="left" w:pos="1440"/>
          <w:tab w:val="left" w:pos="1800"/>
          <w:tab w:val="left" w:pos="2160"/>
        </w:tabs>
        <w:ind w:left="1440" w:hanging="720"/>
      </w:pPr>
      <w:r>
        <w:tab/>
        <w:t>a.</w:t>
      </w:r>
      <w:r>
        <w:tab/>
      </w:r>
      <w:r w:rsidR="00980095">
        <w:t xml:space="preserve">The manager works closely and collaboratively with the </w:t>
      </w:r>
      <w:r w:rsidR="0014647A">
        <w:t xml:space="preserve">managers of </w:t>
      </w:r>
      <w:r w:rsidR="00980095">
        <w:t>instruction and school leadership to e</w:t>
      </w:r>
      <w:r w:rsidR="005442EF">
        <w:t>nsure that efforts are targeted and</w:t>
      </w:r>
      <w:r w:rsidR="00980095">
        <w:t xml:space="preserve"> coordinated</w:t>
      </w:r>
      <w:r w:rsidR="005442EF">
        <w:t xml:space="preserve">.  </w:t>
      </w:r>
    </w:p>
    <w:p w:rsidR="00980095" w:rsidRPr="00C613E4" w:rsidRDefault="00C613E4" w:rsidP="00C613E4">
      <w:pPr>
        <w:tabs>
          <w:tab w:val="left" w:pos="360"/>
          <w:tab w:val="left" w:pos="720"/>
          <w:tab w:val="left" w:pos="1080"/>
          <w:tab w:val="left" w:pos="1440"/>
          <w:tab w:val="left" w:pos="1800"/>
          <w:tab w:val="left" w:pos="2160"/>
        </w:tabs>
        <w:ind w:left="1440" w:hanging="720"/>
        <w:rPr>
          <w:b/>
          <w:i/>
        </w:rPr>
      </w:pPr>
      <w:r>
        <w:tab/>
        <w:t>b.</w:t>
      </w:r>
      <w:r>
        <w:tab/>
      </w:r>
      <w:r w:rsidR="005442EF">
        <w:t xml:space="preserve">The manager </w:t>
      </w:r>
      <w:r w:rsidR="0014647A">
        <w:t xml:space="preserve">of curriculum and learning </w:t>
      </w:r>
      <w:r w:rsidR="009D3B38">
        <w:t>also has responsibility to use</w:t>
      </w:r>
      <w:r w:rsidR="005442EF">
        <w:t xml:space="preserve"> </w:t>
      </w:r>
      <w:r w:rsidR="00980095">
        <w:t>resources (time, personnel, professional development</w:t>
      </w:r>
      <w:r w:rsidR="0014647A">
        <w:t>,</w:t>
      </w:r>
      <w:r w:rsidR="00980095">
        <w:t xml:space="preserve"> and funding) strategically to support district improvement efforts in curriculum and instruction.</w:t>
      </w:r>
    </w:p>
    <w:p w:rsidR="00BA43E6" w:rsidRPr="00BA43E6" w:rsidRDefault="00980095" w:rsidP="00BA43E6">
      <w:pPr>
        <w:pStyle w:val="ListParagraph"/>
        <w:numPr>
          <w:ilvl w:val="2"/>
          <w:numId w:val="8"/>
        </w:numPr>
        <w:tabs>
          <w:tab w:val="left" w:pos="360"/>
          <w:tab w:val="left" w:pos="720"/>
          <w:tab w:val="left" w:pos="1080"/>
          <w:tab w:val="left" w:pos="1440"/>
          <w:tab w:val="left" w:pos="1800"/>
          <w:tab w:val="left" w:pos="2160"/>
        </w:tabs>
        <w:ind w:left="1080"/>
        <w:contextualSpacing w:val="0"/>
        <w:rPr>
          <w:b/>
          <w:i/>
        </w:rPr>
      </w:pPr>
      <w:r>
        <w:lastRenderedPageBreak/>
        <w:t xml:space="preserve">Administrators </w:t>
      </w:r>
      <w:r w:rsidR="002C0DB3">
        <w:t xml:space="preserve">stated </w:t>
      </w:r>
      <w:r>
        <w:t xml:space="preserve">that the </w:t>
      </w:r>
      <w:r w:rsidRPr="00F50B79">
        <w:t xml:space="preserve">assignment of personnel to these leadership positions was </w:t>
      </w:r>
      <w:r w:rsidR="009D3B38">
        <w:t xml:space="preserve">strategic.  </w:t>
      </w:r>
    </w:p>
    <w:p w:rsidR="00BA43E6" w:rsidRDefault="009B7655" w:rsidP="009B7655">
      <w:pPr>
        <w:tabs>
          <w:tab w:val="left" w:pos="360"/>
          <w:tab w:val="left" w:pos="720"/>
          <w:tab w:val="left" w:pos="1080"/>
          <w:tab w:val="left" w:pos="1440"/>
          <w:tab w:val="left" w:pos="1800"/>
          <w:tab w:val="left" w:pos="2160"/>
        </w:tabs>
        <w:ind w:left="1440" w:hanging="1440"/>
      </w:pPr>
      <w:r>
        <w:tab/>
      </w:r>
      <w:r>
        <w:tab/>
      </w:r>
      <w:r>
        <w:tab/>
        <w:t>a.</w:t>
      </w:r>
      <w:r>
        <w:tab/>
      </w:r>
      <w:r w:rsidR="009D3B38">
        <w:t>The m</w:t>
      </w:r>
      <w:r w:rsidR="00980095" w:rsidRPr="00F50B79">
        <w:t xml:space="preserve">anagers </w:t>
      </w:r>
      <w:r w:rsidR="0014647A">
        <w:t xml:space="preserve">of instruction and school leadership </w:t>
      </w:r>
      <w:r w:rsidR="00980095" w:rsidRPr="00F50B79">
        <w:t xml:space="preserve">are former school administrators who understand district systems as well as the responsibilities </w:t>
      </w:r>
      <w:r w:rsidR="005B6BE5">
        <w:t xml:space="preserve">of school administrators </w:t>
      </w:r>
      <w:r w:rsidR="00980095" w:rsidRPr="00F50B79">
        <w:t xml:space="preserve">and </w:t>
      </w:r>
      <w:r w:rsidR="005B6BE5">
        <w:t xml:space="preserve">the </w:t>
      </w:r>
      <w:r w:rsidR="00980095" w:rsidRPr="00F50B79">
        <w:t xml:space="preserve">needs of </w:t>
      </w:r>
      <w:r w:rsidR="002C0DB3">
        <w:t>schools</w:t>
      </w:r>
      <w:r w:rsidR="00980095" w:rsidRPr="00F50B79">
        <w:t xml:space="preserve">.  </w:t>
      </w:r>
    </w:p>
    <w:p w:rsidR="00980095" w:rsidRPr="009B7655" w:rsidRDefault="009B7655" w:rsidP="009B7655">
      <w:pPr>
        <w:tabs>
          <w:tab w:val="left" w:pos="360"/>
          <w:tab w:val="left" w:pos="720"/>
          <w:tab w:val="left" w:pos="1080"/>
          <w:tab w:val="left" w:pos="1440"/>
          <w:tab w:val="left" w:pos="1800"/>
          <w:tab w:val="left" w:pos="2160"/>
          <w:tab w:val="left" w:pos="2880"/>
        </w:tabs>
        <w:ind w:left="1440" w:hanging="1440"/>
        <w:rPr>
          <w:b/>
          <w:i/>
        </w:rPr>
      </w:pPr>
      <w:r>
        <w:tab/>
      </w:r>
      <w:r>
        <w:tab/>
      </w:r>
      <w:r>
        <w:tab/>
        <w:t>b.</w:t>
      </w:r>
      <w:r>
        <w:tab/>
      </w:r>
      <w:r w:rsidR="00980095" w:rsidRPr="00F50B79">
        <w:t xml:space="preserve">Principals expressed appreciation for these positions and reported that </w:t>
      </w:r>
      <w:r w:rsidR="0014647A">
        <w:t xml:space="preserve">these </w:t>
      </w:r>
      <w:r w:rsidR="00980095" w:rsidRPr="00F50B79">
        <w:t>managers are providing them consistent and focused support aligned with school and district improvement goals.</w:t>
      </w:r>
    </w:p>
    <w:p w:rsidR="009D3B38" w:rsidRDefault="002C0DB3" w:rsidP="00386849">
      <w:pPr>
        <w:pStyle w:val="ListParagraph"/>
        <w:numPr>
          <w:ilvl w:val="2"/>
          <w:numId w:val="8"/>
        </w:numPr>
        <w:tabs>
          <w:tab w:val="left" w:pos="0"/>
          <w:tab w:val="left" w:pos="360"/>
          <w:tab w:val="left" w:pos="720"/>
          <w:tab w:val="left" w:pos="1080"/>
          <w:tab w:val="left" w:pos="1440"/>
          <w:tab w:val="left" w:pos="1800"/>
          <w:tab w:val="left" w:pos="2160"/>
        </w:tabs>
        <w:ind w:left="1080"/>
        <w:contextualSpacing w:val="0"/>
      </w:pPr>
      <w:r>
        <w:t>T</w:t>
      </w:r>
      <w:r w:rsidR="009D3B38">
        <w:t>he manager of curriculum and learning also supervises the academic l</w:t>
      </w:r>
      <w:r w:rsidR="00980095">
        <w:t xml:space="preserve">iaisons (English, </w:t>
      </w:r>
      <w:r w:rsidR="0014647A">
        <w:t>math</w:t>
      </w:r>
      <w:r w:rsidR="00980095">
        <w:t xml:space="preserve">, </w:t>
      </w:r>
      <w:r w:rsidR="0014647A">
        <w:t>science</w:t>
      </w:r>
      <w:r w:rsidR="00980095">
        <w:t xml:space="preserve">, </w:t>
      </w:r>
      <w:r w:rsidR="0014647A">
        <w:t>social studies</w:t>
      </w:r>
      <w:r w:rsidR="00980095">
        <w:t xml:space="preserve">, </w:t>
      </w:r>
      <w:r w:rsidR="0014647A">
        <w:t>visual arts</w:t>
      </w:r>
      <w:r w:rsidR="00980095">
        <w:t xml:space="preserve">, </w:t>
      </w:r>
      <w:r w:rsidR="0014647A">
        <w:t>health</w:t>
      </w:r>
      <w:r w:rsidR="00980095">
        <w:t xml:space="preserve">, </w:t>
      </w:r>
      <w:r w:rsidR="0014647A">
        <w:t>elementary science coach</w:t>
      </w:r>
      <w:r w:rsidR="00980095">
        <w:t xml:space="preserve">, </w:t>
      </w:r>
      <w:r w:rsidR="0014647A">
        <w:t>foreign language</w:t>
      </w:r>
      <w:r w:rsidR="00980095">
        <w:t xml:space="preserve">, </w:t>
      </w:r>
      <w:r w:rsidR="0014647A">
        <w:t>performing arts</w:t>
      </w:r>
      <w:r w:rsidR="00980095">
        <w:t xml:space="preserve">, and </w:t>
      </w:r>
      <w:r w:rsidR="0014647A">
        <w:t>guidance</w:t>
      </w:r>
      <w:r w:rsidR="00980095">
        <w:t>)</w:t>
      </w:r>
      <w:r w:rsidR="009D3B38">
        <w:t>.</w:t>
      </w:r>
      <w:r w:rsidR="00980095">
        <w:t xml:space="preserve"> </w:t>
      </w:r>
    </w:p>
    <w:p w:rsidR="009D3B38" w:rsidRDefault="00980095" w:rsidP="00386849">
      <w:pPr>
        <w:pStyle w:val="ListParagraph"/>
        <w:numPr>
          <w:ilvl w:val="3"/>
          <w:numId w:val="8"/>
        </w:numPr>
        <w:tabs>
          <w:tab w:val="left" w:pos="0"/>
          <w:tab w:val="left" w:pos="360"/>
          <w:tab w:val="left" w:pos="720"/>
          <w:tab w:val="left" w:pos="1440"/>
          <w:tab w:val="left" w:pos="1800"/>
          <w:tab w:val="left" w:pos="2160"/>
        </w:tabs>
        <w:ind w:left="1440"/>
        <w:contextualSpacing w:val="0"/>
      </w:pPr>
      <w:r>
        <w:t xml:space="preserve">Administrators reported that </w:t>
      </w:r>
      <w:r w:rsidR="0014647A">
        <w:t xml:space="preserve">academic </w:t>
      </w:r>
      <w:r>
        <w:t xml:space="preserve">liaisons support schools and school-based instructional coaches and meet regularly with managers to coordinate school and district efforts. </w:t>
      </w:r>
    </w:p>
    <w:p w:rsidR="009B7655" w:rsidRDefault="0014647A" w:rsidP="00386849">
      <w:pPr>
        <w:pStyle w:val="ListParagraph"/>
        <w:numPr>
          <w:ilvl w:val="3"/>
          <w:numId w:val="8"/>
        </w:numPr>
        <w:tabs>
          <w:tab w:val="left" w:pos="0"/>
          <w:tab w:val="left" w:pos="360"/>
          <w:tab w:val="left" w:pos="720"/>
          <w:tab w:val="left" w:pos="1440"/>
          <w:tab w:val="left" w:pos="1800"/>
          <w:tab w:val="left" w:pos="2160"/>
        </w:tabs>
        <w:ind w:left="1440"/>
        <w:contextualSpacing w:val="0"/>
      </w:pPr>
      <w:r>
        <w:t xml:space="preserve">Academic liaisons </w:t>
      </w:r>
      <w:r w:rsidR="00980095">
        <w:t xml:space="preserve">also participate in </w:t>
      </w:r>
      <w:r>
        <w:t xml:space="preserve">Professional Learning Community </w:t>
      </w:r>
      <w:r w:rsidR="009D3B38">
        <w:t>meetings</w:t>
      </w:r>
      <w:r w:rsidR="00980095">
        <w:t xml:space="preserve"> (PLC</w:t>
      </w:r>
      <w:r w:rsidR="009D3B38">
        <w:t xml:space="preserve">s) and Instructional </w:t>
      </w:r>
      <w:r w:rsidR="00980095">
        <w:t>Leadership</w:t>
      </w:r>
      <w:r w:rsidR="009D3B38">
        <w:t xml:space="preserve"> Team</w:t>
      </w:r>
      <w:r w:rsidR="00980095">
        <w:t xml:space="preserve"> (ILT) meetings, assist in </w:t>
      </w:r>
      <w:r w:rsidR="009D3B38">
        <w:t>the development of common grade-</w:t>
      </w:r>
      <w:r w:rsidR="00980095">
        <w:t xml:space="preserve">level assessments, </w:t>
      </w:r>
      <w:r w:rsidR="005B6BE5">
        <w:t xml:space="preserve">tease apart </w:t>
      </w:r>
      <w:r w:rsidR="00980095">
        <w:t xml:space="preserve"> standards with teachers for deeper understanding of teaching and learning expectations, facilitate school-based data analysis, and support teachers in the implementation of new instructional resources and/or expectations. </w:t>
      </w:r>
    </w:p>
    <w:p w:rsidR="00980095" w:rsidRPr="00AA6C31" w:rsidRDefault="009B7655" w:rsidP="009B7655">
      <w:pPr>
        <w:tabs>
          <w:tab w:val="left" w:pos="0"/>
          <w:tab w:val="left" w:pos="360"/>
          <w:tab w:val="left" w:pos="720"/>
          <w:tab w:val="left" w:pos="1440"/>
          <w:tab w:val="left" w:pos="1800"/>
          <w:tab w:val="left" w:pos="2160"/>
        </w:tabs>
        <w:ind w:left="1440" w:hanging="360"/>
      </w:pPr>
      <w:r>
        <w:t>c.</w:t>
      </w:r>
      <w:r>
        <w:tab/>
      </w:r>
      <w:r w:rsidR="0014647A">
        <w:t xml:space="preserve">Academic liaisons </w:t>
      </w:r>
      <w:r w:rsidR="00980095">
        <w:t>also provide</w:t>
      </w:r>
      <w:r w:rsidR="002C0DB3">
        <w:t xml:space="preserve"> </w:t>
      </w:r>
      <w:r w:rsidR="00980095">
        <w:t>specific classroom support such as lesson planning and modeling.</w:t>
      </w:r>
    </w:p>
    <w:p w:rsidR="00980095" w:rsidRPr="0063280A" w:rsidRDefault="009D3B38" w:rsidP="00386849">
      <w:pPr>
        <w:pStyle w:val="ListParagraph"/>
        <w:numPr>
          <w:ilvl w:val="2"/>
          <w:numId w:val="8"/>
        </w:numPr>
        <w:tabs>
          <w:tab w:val="left" w:pos="360"/>
          <w:tab w:val="left" w:pos="720"/>
          <w:tab w:val="left" w:pos="1080"/>
          <w:tab w:val="left" w:pos="1440"/>
          <w:tab w:val="left" w:pos="1800"/>
          <w:tab w:val="left" w:pos="2160"/>
        </w:tabs>
        <w:ind w:left="1080"/>
        <w:contextualSpacing w:val="0"/>
        <w:rPr>
          <w:b/>
          <w:i/>
        </w:rPr>
      </w:pPr>
      <w:r>
        <w:t xml:space="preserve">The </w:t>
      </w:r>
      <w:r w:rsidR="0014647A">
        <w:t xml:space="preserve">manager of curriculum and learning </w:t>
      </w:r>
      <w:r>
        <w:t>assigns i</w:t>
      </w:r>
      <w:r w:rsidR="00980095">
        <w:t>nstructional coaches, including ELL coaches,</w:t>
      </w:r>
      <w:r>
        <w:t xml:space="preserve"> as resources to each school to</w:t>
      </w:r>
      <w:r w:rsidR="00980095">
        <w:t xml:space="preserve"> provide instructional support </w:t>
      </w:r>
      <w:r>
        <w:t xml:space="preserve">and </w:t>
      </w:r>
      <w:r w:rsidR="00980095">
        <w:t xml:space="preserve">to help teachers meet the needs of students. </w:t>
      </w:r>
    </w:p>
    <w:p w:rsidR="00980095" w:rsidRPr="00D17C06" w:rsidRDefault="00980095" w:rsidP="00386849">
      <w:pPr>
        <w:pStyle w:val="ListParagraph"/>
        <w:numPr>
          <w:ilvl w:val="1"/>
          <w:numId w:val="8"/>
        </w:numPr>
        <w:tabs>
          <w:tab w:val="left" w:pos="0"/>
          <w:tab w:val="left" w:pos="360"/>
          <w:tab w:val="left" w:pos="1080"/>
          <w:tab w:val="left" w:pos="1800"/>
          <w:tab w:val="left" w:pos="2160"/>
        </w:tabs>
        <w:ind w:left="720"/>
        <w:contextualSpacing w:val="0"/>
      </w:pPr>
      <w:r w:rsidRPr="00D17C06">
        <w:t>The district has recently established and is implementing a comprehensive</w:t>
      </w:r>
      <w:r w:rsidR="00170225" w:rsidRPr="00D17C06">
        <w:t xml:space="preserve">, </w:t>
      </w:r>
      <w:r w:rsidRPr="00D17C06">
        <w:t>inclusive</w:t>
      </w:r>
      <w:r w:rsidR="00B64CD6">
        <w:t>,</w:t>
      </w:r>
      <w:r w:rsidR="00170225" w:rsidRPr="00D17C06">
        <w:t xml:space="preserve"> and systematic</w:t>
      </w:r>
      <w:r w:rsidRPr="00D17C06">
        <w:t xml:space="preserve"> process for the ongoing review and revision of curricula and the use of research-based tools to support this work. </w:t>
      </w:r>
    </w:p>
    <w:p w:rsidR="00980095" w:rsidRDefault="009D3B38" w:rsidP="00386849">
      <w:pPr>
        <w:pStyle w:val="ListParagraph"/>
        <w:numPr>
          <w:ilvl w:val="2"/>
          <w:numId w:val="9"/>
        </w:numPr>
        <w:tabs>
          <w:tab w:val="left" w:pos="360"/>
          <w:tab w:val="left" w:pos="720"/>
          <w:tab w:val="left" w:pos="1080"/>
          <w:tab w:val="left" w:pos="1440"/>
          <w:tab w:val="left" w:pos="1800"/>
          <w:tab w:val="left" w:pos="2160"/>
        </w:tabs>
        <w:ind w:left="1080"/>
        <w:contextualSpacing w:val="0"/>
      </w:pPr>
      <w:r>
        <w:t>The manager of curriculum and l</w:t>
      </w:r>
      <w:r w:rsidR="00980095">
        <w:t xml:space="preserve">earning is responsible for developing a three-year plan for curriculum development and the management of related professional learning opportunities to support this work. </w:t>
      </w:r>
      <w:r>
        <w:t>O</w:t>
      </w:r>
      <w:r w:rsidR="00980095">
        <w:t xml:space="preserve">ther central office managers and </w:t>
      </w:r>
      <w:r w:rsidR="00756411">
        <w:t xml:space="preserve">academic </w:t>
      </w:r>
      <w:r w:rsidR="00980095">
        <w:t>liaisons</w:t>
      </w:r>
      <w:r>
        <w:t xml:space="preserve"> provide input to the plan’s development</w:t>
      </w:r>
      <w:r w:rsidR="00980095">
        <w:t>.</w:t>
      </w:r>
    </w:p>
    <w:p w:rsidR="00980095" w:rsidRDefault="005B6BE5" w:rsidP="00386849">
      <w:pPr>
        <w:pStyle w:val="ListParagraph"/>
        <w:numPr>
          <w:ilvl w:val="2"/>
          <w:numId w:val="9"/>
        </w:numPr>
        <w:tabs>
          <w:tab w:val="left" w:pos="360"/>
          <w:tab w:val="left" w:pos="720"/>
          <w:tab w:val="left" w:pos="1080"/>
          <w:tab w:val="left" w:pos="1440"/>
          <w:tab w:val="left" w:pos="1800"/>
          <w:tab w:val="left" w:pos="2160"/>
        </w:tabs>
        <w:ind w:left="1080"/>
        <w:contextualSpacing w:val="0"/>
      </w:pPr>
      <w:r>
        <w:t xml:space="preserve">At the time of the onsite in January 2017, the three-year plan was being developed. </w:t>
      </w:r>
      <w:r w:rsidR="00961FD9">
        <w:t xml:space="preserve">Interviewees said that </w:t>
      </w:r>
      <w:r>
        <w:t xml:space="preserve">once </w:t>
      </w:r>
      <w:r w:rsidR="00980095">
        <w:t xml:space="preserve">the master three-year plan has been shared, </w:t>
      </w:r>
      <w:r w:rsidR="003F2922">
        <w:t xml:space="preserve">academic </w:t>
      </w:r>
      <w:r w:rsidR="00980095">
        <w:t xml:space="preserve">liaisons </w:t>
      </w:r>
      <w:r>
        <w:t xml:space="preserve">will </w:t>
      </w:r>
      <w:r w:rsidR="00980095">
        <w:t>develop one or two-year plans for their content area</w:t>
      </w:r>
      <w:r w:rsidR="009D3B38">
        <w:t>s</w:t>
      </w:r>
      <w:r w:rsidR="00980095">
        <w:t xml:space="preserve"> based o</w:t>
      </w:r>
      <w:r w:rsidR="009D3B38">
        <w:t xml:space="preserve">n the tasks </w:t>
      </w:r>
      <w:r w:rsidR="00980095">
        <w:t xml:space="preserve">outlined for completion.  </w:t>
      </w:r>
    </w:p>
    <w:p w:rsidR="00980095" w:rsidRDefault="00756411" w:rsidP="00386849">
      <w:pPr>
        <w:pStyle w:val="ListParagraph"/>
        <w:numPr>
          <w:ilvl w:val="3"/>
          <w:numId w:val="9"/>
        </w:numPr>
        <w:tabs>
          <w:tab w:val="left" w:pos="360"/>
          <w:tab w:val="left" w:pos="720"/>
          <w:tab w:val="left" w:pos="1440"/>
          <w:tab w:val="left" w:pos="1800"/>
          <w:tab w:val="left" w:pos="2160"/>
        </w:tabs>
        <w:ind w:left="1440"/>
        <w:contextualSpacing w:val="0"/>
      </w:pPr>
      <w:r>
        <w:lastRenderedPageBreak/>
        <w:t xml:space="preserve">Academic </w:t>
      </w:r>
      <w:r w:rsidR="00980095">
        <w:t>liaisons are responsible for sequencing stat</w:t>
      </w:r>
      <w:r w:rsidR="009D3B38">
        <w:t>e standards and lead the follow-</w:t>
      </w:r>
      <w:r w:rsidR="00980095">
        <w:t xml:space="preserve">up work in schools by collaborating with teachers and department heads to </w:t>
      </w:r>
      <w:r w:rsidR="005B6BE5">
        <w:t>tease apart</w:t>
      </w:r>
      <w:r w:rsidR="00980095">
        <w:t xml:space="preserve"> the standards and translate them into units and lessons.</w:t>
      </w:r>
      <w:r w:rsidR="00980095" w:rsidRPr="00BC1DC0">
        <w:rPr>
          <w:rStyle w:val="FootnoteReference"/>
        </w:rPr>
        <w:t xml:space="preserve"> </w:t>
      </w:r>
    </w:p>
    <w:p w:rsidR="00980095" w:rsidRDefault="00980095" w:rsidP="00386849">
      <w:pPr>
        <w:pStyle w:val="ListParagraph"/>
        <w:numPr>
          <w:ilvl w:val="3"/>
          <w:numId w:val="9"/>
        </w:numPr>
        <w:tabs>
          <w:tab w:val="left" w:pos="360"/>
          <w:tab w:val="left" w:pos="720"/>
          <w:tab w:val="left" w:pos="1440"/>
          <w:tab w:val="left" w:pos="1800"/>
          <w:tab w:val="left" w:pos="2160"/>
        </w:tabs>
        <w:ind w:left="1440"/>
        <w:contextualSpacing w:val="0"/>
      </w:pPr>
      <w:r>
        <w:t>Liaisons are also responsible for developing preliminary budgets to support the curriculum work in their content</w:t>
      </w:r>
      <w:r w:rsidR="009D3B38">
        <w:t xml:space="preserve"> areas</w:t>
      </w:r>
      <w:r>
        <w:t xml:space="preserve">.  </w:t>
      </w:r>
    </w:p>
    <w:p w:rsidR="00980095" w:rsidRDefault="00756411" w:rsidP="00386849">
      <w:pPr>
        <w:pStyle w:val="ListParagraph"/>
        <w:numPr>
          <w:ilvl w:val="3"/>
          <w:numId w:val="9"/>
        </w:numPr>
        <w:tabs>
          <w:tab w:val="left" w:pos="360"/>
          <w:tab w:val="left" w:pos="720"/>
          <w:tab w:val="left" w:pos="1440"/>
          <w:tab w:val="left" w:pos="1800"/>
          <w:tab w:val="left" w:pos="2160"/>
        </w:tabs>
        <w:ind w:left="1440"/>
        <w:contextualSpacing w:val="0"/>
      </w:pPr>
      <w:r>
        <w:t xml:space="preserve">Academic liaisons </w:t>
      </w:r>
      <w:r w:rsidR="00980095">
        <w:t xml:space="preserve">also maintain lines of communication with </w:t>
      </w:r>
      <w:r w:rsidR="002C0DB3">
        <w:t xml:space="preserve">school </w:t>
      </w:r>
      <w:r w:rsidR="00980095">
        <w:t xml:space="preserve">administrators through monthly newsletters that share curriculum updates, reminders of </w:t>
      </w:r>
      <w:r w:rsidR="002C0DB3">
        <w:t>task-</w:t>
      </w:r>
      <w:r w:rsidR="00980095">
        <w:t xml:space="preserve">due dates, and professional resources/links. </w:t>
      </w:r>
    </w:p>
    <w:p w:rsidR="00980095" w:rsidRDefault="00980095" w:rsidP="00386849">
      <w:pPr>
        <w:pStyle w:val="ListParagraph"/>
        <w:numPr>
          <w:ilvl w:val="2"/>
          <w:numId w:val="9"/>
        </w:numPr>
        <w:tabs>
          <w:tab w:val="left" w:pos="360"/>
          <w:tab w:val="left" w:pos="720"/>
          <w:tab w:val="left" w:pos="1080"/>
          <w:tab w:val="left" w:pos="1440"/>
          <w:tab w:val="left" w:pos="1800"/>
          <w:tab w:val="left" w:pos="2160"/>
        </w:tabs>
        <w:ind w:left="1080"/>
        <w:contextualSpacing w:val="0"/>
      </w:pPr>
      <w:r>
        <w:t xml:space="preserve">Teachers are encouraged to participate in all curriculum work.  </w:t>
      </w:r>
      <w:r w:rsidR="00756411">
        <w:t xml:space="preserve">Academic liaisons </w:t>
      </w:r>
      <w:r>
        <w:t>form groups of teachers from various schools and levels to develop the “backbone” of the work. Once this work is completed, teachers are encouraged to upload assessment</w:t>
      </w:r>
      <w:r w:rsidR="00170225">
        <w:t>s</w:t>
      </w:r>
      <w:r>
        <w:t>, activities, and resources to enhance these documents.</w:t>
      </w:r>
    </w:p>
    <w:p w:rsidR="00980095" w:rsidRDefault="00980095" w:rsidP="00386849">
      <w:pPr>
        <w:pStyle w:val="ListParagraph"/>
        <w:numPr>
          <w:ilvl w:val="2"/>
          <w:numId w:val="9"/>
        </w:numPr>
        <w:tabs>
          <w:tab w:val="left" w:pos="360"/>
          <w:tab w:val="left" w:pos="720"/>
          <w:tab w:val="left" w:pos="1080"/>
          <w:tab w:val="left" w:pos="1440"/>
          <w:tab w:val="left" w:pos="1800"/>
          <w:tab w:val="left" w:pos="2160"/>
        </w:tabs>
        <w:ind w:left="1080"/>
        <w:contextualSpacing w:val="0"/>
      </w:pPr>
      <w:r>
        <w:t>The district uses a research-based template</w:t>
      </w:r>
      <w:r w:rsidR="00756411">
        <w:t>,</w:t>
      </w:r>
      <w:r>
        <w:t xml:space="preserve"> Understanding by Design (UbD)</w:t>
      </w:r>
      <w:r w:rsidR="00756411">
        <w:t>,</w:t>
      </w:r>
      <w:r>
        <w:t xml:space="preserve"> as the foundation for the development of all curr</w:t>
      </w:r>
      <w:r w:rsidR="00170225">
        <w:t>iculum documents</w:t>
      </w:r>
      <w:r>
        <w:t>. These documents include big ideas, essential questions, standards addressed by unit, vocabulary, assessments, and resources.</w:t>
      </w:r>
    </w:p>
    <w:p w:rsidR="00980095" w:rsidRDefault="00756411" w:rsidP="00386849">
      <w:pPr>
        <w:pStyle w:val="ListParagraph"/>
        <w:numPr>
          <w:ilvl w:val="3"/>
          <w:numId w:val="9"/>
        </w:numPr>
        <w:tabs>
          <w:tab w:val="left" w:pos="360"/>
          <w:tab w:val="left" w:pos="720"/>
          <w:tab w:val="left" w:pos="1440"/>
          <w:tab w:val="left" w:pos="1800"/>
          <w:tab w:val="left" w:pos="2160"/>
        </w:tabs>
        <w:ind w:left="1440"/>
        <w:contextualSpacing w:val="0"/>
      </w:pPr>
      <w:r>
        <w:t xml:space="preserve">Academic liaisons </w:t>
      </w:r>
      <w:r w:rsidR="00980095">
        <w:t xml:space="preserve">and teachers </w:t>
      </w:r>
      <w:r>
        <w:t xml:space="preserve">have </w:t>
      </w:r>
      <w:r w:rsidR="00980095">
        <w:t xml:space="preserve">received four full days of professional development on the use of this template for curriculum and unit design. </w:t>
      </w:r>
    </w:p>
    <w:p w:rsidR="00980095" w:rsidRDefault="00980095" w:rsidP="00386849">
      <w:pPr>
        <w:pStyle w:val="ListParagraph"/>
        <w:numPr>
          <w:ilvl w:val="3"/>
          <w:numId w:val="9"/>
        </w:numPr>
        <w:tabs>
          <w:tab w:val="left" w:pos="360"/>
          <w:tab w:val="left" w:pos="720"/>
          <w:tab w:val="left" w:pos="1440"/>
          <w:tab w:val="left" w:pos="1800"/>
          <w:tab w:val="left" w:pos="2160"/>
        </w:tabs>
        <w:ind w:left="1440"/>
      </w:pPr>
      <w:r w:rsidRPr="00BF56D0">
        <w:t>Teachers use Moodle</w:t>
      </w:r>
      <w:r w:rsidR="00320D7A">
        <w:rPr>
          <w:rStyle w:val="FootnoteReference"/>
        </w:rPr>
        <w:footnoteReference w:id="13"/>
      </w:r>
      <w:r w:rsidRPr="00BF56D0">
        <w:t xml:space="preserve"> or Google docs to create curriculum unit maps and upload them to the district</w:t>
      </w:r>
      <w:r w:rsidR="002C0DB3">
        <w:t>’s</w:t>
      </w:r>
      <w:r w:rsidRPr="00BF56D0">
        <w:t xml:space="preserve"> website. </w:t>
      </w:r>
      <w:r w:rsidR="002C0DB3">
        <w:t>At the time of the onsite, t</w:t>
      </w:r>
      <w:r w:rsidR="002C0DB3" w:rsidRPr="00BF56D0">
        <w:t xml:space="preserve">he </w:t>
      </w:r>
      <w:r w:rsidRPr="00BF56D0">
        <w:t xml:space="preserve">district </w:t>
      </w:r>
      <w:r w:rsidR="002C0DB3">
        <w:t>was</w:t>
      </w:r>
      <w:r w:rsidRPr="00BF56D0">
        <w:t xml:space="preserve"> </w:t>
      </w:r>
      <w:r w:rsidR="002C0DB3" w:rsidRPr="00BF56D0">
        <w:t>negotiati</w:t>
      </w:r>
      <w:r w:rsidR="002C0DB3">
        <w:t>ng</w:t>
      </w:r>
      <w:r w:rsidR="002C0DB3" w:rsidRPr="00BF56D0">
        <w:t xml:space="preserve"> </w:t>
      </w:r>
      <w:r w:rsidRPr="00BF56D0">
        <w:t xml:space="preserve">with Atlas and </w:t>
      </w:r>
      <w:r w:rsidR="00484D76">
        <w:t>planned</w:t>
      </w:r>
      <w:r w:rsidR="002C0DB3">
        <w:t xml:space="preserve"> to</w:t>
      </w:r>
      <w:r w:rsidR="002C0DB3" w:rsidRPr="00BF56D0">
        <w:t xml:space="preserve"> </w:t>
      </w:r>
      <w:r w:rsidRPr="00BF56D0">
        <w:t xml:space="preserve">develop a plan for transferring all </w:t>
      </w:r>
      <w:r w:rsidR="00306BAD">
        <w:t xml:space="preserve">curriculum </w:t>
      </w:r>
      <w:r w:rsidRPr="00BF56D0">
        <w:t xml:space="preserve">documents to </w:t>
      </w:r>
      <w:r w:rsidR="0074294D">
        <w:t>the</w:t>
      </w:r>
      <w:r w:rsidR="0074294D" w:rsidRPr="00BF56D0">
        <w:t xml:space="preserve"> </w:t>
      </w:r>
      <w:r w:rsidR="0074294D">
        <w:t xml:space="preserve">Rubicon Atlas </w:t>
      </w:r>
      <w:r w:rsidRPr="00BF56D0">
        <w:t xml:space="preserve">online platform. </w:t>
      </w:r>
    </w:p>
    <w:p w:rsidR="00D17C06" w:rsidRDefault="00980095" w:rsidP="00980095">
      <w:pPr>
        <w:tabs>
          <w:tab w:val="left" w:pos="360"/>
          <w:tab w:val="left" w:pos="1080"/>
          <w:tab w:val="left" w:pos="1440"/>
          <w:tab w:val="left" w:pos="1800"/>
          <w:tab w:val="left" w:pos="2160"/>
        </w:tabs>
      </w:pPr>
      <w:r w:rsidRPr="004E594D">
        <w:rPr>
          <w:b/>
        </w:rPr>
        <w:t>Impact</w:t>
      </w:r>
      <w:r w:rsidRPr="004E594D">
        <w:t xml:space="preserve">: </w:t>
      </w:r>
      <w:r w:rsidR="002C0DB3">
        <w:t>W</w:t>
      </w:r>
      <w:r>
        <w:t>ell</w:t>
      </w:r>
      <w:r w:rsidR="002C0DB3">
        <w:t>-</w:t>
      </w:r>
      <w:r>
        <w:t xml:space="preserve">defined roles and inclusive structures, processes, and tools to support </w:t>
      </w:r>
      <w:r w:rsidR="002A51F6">
        <w:t xml:space="preserve">curricular </w:t>
      </w:r>
      <w:r>
        <w:t xml:space="preserve">and instructional improvement </w:t>
      </w:r>
      <w:r w:rsidR="002C0DB3">
        <w:t xml:space="preserve">help </w:t>
      </w:r>
      <w:r>
        <w:t xml:space="preserve">ensure that all students have access to a comprehensive curriculum and </w:t>
      </w:r>
      <w:r w:rsidR="002C0DB3">
        <w:t>high-</w:t>
      </w:r>
      <w:r>
        <w:t xml:space="preserve">quality instruction.  Additionally, teachers likely have a clearer sense of content and instructional expectations and the resources available to effectively deliver that curriculum.  </w:t>
      </w:r>
    </w:p>
    <w:p w:rsidR="00CD11BC" w:rsidRDefault="00CD11BC" w:rsidP="00980095">
      <w:pPr>
        <w:tabs>
          <w:tab w:val="left" w:pos="360"/>
          <w:tab w:val="left" w:pos="1080"/>
          <w:tab w:val="left" w:pos="1440"/>
          <w:tab w:val="left" w:pos="1800"/>
          <w:tab w:val="left" w:pos="2160"/>
        </w:tabs>
      </w:pPr>
    </w:p>
    <w:p w:rsidR="00CD11BC" w:rsidRDefault="00CD11BC" w:rsidP="00980095">
      <w:pPr>
        <w:tabs>
          <w:tab w:val="left" w:pos="360"/>
          <w:tab w:val="left" w:pos="1080"/>
          <w:tab w:val="left" w:pos="1440"/>
          <w:tab w:val="left" w:pos="1800"/>
          <w:tab w:val="left" w:pos="2160"/>
        </w:tabs>
      </w:pPr>
    </w:p>
    <w:p w:rsidR="00CD11BC" w:rsidRDefault="00CD11BC" w:rsidP="00980095">
      <w:pPr>
        <w:tabs>
          <w:tab w:val="left" w:pos="360"/>
          <w:tab w:val="left" w:pos="1080"/>
          <w:tab w:val="left" w:pos="1440"/>
          <w:tab w:val="left" w:pos="1800"/>
          <w:tab w:val="left" w:pos="2160"/>
        </w:tabs>
      </w:pPr>
    </w:p>
    <w:p w:rsidR="00CD11BC" w:rsidRDefault="00CD11BC" w:rsidP="00980095">
      <w:pPr>
        <w:tabs>
          <w:tab w:val="left" w:pos="360"/>
          <w:tab w:val="left" w:pos="1080"/>
          <w:tab w:val="left" w:pos="1440"/>
          <w:tab w:val="left" w:pos="1800"/>
          <w:tab w:val="left" w:pos="2160"/>
        </w:tabs>
      </w:pPr>
    </w:p>
    <w:p w:rsidR="00CD11BC" w:rsidRDefault="00CD11BC" w:rsidP="00980095">
      <w:pPr>
        <w:tabs>
          <w:tab w:val="left" w:pos="360"/>
          <w:tab w:val="left" w:pos="1080"/>
          <w:tab w:val="left" w:pos="1440"/>
          <w:tab w:val="left" w:pos="1800"/>
          <w:tab w:val="left" w:pos="2160"/>
        </w:tabs>
        <w:rPr>
          <w:b/>
          <w:sz w:val="28"/>
          <w:szCs w:val="28"/>
        </w:rPr>
      </w:pPr>
    </w:p>
    <w:p w:rsidR="00980095" w:rsidRPr="005A294C" w:rsidRDefault="0047041E" w:rsidP="00980095">
      <w:pPr>
        <w:tabs>
          <w:tab w:val="left" w:pos="360"/>
          <w:tab w:val="left" w:pos="720"/>
          <w:tab w:val="left" w:pos="1080"/>
          <w:tab w:val="left" w:pos="1440"/>
          <w:tab w:val="left" w:pos="1800"/>
          <w:tab w:val="left" w:pos="2160"/>
        </w:tabs>
        <w:rPr>
          <w:b/>
          <w:sz w:val="28"/>
          <w:szCs w:val="28"/>
        </w:rPr>
      </w:pPr>
      <w:r w:rsidRPr="0047041E">
        <w:rPr>
          <w:b/>
          <w:sz w:val="28"/>
          <w:szCs w:val="28"/>
        </w:rPr>
        <w:lastRenderedPageBreak/>
        <w:t>Challenges and Areas for Growth</w:t>
      </w:r>
    </w:p>
    <w:p w:rsidR="00980095" w:rsidRPr="00D17C06" w:rsidRDefault="00D17C06" w:rsidP="00D17C06">
      <w:pPr>
        <w:tabs>
          <w:tab w:val="left" w:pos="360"/>
        </w:tabs>
        <w:ind w:left="360" w:hanging="360"/>
        <w:rPr>
          <w:b/>
          <w:i/>
        </w:rPr>
      </w:pPr>
      <w:r>
        <w:rPr>
          <w:b/>
        </w:rPr>
        <w:t>2.</w:t>
      </w:r>
      <w:r>
        <w:rPr>
          <w:b/>
        </w:rPr>
        <w:tab/>
      </w:r>
      <w:r w:rsidR="00D70825">
        <w:rPr>
          <w:b/>
        </w:rPr>
        <w:t>T</w:t>
      </w:r>
      <w:r w:rsidR="00980095" w:rsidRPr="00D17C06">
        <w:rPr>
          <w:b/>
        </w:rPr>
        <w:t>he district’s K</w:t>
      </w:r>
      <w:r w:rsidR="00BD25DB">
        <w:rPr>
          <w:b/>
        </w:rPr>
        <w:t>–</w:t>
      </w:r>
      <w:r w:rsidR="00980095" w:rsidRPr="00D17C06">
        <w:rPr>
          <w:b/>
        </w:rPr>
        <w:t xml:space="preserve">12 ELA, mathematics, and science curricula are not complete.  </w:t>
      </w:r>
      <w:r w:rsidR="00714E2B">
        <w:rPr>
          <w:b/>
        </w:rPr>
        <w:t>At the time of the onsite visit, the district was</w:t>
      </w:r>
      <w:r w:rsidR="00980095" w:rsidRPr="00D17C06">
        <w:rPr>
          <w:b/>
        </w:rPr>
        <w:t xml:space="preserve"> focused on alignment to the 2011 </w:t>
      </w:r>
      <w:r w:rsidR="00170225" w:rsidRPr="00D17C06">
        <w:rPr>
          <w:b/>
        </w:rPr>
        <w:t xml:space="preserve">Frameworks for </w:t>
      </w:r>
      <w:r w:rsidR="00980095" w:rsidRPr="00D17C06">
        <w:rPr>
          <w:b/>
        </w:rPr>
        <w:t>Eng</w:t>
      </w:r>
      <w:r w:rsidR="00170225" w:rsidRPr="00D17C06">
        <w:rPr>
          <w:b/>
        </w:rPr>
        <w:t>lish Language Arts and Literacy and</w:t>
      </w:r>
      <w:r w:rsidR="00980095" w:rsidRPr="00D17C06">
        <w:rPr>
          <w:b/>
        </w:rPr>
        <w:t xml:space="preserve"> Mathematics and the 2016</w:t>
      </w:r>
      <w:r w:rsidR="00170225" w:rsidRPr="00D17C06">
        <w:rPr>
          <w:b/>
        </w:rPr>
        <w:t xml:space="preserve"> </w:t>
      </w:r>
      <w:r w:rsidR="00980095" w:rsidRPr="00D17C06">
        <w:rPr>
          <w:b/>
        </w:rPr>
        <w:t>Scien</w:t>
      </w:r>
      <w:r w:rsidR="00170225" w:rsidRPr="00D17C06">
        <w:rPr>
          <w:b/>
        </w:rPr>
        <w:t>ce</w:t>
      </w:r>
      <w:r w:rsidR="00270374">
        <w:rPr>
          <w:b/>
        </w:rPr>
        <w:t xml:space="preserve"> and</w:t>
      </w:r>
      <w:r w:rsidR="00170225" w:rsidRPr="00D17C06">
        <w:rPr>
          <w:b/>
        </w:rPr>
        <w:t xml:space="preserve"> Technology</w:t>
      </w:r>
      <w:r w:rsidR="00270374">
        <w:rPr>
          <w:b/>
        </w:rPr>
        <w:t>/</w:t>
      </w:r>
      <w:r w:rsidR="00170225" w:rsidRPr="00D17C06">
        <w:rPr>
          <w:b/>
        </w:rPr>
        <w:t>Engineering</w:t>
      </w:r>
      <w:r w:rsidR="00270374">
        <w:rPr>
          <w:b/>
        </w:rPr>
        <w:t xml:space="preserve"> Framework</w:t>
      </w:r>
      <w:r w:rsidR="00980095" w:rsidRPr="00D17C06">
        <w:rPr>
          <w:b/>
        </w:rPr>
        <w:t>.</w:t>
      </w:r>
    </w:p>
    <w:p w:rsidR="00980095" w:rsidRDefault="00D70825" w:rsidP="00386849">
      <w:pPr>
        <w:pStyle w:val="ListParagraph"/>
        <w:numPr>
          <w:ilvl w:val="1"/>
          <w:numId w:val="16"/>
        </w:numPr>
        <w:tabs>
          <w:tab w:val="left" w:pos="360"/>
          <w:tab w:val="left" w:pos="720"/>
          <w:tab w:val="left" w:pos="1080"/>
          <w:tab w:val="left" w:pos="1440"/>
          <w:tab w:val="left" w:pos="1800"/>
          <w:tab w:val="left" w:pos="2160"/>
        </w:tabs>
        <w:ind w:left="720"/>
        <w:contextualSpacing w:val="0"/>
      </w:pPr>
      <w:r>
        <w:t xml:space="preserve">Interviews and a document </w:t>
      </w:r>
      <w:r w:rsidR="00170225">
        <w:t xml:space="preserve">review </w:t>
      </w:r>
      <w:r>
        <w:t>indicated that</w:t>
      </w:r>
      <w:r w:rsidR="00170225">
        <w:t xml:space="preserve"> s</w:t>
      </w:r>
      <w:r w:rsidR="00980095">
        <w:t xml:space="preserve">cience </w:t>
      </w:r>
      <w:r>
        <w:t>curricula are</w:t>
      </w:r>
      <w:r w:rsidR="00980095">
        <w:t xml:space="preserve"> the most complete.  </w:t>
      </w:r>
      <w:r w:rsidR="00B64CD6">
        <w:t>A</w:t>
      </w:r>
      <w:r w:rsidR="00980095">
        <w:t>dministrators</w:t>
      </w:r>
      <w:r w:rsidR="00C85DEF">
        <w:t xml:space="preserve"> credited this work to the long-</w:t>
      </w:r>
      <w:r w:rsidR="00980095">
        <w:t>standing support of the K</w:t>
      </w:r>
      <w:r w:rsidR="00BD25DB">
        <w:t>–</w:t>
      </w:r>
      <w:r w:rsidR="00980095">
        <w:t xml:space="preserve">6 science coach and </w:t>
      </w:r>
      <w:r w:rsidR="00B64CD6">
        <w:t xml:space="preserve">the </w:t>
      </w:r>
      <w:r w:rsidR="00980095">
        <w:t>K</w:t>
      </w:r>
      <w:r w:rsidR="00BD25DB">
        <w:t>–</w:t>
      </w:r>
      <w:r w:rsidR="00980095">
        <w:t xml:space="preserve">12 science/engineering liaison. </w:t>
      </w:r>
    </w:p>
    <w:p w:rsidR="0047041E" w:rsidRDefault="00CB3330" w:rsidP="0047041E">
      <w:pPr>
        <w:tabs>
          <w:tab w:val="left" w:pos="360"/>
          <w:tab w:val="left" w:pos="720"/>
          <w:tab w:val="left" w:pos="1080"/>
          <w:tab w:val="left" w:pos="1440"/>
          <w:tab w:val="left" w:pos="1800"/>
          <w:tab w:val="left" w:pos="2160"/>
        </w:tabs>
        <w:ind w:left="1080" w:hanging="1080"/>
      </w:pPr>
      <w:r>
        <w:tab/>
      </w:r>
      <w:r>
        <w:tab/>
        <w:t>1.</w:t>
      </w:r>
      <w:r>
        <w:tab/>
      </w:r>
      <w:r w:rsidR="00170225">
        <w:t>The district has completed a</w:t>
      </w:r>
      <w:r w:rsidR="00980095">
        <w:t xml:space="preserve">lignment </w:t>
      </w:r>
      <w:r w:rsidR="00D70825">
        <w:t xml:space="preserve">of the science curriculum </w:t>
      </w:r>
      <w:r w:rsidR="00170225">
        <w:t>to the 2016 Science</w:t>
      </w:r>
      <w:r w:rsidR="00270374">
        <w:t xml:space="preserve"> and </w:t>
      </w:r>
      <w:r w:rsidR="00170225">
        <w:t>Technology</w:t>
      </w:r>
      <w:r w:rsidR="00270374">
        <w:t>/</w:t>
      </w:r>
      <w:r w:rsidR="00170225">
        <w:t xml:space="preserve"> Engineering Framework </w:t>
      </w:r>
      <w:r w:rsidR="00980095">
        <w:t xml:space="preserve">for </w:t>
      </w:r>
      <w:r w:rsidR="009B7655">
        <w:t xml:space="preserve">pre-kindergarten through </w:t>
      </w:r>
      <w:r w:rsidR="00980095">
        <w:t xml:space="preserve">grade 3 and </w:t>
      </w:r>
      <w:r w:rsidR="009B7655">
        <w:t xml:space="preserve">for </w:t>
      </w:r>
      <w:r w:rsidR="00980095">
        <w:t>grade 6</w:t>
      </w:r>
      <w:r w:rsidR="00D70825">
        <w:t>.</w:t>
      </w:r>
      <w:r w:rsidR="006C2701">
        <w:t xml:space="preserve"> </w:t>
      </w:r>
    </w:p>
    <w:p w:rsidR="0047041E" w:rsidRDefault="00CB3330" w:rsidP="0047041E">
      <w:pPr>
        <w:tabs>
          <w:tab w:val="left" w:pos="360"/>
          <w:tab w:val="left" w:pos="720"/>
          <w:tab w:val="left" w:pos="1080"/>
          <w:tab w:val="left" w:pos="1440"/>
          <w:tab w:val="left" w:pos="1800"/>
          <w:tab w:val="left" w:pos="2160"/>
        </w:tabs>
        <w:ind w:left="1080" w:hanging="1080"/>
      </w:pPr>
      <w:r>
        <w:tab/>
      </w:r>
      <w:r w:rsidR="00B95DAC">
        <w:tab/>
      </w:r>
      <w:r>
        <w:t>2.</w:t>
      </w:r>
      <w:r>
        <w:tab/>
      </w:r>
      <w:r w:rsidR="00980095">
        <w:t>When completed, curriculum documents for each grade and course will define grade/course curriculum expectations and include a scope and sequence</w:t>
      </w:r>
      <w:r w:rsidR="006C2701">
        <w:t>, Year-at-</w:t>
      </w:r>
      <w:r w:rsidR="00980095">
        <w:t>a Glance (YaaG)</w:t>
      </w:r>
      <w:r w:rsidR="006C2701">
        <w:t xml:space="preserve"> documents</w:t>
      </w:r>
      <w:r w:rsidR="00980095">
        <w:t xml:space="preserve">, and detailed curriculum maps.  </w:t>
      </w:r>
    </w:p>
    <w:p w:rsidR="0047041E" w:rsidRDefault="00CB3330" w:rsidP="0047041E">
      <w:pPr>
        <w:tabs>
          <w:tab w:val="left" w:pos="360"/>
          <w:tab w:val="left" w:pos="720"/>
          <w:tab w:val="left" w:pos="1080"/>
          <w:tab w:val="left" w:pos="1440"/>
          <w:tab w:val="left" w:pos="1800"/>
          <w:tab w:val="left" w:pos="2160"/>
        </w:tabs>
        <w:ind w:left="1080" w:hanging="1080"/>
      </w:pPr>
      <w:r>
        <w:tab/>
      </w:r>
      <w:r w:rsidR="00B95DAC">
        <w:tab/>
      </w:r>
      <w:r>
        <w:t>3.</w:t>
      </w:r>
      <w:r>
        <w:tab/>
      </w:r>
      <w:r w:rsidR="00D70825">
        <w:t>C</w:t>
      </w:r>
      <w:r w:rsidR="00980095">
        <w:t xml:space="preserve">ommon </w:t>
      </w:r>
      <w:r w:rsidR="006C2701">
        <w:t xml:space="preserve">science </w:t>
      </w:r>
      <w:r w:rsidR="00980095">
        <w:t>assessments for grades 4</w:t>
      </w:r>
      <w:r w:rsidR="00BD25DB">
        <w:t>–</w:t>
      </w:r>
      <w:r w:rsidR="00980095">
        <w:t xml:space="preserve">8 and </w:t>
      </w:r>
      <w:r w:rsidR="00D70825">
        <w:t xml:space="preserve">for </w:t>
      </w:r>
      <w:r w:rsidR="00980095">
        <w:t>biology, chemistry</w:t>
      </w:r>
      <w:r w:rsidR="00D70825">
        <w:t>,</w:t>
      </w:r>
      <w:r w:rsidR="00980095">
        <w:t xml:space="preserve"> and physics courses </w:t>
      </w:r>
      <w:r w:rsidR="006C2701">
        <w:t>are complete</w:t>
      </w:r>
      <w:r w:rsidR="00980095">
        <w:t xml:space="preserve">.  Work has not begun for </w:t>
      </w:r>
      <w:r w:rsidR="009B7655">
        <w:t xml:space="preserve">Pre-K–3 </w:t>
      </w:r>
      <w:r w:rsidR="00D70825">
        <w:t>assessments</w:t>
      </w:r>
      <w:r w:rsidR="00980095">
        <w:t>.</w:t>
      </w:r>
    </w:p>
    <w:p w:rsidR="00980095" w:rsidRDefault="00980095" w:rsidP="00386849">
      <w:pPr>
        <w:pStyle w:val="ListParagraph"/>
        <w:numPr>
          <w:ilvl w:val="1"/>
          <w:numId w:val="16"/>
        </w:numPr>
        <w:tabs>
          <w:tab w:val="left" w:pos="360"/>
          <w:tab w:val="left" w:pos="720"/>
          <w:tab w:val="left" w:pos="1080"/>
          <w:tab w:val="left" w:pos="1440"/>
          <w:tab w:val="left" w:pos="1800"/>
          <w:tab w:val="left" w:pos="2160"/>
        </w:tabs>
        <w:ind w:left="720"/>
        <w:contextualSpacing w:val="0"/>
      </w:pPr>
      <w:r>
        <w:t>A review of ELA doc</w:t>
      </w:r>
      <w:r w:rsidR="006C2701">
        <w:t xml:space="preserve">uments showed </w:t>
      </w:r>
      <w:r>
        <w:t>alignment to the 2011 Framework for English La</w:t>
      </w:r>
      <w:r w:rsidR="006C2701">
        <w:t>nguage Arts and Literacy but ELA curriculum is still</w:t>
      </w:r>
      <w:r>
        <w:t xml:space="preserve"> a work in progress.  </w:t>
      </w:r>
      <w:r w:rsidR="00B64CD6">
        <w:t>T</w:t>
      </w:r>
      <w:r>
        <w:t xml:space="preserve">eachers and administrators </w:t>
      </w:r>
      <w:r w:rsidR="00B64CD6">
        <w:t xml:space="preserve">said </w:t>
      </w:r>
      <w:r>
        <w:t xml:space="preserve">that a six-month vacancy in the ELA liaison position delayed progress on curriculum development and refinement in this content area. </w:t>
      </w:r>
    </w:p>
    <w:p w:rsidR="00980095" w:rsidRPr="005D5BA6" w:rsidRDefault="00980095" w:rsidP="00386849">
      <w:pPr>
        <w:pStyle w:val="ListParagraph"/>
        <w:numPr>
          <w:ilvl w:val="6"/>
          <w:numId w:val="31"/>
        </w:numPr>
        <w:tabs>
          <w:tab w:val="left" w:pos="360"/>
          <w:tab w:val="left" w:pos="720"/>
          <w:tab w:val="left" w:pos="1080"/>
          <w:tab w:val="left" w:pos="1440"/>
          <w:tab w:val="left" w:pos="1800"/>
        </w:tabs>
        <w:ind w:left="1080"/>
        <w:contextualSpacing w:val="0"/>
      </w:pPr>
      <w:r>
        <w:t xml:space="preserve">ELA documents reviewed include a unit curriculum map, scope and sequence, and YaaG for each grade and course.  An additional document, English Language Arts Yearlong Power Standards, references standards from </w:t>
      </w:r>
      <w:r w:rsidR="006C2701">
        <w:t>the 2011 ELA Framework to address</w:t>
      </w:r>
      <w:r>
        <w:t xml:space="preserve"> t</w:t>
      </w:r>
      <w:r w:rsidR="006C2701">
        <w:t xml:space="preserve">hroughout the year. Work on developing common </w:t>
      </w:r>
      <w:r>
        <w:t>asses</w:t>
      </w:r>
      <w:r w:rsidR="006C2701">
        <w:t xml:space="preserve">sments for </w:t>
      </w:r>
      <w:r w:rsidR="009B7655">
        <w:t xml:space="preserve">pre-kindergarten through </w:t>
      </w:r>
      <w:r w:rsidR="006C2701">
        <w:t>grade 12 is complete</w:t>
      </w:r>
      <w:r>
        <w:t>.</w:t>
      </w:r>
      <w:r w:rsidRPr="00C46A41">
        <w:rPr>
          <w:rStyle w:val="FootnoteReference"/>
        </w:rPr>
        <w:t xml:space="preserve"> </w:t>
      </w:r>
      <w:r>
        <w:t xml:space="preserve"> </w:t>
      </w:r>
      <w:r w:rsidR="006C2701">
        <w:t xml:space="preserve">The district is integrating </w:t>
      </w:r>
      <w:r>
        <w:t xml:space="preserve">ESE model curriculum units </w:t>
      </w:r>
      <w:r w:rsidR="006C2701">
        <w:t>into its curriculum for</w:t>
      </w:r>
      <w:r>
        <w:t xml:space="preserve"> two grades per year.</w:t>
      </w:r>
    </w:p>
    <w:p w:rsidR="00980095" w:rsidRDefault="00980095" w:rsidP="00386849">
      <w:pPr>
        <w:pStyle w:val="ListParagraph"/>
        <w:numPr>
          <w:ilvl w:val="6"/>
          <w:numId w:val="31"/>
        </w:numPr>
        <w:tabs>
          <w:tab w:val="left" w:pos="360"/>
          <w:tab w:val="left" w:pos="720"/>
          <w:tab w:val="left" w:pos="1080"/>
          <w:tab w:val="left" w:pos="1440"/>
          <w:tab w:val="left" w:pos="1800"/>
        </w:tabs>
        <w:ind w:left="1080"/>
        <w:contextualSpacing w:val="0"/>
      </w:pPr>
      <w:r>
        <w:t>Scope and sequence documents revie</w:t>
      </w:r>
      <w:r w:rsidR="006C2701">
        <w:t xml:space="preserve">wed are complete for </w:t>
      </w:r>
      <w:r w:rsidR="009B7655">
        <w:t xml:space="preserve">pre-kindergarten through </w:t>
      </w:r>
      <w:r w:rsidR="006C2701">
        <w:t>grade</w:t>
      </w:r>
      <w:r w:rsidR="009B7655">
        <w:t xml:space="preserve"> </w:t>
      </w:r>
      <w:r>
        <w:t xml:space="preserve">8 and high school (English I-IV). YaaG documents are complete for </w:t>
      </w:r>
      <w:r w:rsidR="009B7655">
        <w:t xml:space="preserve">pre-kindergarten through </w:t>
      </w:r>
      <w:r>
        <w:t>grade 8.</w:t>
      </w:r>
      <w:r w:rsidRPr="00412451">
        <w:t xml:space="preserve"> </w:t>
      </w:r>
      <w:r w:rsidRPr="00C46A41">
        <w:t>Curriculum unit maps are a work in progress for all grades and courses.</w:t>
      </w:r>
    </w:p>
    <w:p w:rsidR="00980095" w:rsidRPr="00C46A41" w:rsidRDefault="00980095" w:rsidP="00386849">
      <w:pPr>
        <w:pStyle w:val="ListParagraph"/>
        <w:numPr>
          <w:ilvl w:val="6"/>
          <w:numId w:val="31"/>
        </w:numPr>
        <w:tabs>
          <w:tab w:val="left" w:pos="360"/>
          <w:tab w:val="left" w:pos="720"/>
          <w:tab w:val="left" w:pos="1080"/>
          <w:tab w:val="left" w:pos="1440"/>
          <w:tab w:val="left" w:pos="1800"/>
        </w:tabs>
        <w:ind w:left="1080"/>
        <w:contextualSpacing w:val="0"/>
      </w:pPr>
      <w:r>
        <w:t xml:space="preserve">Administrators </w:t>
      </w:r>
      <w:r w:rsidR="00B64CD6">
        <w:t xml:space="preserve">stated </w:t>
      </w:r>
      <w:r>
        <w:t xml:space="preserve">that core instructional resources for elementary literacy instruction </w:t>
      </w:r>
      <w:r w:rsidR="00B64CD6">
        <w:t xml:space="preserve">vary </w:t>
      </w:r>
      <w:r>
        <w:t xml:space="preserve">by </w:t>
      </w:r>
      <w:r w:rsidR="00B64CD6">
        <w:t>school</w:t>
      </w:r>
      <w:r>
        <w:t>.  Teachers do not have access to common resources to support implementation of the curriculum.</w:t>
      </w:r>
    </w:p>
    <w:p w:rsidR="00980095" w:rsidRDefault="00082026" w:rsidP="00386849">
      <w:pPr>
        <w:pStyle w:val="ListParagraph"/>
        <w:numPr>
          <w:ilvl w:val="0"/>
          <w:numId w:val="31"/>
        </w:numPr>
        <w:tabs>
          <w:tab w:val="left" w:pos="360"/>
          <w:tab w:val="left" w:pos="720"/>
          <w:tab w:val="left" w:pos="1080"/>
          <w:tab w:val="left" w:pos="1440"/>
          <w:tab w:val="left" w:pos="1800"/>
          <w:tab w:val="left" w:pos="2160"/>
        </w:tabs>
        <w:ind w:left="720"/>
        <w:contextualSpacing w:val="0"/>
      </w:pPr>
      <w:r>
        <w:t xml:space="preserve">Interviews and a document review indicated that the </w:t>
      </w:r>
      <w:r w:rsidR="00980095">
        <w:t>mathematics curriculum documents are</w:t>
      </w:r>
      <w:r w:rsidR="006C2701">
        <w:t xml:space="preserve"> the</w:t>
      </w:r>
      <w:r w:rsidR="00980095">
        <w:t xml:space="preserve"> least developed of the three content areas reviewed. </w:t>
      </w:r>
      <w:r w:rsidR="004E3DCD">
        <w:t xml:space="preserve">Teachers and administrators said </w:t>
      </w:r>
      <w:r w:rsidR="00980095">
        <w:t xml:space="preserve">that the math liaison’s position </w:t>
      </w:r>
      <w:r w:rsidR="004E3DCD">
        <w:t xml:space="preserve">was vacant </w:t>
      </w:r>
      <w:r w:rsidR="00980095">
        <w:t xml:space="preserve">for a full school year. </w:t>
      </w:r>
    </w:p>
    <w:p w:rsidR="00980095" w:rsidRPr="00832D5A" w:rsidRDefault="00980095" w:rsidP="00386849">
      <w:pPr>
        <w:pStyle w:val="ListParagraph"/>
        <w:numPr>
          <w:ilvl w:val="6"/>
          <w:numId w:val="31"/>
        </w:numPr>
        <w:tabs>
          <w:tab w:val="left" w:pos="360"/>
          <w:tab w:val="left" w:pos="720"/>
          <w:tab w:val="left" w:pos="1080"/>
          <w:tab w:val="left" w:pos="1440"/>
          <w:tab w:val="left" w:pos="1800"/>
        </w:tabs>
        <w:ind w:left="1080"/>
        <w:contextualSpacing w:val="0"/>
      </w:pPr>
      <w:r>
        <w:lastRenderedPageBreak/>
        <w:t xml:space="preserve">YaaG documents </w:t>
      </w:r>
      <w:r w:rsidR="004E3DCD">
        <w:t xml:space="preserve">are complete </w:t>
      </w:r>
      <w:r>
        <w:t xml:space="preserve">for </w:t>
      </w:r>
      <w:r w:rsidR="009B7655">
        <w:t xml:space="preserve">pre-kindergarten through </w:t>
      </w:r>
      <w:r>
        <w:t xml:space="preserve">grade 8. These documents include year-long focus skills and </w:t>
      </w:r>
      <w:r w:rsidR="009B7655">
        <w:t xml:space="preserve">Framework </w:t>
      </w:r>
      <w:r>
        <w:t xml:space="preserve">standards addressed by unit and term/quarter.  </w:t>
      </w:r>
    </w:p>
    <w:p w:rsidR="00980095" w:rsidRPr="00616B38" w:rsidRDefault="004E3DCD" w:rsidP="00386849">
      <w:pPr>
        <w:pStyle w:val="ListParagraph"/>
        <w:numPr>
          <w:ilvl w:val="6"/>
          <w:numId w:val="31"/>
        </w:numPr>
        <w:tabs>
          <w:tab w:val="left" w:pos="360"/>
          <w:tab w:val="left" w:pos="720"/>
          <w:tab w:val="left" w:pos="1080"/>
          <w:tab w:val="left" w:pos="1440"/>
          <w:tab w:val="left" w:pos="1800"/>
        </w:tabs>
        <w:ind w:left="1080"/>
        <w:contextualSpacing w:val="0"/>
      </w:pPr>
      <w:r>
        <w:t>Pre-</w:t>
      </w:r>
      <w:r w:rsidR="00BD25DB">
        <w:t>K–</w:t>
      </w:r>
      <w:r>
        <w:t xml:space="preserve">6 curriculum </w:t>
      </w:r>
      <w:r w:rsidR="00980095">
        <w:t>unit maps and scope and sequence documents are a work in progress; documents for grades 7</w:t>
      </w:r>
      <w:r w:rsidR="00BD25DB">
        <w:t>–</w:t>
      </w:r>
      <w:r w:rsidR="00980095">
        <w:t>12 are more fully developed</w:t>
      </w:r>
      <w:r w:rsidR="00980095" w:rsidRPr="00616B38">
        <w:t xml:space="preserve">. </w:t>
      </w:r>
    </w:p>
    <w:p w:rsidR="00980095" w:rsidRDefault="00980095" w:rsidP="00386849">
      <w:pPr>
        <w:pStyle w:val="ListParagraph"/>
        <w:numPr>
          <w:ilvl w:val="6"/>
          <w:numId w:val="31"/>
        </w:numPr>
        <w:tabs>
          <w:tab w:val="left" w:pos="360"/>
          <w:tab w:val="left" w:pos="720"/>
          <w:tab w:val="left" w:pos="1080"/>
          <w:tab w:val="left" w:pos="1440"/>
          <w:tab w:val="left" w:pos="1800"/>
        </w:tabs>
        <w:ind w:left="1080"/>
        <w:contextualSpacing w:val="0"/>
      </w:pPr>
      <w:r>
        <w:t>Common assessments for grades 4</w:t>
      </w:r>
      <w:r w:rsidR="00BD25DB">
        <w:t>–</w:t>
      </w:r>
      <w:r>
        <w:t xml:space="preserve">8 and high school courses </w:t>
      </w:r>
      <w:r w:rsidR="006C2701">
        <w:t>assess students’ ability in</w:t>
      </w:r>
      <w:r>
        <w:t xml:space="preserve"> complex thinking, the use of multiple </w:t>
      </w:r>
      <w:r w:rsidR="004E3DCD">
        <w:t>problem-</w:t>
      </w:r>
      <w:r>
        <w:t>solving strategies</w:t>
      </w:r>
      <w:r w:rsidR="004E3DCD">
        <w:t>,</w:t>
      </w:r>
      <w:r>
        <w:t xml:space="preserve"> and the application of mathematic</w:t>
      </w:r>
      <w:r w:rsidR="006C2701">
        <w:t xml:space="preserve">s to solve </w:t>
      </w:r>
      <w:r w:rsidR="004E3DCD">
        <w:t>real-</w:t>
      </w:r>
      <w:r w:rsidR="006C2701">
        <w:t xml:space="preserve">life problems. </w:t>
      </w:r>
      <w:r w:rsidR="00BD25DB" w:rsidRPr="00BD25DB">
        <w:t xml:space="preserve"> </w:t>
      </w:r>
      <w:r w:rsidR="009B7655">
        <w:t>C</w:t>
      </w:r>
      <w:r>
        <w:t xml:space="preserve">ommon assessments for </w:t>
      </w:r>
      <w:r w:rsidR="009B7655">
        <w:t xml:space="preserve">pre-kindergarten through </w:t>
      </w:r>
      <w:r>
        <w:t xml:space="preserve">grade 3 </w:t>
      </w:r>
      <w:r w:rsidR="00615482">
        <w:t>are being developed</w:t>
      </w:r>
      <w:r>
        <w:t>.</w:t>
      </w:r>
    </w:p>
    <w:p w:rsidR="00980095" w:rsidRDefault="00980095" w:rsidP="00980095">
      <w:pPr>
        <w:tabs>
          <w:tab w:val="left" w:pos="360"/>
          <w:tab w:val="left" w:pos="720"/>
          <w:tab w:val="left" w:pos="1080"/>
          <w:tab w:val="left" w:pos="1440"/>
          <w:tab w:val="left" w:pos="1800"/>
          <w:tab w:val="left" w:pos="2160"/>
        </w:tabs>
      </w:pPr>
      <w:r w:rsidRPr="00F731AA">
        <w:rPr>
          <w:b/>
        </w:rPr>
        <w:t>Impact</w:t>
      </w:r>
      <w:r w:rsidRPr="00BA3A76">
        <w:t xml:space="preserve">: </w:t>
      </w:r>
      <w:r w:rsidR="007E1510">
        <w:t xml:space="preserve">Without </w:t>
      </w:r>
      <w:r w:rsidR="007E1510">
        <w:rPr>
          <w:rFonts w:eastAsia="Calibri" w:cs="Calibri"/>
        </w:rPr>
        <w:t>f</w:t>
      </w:r>
      <w:r w:rsidR="007E1510" w:rsidRPr="00D20B28">
        <w:rPr>
          <w:rFonts w:eastAsia="Calibri" w:cs="Calibri"/>
        </w:rPr>
        <w:t xml:space="preserve">ully </w:t>
      </w:r>
      <w:r w:rsidRPr="00D20B28">
        <w:rPr>
          <w:rFonts w:eastAsia="Calibri" w:cs="Calibri"/>
        </w:rPr>
        <w:t>aligned curricula supported by common instructional resources all students</w:t>
      </w:r>
      <w:r w:rsidR="006C2701">
        <w:rPr>
          <w:rFonts w:eastAsia="Calibri" w:cs="Calibri"/>
        </w:rPr>
        <w:t xml:space="preserve"> </w:t>
      </w:r>
      <w:r w:rsidR="007E1510">
        <w:rPr>
          <w:rFonts w:eastAsia="Calibri" w:cs="Calibri"/>
        </w:rPr>
        <w:t>do not</w:t>
      </w:r>
      <w:r w:rsidR="007E1510" w:rsidRPr="00D20B28">
        <w:rPr>
          <w:rFonts w:eastAsia="Calibri" w:cs="Calibri"/>
        </w:rPr>
        <w:t xml:space="preserve"> </w:t>
      </w:r>
      <w:r w:rsidRPr="00D20B28">
        <w:rPr>
          <w:rFonts w:eastAsia="Calibri" w:cs="Calibri"/>
        </w:rPr>
        <w:t xml:space="preserve">have access to </w:t>
      </w:r>
      <w:r>
        <w:rPr>
          <w:rFonts w:eastAsia="Calibri" w:cs="Calibri"/>
        </w:rPr>
        <w:t>cohesive</w:t>
      </w:r>
      <w:r w:rsidRPr="00D20B28">
        <w:rPr>
          <w:rFonts w:eastAsia="Calibri" w:cs="Calibri"/>
        </w:rPr>
        <w:t xml:space="preserve"> and rigorous learning. </w:t>
      </w:r>
      <w:r w:rsidR="007E1510">
        <w:t xml:space="preserve">The absence of </w:t>
      </w:r>
      <w:r w:rsidRPr="00D20B28">
        <w:t xml:space="preserve">comprehensive curricula and embedded assessments </w:t>
      </w:r>
      <w:r w:rsidR="007E1510">
        <w:t xml:space="preserve">means that </w:t>
      </w:r>
      <w:r w:rsidRPr="00D20B28">
        <w:t xml:space="preserve">all students </w:t>
      </w:r>
      <w:r w:rsidR="007E1510">
        <w:t xml:space="preserve">do not </w:t>
      </w:r>
      <w:r w:rsidRPr="00D20B28">
        <w:t xml:space="preserve">have access to </w:t>
      </w:r>
      <w:r w:rsidR="007E1510" w:rsidRPr="00D20B28">
        <w:t>high</w:t>
      </w:r>
      <w:r w:rsidR="007E1510">
        <w:t>-</w:t>
      </w:r>
      <w:r w:rsidRPr="00D20B28">
        <w:t>quality content.</w:t>
      </w:r>
      <w:r>
        <w:t xml:space="preserve">  </w:t>
      </w:r>
    </w:p>
    <w:p w:rsidR="00980095" w:rsidRPr="002525EA" w:rsidRDefault="00D17C06" w:rsidP="00D17C06">
      <w:pPr>
        <w:tabs>
          <w:tab w:val="left" w:pos="360"/>
          <w:tab w:val="left" w:pos="1080"/>
        </w:tabs>
        <w:ind w:left="360" w:hanging="360"/>
      </w:pPr>
      <w:r>
        <w:rPr>
          <w:b/>
        </w:rPr>
        <w:t xml:space="preserve">3.  </w:t>
      </w:r>
      <w:r>
        <w:rPr>
          <w:b/>
        </w:rPr>
        <w:tab/>
      </w:r>
      <w:r w:rsidR="006308F4">
        <w:rPr>
          <w:b/>
        </w:rPr>
        <w:t>School</w:t>
      </w:r>
      <w:r w:rsidR="00DD7A40">
        <w:rPr>
          <w:b/>
        </w:rPr>
        <w:t xml:space="preserve"> </w:t>
      </w:r>
      <w:r w:rsidR="00881437">
        <w:rPr>
          <w:b/>
        </w:rPr>
        <w:t xml:space="preserve">leaders </w:t>
      </w:r>
      <w:r w:rsidR="00DD7A40">
        <w:rPr>
          <w:b/>
        </w:rPr>
        <w:t>and teachers do not share a common understanding of what constitutes best instructional practice</w:t>
      </w:r>
      <w:r w:rsidR="00980095" w:rsidRPr="00D17C06">
        <w:rPr>
          <w:b/>
        </w:rPr>
        <w:t>.</w:t>
      </w:r>
      <w:r w:rsidR="00980095" w:rsidRPr="002525EA">
        <w:t xml:space="preserve"> </w:t>
      </w:r>
    </w:p>
    <w:p w:rsidR="00980095" w:rsidRDefault="00D17C06" w:rsidP="00D17C06">
      <w:pPr>
        <w:tabs>
          <w:tab w:val="left" w:pos="360"/>
          <w:tab w:val="left" w:pos="720"/>
          <w:tab w:val="left" w:pos="1440"/>
          <w:tab w:val="left" w:pos="1800"/>
          <w:tab w:val="left" w:pos="2160"/>
        </w:tabs>
        <w:ind w:left="720" w:hanging="360"/>
      </w:pPr>
      <w:r w:rsidRPr="00D17C06">
        <w:rPr>
          <w:b/>
        </w:rPr>
        <w:t>A.</w:t>
      </w:r>
      <w:r>
        <w:tab/>
      </w:r>
      <w:r w:rsidR="006E290A">
        <w:t>Although t</w:t>
      </w:r>
      <w:r w:rsidR="006E290A" w:rsidRPr="00CF5D4D">
        <w:t xml:space="preserve">he </w:t>
      </w:r>
      <w:r w:rsidR="00980095" w:rsidRPr="00CF5D4D">
        <w:t xml:space="preserve">district </w:t>
      </w:r>
      <w:r w:rsidR="006E290A">
        <w:t xml:space="preserve">has </w:t>
      </w:r>
      <w:r w:rsidR="006E290A" w:rsidRPr="00CF5D4D">
        <w:t>develop</w:t>
      </w:r>
      <w:r w:rsidR="006E290A">
        <w:t xml:space="preserve">ed </w:t>
      </w:r>
      <w:r w:rsidR="00980095" w:rsidRPr="00CF5D4D">
        <w:t xml:space="preserve">and </w:t>
      </w:r>
      <w:r w:rsidR="006E290A" w:rsidRPr="00CF5D4D">
        <w:t>implement</w:t>
      </w:r>
      <w:r w:rsidR="006E290A">
        <w:t>ed</w:t>
      </w:r>
      <w:r w:rsidR="006E290A" w:rsidRPr="00CF5D4D">
        <w:t xml:space="preserve"> </w:t>
      </w:r>
      <w:r w:rsidR="00980095">
        <w:t>the Framework</w:t>
      </w:r>
      <w:r w:rsidR="006E290A">
        <w:t xml:space="preserve"> of High Quality Teaching and Learning, which represents a broad range of instructional strategies, it </w:t>
      </w:r>
      <w:r w:rsidR="00980095" w:rsidRPr="00CF5D4D">
        <w:t xml:space="preserve">has not </w:t>
      </w:r>
      <w:r w:rsidR="006E290A">
        <w:t>defined</w:t>
      </w:r>
      <w:r w:rsidR="006E290A" w:rsidRPr="00CF5D4D">
        <w:t xml:space="preserve"> </w:t>
      </w:r>
      <w:r w:rsidR="006E290A">
        <w:t>instructional priorities at the district or school level</w:t>
      </w:r>
      <w:r w:rsidR="00980095" w:rsidRPr="00CF5D4D">
        <w:t>.</w:t>
      </w:r>
      <w:r w:rsidR="002525EA" w:rsidRPr="002525EA">
        <w:rPr>
          <w:rStyle w:val="FootnoteReference"/>
        </w:rPr>
        <w:t xml:space="preserve"> </w:t>
      </w:r>
    </w:p>
    <w:p w:rsidR="00D17C06" w:rsidRDefault="00980095" w:rsidP="00386849">
      <w:pPr>
        <w:pStyle w:val="ListParagraph"/>
        <w:numPr>
          <w:ilvl w:val="0"/>
          <w:numId w:val="45"/>
        </w:numPr>
        <w:tabs>
          <w:tab w:val="left" w:pos="360"/>
          <w:tab w:val="left" w:pos="720"/>
          <w:tab w:val="left" w:pos="1080"/>
          <w:tab w:val="left" w:pos="1440"/>
          <w:tab w:val="left" w:pos="2160"/>
        </w:tabs>
      </w:pPr>
      <w:r>
        <w:t>While</w:t>
      </w:r>
      <w:r w:rsidRPr="00CF5D4D">
        <w:t xml:space="preserve"> </w:t>
      </w:r>
      <w:r>
        <w:t>educators</w:t>
      </w:r>
      <w:r w:rsidRPr="00CF5D4D">
        <w:t xml:space="preserve"> </w:t>
      </w:r>
      <w:r>
        <w:t>at all levels</w:t>
      </w:r>
      <w:r w:rsidRPr="00CF5D4D">
        <w:t xml:space="preserve"> </w:t>
      </w:r>
      <w:r>
        <w:t>refer</w:t>
      </w:r>
      <w:r w:rsidR="006E290A">
        <w:t>r</w:t>
      </w:r>
      <w:r>
        <w:t xml:space="preserve">ed </w:t>
      </w:r>
      <w:r w:rsidR="006E290A">
        <w:t xml:space="preserve">to </w:t>
      </w:r>
      <w:r>
        <w:t xml:space="preserve">the </w:t>
      </w:r>
      <w:r w:rsidR="006E290A">
        <w:t>F</w:t>
      </w:r>
      <w:r w:rsidR="006E290A" w:rsidRPr="00CF5D4D">
        <w:t>ramework</w:t>
      </w:r>
      <w:r w:rsidR="006E290A">
        <w:t xml:space="preserve"> </w:t>
      </w:r>
      <w:r>
        <w:t>as the district’s instructional model</w:t>
      </w:r>
      <w:r w:rsidR="006E290A">
        <w:t>,</w:t>
      </w:r>
      <w:r w:rsidRPr="00CF5D4D">
        <w:t xml:space="preserve"> </w:t>
      </w:r>
      <w:r w:rsidR="006E290A">
        <w:t>p</w:t>
      </w:r>
      <w:r w:rsidRPr="006D5573">
        <w:t xml:space="preserve">rincipals and district managers reported that the </w:t>
      </w:r>
      <w:r w:rsidR="006E290A">
        <w:t>F</w:t>
      </w:r>
      <w:r w:rsidR="006E290A" w:rsidRPr="006D5573">
        <w:t xml:space="preserve">ramework </w:t>
      </w:r>
      <w:r w:rsidRPr="006D5573">
        <w:t>has not been consistently used for school</w:t>
      </w:r>
      <w:r w:rsidR="00B13FA8">
        <w:t>wide</w:t>
      </w:r>
      <w:r w:rsidRPr="006D5573">
        <w:t xml:space="preserve"> or districtwide instructional improvement. </w:t>
      </w:r>
    </w:p>
    <w:p w:rsidR="00D17C06" w:rsidRDefault="00D17C06" w:rsidP="00D17C06">
      <w:pPr>
        <w:pStyle w:val="ListParagraph"/>
        <w:tabs>
          <w:tab w:val="left" w:pos="360"/>
          <w:tab w:val="left" w:pos="720"/>
          <w:tab w:val="left" w:pos="1080"/>
          <w:tab w:val="left" w:pos="1440"/>
          <w:tab w:val="left" w:pos="2160"/>
        </w:tabs>
        <w:ind w:left="1080"/>
      </w:pPr>
    </w:p>
    <w:p w:rsidR="00B07C26" w:rsidRDefault="00B13FA8" w:rsidP="00386849">
      <w:pPr>
        <w:pStyle w:val="ListParagraph"/>
        <w:numPr>
          <w:ilvl w:val="0"/>
          <w:numId w:val="45"/>
        </w:numPr>
        <w:tabs>
          <w:tab w:val="left" w:pos="360"/>
          <w:tab w:val="left" w:pos="720"/>
          <w:tab w:val="left" w:pos="1080"/>
          <w:tab w:val="left" w:pos="1440"/>
          <w:tab w:val="left" w:pos="2160"/>
        </w:tabs>
        <w:contextualSpacing w:val="0"/>
      </w:pPr>
      <w:r>
        <w:t>Principals told the review team that s</w:t>
      </w:r>
      <w:r w:rsidRPr="00DB600B">
        <w:t xml:space="preserve">chools </w:t>
      </w:r>
      <w:r w:rsidR="00980095" w:rsidRPr="00DB600B">
        <w:t>identify their own “</w:t>
      </w:r>
      <w:r>
        <w:t>three</w:t>
      </w:r>
      <w:r w:rsidRPr="00DB600B">
        <w:t xml:space="preserve"> </w:t>
      </w:r>
      <w:r w:rsidR="00980095" w:rsidRPr="00DB600B">
        <w:t>best practices” for improvement</w:t>
      </w:r>
      <w:r w:rsidR="002525EA">
        <w:t>,</w:t>
      </w:r>
      <w:r w:rsidR="00980095">
        <w:t xml:space="preserve"> which </w:t>
      </w:r>
      <w:r w:rsidR="00B07C26">
        <w:t xml:space="preserve">they are </w:t>
      </w:r>
      <w:r w:rsidR="00980095">
        <w:t>not always tightly align</w:t>
      </w:r>
      <w:r w:rsidR="00B07C26">
        <w:t>ed</w:t>
      </w:r>
      <w:r w:rsidR="00980095">
        <w:t xml:space="preserve"> with the </w:t>
      </w:r>
      <w:r w:rsidR="00B07C26">
        <w:t>Framework</w:t>
      </w:r>
      <w:r w:rsidR="00980095">
        <w:t>.</w:t>
      </w:r>
      <w:r w:rsidR="00980095" w:rsidRPr="00DB600B">
        <w:t xml:space="preserve"> </w:t>
      </w:r>
    </w:p>
    <w:p w:rsidR="0047041E" w:rsidRDefault="00564269" w:rsidP="0047041E">
      <w:pPr>
        <w:tabs>
          <w:tab w:val="left" w:pos="360"/>
          <w:tab w:val="left" w:pos="720"/>
          <w:tab w:val="left" w:pos="1080"/>
          <w:tab w:val="left" w:pos="1440"/>
          <w:tab w:val="left" w:pos="2160"/>
        </w:tabs>
        <w:ind w:left="1440" w:hanging="720"/>
      </w:pPr>
      <w:r>
        <w:tab/>
      </w:r>
      <w:r w:rsidR="00B07C26">
        <w:t>a.</w:t>
      </w:r>
      <w:r w:rsidR="00B07C26">
        <w:tab/>
        <w:t>P</w:t>
      </w:r>
      <w:r w:rsidR="00980095" w:rsidRPr="00DB600B">
        <w:t>rincipals</w:t>
      </w:r>
      <w:r w:rsidR="00B13FA8">
        <w:t>’</w:t>
      </w:r>
      <w:r w:rsidR="00980095" w:rsidRPr="00DB600B">
        <w:t xml:space="preserve"> examples of their schoolwide </w:t>
      </w:r>
      <w:r w:rsidR="00980095">
        <w:t xml:space="preserve">priorities </w:t>
      </w:r>
      <w:r w:rsidR="00B13FA8">
        <w:t>included</w:t>
      </w:r>
      <w:r w:rsidR="00B13FA8" w:rsidRPr="00DB600B">
        <w:t xml:space="preserve"> </w:t>
      </w:r>
      <w:r w:rsidR="00980095" w:rsidRPr="00DB600B">
        <w:t xml:space="preserve">metacognition, gradual release of responsibility, looking at student work (LASW), giving effective feedback, guided reading, student thinking and reflection, self-regulated strategy development (SRSD), </w:t>
      </w:r>
      <w:r w:rsidR="00B13FA8">
        <w:t>“</w:t>
      </w:r>
      <w:r w:rsidR="00980095" w:rsidRPr="00DB600B">
        <w:t>accountable talk,</w:t>
      </w:r>
      <w:r w:rsidR="00B13FA8">
        <w:t>”</w:t>
      </w:r>
      <w:r w:rsidR="00980095" w:rsidRPr="00DB600B">
        <w:t xml:space="preserve"> explicit vocabulary instruction, and comprehension strategies.</w:t>
      </w:r>
    </w:p>
    <w:p w:rsidR="00B07C26" w:rsidRDefault="00B07C26" w:rsidP="00B07C26">
      <w:pPr>
        <w:pStyle w:val="ListParagraph"/>
        <w:numPr>
          <w:ilvl w:val="0"/>
          <w:numId w:val="45"/>
        </w:numPr>
        <w:tabs>
          <w:tab w:val="left" w:pos="360"/>
          <w:tab w:val="left" w:pos="720"/>
          <w:tab w:val="left" w:pos="1080"/>
          <w:tab w:val="left" w:pos="1440"/>
          <w:tab w:val="left" w:pos="2160"/>
        </w:tabs>
        <w:contextualSpacing w:val="0"/>
      </w:pPr>
      <w:r w:rsidRPr="006D5573">
        <w:t xml:space="preserve">When </w:t>
      </w:r>
      <w:r>
        <w:t xml:space="preserve">teachers were </w:t>
      </w:r>
      <w:r w:rsidRPr="006D5573">
        <w:t>asked how</w:t>
      </w:r>
      <w:r>
        <w:t xml:space="preserve"> they use</w:t>
      </w:r>
      <w:r w:rsidRPr="006D5573">
        <w:t xml:space="preserve"> the </w:t>
      </w:r>
      <w:r>
        <w:t>F</w:t>
      </w:r>
      <w:r w:rsidRPr="006D5573">
        <w:t>ramework</w:t>
      </w:r>
      <w:r w:rsidR="00C0530D">
        <w:t xml:space="preserve"> of High Quality Teaching and Learning</w:t>
      </w:r>
      <w:r w:rsidRPr="006D5573">
        <w:t xml:space="preserve">, </w:t>
      </w:r>
      <w:r w:rsidR="00896693">
        <w:t>they</w:t>
      </w:r>
      <w:r w:rsidR="00896693" w:rsidRPr="006D5573">
        <w:t xml:space="preserve"> </w:t>
      </w:r>
      <w:r w:rsidRPr="006D5573">
        <w:t>reported that implementation is building</w:t>
      </w:r>
      <w:r>
        <w:t xml:space="preserve"> </w:t>
      </w:r>
      <w:r w:rsidRPr="006D5573">
        <w:t xml:space="preserve">based.  They also </w:t>
      </w:r>
      <w:r>
        <w:t>stated</w:t>
      </w:r>
      <w:r w:rsidRPr="006D5573">
        <w:t xml:space="preserve"> that they knew what the expectations were but </w:t>
      </w:r>
      <w:r w:rsidR="00B13FA8">
        <w:t xml:space="preserve">said that </w:t>
      </w:r>
      <w:r w:rsidRPr="006D5573">
        <w:t>achieving</w:t>
      </w:r>
      <w:r>
        <w:t xml:space="preserve"> them</w:t>
      </w:r>
      <w:r w:rsidRPr="006D5573">
        <w:t xml:space="preserve"> “was another story</w:t>
      </w:r>
      <w:r w:rsidR="00DB0DA5">
        <w:t>.</w:t>
      </w:r>
      <w:r w:rsidRPr="006D5573">
        <w:t xml:space="preserve">” </w:t>
      </w:r>
      <w:r w:rsidR="00DB0DA5">
        <w:t>T</w:t>
      </w:r>
      <w:r w:rsidR="00917215">
        <w:t xml:space="preserve">eachers </w:t>
      </w:r>
      <w:r>
        <w:t>not</w:t>
      </w:r>
      <w:r w:rsidR="00917215">
        <w:t>ed</w:t>
      </w:r>
      <w:r w:rsidRPr="006D5573">
        <w:t xml:space="preserve"> </w:t>
      </w:r>
      <w:r w:rsidR="00917215">
        <w:t xml:space="preserve">that the Framework </w:t>
      </w:r>
      <w:r w:rsidRPr="006D5573">
        <w:t>“</w:t>
      </w:r>
      <w:r w:rsidR="00780945">
        <w:t>i</w:t>
      </w:r>
      <w:r>
        <w:t xml:space="preserve">s what you make of </w:t>
      </w:r>
      <w:r w:rsidRPr="006D5573">
        <w:t>it.”</w:t>
      </w:r>
    </w:p>
    <w:p w:rsidR="00980095" w:rsidRPr="00DB600B" w:rsidRDefault="00980095" w:rsidP="00386849">
      <w:pPr>
        <w:pStyle w:val="ListParagraph"/>
        <w:numPr>
          <w:ilvl w:val="0"/>
          <w:numId w:val="17"/>
        </w:numPr>
        <w:tabs>
          <w:tab w:val="left" w:pos="720"/>
          <w:tab w:val="left" w:pos="810"/>
          <w:tab w:val="left" w:pos="1080"/>
          <w:tab w:val="left" w:pos="1440"/>
          <w:tab w:val="left" w:pos="1800"/>
          <w:tab w:val="left" w:pos="2160"/>
        </w:tabs>
        <w:ind w:left="720"/>
        <w:contextualSpacing w:val="0"/>
      </w:pPr>
      <w:r>
        <w:t xml:space="preserve">Practices and protocols for implementing and monitoring the </w:t>
      </w:r>
      <w:r w:rsidR="00B13FA8">
        <w:t xml:space="preserve">Framework </w:t>
      </w:r>
      <w:r>
        <w:t>are inconsistent</w:t>
      </w:r>
      <w:r w:rsidR="006E063A">
        <w:t xml:space="preserve"> across the district</w:t>
      </w:r>
      <w:r>
        <w:t xml:space="preserve">. </w:t>
      </w:r>
    </w:p>
    <w:p w:rsidR="00980095" w:rsidRDefault="00B13FA8" w:rsidP="00386849">
      <w:pPr>
        <w:pStyle w:val="ListParagraph"/>
        <w:numPr>
          <w:ilvl w:val="6"/>
          <w:numId w:val="17"/>
        </w:numPr>
        <w:tabs>
          <w:tab w:val="left" w:pos="360"/>
          <w:tab w:val="left" w:pos="720"/>
          <w:tab w:val="left" w:pos="1080"/>
          <w:tab w:val="left" w:pos="1440"/>
          <w:tab w:val="left" w:pos="1800"/>
        </w:tabs>
        <w:ind w:left="1080"/>
        <w:contextualSpacing w:val="0"/>
      </w:pPr>
      <w:r>
        <w:t>T</w:t>
      </w:r>
      <w:r w:rsidR="00980095">
        <w:t xml:space="preserve">he superintendent stated that teaching and learning </w:t>
      </w:r>
      <w:r w:rsidR="00117B43">
        <w:t>had</w:t>
      </w:r>
      <w:r>
        <w:t xml:space="preserve"> </w:t>
      </w:r>
      <w:r w:rsidR="00980095">
        <w:t xml:space="preserve">not </w:t>
      </w:r>
      <w:r w:rsidR="009531D1">
        <w:t xml:space="preserve">been </w:t>
      </w:r>
      <w:r w:rsidR="00980095">
        <w:t>consistently monitored</w:t>
      </w:r>
      <w:r w:rsidR="00332703">
        <w:t>,</w:t>
      </w:r>
      <w:r w:rsidR="00980095">
        <w:t xml:space="preserve"> </w:t>
      </w:r>
      <w:r w:rsidR="00A34069">
        <w:t xml:space="preserve">but </w:t>
      </w:r>
      <w:r w:rsidR="009B7655">
        <w:t xml:space="preserve">are </w:t>
      </w:r>
      <w:r w:rsidR="002525EA">
        <w:t>now</w:t>
      </w:r>
      <w:r w:rsidR="00980095">
        <w:t xml:space="preserve"> a priority</w:t>
      </w:r>
      <w:r w:rsidR="000D7416">
        <w:t>.</w:t>
      </w:r>
    </w:p>
    <w:p w:rsidR="00980095" w:rsidRDefault="00980095" w:rsidP="00386849">
      <w:pPr>
        <w:pStyle w:val="ListParagraph"/>
        <w:numPr>
          <w:ilvl w:val="6"/>
          <w:numId w:val="17"/>
        </w:numPr>
        <w:tabs>
          <w:tab w:val="left" w:pos="360"/>
          <w:tab w:val="left" w:pos="720"/>
          <w:tab w:val="left" w:pos="1080"/>
          <w:tab w:val="left" w:pos="1440"/>
          <w:tab w:val="left" w:pos="1800"/>
        </w:tabs>
        <w:ind w:left="1080"/>
        <w:contextualSpacing w:val="0"/>
      </w:pPr>
      <w:r>
        <w:lastRenderedPageBreak/>
        <w:t>Administrators at all levels reported that while they observe classrooms as required, the</w:t>
      </w:r>
      <w:r w:rsidR="00B52629">
        <w:t>y</w:t>
      </w:r>
      <w:r>
        <w:t xml:space="preserve"> </w:t>
      </w:r>
      <w:r w:rsidR="00AD549F">
        <w:t xml:space="preserve">focus on different </w:t>
      </w:r>
      <w:r w:rsidR="00630468">
        <w:t>elements</w:t>
      </w:r>
      <w:r w:rsidR="00AD549F">
        <w:t xml:space="preserve"> of the Framework</w:t>
      </w:r>
      <w:r w:rsidR="00B52629">
        <w:t xml:space="preserve"> </w:t>
      </w:r>
      <w:r>
        <w:t xml:space="preserve">and </w:t>
      </w:r>
      <w:r w:rsidR="00AD549F">
        <w:t>measure</w:t>
      </w:r>
      <w:r w:rsidR="002525EA">
        <w:t xml:space="preserve"> teacher</w:t>
      </w:r>
      <w:r w:rsidR="00AD549F">
        <w:t xml:space="preserve">s’ </w:t>
      </w:r>
      <w:r w:rsidR="002525EA">
        <w:t xml:space="preserve">performance </w:t>
      </w:r>
      <w:r w:rsidR="00B52629">
        <w:t xml:space="preserve">in </w:t>
      </w:r>
      <w:r w:rsidR="00AD549F">
        <w:t>various ways</w:t>
      </w:r>
      <w:r>
        <w:t>.</w:t>
      </w:r>
    </w:p>
    <w:p w:rsidR="00980095" w:rsidRDefault="006E063A" w:rsidP="00386849">
      <w:pPr>
        <w:pStyle w:val="ListParagraph"/>
        <w:numPr>
          <w:ilvl w:val="6"/>
          <w:numId w:val="17"/>
        </w:numPr>
        <w:tabs>
          <w:tab w:val="left" w:pos="360"/>
          <w:tab w:val="left" w:pos="720"/>
          <w:tab w:val="left" w:pos="1080"/>
          <w:tab w:val="left" w:pos="1440"/>
          <w:tab w:val="left" w:pos="1800"/>
        </w:tabs>
        <w:ind w:left="1080"/>
        <w:contextualSpacing w:val="0"/>
      </w:pPr>
      <w:r>
        <w:t>Some t</w:t>
      </w:r>
      <w:r w:rsidRPr="00D33229">
        <w:t xml:space="preserve">eachers </w:t>
      </w:r>
      <w:r w:rsidR="00B13FA8">
        <w:t>said</w:t>
      </w:r>
      <w:r w:rsidR="00B13FA8" w:rsidRPr="00D33229">
        <w:t xml:space="preserve"> </w:t>
      </w:r>
      <w:r w:rsidR="00980095" w:rsidRPr="00D33229">
        <w:t xml:space="preserve">that while they were </w:t>
      </w:r>
      <w:r w:rsidR="00980095">
        <w:t xml:space="preserve">generally </w:t>
      </w:r>
      <w:r w:rsidR="004658B7">
        <w:t>expected</w:t>
      </w:r>
      <w:r w:rsidR="00980095" w:rsidRPr="00D33229">
        <w:t xml:space="preserve"> to </w:t>
      </w:r>
      <w:r w:rsidR="004658B7">
        <w:t xml:space="preserve">implement the strategies </w:t>
      </w:r>
      <w:r w:rsidR="001016D2">
        <w:t>in</w:t>
      </w:r>
      <w:r w:rsidR="001016D2" w:rsidRPr="00D33229">
        <w:t xml:space="preserve"> the</w:t>
      </w:r>
      <w:r w:rsidR="00980095" w:rsidRPr="00D33229">
        <w:t xml:space="preserve"> </w:t>
      </w:r>
      <w:r w:rsidR="00B13FA8">
        <w:t>F</w:t>
      </w:r>
      <w:r w:rsidR="00B13FA8" w:rsidRPr="00D33229">
        <w:t xml:space="preserve">ramework </w:t>
      </w:r>
      <w:r w:rsidR="00980095" w:rsidRPr="00D33229">
        <w:t xml:space="preserve">and </w:t>
      </w:r>
      <w:r w:rsidR="004658B7">
        <w:t xml:space="preserve">use </w:t>
      </w:r>
      <w:r w:rsidR="00980095" w:rsidRPr="00D33229">
        <w:t xml:space="preserve">the </w:t>
      </w:r>
      <w:r w:rsidR="00B13FA8">
        <w:t xml:space="preserve">educator </w:t>
      </w:r>
      <w:r w:rsidR="00980095" w:rsidRPr="00D33229">
        <w:t>evaluation rubric</w:t>
      </w:r>
      <w:r w:rsidR="002525EA">
        <w:t>,</w:t>
      </w:r>
      <w:r w:rsidR="00980095" w:rsidRPr="00D33229">
        <w:t xml:space="preserve"> they did not always receive feedback following classroom visits or observations. </w:t>
      </w:r>
    </w:p>
    <w:p w:rsidR="00980095" w:rsidRPr="00D33229" w:rsidRDefault="00B13FA8" w:rsidP="00386849">
      <w:pPr>
        <w:pStyle w:val="ListParagraph"/>
        <w:numPr>
          <w:ilvl w:val="6"/>
          <w:numId w:val="17"/>
        </w:numPr>
        <w:tabs>
          <w:tab w:val="left" w:pos="360"/>
          <w:tab w:val="left" w:pos="720"/>
          <w:tab w:val="left" w:pos="1080"/>
          <w:tab w:val="left" w:pos="1440"/>
          <w:tab w:val="left" w:pos="1800"/>
        </w:tabs>
        <w:ind w:left="1080"/>
        <w:contextualSpacing w:val="0"/>
      </w:pPr>
      <w:r>
        <w:t>Teachers also stated that although</w:t>
      </w:r>
      <w:r w:rsidRPr="00D33229">
        <w:t xml:space="preserve"> </w:t>
      </w:r>
      <w:r w:rsidR="00980095" w:rsidRPr="00D33229">
        <w:t xml:space="preserve">the </w:t>
      </w:r>
      <w:r>
        <w:t>Framework</w:t>
      </w:r>
      <w:r w:rsidRPr="00D33229">
        <w:t xml:space="preserve"> </w:t>
      </w:r>
      <w:r w:rsidR="00980095" w:rsidRPr="00D33229">
        <w:t>has been articulated and discussed at the district level and in schools, implementation of strategies</w:t>
      </w:r>
      <w:r>
        <w:t xml:space="preserve"> has </w:t>
      </w:r>
      <w:r w:rsidR="00CE3270">
        <w:t xml:space="preserve">not been </w:t>
      </w:r>
      <w:r>
        <w:t>consistent</w:t>
      </w:r>
      <w:r w:rsidR="00CE3270">
        <w:t xml:space="preserve"> across levels</w:t>
      </w:r>
      <w:r w:rsidR="00980095" w:rsidRPr="00D33229">
        <w:t xml:space="preserve">. </w:t>
      </w:r>
    </w:p>
    <w:p w:rsidR="00980095" w:rsidRDefault="006E063A" w:rsidP="00386849">
      <w:pPr>
        <w:pStyle w:val="ListParagraph"/>
        <w:numPr>
          <w:ilvl w:val="6"/>
          <w:numId w:val="17"/>
        </w:numPr>
        <w:tabs>
          <w:tab w:val="left" w:pos="360"/>
          <w:tab w:val="left" w:pos="720"/>
          <w:tab w:val="left" w:pos="1080"/>
          <w:tab w:val="left" w:pos="1440"/>
          <w:tab w:val="left" w:pos="1800"/>
        </w:tabs>
        <w:ind w:left="1080"/>
        <w:contextualSpacing w:val="0"/>
      </w:pPr>
      <w:r>
        <w:t xml:space="preserve">Observed instruction indicated uneven implementation of many elements of the Framework </w:t>
      </w:r>
      <w:r w:rsidR="00C0530D">
        <w:t xml:space="preserve">of High Quality Teaching and Learning </w:t>
      </w:r>
      <w:r>
        <w:t>across schools and levels.</w:t>
      </w:r>
      <w:r w:rsidR="001B4748">
        <w:t xml:space="preserve"> </w:t>
      </w:r>
    </w:p>
    <w:p w:rsidR="00980095" w:rsidRDefault="00015DF5" w:rsidP="00386849">
      <w:pPr>
        <w:pStyle w:val="ListParagraph"/>
        <w:numPr>
          <w:ilvl w:val="7"/>
          <w:numId w:val="17"/>
        </w:numPr>
        <w:tabs>
          <w:tab w:val="left" w:pos="360"/>
          <w:tab w:val="left" w:pos="720"/>
          <w:tab w:val="left" w:pos="1080"/>
          <w:tab w:val="left" w:pos="1440"/>
          <w:tab w:val="left" w:pos="1800"/>
        </w:tabs>
        <w:ind w:left="1440"/>
        <w:contextualSpacing w:val="0"/>
      </w:pPr>
      <w:r>
        <w:t xml:space="preserve">For example, in </w:t>
      </w:r>
      <w:r w:rsidR="00233386">
        <w:t xml:space="preserve">less </w:t>
      </w:r>
      <w:r w:rsidR="00980095">
        <w:t>than half of observed classrooms</w:t>
      </w:r>
      <w:r w:rsidR="00233386">
        <w:t xml:space="preserve"> (49</w:t>
      </w:r>
      <w:r w:rsidR="00A56C0B">
        <w:t xml:space="preserve"> percent)</w:t>
      </w:r>
      <w:r w:rsidR="00980095">
        <w:t xml:space="preserve">, </w:t>
      </w:r>
      <w:r w:rsidR="00DE5BAA">
        <w:t xml:space="preserve">the review team observed </w:t>
      </w:r>
      <w:r w:rsidR="00233386">
        <w:t>moderate</w:t>
      </w:r>
      <w:r w:rsidR="00DE5BAA">
        <w:t xml:space="preserve"> and </w:t>
      </w:r>
      <w:r w:rsidR="00233386">
        <w:t>strong evidence (29</w:t>
      </w:r>
      <w:r w:rsidR="00DE5BAA">
        <w:t xml:space="preserve"> percent </w:t>
      </w:r>
      <w:r w:rsidR="00233386">
        <w:t>moderate; 20</w:t>
      </w:r>
      <w:r w:rsidR="00DE5BAA">
        <w:t xml:space="preserve"> percent </w:t>
      </w:r>
      <w:r w:rsidR="00233386">
        <w:t>strong</w:t>
      </w:r>
      <w:r w:rsidR="00DE5BAA">
        <w:t xml:space="preserve">) that </w:t>
      </w:r>
      <w:r w:rsidR="00980095">
        <w:t xml:space="preserve">the teacher </w:t>
      </w:r>
      <w:r w:rsidR="00DE5BAA">
        <w:t xml:space="preserve">appropriately </w:t>
      </w:r>
      <w:r w:rsidR="00980095">
        <w:t>differentiate</w:t>
      </w:r>
      <w:r w:rsidR="00DE5BAA">
        <w:t>d</w:t>
      </w:r>
      <w:r w:rsidR="00980095">
        <w:t xml:space="preserve"> instruction so </w:t>
      </w:r>
      <w:r w:rsidR="00DE5BAA">
        <w:t xml:space="preserve">the </w:t>
      </w:r>
      <w:r w:rsidR="00980095">
        <w:t>lesson content was accessible for all learners</w:t>
      </w:r>
      <w:r w:rsidR="00DE5BAA">
        <w:t xml:space="preserve"> (characteristic #8)</w:t>
      </w:r>
      <w:r w:rsidR="00980095">
        <w:t xml:space="preserve">. </w:t>
      </w:r>
    </w:p>
    <w:p w:rsidR="00980095" w:rsidRDefault="00980095" w:rsidP="00386849">
      <w:pPr>
        <w:pStyle w:val="ListParagraph"/>
        <w:numPr>
          <w:ilvl w:val="7"/>
          <w:numId w:val="17"/>
        </w:numPr>
        <w:tabs>
          <w:tab w:val="left" w:pos="360"/>
          <w:tab w:val="left" w:pos="720"/>
          <w:tab w:val="left" w:pos="1080"/>
          <w:tab w:val="left" w:pos="1440"/>
          <w:tab w:val="left" w:pos="1800"/>
        </w:tabs>
        <w:ind w:left="1440"/>
        <w:contextualSpacing w:val="0"/>
      </w:pPr>
      <w:r>
        <w:t xml:space="preserve">In </w:t>
      </w:r>
      <w:r w:rsidR="006446E1">
        <w:t xml:space="preserve">about </w:t>
      </w:r>
      <w:r w:rsidR="000025BB">
        <w:t xml:space="preserve">two thirds of </w:t>
      </w:r>
      <w:r w:rsidR="00E626EB">
        <w:t xml:space="preserve">observed </w:t>
      </w:r>
      <w:r>
        <w:t>classrooms</w:t>
      </w:r>
      <w:r w:rsidR="00A56C0B">
        <w:t xml:space="preserve"> (</w:t>
      </w:r>
      <w:r w:rsidR="000025BB">
        <w:t>68</w:t>
      </w:r>
      <w:r w:rsidR="00A56C0B">
        <w:t xml:space="preserve"> percent)</w:t>
      </w:r>
      <w:r>
        <w:t xml:space="preserve">, </w:t>
      </w:r>
      <w:r w:rsidR="00DE5BAA">
        <w:t xml:space="preserve">observers noted </w:t>
      </w:r>
      <w:r w:rsidR="000025BB">
        <w:t xml:space="preserve">moderate </w:t>
      </w:r>
      <w:r>
        <w:t xml:space="preserve">and </w:t>
      </w:r>
      <w:r w:rsidR="000025BB">
        <w:t xml:space="preserve">strong </w:t>
      </w:r>
      <w:r>
        <w:t xml:space="preserve">evidence </w:t>
      </w:r>
      <w:r w:rsidR="000025BB">
        <w:t xml:space="preserve">(41 </w:t>
      </w:r>
      <w:r w:rsidR="00DE5BAA">
        <w:t xml:space="preserve">percent </w:t>
      </w:r>
      <w:r w:rsidR="000025BB">
        <w:t>moderate</w:t>
      </w:r>
      <w:r w:rsidR="00DE5BAA">
        <w:t>; 2</w:t>
      </w:r>
      <w:r w:rsidR="000025BB">
        <w:t>7</w:t>
      </w:r>
      <w:r w:rsidR="00DE5BAA">
        <w:t xml:space="preserve"> percent </w:t>
      </w:r>
      <w:r w:rsidR="000025BB">
        <w:t>strong</w:t>
      </w:r>
      <w:r w:rsidR="00DE5BAA">
        <w:t xml:space="preserve">) </w:t>
      </w:r>
      <w:r w:rsidR="009B7655">
        <w:t>that the</w:t>
      </w:r>
      <w:r w:rsidR="001B4748">
        <w:t xml:space="preserve"> </w:t>
      </w:r>
      <w:r>
        <w:t xml:space="preserve">teacher </w:t>
      </w:r>
      <w:r w:rsidR="009B7655">
        <w:t xml:space="preserve">implemented </w:t>
      </w:r>
      <w:r w:rsidR="001B4748">
        <w:t xml:space="preserve">a </w:t>
      </w:r>
      <w:r>
        <w:t>lesson</w:t>
      </w:r>
      <w:r w:rsidR="001B4748">
        <w:t xml:space="preserve"> </w:t>
      </w:r>
      <w:r>
        <w:t>that reflect</w:t>
      </w:r>
      <w:r w:rsidR="001B4748">
        <w:t>s</w:t>
      </w:r>
      <w:r>
        <w:t xml:space="preserve"> high expectations aligned to the learning objective</w:t>
      </w:r>
      <w:r w:rsidR="00DE5BAA">
        <w:t>(</w:t>
      </w:r>
      <w:r>
        <w:t>s</w:t>
      </w:r>
      <w:r w:rsidR="00DE5BAA">
        <w:t>)</w:t>
      </w:r>
      <w:r w:rsidR="00AD4189">
        <w:t xml:space="preserve"> </w:t>
      </w:r>
      <w:r>
        <w:t>(</w:t>
      </w:r>
      <w:r w:rsidR="009B7655">
        <w:t>characteristic #</w:t>
      </w:r>
      <w:r w:rsidR="000E4D68">
        <w:t>3</w:t>
      </w:r>
      <w:r>
        <w:t xml:space="preserve">). </w:t>
      </w:r>
    </w:p>
    <w:p w:rsidR="00980095" w:rsidRDefault="006E063A" w:rsidP="00386849">
      <w:pPr>
        <w:pStyle w:val="ListParagraph"/>
        <w:numPr>
          <w:ilvl w:val="7"/>
          <w:numId w:val="17"/>
        </w:numPr>
        <w:tabs>
          <w:tab w:val="left" w:pos="360"/>
          <w:tab w:val="left" w:pos="720"/>
          <w:tab w:val="left" w:pos="1080"/>
          <w:tab w:val="left" w:pos="1440"/>
          <w:tab w:val="left" w:pos="1800"/>
        </w:tabs>
        <w:ind w:left="1440"/>
        <w:contextualSpacing w:val="0"/>
      </w:pPr>
      <w:r>
        <w:t xml:space="preserve">In </w:t>
      </w:r>
      <w:r w:rsidR="006446E1">
        <w:t xml:space="preserve">more </w:t>
      </w:r>
      <w:r w:rsidR="00015DF5">
        <w:t xml:space="preserve">than </w:t>
      </w:r>
      <w:r w:rsidR="000025BB">
        <w:t>two</w:t>
      </w:r>
      <w:r>
        <w:t xml:space="preserve"> </w:t>
      </w:r>
      <w:r w:rsidR="001B4748">
        <w:t>third</w:t>
      </w:r>
      <w:r w:rsidR="000025BB">
        <w:t>s</w:t>
      </w:r>
      <w:r>
        <w:t xml:space="preserve"> </w:t>
      </w:r>
      <w:r w:rsidR="001B4748">
        <w:t xml:space="preserve">of </w:t>
      </w:r>
      <w:r>
        <w:t>observed classrooms</w:t>
      </w:r>
      <w:r w:rsidR="00A56C0B">
        <w:t xml:space="preserve"> (</w:t>
      </w:r>
      <w:r w:rsidR="000025BB">
        <w:t xml:space="preserve">74 </w:t>
      </w:r>
      <w:r w:rsidR="00A56C0B">
        <w:t>percent)</w:t>
      </w:r>
      <w:r>
        <w:t xml:space="preserve">, the review team noted </w:t>
      </w:r>
      <w:r w:rsidR="000025BB">
        <w:t>moderate</w:t>
      </w:r>
      <w:r>
        <w:t xml:space="preserve"> and </w:t>
      </w:r>
      <w:r w:rsidR="000025BB">
        <w:t>strong</w:t>
      </w:r>
      <w:r>
        <w:t xml:space="preserve"> evidence (</w:t>
      </w:r>
      <w:r w:rsidR="000025BB">
        <w:t xml:space="preserve">37 </w:t>
      </w:r>
      <w:r>
        <w:t xml:space="preserve">percent </w:t>
      </w:r>
      <w:r w:rsidR="000025BB">
        <w:t>moderate</w:t>
      </w:r>
      <w:r>
        <w:t xml:space="preserve">; </w:t>
      </w:r>
      <w:r w:rsidR="000025BB">
        <w:t>37</w:t>
      </w:r>
      <w:r>
        <w:t xml:space="preserve"> percent </w:t>
      </w:r>
      <w:r w:rsidR="000025BB">
        <w:t>strong</w:t>
      </w:r>
      <w:r>
        <w:t>)</w:t>
      </w:r>
      <w:r w:rsidR="001B4748">
        <w:t xml:space="preserve"> </w:t>
      </w:r>
      <w:r>
        <w:t xml:space="preserve">that </w:t>
      </w:r>
      <w:r w:rsidR="001B4748">
        <w:t xml:space="preserve">the </w:t>
      </w:r>
      <w:r>
        <w:t xml:space="preserve">teacher </w:t>
      </w:r>
      <w:r w:rsidR="00980095">
        <w:t>facilitate</w:t>
      </w:r>
      <w:r>
        <w:t>d</w:t>
      </w:r>
      <w:r w:rsidR="00980095">
        <w:t xml:space="preserve"> tasks that encourage students to develop and engage in critical thinking (</w:t>
      </w:r>
      <w:r w:rsidR="001B4748">
        <w:t>characteristic # 6</w:t>
      </w:r>
      <w:r w:rsidR="00980095">
        <w:t xml:space="preserve">).  </w:t>
      </w:r>
    </w:p>
    <w:p w:rsidR="00980095" w:rsidRPr="00D21FD6" w:rsidRDefault="00E626EB" w:rsidP="00386849">
      <w:pPr>
        <w:pStyle w:val="ListParagraph"/>
        <w:numPr>
          <w:ilvl w:val="7"/>
          <w:numId w:val="17"/>
        </w:numPr>
        <w:tabs>
          <w:tab w:val="left" w:pos="360"/>
          <w:tab w:val="left" w:pos="720"/>
          <w:tab w:val="left" w:pos="1080"/>
          <w:tab w:val="left" w:pos="1440"/>
          <w:tab w:val="left" w:pos="1800"/>
        </w:tabs>
        <w:ind w:left="1440"/>
        <w:contextualSpacing w:val="0"/>
      </w:pPr>
      <w:r>
        <w:t xml:space="preserve">In </w:t>
      </w:r>
      <w:r w:rsidR="000025BB">
        <w:t xml:space="preserve">about two thirds of </w:t>
      </w:r>
      <w:r>
        <w:t xml:space="preserve">observed </w:t>
      </w:r>
      <w:r w:rsidR="001016D2">
        <w:t>classrooms (</w:t>
      </w:r>
      <w:r w:rsidR="000025BB">
        <w:t>66</w:t>
      </w:r>
      <w:r w:rsidR="00A56C0B">
        <w:t xml:space="preserve"> percent)</w:t>
      </w:r>
      <w:r w:rsidR="009B7655">
        <w:t>,</w:t>
      </w:r>
      <w:r w:rsidR="00A56C0B">
        <w:t xml:space="preserve"> </w:t>
      </w:r>
      <w:r w:rsidR="001B4748">
        <w:t xml:space="preserve">observers saw </w:t>
      </w:r>
      <w:r w:rsidR="000025BB">
        <w:t>moderate</w:t>
      </w:r>
      <w:r w:rsidR="001B4748">
        <w:t xml:space="preserve"> and </w:t>
      </w:r>
      <w:r w:rsidR="000025BB">
        <w:t>strong</w:t>
      </w:r>
      <w:r w:rsidR="001B4748">
        <w:t xml:space="preserve"> evidence (</w:t>
      </w:r>
      <w:r w:rsidR="000025BB">
        <w:t>39</w:t>
      </w:r>
      <w:r w:rsidR="001B4748">
        <w:t xml:space="preserve"> percent </w:t>
      </w:r>
      <w:r w:rsidR="000025BB">
        <w:t>moderate</w:t>
      </w:r>
      <w:r w:rsidR="001B4748">
        <w:t>; 2</w:t>
      </w:r>
      <w:r w:rsidR="000025BB">
        <w:t>7</w:t>
      </w:r>
      <w:r w:rsidR="001B4748">
        <w:t xml:space="preserve"> percent </w:t>
      </w:r>
      <w:r w:rsidR="000025BB">
        <w:t>strong</w:t>
      </w:r>
      <w:r w:rsidR="001B4748">
        <w:t xml:space="preserve">) of </w:t>
      </w:r>
      <w:r w:rsidR="00980095">
        <w:t xml:space="preserve">students </w:t>
      </w:r>
      <w:r w:rsidR="001B4748">
        <w:t xml:space="preserve">assuming </w:t>
      </w:r>
      <w:r w:rsidR="00980095">
        <w:t>responsibility for their own learning</w:t>
      </w:r>
      <w:r w:rsidR="001B4748">
        <w:t xml:space="preserve"> (characteristic # 7)</w:t>
      </w:r>
      <w:r w:rsidR="00980095">
        <w:t xml:space="preserve">. </w:t>
      </w:r>
    </w:p>
    <w:p w:rsidR="00980095" w:rsidRDefault="00980095" w:rsidP="000D7416">
      <w:pPr>
        <w:tabs>
          <w:tab w:val="left" w:pos="0"/>
          <w:tab w:val="left" w:pos="720"/>
          <w:tab w:val="left" w:pos="1080"/>
          <w:tab w:val="left" w:pos="1440"/>
          <w:tab w:val="left" w:pos="1800"/>
          <w:tab w:val="left" w:pos="2160"/>
        </w:tabs>
      </w:pPr>
      <w:r w:rsidRPr="00F731AA">
        <w:rPr>
          <w:b/>
        </w:rPr>
        <w:t>Impact</w:t>
      </w:r>
      <w:r>
        <w:t xml:space="preserve">: </w:t>
      </w:r>
      <w:r w:rsidR="00102DD2">
        <w:t xml:space="preserve">The absence of a </w:t>
      </w:r>
      <w:r>
        <w:t xml:space="preserve">shared vision of instructional best practices </w:t>
      </w:r>
      <w:r w:rsidR="00102DD2">
        <w:t>has resulted in an absence</w:t>
      </w:r>
      <w:r>
        <w:t xml:space="preserve"> </w:t>
      </w:r>
      <w:r w:rsidR="00102DD2">
        <w:t xml:space="preserve">of </w:t>
      </w:r>
      <w:r>
        <w:t xml:space="preserve">clarity </w:t>
      </w:r>
      <w:r w:rsidR="00102DD2">
        <w:t xml:space="preserve">among </w:t>
      </w:r>
      <w:r w:rsidR="006446E1">
        <w:t>school leaders</w:t>
      </w:r>
      <w:r w:rsidR="00102DD2">
        <w:t xml:space="preserve"> and teachers</w:t>
      </w:r>
      <w:r>
        <w:t xml:space="preserve">.  </w:t>
      </w:r>
      <w:r w:rsidR="00102DD2">
        <w:t>Without</w:t>
      </w:r>
      <w:r>
        <w:t xml:space="preserve"> </w:t>
      </w:r>
      <w:r w:rsidR="00015DF5">
        <w:t xml:space="preserve">a consistent message of expectations for teachers and </w:t>
      </w:r>
      <w:r>
        <w:t xml:space="preserve">focused </w:t>
      </w:r>
      <w:r w:rsidR="00102DD2">
        <w:t>administrative monitoring,</w:t>
      </w:r>
      <w:r>
        <w:t xml:space="preserve"> the district cannot </w:t>
      </w:r>
      <w:r w:rsidR="00102DD2">
        <w:t xml:space="preserve">strategically plan targeted professional development for continuous growth to ensure that all </w:t>
      </w:r>
      <w:r>
        <w:t>students</w:t>
      </w:r>
      <w:r w:rsidR="00102DD2">
        <w:t xml:space="preserve"> will achieve at high levels</w:t>
      </w:r>
      <w:r>
        <w:t xml:space="preserve">.   </w:t>
      </w:r>
      <w:r w:rsidRPr="00BA3A76">
        <w:t xml:space="preserve"> </w:t>
      </w:r>
    </w:p>
    <w:p w:rsidR="00E77FC5" w:rsidRDefault="00E77FC5" w:rsidP="000D7416">
      <w:pPr>
        <w:tabs>
          <w:tab w:val="left" w:pos="0"/>
          <w:tab w:val="left" w:pos="720"/>
          <w:tab w:val="left" w:pos="1080"/>
          <w:tab w:val="left" w:pos="1440"/>
          <w:tab w:val="left" w:pos="1800"/>
          <w:tab w:val="left" w:pos="2160"/>
        </w:tabs>
      </w:pPr>
    </w:p>
    <w:p w:rsidR="00980095" w:rsidRPr="00D17C06" w:rsidRDefault="00D17C06" w:rsidP="00D17C06">
      <w:pPr>
        <w:tabs>
          <w:tab w:val="left" w:pos="360"/>
        </w:tabs>
        <w:ind w:left="360" w:hanging="360"/>
        <w:rPr>
          <w:b/>
        </w:rPr>
      </w:pPr>
      <w:r>
        <w:rPr>
          <w:b/>
        </w:rPr>
        <w:lastRenderedPageBreak/>
        <w:t xml:space="preserve">4. </w:t>
      </w:r>
      <w:r>
        <w:rPr>
          <w:b/>
        </w:rPr>
        <w:tab/>
      </w:r>
      <w:r w:rsidR="00E87621">
        <w:rPr>
          <w:b/>
        </w:rPr>
        <w:t>I</w:t>
      </w:r>
      <w:r w:rsidR="00E87621" w:rsidRPr="00D17C06">
        <w:rPr>
          <w:b/>
        </w:rPr>
        <w:t>n observed classrooms</w:t>
      </w:r>
      <w:r w:rsidR="00E87621">
        <w:rPr>
          <w:b/>
        </w:rPr>
        <w:t>,</w:t>
      </w:r>
      <w:r w:rsidR="00E87621" w:rsidRPr="00D17C06">
        <w:rPr>
          <w:b/>
        </w:rPr>
        <w:t xml:space="preserve"> </w:t>
      </w:r>
      <w:r w:rsidR="00E87621">
        <w:rPr>
          <w:b/>
        </w:rPr>
        <w:t>t</w:t>
      </w:r>
      <w:r w:rsidR="00E87621" w:rsidRPr="00D17C06">
        <w:rPr>
          <w:b/>
        </w:rPr>
        <w:t xml:space="preserve">he </w:t>
      </w:r>
      <w:r w:rsidR="00980095" w:rsidRPr="00D17C06">
        <w:rPr>
          <w:b/>
        </w:rPr>
        <w:t xml:space="preserve">quality of instruction was inconsistent among schools </w:t>
      </w:r>
      <w:r w:rsidR="00E626EB" w:rsidRPr="00D17C06">
        <w:rPr>
          <w:b/>
        </w:rPr>
        <w:t>of the same level</w:t>
      </w:r>
      <w:r w:rsidR="00E87621">
        <w:rPr>
          <w:rStyle w:val="FootnoteReference"/>
          <w:b/>
        </w:rPr>
        <w:footnoteReference w:id="14"/>
      </w:r>
      <w:r w:rsidR="00E626EB" w:rsidRPr="00D17C06">
        <w:rPr>
          <w:b/>
        </w:rPr>
        <w:t xml:space="preserve"> and across school </w:t>
      </w:r>
      <w:r w:rsidR="00980095" w:rsidRPr="00D17C06">
        <w:rPr>
          <w:b/>
        </w:rPr>
        <w:t>levels.  Lessons that reflect</w:t>
      </w:r>
      <w:r w:rsidR="00E626EB" w:rsidRPr="00D17C06">
        <w:rPr>
          <w:b/>
        </w:rPr>
        <w:t>ed</w:t>
      </w:r>
      <w:r w:rsidR="00980095" w:rsidRPr="00D17C06">
        <w:rPr>
          <w:b/>
        </w:rPr>
        <w:t xml:space="preserve"> high expectations, promote</w:t>
      </w:r>
      <w:r w:rsidR="00E626EB" w:rsidRPr="00D17C06">
        <w:rPr>
          <w:b/>
        </w:rPr>
        <w:t>d</w:t>
      </w:r>
      <w:r w:rsidR="00980095" w:rsidRPr="00D17C06">
        <w:rPr>
          <w:b/>
        </w:rPr>
        <w:t xml:space="preserve"> cr</w:t>
      </w:r>
      <w:r w:rsidR="00E626EB" w:rsidRPr="00D17C06">
        <w:rPr>
          <w:b/>
        </w:rPr>
        <w:t xml:space="preserve">itical thinking, differentiated instruction, and </w:t>
      </w:r>
      <w:r w:rsidR="00980095" w:rsidRPr="00D17C06">
        <w:rPr>
          <w:b/>
        </w:rPr>
        <w:t>use</w:t>
      </w:r>
      <w:r w:rsidR="00E626EB" w:rsidRPr="00D17C06">
        <w:rPr>
          <w:b/>
        </w:rPr>
        <w:t xml:space="preserve">d </w:t>
      </w:r>
      <w:r w:rsidR="00980095" w:rsidRPr="00D17C06">
        <w:rPr>
          <w:b/>
        </w:rPr>
        <w:t xml:space="preserve">appropriate resources to meet students’ diverse learning needs varied by level.  There was a consistently lower incidence of characteristics of effective instruction at the </w:t>
      </w:r>
      <w:r w:rsidR="00542DDC" w:rsidRPr="00D17C06">
        <w:rPr>
          <w:b/>
        </w:rPr>
        <w:t>high</w:t>
      </w:r>
      <w:r w:rsidR="00542DDC">
        <w:rPr>
          <w:b/>
        </w:rPr>
        <w:t>-</w:t>
      </w:r>
      <w:r w:rsidR="00980095" w:rsidRPr="00D17C06">
        <w:rPr>
          <w:b/>
        </w:rPr>
        <w:t>school level.</w:t>
      </w:r>
      <w:r w:rsidR="00980095" w:rsidRPr="00D17C06">
        <w:rPr>
          <w:rFonts w:cstheme="minorHAnsi"/>
          <w:b/>
        </w:rPr>
        <w:t xml:space="preserve"> </w:t>
      </w:r>
    </w:p>
    <w:p w:rsidR="00396F0C" w:rsidRDefault="00CC6C86" w:rsidP="00396F0C">
      <w:pPr>
        <w:pStyle w:val="ListParagraph"/>
        <w:tabs>
          <w:tab w:val="left" w:pos="360"/>
          <w:tab w:val="left" w:pos="1080"/>
          <w:tab w:val="left" w:pos="1440"/>
          <w:tab w:val="left" w:pos="1800"/>
          <w:tab w:val="left" w:pos="2160"/>
        </w:tabs>
        <w:ind w:left="360"/>
        <w:contextualSpacing w:val="0"/>
      </w:pPr>
      <w:r>
        <w:t>T</w:t>
      </w:r>
      <w:r w:rsidRPr="00795DEB">
        <w:t>o better support the district’s instructional improvement efforts</w:t>
      </w:r>
      <w:r>
        <w:t>,</w:t>
      </w:r>
      <w:r w:rsidRPr="00795DEB">
        <w:t xml:space="preserve"> </w:t>
      </w:r>
      <w:r>
        <w:t>t</w:t>
      </w:r>
      <w:r w:rsidR="0047041E" w:rsidRPr="0047041E">
        <w:t xml:space="preserve">his analysis of classroom instruction aligns characteristics from ESE’s Instructional Inventory with the </w:t>
      </w:r>
      <w:r w:rsidR="00C0530D" w:rsidRPr="00974604">
        <w:t xml:space="preserve">three essential elements </w:t>
      </w:r>
      <w:r w:rsidR="00C0530D">
        <w:t>of the district’</w:t>
      </w:r>
      <w:r w:rsidR="0047041E" w:rsidRPr="0047041E">
        <w:t xml:space="preserve">s </w:t>
      </w:r>
      <w:r w:rsidR="00C0530D">
        <w:t xml:space="preserve">Framework of </w:t>
      </w:r>
      <w:r w:rsidR="0047041E" w:rsidRPr="0047041E">
        <w:t>High Quality Teaching and Learning (HQTL): Organization of the Classroom (Teachers), Instructional Design and Delivery (Teachers), and Student Ownership of Learning (Students)</w:t>
      </w:r>
      <w:r w:rsidR="00DE0C5D">
        <w:t>.</w:t>
      </w:r>
    </w:p>
    <w:p w:rsidR="00980095" w:rsidRPr="00C30A3B" w:rsidRDefault="007A0376" w:rsidP="00396F0C">
      <w:pPr>
        <w:pStyle w:val="ListParagraph"/>
        <w:tabs>
          <w:tab w:val="left" w:pos="360"/>
          <w:tab w:val="left" w:pos="720"/>
          <w:tab w:val="left" w:pos="1080"/>
          <w:tab w:val="left" w:pos="1440"/>
          <w:tab w:val="left" w:pos="1800"/>
          <w:tab w:val="left" w:pos="2160"/>
        </w:tabs>
        <w:ind w:hanging="360"/>
        <w:contextualSpacing w:val="0"/>
      </w:pPr>
      <w:r w:rsidRPr="00CC6C86">
        <w:rPr>
          <w:b/>
        </w:rPr>
        <w:t>A.</w:t>
      </w:r>
      <w:r w:rsidRPr="00CC6C86">
        <w:rPr>
          <w:b/>
        </w:rPr>
        <w:tab/>
      </w:r>
      <w:r w:rsidR="00980095" w:rsidRPr="00CC6C86">
        <w:rPr>
          <w:b/>
        </w:rPr>
        <w:t>HQTL Framework Essential Element: Organization of the Classroom – Teachers</w:t>
      </w:r>
      <w:r w:rsidR="00E626EB" w:rsidRPr="00CC6C86">
        <w:rPr>
          <w:b/>
        </w:rPr>
        <w:t>.</w:t>
      </w:r>
      <w:r w:rsidR="00980095" w:rsidRPr="00E626EB">
        <w:t xml:space="preserve"> </w:t>
      </w:r>
      <w:r>
        <w:t xml:space="preserve">In </w:t>
      </w:r>
      <w:r w:rsidRPr="0034420B">
        <w:t>most observed classrooms</w:t>
      </w:r>
      <w:r>
        <w:t>,</w:t>
      </w:r>
      <w:r w:rsidRPr="0034420B">
        <w:t xml:space="preserve"> teachers </w:t>
      </w:r>
      <w:r>
        <w:t>provided and referred to clear learning objectives in lessons</w:t>
      </w:r>
      <w:r w:rsidRPr="0034420B">
        <w:t xml:space="preserve">. </w:t>
      </w:r>
      <w:r w:rsidR="00E626EB" w:rsidRPr="00E626EB">
        <w:t>I</w:t>
      </w:r>
      <w:r w:rsidR="00980095" w:rsidRPr="00E626EB">
        <w:t>nstructional practices that reflected effective classroom organization including the</w:t>
      </w:r>
      <w:r w:rsidR="00980095">
        <w:t xml:space="preserve"> posting, discussion</w:t>
      </w:r>
      <w:r w:rsidR="00053E90">
        <w:t>,</w:t>
      </w:r>
      <w:r w:rsidR="00980095">
        <w:t xml:space="preserve"> and revisiting of content objectives</w:t>
      </w:r>
      <w:r w:rsidR="00980095" w:rsidRPr="0034420B">
        <w:t xml:space="preserve"> a</w:t>
      </w:r>
      <w:r w:rsidR="00980095">
        <w:t>nd a</w:t>
      </w:r>
      <w:r w:rsidR="00980095" w:rsidRPr="0034420B">
        <w:t xml:space="preserve"> respectful classroom climate</w:t>
      </w:r>
      <w:r w:rsidR="00E626EB">
        <w:t xml:space="preserve"> were</w:t>
      </w:r>
      <w:r w:rsidR="00980095">
        <w:t xml:space="preserve"> evident in</w:t>
      </w:r>
      <w:r w:rsidR="00E626EB">
        <w:t xml:space="preserve"> observations</w:t>
      </w:r>
      <w:r w:rsidR="00980095">
        <w:t xml:space="preserve"> but</w:t>
      </w:r>
      <w:r w:rsidR="00E626EB">
        <w:t xml:space="preserve"> the quality of practices</w:t>
      </w:r>
      <w:r w:rsidR="00980095">
        <w:t xml:space="preserve"> varied by</w:t>
      </w:r>
      <w:r w:rsidR="00E626EB">
        <w:t xml:space="preserve"> school</w:t>
      </w:r>
      <w:r w:rsidR="00980095">
        <w:t xml:space="preserve"> level. </w:t>
      </w:r>
      <w:r w:rsidR="00CC6C86" w:rsidRPr="007A0376">
        <w:t xml:space="preserve"> </w:t>
      </w:r>
      <w:r w:rsidR="00980095" w:rsidRPr="007A0376">
        <w:t>The review team observed moderate and strong evidence of teachers providing</w:t>
      </w:r>
      <w:r w:rsidR="00980095">
        <w:t xml:space="preserve"> and regularly refer</w:t>
      </w:r>
      <w:r w:rsidR="00AD4751">
        <w:t>r</w:t>
      </w:r>
      <w:r w:rsidR="00980095">
        <w:t xml:space="preserve">ing </w:t>
      </w:r>
      <w:r w:rsidR="00AD4751">
        <w:t xml:space="preserve">to </w:t>
      </w:r>
      <w:r w:rsidR="00EF7955">
        <w:t xml:space="preserve">clear </w:t>
      </w:r>
      <w:r w:rsidR="00980095">
        <w:t xml:space="preserve">learning objectives </w:t>
      </w:r>
      <w:r w:rsidR="00EF7955">
        <w:t xml:space="preserve">in the lesson </w:t>
      </w:r>
      <w:r w:rsidR="00AD4751">
        <w:t xml:space="preserve">(characteristic # 2) </w:t>
      </w:r>
      <w:r w:rsidR="00980095">
        <w:t>in 80 percent of elementary</w:t>
      </w:r>
      <w:r w:rsidR="00AD4751">
        <w:t>-</w:t>
      </w:r>
      <w:r w:rsidR="00980095">
        <w:t xml:space="preserve"> </w:t>
      </w:r>
      <w:r w:rsidR="009F1F5E">
        <w:t xml:space="preserve">(48 percent moderate; 32 percent strong) </w:t>
      </w:r>
      <w:r w:rsidR="00980095">
        <w:t xml:space="preserve">and </w:t>
      </w:r>
      <w:r w:rsidR="00AD4751">
        <w:t>middle-</w:t>
      </w:r>
      <w:r w:rsidR="00980095">
        <w:t xml:space="preserve">school classes </w:t>
      </w:r>
      <w:r w:rsidR="009F1F5E">
        <w:t xml:space="preserve">(19  percent moderate; 61 percent strong) </w:t>
      </w:r>
      <w:r w:rsidR="00980095">
        <w:t xml:space="preserve">and in 71 percent of </w:t>
      </w:r>
      <w:r w:rsidR="00AD4751">
        <w:t>high-</w:t>
      </w:r>
      <w:r w:rsidR="00980095">
        <w:t>school classes</w:t>
      </w:r>
      <w:r w:rsidR="009F1F5E">
        <w:t xml:space="preserve"> (44 percent moderate; 27 percent strong)</w:t>
      </w:r>
      <w:r w:rsidR="00980095">
        <w:t xml:space="preserve">.   </w:t>
      </w:r>
    </w:p>
    <w:p w:rsidR="0047041E" w:rsidRDefault="00CC6C86" w:rsidP="0047041E">
      <w:pPr>
        <w:tabs>
          <w:tab w:val="left" w:pos="360"/>
          <w:tab w:val="left" w:pos="720"/>
          <w:tab w:val="left" w:pos="1080"/>
          <w:tab w:val="left" w:pos="1440"/>
          <w:tab w:val="left" w:pos="2160"/>
        </w:tabs>
        <w:ind w:left="1080" w:hanging="1080"/>
      </w:pPr>
      <w:r>
        <w:tab/>
      </w:r>
      <w:r w:rsidR="00396F0C">
        <w:tab/>
      </w:r>
      <w:r>
        <w:t>1.</w:t>
      </w:r>
      <w:r>
        <w:tab/>
      </w:r>
      <w:r w:rsidR="00980095">
        <w:t xml:space="preserve">Teachers who provided clear objectives shared them orally with students throughout the lesson and many </w:t>
      </w:r>
      <w:r w:rsidR="00FA69B1">
        <w:t xml:space="preserve">prominently </w:t>
      </w:r>
      <w:r w:rsidR="00980095">
        <w:t>posted or projected learning objectives</w:t>
      </w:r>
      <w:r w:rsidR="00FA69B1">
        <w:t>.</w:t>
      </w:r>
      <w:r w:rsidR="00980095">
        <w:t xml:space="preserve"> In some classrooms where objectives were </w:t>
      </w:r>
      <w:r w:rsidR="00AD4751">
        <w:t xml:space="preserve">not referred to </w:t>
      </w:r>
      <w:r w:rsidR="00980095">
        <w:t xml:space="preserve">or posted, students were able to </w:t>
      </w:r>
      <w:r w:rsidR="00AD4751">
        <w:t xml:space="preserve">state </w:t>
      </w:r>
      <w:r w:rsidR="00980095">
        <w:t xml:space="preserve">what they were working on and why, and often </w:t>
      </w:r>
      <w:r w:rsidR="00AD4751">
        <w:t xml:space="preserve">referred to </w:t>
      </w:r>
      <w:r w:rsidR="00980095">
        <w:t>previous learning experiences that led up to the day’s task.</w:t>
      </w:r>
    </w:p>
    <w:p w:rsidR="0047041E" w:rsidRDefault="00CC6C86" w:rsidP="0047041E">
      <w:pPr>
        <w:tabs>
          <w:tab w:val="left" w:pos="360"/>
          <w:tab w:val="left" w:pos="720"/>
          <w:tab w:val="left" w:pos="1080"/>
          <w:tab w:val="left" w:pos="1440"/>
          <w:tab w:val="left" w:pos="2160"/>
        </w:tabs>
        <w:ind w:left="1080" w:hanging="1080"/>
      </w:pPr>
      <w:r>
        <w:tab/>
      </w:r>
      <w:r w:rsidR="00396F0C">
        <w:tab/>
      </w:r>
      <w:r>
        <w:t>2.</w:t>
      </w:r>
      <w:r>
        <w:tab/>
      </w:r>
      <w:r w:rsidR="00980095">
        <w:t xml:space="preserve">In </w:t>
      </w:r>
      <w:r w:rsidR="00AD4751">
        <w:t xml:space="preserve">some </w:t>
      </w:r>
      <w:r w:rsidR="00980095">
        <w:t xml:space="preserve">classrooms teachers </w:t>
      </w:r>
      <w:r w:rsidR="00AD4751">
        <w:t xml:space="preserve">did </w:t>
      </w:r>
      <w:r w:rsidR="00980095">
        <w:t>no</w:t>
      </w:r>
      <w:r w:rsidR="00AD4751">
        <w:t>t</w:t>
      </w:r>
      <w:r w:rsidR="00980095">
        <w:t xml:space="preserve"> refer to a learning objective </w:t>
      </w:r>
      <w:r w:rsidR="00AD4751">
        <w:t xml:space="preserve">during </w:t>
      </w:r>
      <w:r w:rsidR="00980095">
        <w:t xml:space="preserve">the </w:t>
      </w:r>
      <w:r w:rsidR="00AD4751">
        <w:t>observation</w:t>
      </w:r>
      <w:r w:rsidR="00980095">
        <w:t xml:space="preserve">. Others posted or provided students with a list of activities (agenda) that would be completed during class.  In some classrooms, a handout was distributed </w:t>
      </w:r>
      <w:r w:rsidR="004658B7">
        <w:t xml:space="preserve">at the beginning of the lesson </w:t>
      </w:r>
      <w:r w:rsidR="00980095">
        <w:t xml:space="preserve">and students were </w:t>
      </w:r>
      <w:r w:rsidR="00AD4751">
        <w:t xml:space="preserve">asked </w:t>
      </w:r>
      <w:r w:rsidR="00980095">
        <w:t>to “get to work.”</w:t>
      </w:r>
    </w:p>
    <w:p w:rsidR="0047041E" w:rsidRDefault="00CC6C86" w:rsidP="0047041E">
      <w:pPr>
        <w:tabs>
          <w:tab w:val="left" w:pos="360"/>
          <w:tab w:val="left" w:pos="720"/>
          <w:tab w:val="left" w:pos="1080"/>
          <w:tab w:val="left" w:pos="1440"/>
          <w:tab w:val="left" w:pos="1800"/>
          <w:tab w:val="left" w:pos="2160"/>
        </w:tabs>
        <w:ind w:left="1080" w:hanging="1080"/>
      </w:pPr>
      <w:r>
        <w:tab/>
      </w:r>
      <w:r w:rsidR="00396F0C">
        <w:tab/>
      </w:r>
      <w:r>
        <w:t>3.</w:t>
      </w:r>
      <w:r>
        <w:tab/>
      </w:r>
      <w:r w:rsidR="00FA69B1">
        <w:t xml:space="preserve">Throughout the </w:t>
      </w:r>
      <w:r w:rsidR="00980095">
        <w:t>review</w:t>
      </w:r>
      <w:r w:rsidR="00FA69B1">
        <w:t>,</w:t>
      </w:r>
      <w:r w:rsidR="00980095">
        <w:t xml:space="preserve"> team members observed classrooms characterized by respectful behavior, routines, tone</w:t>
      </w:r>
      <w:r w:rsidR="00EF7955">
        <w:t>,</w:t>
      </w:r>
      <w:r w:rsidR="00980095">
        <w:t xml:space="preserve"> and discourse</w:t>
      </w:r>
      <w:r w:rsidR="00AD4751">
        <w:t xml:space="preserve"> (characteristic # 10)</w:t>
      </w:r>
      <w:r w:rsidR="00980095">
        <w:t xml:space="preserve">.  Moderate and strong evidence </w:t>
      </w:r>
      <w:r w:rsidR="00EF7955">
        <w:t xml:space="preserve">of this characteristic </w:t>
      </w:r>
      <w:r w:rsidR="00980095">
        <w:t xml:space="preserve">was observed </w:t>
      </w:r>
      <w:r w:rsidR="00AD4751">
        <w:t>in 80 percent of elementary-school classes</w:t>
      </w:r>
      <w:r w:rsidR="002D0CDD">
        <w:t xml:space="preserve"> (29 percent moderate; 51 percent strong)</w:t>
      </w:r>
      <w:r w:rsidR="00AD4751">
        <w:t xml:space="preserve">, </w:t>
      </w:r>
      <w:r w:rsidR="00980095">
        <w:t xml:space="preserve">in 94 percent of </w:t>
      </w:r>
      <w:r w:rsidR="00AD4751">
        <w:t>middle-</w:t>
      </w:r>
      <w:r w:rsidR="00980095">
        <w:t>school classes</w:t>
      </w:r>
      <w:r w:rsidR="002D0CDD">
        <w:t xml:space="preserve"> (29 percent moderate; 65 percent strong)</w:t>
      </w:r>
      <w:r w:rsidR="009266F5">
        <w:t xml:space="preserve">, </w:t>
      </w:r>
      <w:r w:rsidR="00980095">
        <w:t xml:space="preserve">and </w:t>
      </w:r>
      <w:r w:rsidR="00AD4751">
        <w:t xml:space="preserve">in </w:t>
      </w:r>
      <w:r w:rsidR="00980095">
        <w:t xml:space="preserve">73 percent of </w:t>
      </w:r>
      <w:r w:rsidR="00AD4751">
        <w:t>high-</w:t>
      </w:r>
      <w:r w:rsidR="00980095">
        <w:t>school classes</w:t>
      </w:r>
      <w:r w:rsidR="002D0CDD">
        <w:t xml:space="preserve"> (40 percent moderate; 33 percent strong)</w:t>
      </w:r>
      <w:r w:rsidR="00980095">
        <w:t>.</w:t>
      </w:r>
    </w:p>
    <w:p w:rsidR="00980095" w:rsidRPr="00640A90" w:rsidRDefault="00980095" w:rsidP="00386849">
      <w:pPr>
        <w:pStyle w:val="ListParagraph"/>
        <w:numPr>
          <w:ilvl w:val="1"/>
          <w:numId w:val="41"/>
        </w:numPr>
        <w:tabs>
          <w:tab w:val="left" w:pos="360"/>
          <w:tab w:val="left" w:pos="720"/>
          <w:tab w:val="left" w:pos="1080"/>
          <w:tab w:val="left" w:pos="1440"/>
          <w:tab w:val="left" w:pos="2160"/>
        </w:tabs>
        <w:ind w:left="1440"/>
        <w:contextualSpacing w:val="0"/>
      </w:pPr>
      <w:r>
        <w:lastRenderedPageBreak/>
        <w:t xml:space="preserve">While the majority of classrooms showed evidence of well-established routines and environments conducive to learning, 20 percent of observed classrooms were </w:t>
      </w:r>
      <w:r w:rsidR="00FA69B1">
        <w:t>characterized by disrespectful behavior between teachers and students.  In these observed lessons, teachers used i</w:t>
      </w:r>
      <w:r>
        <w:t>neffective rituals, routines</w:t>
      </w:r>
      <w:r w:rsidR="007A0376">
        <w:t>,</w:t>
      </w:r>
      <w:r>
        <w:t xml:space="preserve"> or responses to prevent or stop behaviors interfering with student learning. Students were observed swearing at teachers and </w:t>
      </w:r>
      <w:r w:rsidR="007A0376">
        <w:t xml:space="preserve">refusing </w:t>
      </w:r>
      <w:r>
        <w:t xml:space="preserve">to participate in class activities or </w:t>
      </w:r>
      <w:r w:rsidR="007A0376">
        <w:t xml:space="preserve">to </w:t>
      </w:r>
      <w:r>
        <w:t xml:space="preserve">complete tasks.  </w:t>
      </w:r>
      <w:r w:rsidR="007A0376">
        <w:t xml:space="preserve">In these classrooms, teachers </w:t>
      </w:r>
      <w:r>
        <w:t>called out students in front of their peers or spoke in a disrespectful tone.</w:t>
      </w:r>
    </w:p>
    <w:p w:rsidR="0047041E" w:rsidRDefault="00980095" w:rsidP="0047041E">
      <w:pPr>
        <w:pStyle w:val="ListParagraph"/>
        <w:numPr>
          <w:ilvl w:val="0"/>
          <w:numId w:val="42"/>
        </w:numPr>
        <w:tabs>
          <w:tab w:val="left" w:pos="360"/>
          <w:tab w:val="left" w:pos="720"/>
          <w:tab w:val="left" w:pos="1080"/>
          <w:tab w:val="left" w:pos="1440"/>
          <w:tab w:val="left" w:pos="1800"/>
          <w:tab w:val="left" w:pos="2160"/>
        </w:tabs>
        <w:ind w:left="720"/>
        <w:contextualSpacing w:val="0"/>
      </w:pPr>
      <w:r w:rsidRPr="00396F0C">
        <w:rPr>
          <w:b/>
        </w:rPr>
        <w:t>HQTL Framework Essential Element: Instructional Design and Delivery – Teachers</w:t>
      </w:r>
      <w:r w:rsidR="00FA69B1" w:rsidRPr="00396F0C">
        <w:rPr>
          <w:b/>
        </w:rPr>
        <w:t>.</w:t>
      </w:r>
      <w:r w:rsidRPr="00396F0C">
        <w:rPr>
          <w:b/>
        </w:rPr>
        <w:t xml:space="preserve">     </w:t>
      </w:r>
      <w:r w:rsidR="007A0376">
        <w:t xml:space="preserve">In most observed classrooms, teachers demonstrated knowledge of subject matter and content.  </w:t>
      </w:r>
      <w:r w:rsidRPr="00396F0C">
        <w:rPr>
          <w:b/>
        </w:rPr>
        <w:t xml:space="preserve"> </w:t>
      </w:r>
      <w:r w:rsidR="007A0376">
        <w:t>However</w:t>
      </w:r>
      <w:r w:rsidR="0047041E" w:rsidRPr="0047041E">
        <w:t xml:space="preserve">, </w:t>
      </w:r>
      <w:r w:rsidR="007A0376">
        <w:t>the team saw inconsistent implementation across school levels of instructional</w:t>
      </w:r>
      <w:r w:rsidR="007A0376" w:rsidRPr="0034420B">
        <w:t xml:space="preserve"> </w:t>
      </w:r>
      <w:r>
        <w:t xml:space="preserve">practices that </w:t>
      </w:r>
      <w:r w:rsidR="00AE2853">
        <w:t xml:space="preserve">promoted </w:t>
      </w:r>
      <w:r>
        <w:t>student en</w:t>
      </w:r>
      <w:r w:rsidR="00FA69B1">
        <w:t xml:space="preserve">gagement, high expectations, </w:t>
      </w:r>
      <w:r>
        <w:t>rigor</w:t>
      </w:r>
      <w:r w:rsidR="00AE2853">
        <w:t>,</w:t>
      </w:r>
      <w:r>
        <w:t xml:space="preserve"> and the use of varied instructional strategies and materials to meet the needs of all student</w:t>
      </w:r>
      <w:r w:rsidR="00FA69B1">
        <w:t>s</w:t>
      </w:r>
      <w:r>
        <w:t xml:space="preserve">.  </w:t>
      </w:r>
      <w:r w:rsidR="008D44B8">
        <w:t>L</w:t>
      </w:r>
      <w:r>
        <w:t xml:space="preserve">essons </w:t>
      </w:r>
      <w:r w:rsidR="008D44B8">
        <w:t xml:space="preserve">did not consistently </w:t>
      </w:r>
      <w:r>
        <w:t>reflect</w:t>
      </w:r>
      <w:r w:rsidR="00AE2853">
        <w:t xml:space="preserve"> </w:t>
      </w:r>
      <w:r>
        <w:t xml:space="preserve">high expectations aligned with learning objectives </w:t>
      </w:r>
      <w:r w:rsidR="00AE2853">
        <w:t>or</w:t>
      </w:r>
      <w:r>
        <w:t xml:space="preserve"> use frequent formative assessments to check f</w:t>
      </w:r>
      <w:r w:rsidR="00FA69B1">
        <w:t xml:space="preserve">or student understanding.  </w:t>
      </w:r>
    </w:p>
    <w:p w:rsidR="00980095" w:rsidRPr="00C900C6" w:rsidRDefault="008D44B8" w:rsidP="00396F0C">
      <w:pPr>
        <w:pStyle w:val="ListParagraph"/>
        <w:numPr>
          <w:ilvl w:val="6"/>
          <w:numId w:val="42"/>
        </w:numPr>
        <w:tabs>
          <w:tab w:val="left" w:pos="360"/>
          <w:tab w:val="left" w:pos="720"/>
          <w:tab w:val="left" w:pos="1080"/>
          <w:tab w:val="left" w:pos="1440"/>
          <w:tab w:val="left" w:pos="1800"/>
        </w:tabs>
        <w:ind w:left="1080"/>
        <w:contextualSpacing w:val="0"/>
      </w:pPr>
      <w:r>
        <w:t xml:space="preserve">The review team observed moderate and strong evidence that teachers </w:t>
      </w:r>
      <w:r w:rsidR="00980095">
        <w:t xml:space="preserve">demonstrated knowledge of subject matter and content </w:t>
      </w:r>
      <w:r w:rsidR="008F4126">
        <w:t xml:space="preserve">(characteristic </w:t>
      </w:r>
      <w:r>
        <w:t xml:space="preserve"># 1) </w:t>
      </w:r>
      <w:r w:rsidR="00980095">
        <w:t xml:space="preserve">in 80 percent of </w:t>
      </w:r>
      <w:r>
        <w:t xml:space="preserve">elementary-school lessons </w:t>
      </w:r>
      <w:r w:rsidR="00980095">
        <w:t>(44 percent moderate; 36 percent strong),</w:t>
      </w:r>
      <w:r w:rsidR="00980095" w:rsidRPr="00316B92">
        <w:t xml:space="preserve"> </w:t>
      </w:r>
      <w:r>
        <w:t xml:space="preserve">in </w:t>
      </w:r>
      <w:r w:rsidR="00980095">
        <w:t>94 percent of middle</w:t>
      </w:r>
      <w:r>
        <w:t>-</w:t>
      </w:r>
      <w:r w:rsidR="00980095">
        <w:t xml:space="preserve">school </w:t>
      </w:r>
      <w:r>
        <w:t>lessons</w:t>
      </w:r>
      <w:r w:rsidR="00A02DB2">
        <w:t xml:space="preserve"> </w:t>
      </w:r>
      <w:r w:rsidR="00980095">
        <w:t xml:space="preserve">(29 percent moderate; 65 percent strong), and </w:t>
      </w:r>
      <w:r>
        <w:t xml:space="preserve">in </w:t>
      </w:r>
      <w:r w:rsidR="00980095">
        <w:t xml:space="preserve">64 percent of </w:t>
      </w:r>
      <w:r>
        <w:t>high-</w:t>
      </w:r>
      <w:r w:rsidR="00980095">
        <w:t xml:space="preserve">school classes (35 percent moderate; 29 percent strong). </w:t>
      </w:r>
    </w:p>
    <w:p w:rsidR="00980095" w:rsidRPr="00436670" w:rsidRDefault="00AE2853" w:rsidP="00396F0C">
      <w:pPr>
        <w:pStyle w:val="ListParagraph"/>
        <w:numPr>
          <w:ilvl w:val="6"/>
          <w:numId w:val="42"/>
        </w:numPr>
        <w:tabs>
          <w:tab w:val="left" w:pos="360"/>
          <w:tab w:val="left" w:pos="720"/>
          <w:tab w:val="left" w:pos="1080"/>
          <w:tab w:val="left" w:pos="1440"/>
          <w:tab w:val="left" w:pos="1800"/>
        </w:tabs>
        <w:ind w:left="1080"/>
        <w:contextualSpacing w:val="0"/>
      </w:pPr>
      <w:r>
        <w:t xml:space="preserve">Observers noted moderate and strong evidence of instruction </w:t>
      </w:r>
      <w:r w:rsidR="00980095">
        <w:t xml:space="preserve">that reflected high expectations aligned to learning objectives </w:t>
      </w:r>
      <w:r w:rsidR="00DC0BDF">
        <w:t xml:space="preserve">(characteristic # 3) </w:t>
      </w:r>
      <w:r w:rsidR="00980095">
        <w:t xml:space="preserve">in 67 percent </w:t>
      </w:r>
      <w:r w:rsidR="00DC0BDF">
        <w:t xml:space="preserve">of </w:t>
      </w:r>
      <w:r w:rsidR="00980095">
        <w:t>elementary</w:t>
      </w:r>
      <w:r w:rsidR="00DC0BDF">
        <w:t>-school lessons</w:t>
      </w:r>
      <w:r w:rsidR="00980095">
        <w:t xml:space="preserve"> (43 percent moderate; 24 percent strong), </w:t>
      </w:r>
      <w:r w:rsidR="00DC0BDF">
        <w:t xml:space="preserve">in </w:t>
      </w:r>
      <w:r w:rsidR="00980095">
        <w:t xml:space="preserve">84 percent of </w:t>
      </w:r>
      <w:r w:rsidR="00DC0BDF">
        <w:t>middle-</w:t>
      </w:r>
      <w:r w:rsidR="00980095">
        <w:t xml:space="preserve">school </w:t>
      </w:r>
      <w:r w:rsidR="00DC0BDF">
        <w:t>lessons</w:t>
      </w:r>
      <w:r w:rsidR="003E4165">
        <w:t xml:space="preserve"> </w:t>
      </w:r>
      <w:r w:rsidR="00980095">
        <w:t xml:space="preserve">(42 percent moderate; 42 percent strong), and </w:t>
      </w:r>
      <w:r w:rsidR="00DC0BDF">
        <w:t xml:space="preserve">in </w:t>
      </w:r>
      <w:r w:rsidR="00980095">
        <w:t>58 percent of high</w:t>
      </w:r>
      <w:r w:rsidR="00DC0BDF">
        <w:t>-</w:t>
      </w:r>
      <w:r w:rsidR="00980095">
        <w:t xml:space="preserve">school </w:t>
      </w:r>
      <w:r w:rsidR="00DC0BDF">
        <w:t>lessons</w:t>
      </w:r>
      <w:r w:rsidR="003E4165">
        <w:t xml:space="preserve"> </w:t>
      </w:r>
      <w:r w:rsidR="00980095">
        <w:t xml:space="preserve">(33 percent moderate; 25 percent strong). Classrooms reflected a similar trend in the use of appropriate instructional strategies that promoted student access and engagement with content.  </w:t>
      </w:r>
      <w:r w:rsidR="00DC0BDF">
        <w:t xml:space="preserve">The team found moderate </w:t>
      </w:r>
      <w:r w:rsidR="00980095">
        <w:t xml:space="preserve">and strong evidence </w:t>
      </w:r>
      <w:r w:rsidR="00DC0BDF">
        <w:t xml:space="preserve">of teachers using appropriate instructional strategies well matched to the learning objectives (characteristic # 4) </w:t>
      </w:r>
      <w:r w:rsidR="00980095">
        <w:t>in 75 percent of elementary</w:t>
      </w:r>
      <w:r w:rsidR="00DC0BDF">
        <w:t>-school classrooms</w:t>
      </w:r>
      <w:r w:rsidR="002859BA">
        <w:t xml:space="preserve"> (45 percent moderate; 30 percent strong)</w:t>
      </w:r>
      <w:r w:rsidR="00980095">
        <w:t xml:space="preserve">, </w:t>
      </w:r>
      <w:r w:rsidR="00DC0BDF">
        <w:t xml:space="preserve">in </w:t>
      </w:r>
      <w:r w:rsidR="00980095">
        <w:t>84 percent of middle</w:t>
      </w:r>
      <w:r w:rsidR="00DC0BDF">
        <w:t>-</w:t>
      </w:r>
      <w:r w:rsidR="00980095">
        <w:t>school</w:t>
      </w:r>
      <w:r w:rsidR="00DC0BDF">
        <w:t xml:space="preserve"> classrooms</w:t>
      </w:r>
      <w:r w:rsidR="002859BA">
        <w:t xml:space="preserve"> (45 percent moderate; 39 percent strong)</w:t>
      </w:r>
      <w:r w:rsidR="00980095">
        <w:t xml:space="preserve">, and </w:t>
      </w:r>
      <w:r w:rsidR="00DC0BDF">
        <w:t xml:space="preserve">in </w:t>
      </w:r>
      <w:r w:rsidR="00980095">
        <w:t xml:space="preserve">57 percent of </w:t>
      </w:r>
      <w:r w:rsidR="00DC0BDF">
        <w:t>high-</w:t>
      </w:r>
      <w:r w:rsidR="00980095">
        <w:t xml:space="preserve">school </w:t>
      </w:r>
      <w:r w:rsidR="00980095" w:rsidRPr="00436670">
        <w:t>classrooms</w:t>
      </w:r>
      <w:r w:rsidR="003E4165">
        <w:t xml:space="preserve"> </w:t>
      </w:r>
      <w:r w:rsidR="002859BA">
        <w:t>(38 percent moderate; 19 percent strong</w:t>
      </w:r>
      <w:r w:rsidR="00980095" w:rsidRPr="00436670">
        <w:t xml:space="preserve">).   </w:t>
      </w:r>
    </w:p>
    <w:p w:rsidR="00FA69B1" w:rsidRDefault="00980095" w:rsidP="00396F0C">
      <w:pPr>
        <w:pStyle w:val="ListParagraph"/>
        <w:tabs>
          <w:tab w:val="left" w:pos="360"/>
          <w:tab w:val="left" w:pos="720"/>
          <w:tab w:val="left" w:pos="1080"/>
          <w:tab w:val="left" w:pos="1440"/>
          <w:tab w:val="left" w:pos="2160"/>
        </w:tabs>
        <w:ind w:left="1440" w:hanging="360"/>
        <w:contextualSpacing w:val="0"/>
      </w:pPr>
      <w:r>
        <w:t xml:space="preserve">a. </w:t>
      </w:r>
      <w:r w:rsidR="00FA69B1">
        <w:tab/>
        <w:t>One lesson reflecting rigor and high expectations</w:t>
      </w:r>
      <w:r>
        <w:t xml:space="preserve"> </w:t>
      </w:r>
      <w:r w:rsidR="00FA69B1">
        <w:t xml:space="preserve">challenged students </w:t>
      </w:r>
      <w:r>
        <w:t xml:space="preserve">to use available materials to create </w:t>
      </w:r>
      <w:r w:rsidR="00FA69B1">
        <w:t xml:space="preserve">a </w:t>
      </w:r>
      <w:r>
        <w:t>quiz board with wired circuits on the back. A bulb would light up when a question was connected with its correct answer.  Students worked in teams to design a prototype that would solve a story character’s problem.  In another classroom, students used globes, sticks, flashlights, and Styrofoam balls to model a lunar eclipse and were assigned roles</w:t>
      </w:r>
      <w:r w:rsidR="00FA69B1">
        <w:t xml:space="preserve"> in their small group</w:t>
      </w:r>
      <w:r w:rsidR="00DC0BDF">
        <w:t>s</w:t>
      </w:r>
      <w:r>
        <w:t xml:space="preserve"> that maximized </w:t>
      </w:r>
      <w:r w:rsidR="00FA69B1">
        <w:t xml:space="preserve">student </w:t>
      </w:r>
      <w:r>
        <w:t>engagement.</w:t>
      </w:r>
    </w:p>
    <w:p w:rsidR="00980095" w:rsidRPr="008B343F" w:rsidRDefault="00FA69B1" w:rsidP="00396F0C">
      <w:pPr>
        <w:pStyle w:val="ListParagraph"/>
        <w:tabs>
          <w:tab w:val="left" w:pos="360"/>
          <w:tab w:val="left" w:pos="720"/>
          <w:tab w:val="left" w:pos="1080"/>
          <w:tab w:val="left" w:pos="1440"/>
          <w:tab w:val="left" w:pos="2160"/>
        </w:tabs>
        <w:ind w:left="1440" w:hanging="360"/>
        <w:contextualSpacing w:val="0"/>
      </w:pPr>
      <w:r>
        <w:lastRenderedPageBreak/>
        <w:t>b.</w:t>
      </w:r>
      <w:r>
        <w:tab/>
      </w:r>
      <w:r w:rsidR="00980095" w:rsidRPr="008B343F">
        <w:t xml:space="preserve">Conversely, lessons that were not reflective of rigor and high expectations often were characterized by </w:t>
      </w:r>
      <w:r w:rsidR="00DC0BDF" w:rsidRPr="008B343F">
        <w:t>whole</w:t>
      </w:r>
      <w:r w:rsidR="00DC0BDF">
        <w:t>-</w:t>
      </w:r>
      <w:r w:rsidR="00980095" w:rsidRPr="008B343F">
        <w:t>class</w:t>
      </w:r>
      <w:r w:rsidR="00DC0BDF">
        <w:t>,</w:t>
      </w:r>
      <w:r w:rsidR="00980095" w:rsidRPr="008B343F">
        <w:t xml:space="preserve"> teacher-directed instruction that required </w:t>
      </w:r>
      <w:r w:rsidR="00DC0BDF">
        <w:t xml:space="preserve">limited </w:t>
      </w:r>
      <w:r w:rsidR="00980095" w:rsidRPr="008B343F">
        <w:t>student interac</w:t>
      </w:r>
      <w:r>
        <w:t xml:space="preserve">tion, </w:t>
      </w:r>
      <w:r w:rsidR="00DC0BDF">
        <w:t xml:space="preserve">with </w:t>
      </w:r>
      <w:r>
        <w:t>lectures, low-</w:t>
      </w:r>
      <w:r w:rsidR="00980095" w:rsidRPr="008B343F">
        <w:t>level questioning</w:t>
      </w:r>
      <w:r w:rsidR="00DC0BDF">
        <w:t>,</w:t>
      </w:r>
      <w:r w:rsidR="00980095" w:rsidRPr="008B343F">
        <w:t xml:space="preserve"> and teacher modeling followed by paper/pencil assignments.</w:t>
      </w:r>
    </w:p>
    <w:p w:rsidR="00980095" w:rsidRDefault="00E95ACC" w:rsidP="00386849">
      <w:pPr>
        <w:pStyle w:val="ListParagraph"/>
        <w:numPr>
          <w:ilvl w:val="6"/>
          <w:numId w:val="42"/>
        </w:numPr>
        <w:tabs>
          <w:tab w:val="left" w:pos="360"/>
          <w:tab w:val="left" w:pos="720"/>
          <w:tab w:val="left" w:pos="1080"/>
          <w:tab w:val="left" w:pos="1440"/>
          <w:tab w:val="left" w:pos="1800"/>
        </w:tabs>
        <w:ind w:left="1080"/>
        <w:contextualSpacing w:val="0"/>
        <w:rPr>
          <w:u w:val="single"/>
        </w:rPr>
      </w:pPr>
      <w:r>
        <w:t xml:space="preserve">In observed classrooms, the incidence </w:t>
      </w:r>
      <w:r w:rsidR="00980095">
        <w:t xml:space="preserve">of teachers facilitating tasks that were engaging, promoted student discourse about content and ideas, and provided opportunities for students to connect to prior knowledge and engage in authentic application of new knowledge varied greatly across </w:t>
      </w:r>
      <w:r w:rsidR="00FA69B1">
        <w:t xml:space="preserve">school </w:t>
      </w:r>
      <w:r w:rsidR="00980095">
        <w:t>levels.</w:t>
      </w:r>
    </w:p>
    <w:p w:rsidR="00980095" w:rsidRPr="003041EC" w:rsidRDefault="00B23EFE" w:rsidP="00386849">
      <w:pPr>
        <w:pStyle w:val="ListParagraph"/>
        <w:numPr>
          <w:ilvl w:val="7"/>
          <w:numId w:val="42"/>
        </w:numPr>
        <w:tabs>
          <w:tab w:val="left" w:pos="360"/>
          <w:tab w:val="left" w:pos="720"/>
          <w:tab w:val="left" w:pos="1080"/>
          <w:tab w:val="left" w:pos="1440"/>
          <w:tab w:val="left" w:pos="1800"/>
        </w:tabs>
        <w:ind w:left="1440"/>
        <w:contextualSpacing w:val="0"/>
        <w:rPr>
          <w:u w:val="single"/>
        </w:rPr>
      </w:pPr>
      <w:r>
        <w:t xml:space="preserve">There was moderate and strong evidence that </w:t>
      </w:r>
      <w:r w:rsidR="00980095">
        <w:t xml:space="preserve">students were motivated and engaged </w:t>
      </w:r>
      <w:r w:rsidR="00EF7955">
        <w:t xml:space="preserve">in </w:t>
      </w:r>
      <w:r w:rsidR="00980095">
        <w:t xml:space="preserve">the lesson </w:t>
      </w:r>
      <w:r>
        <w:t>(characteristic # 5)</w:t>
      </w:r>
      <w:r w:rsidR="00980095">
        <w:t xml:space="preserve"> in 77 percent of elementary</w:t>
      </w:r>
      <w:r w:rsidR="009E5C05">
        <w:t>-school classes</w:t>
      </w:r>
      <w:r w:rsidR="00980095">
        <w:t xml:space="preserve"> (41 percent moderate; 36 percent strong), </w:t>
      </w:r>
      <w:r w:rsidR="009E5C05">
        <w:t xml:space="preserve">in </w:t>
      </w:r>
      <w:r w:rsidR="00980095">
        <w:t>90 percent of middle</w:t>
      </w:r>
      <w:r w:rsidR="009E5C05">
        <w:t>-school classes</w:t>
      </w:r>
      <w:r w:rsidR="00980095">
        <w:t xml:space="preserve"> (32 percent moderate; 58 percent strong), and </w:t>
      </w:r>
      <w:r w:rsidR="009E5C05">
        <w:t xml:space="preserve">in </w:t>
      </w:r>
      <w:r w:rsidR="00980095">
        <w:t xml:space="preserve">63 percent of </w:t>
      </w:r>
      <w:r w:rsidR="009E5C05">
        <w:t>high-</w:t>
      </w:r>
      <w:r w:rsidR="00980095">
        <w:t>school classes (38 percent moderate; 25 percent strong).</w:t>
      </w:r>
      <w:r w:rsidR="00952586">
        <w:t xml:space="preserve"> </w:t>
      </w:r>
      <w:r w:rsidR="009E5C05">
        <w:t xml:space="preserve">Lessons in which students were motivated and </w:t>
      </w:r>
      <w:r w:rsidR="00EF7955">
        <w:t xml:space="preserve">actively </w:t>
      </w:r>
      <w:r w:rsidR="009E5C05">
        <w:t xml:space="preserve">engaged </w:t>
      </w:r>
      <w:r w:rsidR="00952586">
        <w:t>include focused, well-</w:t>
      </w:r>
      <w:r w:rsidR="00980095">
        <w:t>designed group work, lively content discussions, and project-bas</w:t>
      </w:r>
      <w:r w:rsidR="00FA69B1">
        <w:t xml:space="preserve">ed activities. </w:t>
      </w:r>
    </w:p>
    <w:p w:rsidR="00980095" w:rsidRPr="00DD1F5A" w:rsidRDefault="00980095" w:rsidP="00386849">
      <w:pPr>
        <w:pStyle w:val="ListParagraph"/>
        <w:numPr>
          <w:ilvl w:val="7"/>
          <w:numId w:val="42"/>
        </w:numPr>
        <w:tabs>
          <w:tab w:val="left" w:pos="360"/>
          <w:tab w:val="left" w:pos="720"/>
          <w:tab w:val="left" w:pos="1080"/>
          <w:tab w:val="left" w:pos="1440"/>
          <w:tab w:val="left" w:pos="1800"/>
        </w:tabs>
        <w:ind w:left="1440"/>
        <w:contextualSpacing w:val="0"/>
        <w:rPr>
          <w:u w:val="single"/>
        </w:rPr>
      </w:pPr>
      <w:r>
        <w:t xml:space="preserve">Moderate </w:t>
      </w:r>
      <w:r w:rsidR="00EF7955">
        <w:t xml:space="preserve">and </w:t>
      </w:r>
      <w:r>
        <w:t xml:space="preserve">strong evidence of </w:t>
      </w:r>
      <w:r w:rsidR="000A615B">
        <w:t>teachers facilitating</w:t>
      </w:r>
      <w:r>
        <w:t xml:space="preserve"> tasks that </w:t>
      </w:r>
      <w:r w:rsidR="000A615B">
        <w:t xml:space="preserve">encouraged students to develop and engage in </w:t>
      </w:r>
      <w:r>
        <w:t xml:space="preserve">critical thinking analysis and/or application of new knowledge throughout the lesson </w:t>
      </w:r>
      <w:r w:rsidR="00EF7955">
        <w:t xml:space="preserve">(characteristic #6) </w:t>
      </w:r>
      <w:r>
        <w:t xml:space="preserve">was noted in 64 percent of elementary (41 percent moderate; 23 percent strong), </w:t>
      </w:r>
      <w:r w:rsidR="00772E34">
        <w:t xml:space="preserve">in </w:t>
      </w:r>
      <w:r>
        <w:t>77 percent of middle</w:t>
      </w:r>
      <w:r w:rsidR="00772E34">
        <w:t>-</w:t>
      </w:r>
      <w:r>
        <w:t xml:space="preserve">school (29 percent moderate; 48 percent strong), and </w:t>
      </w:r>
      <w:r w:rsidR="00772E34">
        <w:t xml:space="preserve">in </w:t>
      </w:r>
      <w:r>
        <w:t>52 percent of high</w:t>
      </w:r>
      <w:r w:rsidR="00772E34">
        <w:t>-</w:t>
      </w:r>
      <w:r>
        <w:t xml:space="preserve"> school lessons (27 percent moderate; 25 percent strong).  </w:t>
      </w:r>
    </w:p>
    <w:p w:rsidR="006C034C" w:rsidRDefault="00980095" w:rsidP="00386849">
      <w:pPr>
        <w:pStyle w:val="ListParagraph"/>
        <w:numPr>
          <w:ilvl w:val="6"/>
          <w:numId w:val="42"/>
        </w:numPr>
        <w:tabs>
          <w:tab w:val="left" w:pos="360"/>
          <w:tab w:val="left" w:pos="720"/>
          <w:tab w:val="left" w:pos="1080"/>
          <w:tab w:val="left" w:pos="1440"/>
          <w:tab w:val="left" w:pos="1800"/>
        </w:tabs>
        <w:ind w:left="1080"/>
        <w:contextualSpacing w:val="0"/>
      </w:pPr>
      <w:r>
        <w:t>Moderate and strong evidence of lessons structured with multiple entry points that account</w:t>
      </w:r>
      <w:r w:rsidR="007E324B">
        <w:t xml:space="preserve"> </w:t>
      </w:r>
      <w:r>
        <w:t xml:space="preserve">for differences in learning needs, interests, and levels of readiness </w:t>
      </w:r>
      <w:r w:rsidR="00381248">
        <w:t xml:space="preserve">(characteristic #8) </w:t>
      </w:r>
      <w:r>
        <w:t>was evident in 51 percent of observed elementary</w:t>
      </w:r>
      <w:r w:rsidR="00381248">
        <w:t>-school lessons</w:t>
      </w:r>
      <w:r>
        <w:t xml:space="preserve"> (33 percent moderate; 18 percent strong), </w:t>
      </w:r>
      <w:r w:rsidR="00381248">
        <w:t xml:space="preserve">in </w:t>
      </w:r>
      <w:r>
        <w:t xml:space="preserve">58 percent of </w:t>
      </w:r>
      <w:r w:rsidR="00381248">
        <w:t>middle-</w:t>
      </w:r>
      <w:r>
        <w:t xml:space="preserve">school </w:t>
      </w:r>
      <w:r w:rsidR="00381248">
        <w:t xml:space="preserve">lessons </w:t>
      </w:r>
      <w:r>
        <w:t xml:space="preserve">(26 percent moderate; 32 percent strong), and </w:t>
      </w:r>
      <w:r w:rsidR="00381248">
        <w:t xml:space="preserve">in just </w:t>
      </w:r>
      <w:r>
        <w:t xml:space="preserve">34 percent of </w:t>
      </w:r>
      <w:r w:rsidR="00381248">
        <w:t>high-</w:t>
      </w:r>
      <w:r>
        <w:t xml:space="preserve">school </w:t>
      </w:r>
      <w:r w:rsidR="00381248">
        <w:t xml:space="preserve">lessons </w:t>
      </w:r>
      <w:r>
        <w:t>(15 percent moderate; 1</w:t>
      </w:r>
      <w:r w:rsidR="00952586">
        <w:t xml:space="preserve">9 percent strong). </w:t>
      </w:r>
    </w:p>
    <w:p w:rsidR="0047041E" w:rsidRDefault="00772E34" w:rsidP="0047041E">
      <w:pPr>
        <w:tabs>
          <w:tab w:val="left" w:pos="360"/>
          <w:tab w:val="left" w:pos="720"/>
          <w:tab w:val="left" w:pos="1080"/>
          <w:tab w:val="left" w:pos="1440"/>
          <w:tab w:val="left" w:pos="1800"/>
        </w:tabs>
        <w:ind w:left="1440" w:hanging="1440"/>
      </w:pPr>
      <w:r>
        <w:tab/>
      </w:r>
      <w:r>
        <w:tab/>
      </w:r>
      <w:r w:rsidR="00E84765">
        <w:tab/>
      </w:r>
      <w:r w:rsidR="00A33E31">
        <w:t>a.</w:t>
      </w:r>
      <w:r w:rsidR="00A33E31">
        <w:tab/>
      </w:r>
      <w:r w:rsidR="00980095">
        <w:t>Teachers and administrators reported that large class sizes</w:t>
      </w:r>
      <w:r w:rsidR="00A33E31">
        <w:t>---</w:t>
      </w:r>
      <w:r w:rsidR="00980095">
        <w:t>which are also a concern of parents</w:t>
      </w:r>
      <w:r w:rsidR="00E84765">
        <w:t>---</w:t>
      </w:r>
      <w:r w:rsidR="00952586">
        <w:t>have limited teachers’ abilities</w:t>
      </w:r>
      <w:r w:rsidR="00980095">
        <w:t xml:space="preserve"> to effectively differentiate instruction and </w:t>
      </w:r>
      <w:r w:rsidR="007E324B">
        <w:t xml:space="preserve">said that </w:t>
      </w:r>
      <w:r w:rsidR="00980095">
        <w:t>further work is needed to support teachers in this effort.</w:t>
      </w:r>
    </w:p>
    <w:p w:rsidR="0047041E" w:rsidRPr="0047041E" w:rsidRDefault="0056318E" w:rsidP="0047041E">
      <w:pPr>
        <w:tabs>
          <w:tab w:val="left" w:pos="360"/>
          <w:tab w:val="left" w:pos="720"/>
          <w:tab w:val="left" w:pos="1080"/>
          <w:tab w:val="left" w:pos="1440"/>
          <w:tab w:val="left" w:pos="2160"/>
        </w:tabs>
        <w:ind w:left="1440" w:hanging="1080"/>
        <w:rPr>
          <w:rFonts w:ascii="Calibri" w:hAnsi="Calibri"/>
          <w:b/>
          <w:bCs/>
        </w:rPr>
      </w:pPr>
      <w:r>
        <w:rPr>
          <w:rFonts w:ascii="Calibri" w:hAnsi="Calibri"/>
        </w:rPr>
        <w:tab/>
      </w:r>
      <w:r w:rsidR="00E84765">
        <w:rPr>
          <w:rFonts w:ascii="Calibri" w:hAnsi="Calibri"/>
        </w:rPr>
        <w:tab/>
      </w:r>
      <w:r>
        <w:rPr>
          <w:rFonts w:ascii="Calibri" w:hAnsi="Calibri"/>
        </w:rPr>
        <w:t>b.</w:t>
      </w:r>
      <w:r>
        <w:rPr>
          <w:rFonts w:ascii="Calibri" w:hAnsi="Calibri"/>
        </w:rPr>
        <w:tab/>
      </w:r>
      <w:r w:rsidR="0047041E" w:rsidRPr="0047041E">
        <w:rPr>
          <w:rFonts w:ascii="Calibri" w:hAnsi="Calibri"/>
        </w:rPr>
        <w:t xml:space="preserve">Teachers reported that even though they understand the research behind differentiated approaches, professional development on the topic had been sporadic and application of these strategies in their classrooms has not been consistent. </w:t>
      </w:r>
    </w:p>
    <w:p w:rsidR="0047041E" w:rsidRPr="0047041E" w:rsidRDefault="00E84765" w:rsidP="0047041E">
      <w:pPr>
        <w:tabs>
          <w:tab w:val="left" w:pos="360"/>
          <w:tab w:val="left" w:pos="720"/>
          <w:tab w:val="left" w:pos="1080"/>
          <w:tab w:val="left" w:pos="1440"/>
          <w:tab w:val="left" w:pos="2160"/>
        </w:tabs>
        <w:ind w:left="1440" w:hanging="720"/>
        <w:rPr>
          <w:rFonts w:ascii="Calibri" w:hAnsi="Calibri"/>
          <w:b/>
          <w:bCs/>
        </w:rPr>
      </w:pPr>
      <w:r>
        <w:rPr>
          <w:rFonts w:ascii="Calibri" w:hAnsi="Calibri"/>
        </w:rPr>
        <w:tab/>
      </w:r>
      <w:r w:rsidR="00930F83">
        <w:rPr>
          <w:rFonts w:ascii="Calibri" w:hAnsi="Calibri"/>
        </w:rPr>
        <w:t>c.</w:t>
      </w:r>
      <w:r w:rsidR="00930F83">
        <w:rPr>
          <w:rFonts w:ascii="Calibri" w:hAnsi="Calibri"/>
        </w:rPr>
        <w:tab/>
      </w:r>
      <w:r w:rsidR="0047041E" w:rsidRPr="0047041E">
        <w:rPr>
          <w:rFonts w:ascii="Calibri" w:hAnsi="Calibri"/>
        </w:rPr>
        <w:t>For example, when asked if they had a common districtwide understanding of what effective instruction looks like, a teacher noted, “Everyone knows what we are supposed to do. Getting there is another story.” </w:t>
      </w:r>
    </w:p>
    <w:p w:rsidR="0047041E" w:rsidRPr="0047041E" w:rsidRDefault="00E84765" w:rsidP="0047041E">
      <w:pPr>
        <w:tabs>
          <w:tab w:val="left" w:pos="360"/>
          <w:tab w:val="left" w:pos="720"/>
          <w:tab w:val="left" w:pos="1080"/>
          <w:tab w:val="left" w:pos="1440"/>
          <w:tab w:val="left" w:pos="1800"/>
        </w:tabs>
        <w:ind w:left="1440" w:hanging="720"/>
        <w:rPr>
          <w:rFonts w:ascii="Calibri" w:hAnsi="Calibri"/>
          <w:b/>
          <w:bCs/>
        </w:rPr>
      </w:pPr>
      <w:r>
        <w:rPr>
          <w:rFonts w:ascii="Calibri" w:hAnsi="Calibri"/>
        </w:rPr>
        <w:lastRenderedPageBreak/>
        <w:tab/>
      </w:r>
      <w:r w:rsidR="00930F83">
        <w:rPr>
          <w:rFonts w:ascii="Calibri" w:hAnsi="Calibri"/>
        </w:rPr>
        <w:t>d.</w:t>
      </w:r>
      <w:r w:rsidR="00930F83">
        <w:rPr>
          <w:rFonts w:ascii="Calibri" w:hAnsi="Calibri"/>
        </w:rPr>
        <w:tab/>
      </w:r>
      <w:r w:rsidR="009801E3">
        <w:rPr>
          <w:rFonts w:ascii="Calibri" w:hAnsi="Calibri"/>
        </w:rPr>
        <w:t>Some a</w:t>
      </w:r>
      <w:r w:rsidR="009801E3" w:rsidRPr="0047041E">
        <w:rPr>
          <w:rFonts w:ascii="Calibri" w:hAnsi="Calibri"/>
        </w:rPr>
        <w:t>dministrators</w:t>
      </w:r>
      <w:r>
        <w:rPr>
          <w:rFonts w:ascii="Calibri" w:hAnsi="Calibri"/>
        </w:rPr>
        <w:t xml:space="preserve"> </w:t>
      </w:r>
      <w:r w:rsidR="001016D2">
        <w:rPr>
          <w:rFonts w:ascii="Calibri" w:hAnsi="Calibri"/>
        </w:rPr>
        <w:t xml:space="preserve">told </w:t>
      </w:r>
      <w:r w:rsidR="001016D2" w:rsidRPr="0047041E">
        <w:rPr>
          <w:rFonts w:ascii="Calibri" w:hAnsi="Calibri"/>
        </w:rPr>
        <w:t>the</w:t>
      </w:r>
      <w:r w:rsidR="0047041E" w:rsidRPr="0047041E">
        <w:rPr>
          <w:rFonts w:ascii="Calibri" w:hAnsi="Calibri"/>
        </w:rPr>
        <w:t xml:space="preserve"> review team that “teachers don’t have a clear understanding of what Tier I strategies look like.”</w:t>
      </w:r>
    </w:p>
    <w:p w:rsidR="0047041E" w:rsidRDefault="00A33E31" w:rsidP="0047041E">
      <w:pPr>
        <w:tabs>
          <w:tab w:val="left" w:pos="360"/>
          <w:tab w:val="left" w:pos="720"/>
          <w:tab w:val="left" w:pos="1080"/>
          <w:tab w:val="left" w:pos="1440"/>
          <w:tab w:val="left" w:pos="1800"/>
          <w:tab w:val="left" w:pos="2160"/>
        </w:tabs>
        <w:ind w:left="1080" w:hanging="1080"/>
      </w:pPr>
      <w:r>
        <w:tab/>
      </w:r>
      <w:r w:rsidR="001B45F5">
        <w:tab/>
      </w:r>
      <w:r w:rsidR="00E84765">
        <w:t>5</w:t>
      </w:r>
      <w:r>
        <w:t>.</w:t>
      </w:r>
      <w:r>
        <w:tab/>
      </w:r>
      <w:r w:rsidR="0066337E">
        <w:t xml:space="preserve">Moderate and strong evidence </w:t>
      </w:r>
      <w:r w:rsidR="00980095">
        <w:t>of teachers using</w:t>
      </w:r>
      <w:r w:rsidR="00980095" w:rsidRPr="0047075D">
        <w:t xml:space="preserve"> appropriate resources </w:t>
      </w:r>
      <w:r w:rsidR="00542DDC">
        <w:t xml:space="preserve">aligned </w:t>
      </w:r>
      <w:r w:rsidR="00980095" w:rsidRPr="0047075D">
        <w:t>to students’ diver</w:t>
      </w:r>
      <w:r w:rsidR="00980095">
        <w:t xml:space="preserve">se </w:t>
      </w:r>
      <w:r w:rsidR="00980095" w:rsidRPr="0047075D">
        <w:t xml:space="preserve">learning needs </w:t>
      </w:r>
      <w:r w:rsidR="00542DDC">
        <w:t xml:space="preserve">(characteristic # 9) </w:t>
      </w:r>
      <w:r w:rsidR="007E324B">
        <w:t>was found in 58 percent of elementary-school classes</w:t>
      </w:r>
      <w:r w:rsidR="00E84765">
        <w:t xml:space="preserve"> 39 percent moderate; 19 percent strong</w:t>
      </w:r>
      <w:r w:rsidR="00952586">
        <w:t>,</w:t>
      </w:r>
      <w:r w:rsidR="00980095">
        <w:t xml:space="preserve"> </w:t>
      </w:r>
      <w:r w:rsidR="007E324B">
        <w:t>in 74 percent of middle-school classes</w:t>
      </w:r>
      <w:r w:rsidR="00E84765">
        <w:t xml:space="preserve"> (35 percent moderate; 39 percent strong)</w:t>
      </w:r>
      <w:r w:rsidR="007E324B">
        <w:t xml:space="preserve">, and in only 46 percent of </w:t>
      </w:r>
      <w:r w:rsidR="00542DDC">
        <w:t>high-</w:t>
      </w:r>
      <w:r w:rsidR="00980095">
        <w:t xml:space="preserve">school </w:t>
      </w:r>
      <w:r w:rsidR="007E324B">
        <w:t>classes</w:t>
      </w:r>
      <w:r w:rsidR="00E84765">
        <w:t xml:space="preserve"> 29 percent moderate; 17 percent strong)</w:t>
      </w:r>
      <w:r w:rsidR="00952586">
        <w:t>.</w:t>
      </w:r>
      <w:r w:rsidR="00952586">
        <w:tab/>
      </w:r>
    </w:p>
    <w:p w:rsidR="0047041E" w:rsidRDefault="00A33E31" w:rsidP="0047041E">
      <w:pPr>
        <w:tabs>
          <w:tab w:val="left" w:pos="360"/>
          <w:tab w:val="left" w:pos="720"/>
          <w:tab w:val="left" w:pos="1080"/>
          <w:tab w:val="left" w:pos="1440"/>
          <w:tab w:val="left" w:pos="1800"/>
          <w:tab w:val="left" w:pos="2160"/>
        </w:tabs>
        <w:ind w:left="1080" w:hanging="1080"/>
      </w:pPr>
      <w:r>
        <w:tab/>
      </w:r>
      <w:r w:rsidR="001B45F5">
        <w:tab/>
      </w:r>
      <w:r w:rsidR="00E84765">
        <w:t>6</w:t>
      </w:r>
      <w:r>
        <w:t>.</w:t>
      </w:r>
      <w:r>
        <w:tab/>
      </w:r>
      <w:r w:rsidR="00980095" w:rsidRPr="00872836">
        <w:t xml:space="preserve">Additionally, </w:t>
      </w:r>
      <w:r w:rsidR="007E324B">
        <w:t xml:space="preserve">in observed classrooms </w:t>
      </w:r>
      <w:r w:rsidR="00980095" w:rsidRPr="00872836">
        <w:t xml:space="preserve">teachers </w:t>
      </w:r>
      <w:r w:rsidR="007E324B">
        <w:t xml:space="preserve">conducted formative assessments to </w:t>
      </w:r>
      <w:r w:rsidR="00980095" w:rsidRPr="00872836">
        <w:t xml:space="preserve">check for understanding and provided </w:t>
      </w:r>
      <w:r w:rsidR="007E324B">
        <w:t xml:space="preserve">feedback to </w:t>
      </w:r>
      <w:r w:rsidR="00980095" w:rsidRPr="00872836">
        <w:t xml:space="preserve">students </w:t>
      </w:r>
      <w:r w:rsidR="007E324B">
        <w:t>(characteristic # 11) in 70 percent of elementary-school classes</w:t>
      </w:r>
      <w:r w:rsidR="00E84765">
        <w:t xml:space="preserve"> (44 percent moderate; 26 percent strong)</w:t>
      </w:r>
      <w:r w:rsidR="007E324B">
        <w:t>, in 87 percent of middle-school classes</w:t>
      </w:r>
      <w:r w:rsidR="00E84765">
        <w:t xml:space="preserve"> (35 percent moderate; 52 percent strong)</w:t>
      </w:r>
      <w:r w:rsidR="007E324B">
        <w:t>, and in 55 percent of high-school classes</w:t>
      </w:r>
      <w:r w:rsidR="00E84765">
        <w:t xml:space="preserve"> 38 percent moderate; 17 percent strong)</w:t>
      </w:r>
      <w:r w:rsidR="00980095" w:rsidRPr="00872836">
        <w:t xml:space="preserve">.  </w:t>
      </w:r>
    </w:p>
    <w:p w:rsidR="00980095" w:rsidRPr="004E0E27" w:rsidRDefault="00980095" w:rsidP="00386849">
      <w:pPr>
        <w:pStyle w:val="ListParagraph"/>
        <w:numPr>
          <w:ilvl w:val="0"/>
          <w:numId w:val="42"/>
        </w:numPr>
        <w:tabs>
          <w:tab w:val="left" w:pos="360"/>
          <w:tab w:val="left" w:pos="720"/>
          <w:tab w:val="left" w:pos="1080"/>
          <w:tab w:val="left" w:pos="1440"/>
          <w:tab w:val="left" w:pos="1800"/>
          <w:tab w:val="left" w:pos="2160"/>
        </w:tabs>
        <w:ind w:left="720"/>
        <w:contextualSpacing w:val="0"/>
      </w:pPr>
      <w:r>
        <w:rPr>
          <w:b/>
        </w:rPr>
        <w:t>HQTL Framework Essential Element: Student Ownership of Learning – Students</w:t>
      </w:r>
      <w:r w:rsidR="00952586">
        <w:rPr>
          <w:b/>
        </w:rPr>
        <w:t>.</w:t>
      </w:r>
      <w:r>
        <w:rPr>
          <w:b/>
        </w:rPr>
        <w:t xml:space="preserve"> </w:t>
      </w:r>
      <w:r>
        <w:t xml:space="preserve">Classrooms where students were primarily responsible for their own learning through </w:t>
      </w:r>
      <w:r w:rsidR="008F4126">
        <w:t>teacher-</w:t>
      </w:r>
      <w:r>
        <w:t>facilitated</w:t>
      </w:r>
      <w:r w:rsidR="008F4126">
        <w:t>,</w:t>
      </w:r>
      <w:r>
        <w:t xml:space="preserve"> student-led explorations and the learning of content individually, in pairs, or in groups throughout the lesson varied significantly by </w:t>
      </w:r>
      <w:r w:rsidR="00952586">
        <w:t xml:space="preserve">school </w:t>
      </w:r>
      <w:r>
        <w:t xml:space="preserve">level.  In a high percentage of </w:t>
      </w:r>
      <w:r w:rsidR="008F4126">
        <w:t>observed high-</w:t>
      </w:r>
      <w:r>
        <w:t xml:space="preserve">school classrooms, the instruction was teacher directed and students were </w:t>
      </w:r>
      <w:r w:rsidR="00492D22">
        <w:t xml:space="preserve">not </w:t>
      </w:r>
      <w:r>
        <w:t xml:space="preserve">responsible for </w:t>
      </w:r>
      <w:r w:rsidR="00492D22">
        <w:t>doing the thinking in the classroom</w:t>
      </w:r>
      <w:r w:rsidR="003E4165">
        <w:t>.</w:t>
      </w:r>
    </w:p>
    <w:p w:rsidR="00980095" w:rsidRPr="004E0E27" w:rsidRDefault="00492D22" w:rsidP="00386849">
      <w:pPr>
        <w:pStyle w:val="ListParagraph"/>
        <w:numPr>
          <w:ilvl w:val="6"/>
          <w:numId w:val="42"/>
        </w:numPr>
        <w:tabs>
          <w:tab w:val="left" w:pos="360"/>
          <w:tab w:val="left" w:pos="720"/>
          <w:tab w:val="left" w:pos="1080"/>
          <w:tab w:val="left" w:pos="1440"/>
          <w:tab w:val="left" w:pos="1800"/>
        </w:tabs>
        <w:ind w:left="1080"/>
        <w:contextualSpacing w:val="0"/>
      </w:pPr>
      <w:r>
        <w:t xml:space="preserve">Strong and moderate evidence </w:t>
      </w:r>
      <w:r w:rsidR="00C8606B">
        <w:t xml:space="preserve">that </w:t>
      </w:r>
      <w:r>
        <w:t>s</w:t>
      </w:r>
      <w:r w:rsidRPr="004E0E27">
        <w:t xml:space="preserve">tudents </w:t>
      </w:r>
      <w:r w:rsidR="00980095" w:rsidRPr="004E0E27">
        <w:t>assumed responsibility for their</w:t>
      </w:r>
      <w:r w:rsidR="00980095">
        <w:t xml:space="preserve"> own learning </w:t>
      </w:r>
      <w:r>
        <w:t xml:space="preserve">whether individually, in pairs, or in groups (characteristic # 7) was noted </w:t>
      </w:r>
      <w:r w:rsidR="00980095">
        <w:t xml:space="preserve">in </w:t>
      </w:r>
      <w:r>
        <w:t xml:space="preserve">65 </w:t>
      </w:r>
      <w:r w:rsidR="00980095">
        <w:t>percent of elementary</w:t>
      </w:r>
      <w:r>
        <w:t>-school classes</w:t>
      </w:r>
      <w:r w:rsidR="00980095">
        <w:t xml:space="preserve"> (42 percent moderate; </w:t>
      </w:r>
      <w:r w:rsidR="00E84765">
        <w:t xml:space="preserve">23 </w:t>
      </w:r>
      <w:r w:rsidR="00980095">
        <w:t xml:space="preserve">percent strong), </w:t>
      </w:r>
      <w:r>
        <w:t xml:space="preserve">in 96 </w:t>
      </w:r>
      <w:r w:rsidR="00980095">
        <w:t xml:space="preserve">percent of </w:t>
      </w:r>
      <w:r>
        <w:t>middle-</w:t>
      </w:r>
      <w:r w:rsidR="00980095">
        <w:t xml:space="preserve">school </w:t>
      </w:r>
      <w:r>
        <w:t xml:space="preserve">classes </w:t>
      </w:r>
      <w:r w:rsidR="00980095">
        <w:t xml:space="preserve">(48 percent moderate; </w:t>
      </w:r>
      <w:r>
        <w:t xml:space="preserve">48 </w:t>
      </w:r>
      <w:r w:rsidR="00980095">
        <w:t xml:space="preserve">percent strong), and </w:t>
      </w:r>
      <w:r>
        <w:t xml:space="preserve">in </w:t>
      </w:r>
      <w:r w:rsidR="00E84765">
        <w:t xml:space="preserve">just </w:t>
      </w:r>
      <w:r>
        <w:t xml:space="preserve">46 percent </w:t>
      </w:r>
      <w:r w:rsidR="00980095">
        <w:t>of high</w:t>
      </w:r>
      <w:r w:rsidR="00C8606B">
        <w:t>-</w:t>
      </w:r>
      <w:r w:rsidR="00980095">
        <w:t>school classes</w:t>
      </w:r>
      <w:r>
        <w:t xml:space="preserve"> (21 percent moderate; 25 percent strong)</w:t>
      </w:r>
      <w:r w:rsidR="00980095">
        <w:t>.</w:t>
      </w:r>
    </w:p>
    <w:p w:rsidR="00980095" w:rsidRPr="001E3534" w:rsidRDefault="00980095" w:rsidP="00386849">
      <w:pPr>
        <w:pStyle w:val="ListParagraph"/>
        <w:numPr>
          <w:ilvl w:val="7"/>
          <w:numId w:val="42"/>
        </w:numPr>
        <w:tabs>
          <w:tab w:val="left" w:pos="360"/>
          <w:tab w:val="left" w:pos="720"/>
          <w:tab w:val="left" w:pos="1080"/>
          <w:tab w:val="left" w:pos="1440"/>
          <w:tab w:val="left" w:pos="1800"/>
          <w:tab w:val="left" w:pos="2160"/>
        </w:tabs>
        <w:ind w:left="1440"/>
        <w:contextualSpacing w:val="0"/>
      </w:pPr>
      <w:r>
        <w:rPr>
          <w:rFonts w:cstheme="minorHAnsi"/>
        </w:rPr>
        <w:t xml:space="preserve">Examples </w:t>
      </w:r>
      <w:r w:rsidR="00C8606B">
        <w:rPr>
          <w:rFonts w:cstheme="minorHAnsi"/>
        </w:rPr>
        <w:t xml:space="preserve">of students assuming responsibility for doing the thinking in the classroom </w:t>
      </w:r>
      <w:r>
        <w:rPr>
          <w:rFonts w:cstheme="minorHAnsi"/>
        </w:rPr>
        <w:t>include student-led discussions about loaded langu</w:t>
      </w:r>
      <w:r w:rsidR="00952586">
        <w:rPr>
          <w:rFonts w:cstheme="minorHAnsi"/>
        </w:rPr>
        <w:t>age/bias in newspaper headlines;</w:t>
      </w:r>
      <w:r>
        <w:rPr>
          <w:rFonts w:cstheme="minorHAnsi"/>
        </w:rPr>
        <w:t xml:space="preserve"> students independently creating rotations, reflections</w:t>
      </w:r>
      <w:r w:rsidR="00C8606B">
        <w:rPr>
          <w:rFonts w:cstheme="minorHAnsi"/>
        </w:rPr>
        <w:t>,</w:t>
      </w:r>
      <w:r>
        <w:rPr>
          <w:rFonts w:cstheme="minorHAnsi"/>
        </w:rPr>
        <w:t xml:space="preserve"> and translat</w:t>
      </w:r>
      <w:r w:rsidR="00952586">
        <w:rPr>
          <w:rFonts w:cstheme="minorHAnsi"/>
        </w:rPr>
        <w:t>ions of figures in a math class;</w:t>
      </w:r>
      <w:r>
        <w:rPr>
          <w:rFonts w:cstheme="minorHAnsi"/>
        </w:rPr>
        <w:t xml:space="preserve"> pairs of student researching extreme natural disasters and developing class presentations after an in-depth study of </w:t>
      </w:r>
      <w:r w:rsidR="00952586">
        <w:rPr>
          <w:rFonts w:cstheme="minorHAnsi"/>
        </w:rPr>
        <w:t>non-fiction authors;</w:t>
      </w:r>
      <w:r>
        <w:rPr>
          <w:rFonts w:cstheme="minorHAnsi"/>
        </w:rPr>
        <w:t xml:space="preserve"> and students defending their thinking through discourse and in writing.</w:t>
      </w:r>
    </w:p>
    <w:p w:rsidR="00980095" w:rsidRPr="00AD7D1F" w:rsidRDefault="00980095" w:rsidP="00386849">
      <w:pPr>
        <w:pStyle w:val="ListParagraph"/>
        <w:numPr>
          <w:ilvl w:val="7"/>
          <w:numId w:val="42"/>
        </w:numPr>
        <w:tabs>
          <w:tab w:val="left" w:pos="360"/>
          <w:tab w:val="left" w:pos="720"/>
          <w:tab w:val="left" w:pos="1080"/>
          <w:tab w:val="left" w:pos="1440"/>
          <w:tab w:val="left" w:pos="1800"/>
          <w:tab w:val="left" w:pos="2160"/>
        </w:tabs>
        <w:ind w:left="1440"/>
        <w:contextualSpacing w:val="0"/>
      </w:pPr>
      <w:r w:rsidRPr="001E3534">
        <w:rPr>
          <w:rFonts w:cstheme="minorHAnsi"/>
        </w:rPr>
        <w:t xml:space="preserve">Classrooms </w:t>
      </w:r>
      <w:r w:rsidR="00C8606B">
        <w:rPr>
          <w:rFonts w:cstheme="minorHAnsi"/>
        </w:rPr>
        <w:t>in which students were not responsible for doing the thinking</w:t>
      </w:r>
      <w:r w:rsidRPr="001E3534">
        <w:rPr>
          <w:rFonts w:cstheme="minorHAnsi"/>
        </w:rPr>
        <w:t xml:space="preserve"> were generally characterized by </w:t>
      </w:r>
      <w:r w:rsidR="00C8606B" w:rsidRPr="001E3534">
        <w:rPr>
          <w:rFonts w:cstheme="minorHAnsi"/>
        </w:rPr>
        <w:t>whole</w:t>
      </w:r>
      <w:r w:rsidR="00C8606B">
        <w:rPr>
          <w:rFonts w:cstheme="minorHAnsi"/>
        </w:rPr>
        <w:t>-</w:t>
      </w:r>
      <w:r w:rsidRPr="001E3534">
        <w:rPr>
          <w:rFonts w:cstheme="minorHAnsi"/>
        </w:rPr>
        <w:t>class</w:t>
      </w:r>
      <w:r w:rsidR="00C8606B">
        <w:rPr>
          <w:rFonts w:cstheme="minorHAnsi"/>
        </w:rPr>
        <w:t>,</w:t>
      </w:r>
      <w:r w:rsidRPr="001E3534">
        <w:rPr>
          <w:rFonts w:cstheme="minorHAnsi"/>
        </w:rPr>
        <w:t xml:space="preserve"> teacher-directed lessons where students </w:t>
      </w:r>
      <w:r w:rsidR="00C8606B" w:rsidRPr="001E3534">
        <w:rPr>
          <w:rFonts w:cstheme="minorHAnsi"/>
        </w:rPr>
        <w:t>depende</w:t>
      </w:r>
      <w:r w:rsidR="00C8606B">
        <w:rPr>
          <w:rFonts w:cstheme="minorHAnsi"/>
        </w:rPr>
        <w:t>d</w:t>
      </w:r>
      <w:r w:rsidR="00C8606B" w:rsidRPr="001E3534">
        <w:rPr>
          <w:rFonts w:cstheme="minorHAnsi"/>
        </w:rPr>
        <w:t xml:space="preserve"> </w:t>
      </w:r>
      <w:r w:rsidRPr="001E3534">
        <w:rPr>
          <w:rFonts w:cstheme="minorHAnsi"/>
        </w:rPr>
        <w:t xml:space="preserve">upon direction for each step of their learning, teachers provided </w:t>
      </w:r>
      <w:r w:rsidR="00C8606B">
        <w:rPr>
          <w:rFonts w:cstheme="minorHAnsi"/>
        </w:rPr>
        <w:t>limited</w:t>
      </w:r>
      <w:r w:rsidR="00C8606B" w:rsidRPr="001E3534">
        <w:rPr>
          <w:rFonts w:cstheme="minorHAnsi"/>
        </w:rPr>
        <w:t xml:space="preserve"> </w:t>
      </w:r>
      <w:r w:rsidRPr="001E3534">
        <w:rPr>
          <w:rFonts w:cstheme="minorHAnsi"/>
        </w:rPr>
        <w:t xml:space="preserve">modeling of a skill or concept </w:t>
      </w:r>
      <w:r w:rsidR="00C8606B">
        <w:rPr>
          <w:rFonts w:cstheme="minorHAnsi"/>
        </w:rPr>
        <w:t>and</w:t>
      </w:r>
      <w:r w:rsidRPr="001E3534">
        <w:rPr>
          <w:rFonts w:cstheme="minorHAnsi"/>
        </w:rPr>
        <w:t xml:space="preserve"> </w:t>
      </w:r>
      <w:r w:rsidR="00C8606B" w:rsidRPr="001E3534">
        <w:rPr>
          <w:rFonts w:cstheme="minorHAnsi"/>
        </w:rPr>
        <w:t>distribut</w:t>
      </w:r>
      <w:r w:rsidR="00C8606B">
        <w:rPr>
          <w:rFonts w:cstheme="minorHAnsi"/>
        </w:rPr>
        <w:t>ed</w:t>
      </w:r>
      <w:r w:rsidR="00C8606B" w:rsidRPr="001E3534">
        <w:rPr>
          <w:rFonts w:cstheme="minorHAnsi"/>
        </w:rPr>
        <w:t xml:space="preserve"> </w:t>
      </w:r>
      <w:r w:rsidRPr="001E3534">
        <w:rPr>
          <w:rFonts w:cstheme="minorHAnsi"/>
        </w:rPr>
        <w:t xml:space="preserve">a paper-pencil task, and </w:t>
      </w:r>
      <w:r>
        <w:rPr>
          <w:rFonts w:cstheme="minorHAnsi"/>
        </w:rPr>
        <w:t>teacher</w:t>
      </w:r>
      <w:r w:rsidR="00C8606B">
        <w:rPr>
          <w:rFonts w:cstheme="minorHAnsi"/>
        </w:rPr>
        <w:t>s</w:t>
      </w:r>
      <w:r>
        <w:rPr>
          <w:rFonts w:cstheme="minorHAnsi"/>
        </w:rPr>
        <w:t xml:space="preserve"> </w:t>
      </w:r>
      <w:r w:rsidR="00C8606B">
        <w:rPr>
          <w:rFonts w:cstheme="minorHAnsi"/>
        </w:rPr>
        <w:t>asked questions</w:t>
      </w:r>
      <w:r>
        <w:rPr>
          <w:rFonts w:cstheme="minorHAnsi"/>
        </w:rPr>
        <w:t xml:space="preserve"> that limited </w:t>
      </w:r>
      <w:r w:rsidRPr="001E3534">
        <w:rPr>
          <w:rFonts w:cstheme="minorHAnsi"/>
        </w:rPr>
        <w:t>student responses to one word or phrase.</w:t>
      </w:r>
      <w:r>
        <w:tab/>
      </w:r>
      <w:r>
        <w:tab/>
      </w:r>
    </w:p>
    <w:p w:rsidR="000D7416" w:rsidRPr="00D17C06" w:rsidRDefault="00980095" w:rsidP="00D17C06">
      <w:pPr>
        <w:tabs>
          <w:tab w:val="left" w:pos="360"/>
          <w:tab w:val="left" w:pos="720"/>
          <w:tab w:val="left" w:pos="1080"/>
          <w:tab w:val="left" w:pos="1440"/>
          <w:tab w:val="left" w:pos="1800"/>
          <w:tab w:val="left" w:pos="2160"/>
        </w:tabs>
      </w:pPr>
      <w:r w:rsidRPr="00F731AA">
        <w:rPr>
          <w:b/>
        </w:rPr>
        <w:t>Impact</w:t>
      </w:r>
      <w:r w:rsidRPr="00BA3A76">
        <w:t xml:space="preserve">: </w:t>
      </w:r>
      <w:r w:rsidR="003A0F56">
        <w:rPr>
          <w:rFonts w:cstheme="minorHAnsi"/>
        </w:rPr>
        <w:t>Without</w:t>
      </w:r>
      <w:r w:rsidRPr="003C1C90">
        <w:rPr>
          <w:rFonts w:cstheme="minorHAnsi"/>
        </w:rPr>
        <w:t xml:space="preserve"> </w:t>
      </w:r>
      <w:r>
        <w:rPr>
          <w:rFonts w:cstheme="minorHAnsi"/>
        </w:rPr>
        <w:t>consistent implementation of the district</w:t>
      </w:r>
      <w:r w:rsidR="003A0F56">
        <w:rPr>
          <w:rFonts w:cstheme="minorHAnsi"/>
        </w:rPr>
        <w:t xml:space="preserve">’s </w:t>
      </w:r>
      <w:r w:rsidR="005E6D6A">
        <w:rPr>
          <w:rFonts w:cstheme="minorHAnsi"/>
        </w:rPr>
        <w:t xml:space="preserve">Framework for </w:t>
      </w:r>
      <w:r w:rsidR="003A0F56">
        <w:rPr>
          <w:rFonts w:cstheme="minorHAnsi"/>
        </w:rPr>
        <w:t>High Quality Teaching and Learning</w:t>
      </w:r>
      <w:r w:rsidR="00617110">
        <w:rPr>
          <w:rFonts w:cstheme="minorHAnsi"/>
        </w:rPr>
        <w:t xml:space="preserve"> at all levels</w:t>
      </w:r>
      <w:r>
        <w:rPr>
          <w:rFonts w:cstheme="minorHAnsi"/>
        </w:rPr>
        <w:t xml:space="preserve">, the district cannot ensure that teachers consistently and effectively deliver </w:t>
      </w:r>
      <w:r>
        <w:rPr>
          <w:rFonts w:cstheme="minorHAnsi"/>
        </w:rPr>
        <w:lastRenderedPageBreak/>
        <w:t xml:space="preserve">research-based instruction that </w:t>
      </w:r>
      <w:r w:rsidR="00952586">
        <w:rPr>
          <w:rFonts w:cstheme="minorHAnsi"/>
        </w:rPr>
        <w:t xml:space="preserve">meets the diverse </w:t>
      </w:r>
      <w:r w:rsidR="003A0F56">
        <w:rPr>
          <w:rFonts w:cstheme="minorHAnsi"/>
        </w:rPr>
        <w:t xml:space="preserve">learning </w:t>
      </w:r>
      <w:r w:rsidR="00952586">
        <w:rPr>
          <w:rFonts w:cstheme="minorHAnsi"/>
        </w:rPr>
        <w:t xml:space="preserve">needs of </w:t>
      </w:r>
      <w:r w:rsidR="003A0F56">
        <w:rPr>
          <w:rFonts w:cstheme="minorHAnsi"/>
        </w:rPr>
        <w:t xml:space="preserve">all </w:t>
      </w:r>
      <w:r w:rsidR="00952586">
        <w:rPr>
          <w:rFonts w:cstheme="minorHAnsi"/>
        </w:rPr>
        <w:t>students, optimizes</w:t>
      </w:r>
      <w:r>
        <w:rPr>
          <w:rFonts w:cstheme="minorHAnsi"/>
        </w:rPr>
        <w:t xml:space="preserve"> learning opportunit</w:t>
      </w:r>
      <w:r w:rsidR="00952586">
        <w:rPr>
          <w:rFonts w:cstheme="minorHAnsi"/>
        </w:rPr>
        <w:t xml:space="preserve">ies, </w:t>
      </w:r>
      <w:r w:rsidR="003A0F56">
        <w:rPr>
          <w:rFonts w:cstheme="minorHAnsi"/>
        </w:rPr>
        <w:t xml:space="preserve">and </w:t>
      </w:r>
      <w:r w:rsidR="00952586">
        <w:rPr>
          <w:rFonts w:cstheme="minorHAnsi"/>
        </w:rPr>
        <w:t>adequately prepares students</w:t>
      </w:r>
      <w:r>
        <w:rPr>
          <w:rFonts w:cstheme="minorHAnsi"/>
        </w:rPr>
        <w:t xml:space="preserve"> for college and careers.</w:t>
      </w:r>
    </w:p>
    <w:p w:rsidR="00944778" w:rsidRDefault="00944778" w:rsidP="00980095">
      <w:pPr>
        <w:rPr>
          <w:b/>
          <w:i/>
          <w:sz w:val="28"/>
          <w:szCs w:val="28"/>
        </w:rPr>
      </w:pPr>
    </w:p>
    <w:p w:rsidR="00980095" w:rsidRPr="005A294C" w:rsidRDefault="0047041E" w:rsidP="00980095">
      <w:pPr>
        <w:rPr>
          <w:b/>
          <w:sz w:val="28"/>
          <w:szCs w:val="28"/>
        </w:rPr>
      </w:pPr>
      <w:r w:rsidRPr="0047041E">
        <w:rPr>
          <w:b/>
          <w:sz w:val="28"/>
          <w:szCs w:val="28"/>
        </w:rPr>
        <w:t>Recommendations</w:t>
      </w:r>
    </w:p>
    <w:p w:rsidR="00980095" w:rsidRDefault="00980095" w:rsidP="00980095">
      <w:pPr>
        <w:tabs>
          <w:tab w:val="left" w:pos="360"/>
          <w:tab w:val="left" w:pos="720"/>
          <w:tab w:val="left" w:pos="1080"/>
          <w:tab w:val="left" w:pos="1440"/>
          <w:tab w:val="left" w:pos="1800"/>
          <w:tab w:val="left" w:pos="2160"/>
        </w:tabs>
        <w:ind w:left="360" w:hanging="360"/>
        <w:rPr>
          <w:rFonts w:ascii="Calibri" w:eastAsia="Calibri" w:hAnsi="Calibri" w:cs="Calibri"/>
        </w:rPr>
      </w:pPr>
      <w:r>
        <w:rPr>
          <w:rFonts w:ascii="Calibri" w:eastAsia="Calibri" w:hAnsi="Calibri" w:cs="Calibri"/>
          <w:b/>
        </w:rPr>
        <w:t xml:space="preserve">1. </w:t>
      </w:r>
      <w:r>
        <w:rPr>
          <w:rFonts w:ascii="Calibri" w:eastAsia="Calibri" w:hAnsi="Calibri" w:cs="Calibri"/>
          <w:b/>
        </w:rPr>
        <w:tab/>
        <w:t xml:space="preserve">The district should </w:t>
      </w:r>
      <w:r w:rsidR="00A347BB">
        <w:rPr>
          <w:rFonts w:ascii="Calibri" w:eastAsia="Calibri" w:hAnsi="Calibri" w:cs="Calibri"/>
          <w:b/>
        </w:rPr>
        <w:t>complete as soon as possible its pre-</w:t>
      </w:r>
      <w:r w:rsidR="00617110">
        <w:rPr>
          <w:rFonts w:ascii="Calibri" w:eastAsia="Calibri" w:hAnsi="Calibri" w:cs="Calibri"/>
          <w:b/>
        </w:rPr>
        <w:t>K–</w:t>
      </w:r>
      <w:r w:rsidR="00A347BB">
        <w:rPr>
          <w:rFonts w:ascii="Calibri" w:eastAsia="Calibri" w:hAnsi="Calibri" w:cs="Calibri"/>
          <w:b/>
        </w:rPr>
        <w:t>12</w:t>
      </w:r>
      <w:r>
        <w:rPr>
          <w:rFonts w:ascii="Calibri" w:eastAsia="Calibri" w:hAnsi="Calibri" w:cs="Calibri"/>
          <w:b/>
        </w:rPr>
        <w:t xml:space="preserve"> English language arts, mathematics</w:t>
      </w:r>
      <w:r w:rsidR="00A347BB">
        <w:rPr>
          <w:rFonts w:ascii="Calibri" w:eastAsia="Calibri" w:hAnsi="Calibri" w:cs="Calibri"/>
          <w:b/>
        </w:rPr>
        <w:t>, and science</w:t>
      </w:r>
      <w:r>
        <w:rPr>
          <w:rFonts w:ascii="Calibri" w:eastAsia="Calibri" w:hAnsi="Calibri" w:cs="Calibri"/>
          <w:b/>
        </w:rPr>
        <w:t xml:space="preserve"> curriculum maps and supporting documents.</w:t>
      </w:r>
      <w:r>
        <w:rPr>
          <w:rFonts w:ascii="Calibri" w:eastAsia="Calibri" w:hAnsi="Calibri" w:cs="Calibri"/>
        </w:rPr>
        <w:t xml:space="preserve">  </w:t>
      </w:r>
    </w:p>
    <w:p w:rsidR="00A16600" w:rsidRDefault="00A16600" w:rsidP="00A16600">
      <w:pPr>
        <w:tabs>
          <w:tab w:val="left" w:pos="360"/>
          <w:tab w:val="left" w:pos="720"/>
          <w:tab w:val="left" w:pos="1080"/>
          <w:tab w:val="left" w:pos="1440"/>
          <w:tab w:val="left" w:pos="1800"/>
          <w:tab w:val="left" w:pos="2160"/>
        </w:tabs>
        <w:ind w:left="720" w:hanging="720"/>
      </w:pPr>
      <w:r>
        <w:tab/>
      </w:r>
      <w:r w:rsidRPr="00A16600">
        <w:rPr>
          <w:b/>
        </w:rPr>
        <w:t>A.</w:t>
      </w:r>
      <w:r w:rsidRPr="00A16600">
        <w:rPr>
          <w:b/>
        </w:rPr>
        <w:tab/>
      </w:r>
      <w:r w:rsidR="0047041E" w:rsidRPr="0047041E">
        <w:t>The district</w:t>
      </w:r>
      <w:r>
        <w:t xml:space="preserve"> has developed common curriculum templates </w:t>
      </w:r>
      <w:r w:rsidR="000C5510">
        <w:t xml:space="preserve">(consensus maps) </w:t>
      </w:r>
      <w:r w:rsidR="001B45F5">
        <w:t>used in pre-kindergarten</w:t>
      </w:r>
      <w:r w:rsidR="00E84765">
        <w:t xml:space="preserve"> through </w:t>
      </w:r>
      <w:r>
        <w:t>grade 12 that include Understanding by Design elements. These maps should be expanded to include assessments, instructional resources, and strategies that meet all learners’ needs, to ensure that teachers at all levels have access to a complete and comprehensive curriculum guide.</w:t>
      </w:r>
    </w:p>
    <w:p w:rsidR="007251DD" w:rsidRPr="007251DD" w:rsidRDefault="007251DD" w:rsidP="00A16600">
      <w:pPr>
        <w:tabs>
          <w:tab w:val="left" w:pos="360"/>
          <w:tab w:val="left" w:pos="720"/>
          <w:tab w:val="left" w:pos="1080"/>
          <w:tab w:val="left" w:pos="1440"/>
          <w:tab w:val="left" w:pos="1800"/>
          <w:tab w:val="left" w:pos="2160"/>
        </w:tabs>
        <w:ind w:left="720" w:hanging="720"/>
      </w:pPr>
      <w:r>
        <w:rPr>
          <w:b/>
        </w:rPr>
        <w:tab/>
      </w:r>
      <w:r>
        <w:rPr>
          <w:b/>
        </w:rPr>
        <w:tab/>
      </w:r>
      <w:r w:rsidRPr="007251DD">
        <w:t>1.</w:t>
      </w:r>
      <w:r>
        <w:tab/>
        <w:t>The district should communicate to teachers the plan for completing the curriculum.</w:t>
      </w:r>
    </w:p>
    <w:p w:rsidR="0047041E" w:rsidRDefault="006E1E5C" w:rsidP="0047041E">
      <w:pPr>
        <w:tabs>
          <w:tab w:val="left" w:pos="360"/>
          <w:tab w:val="left" w:pos="720"/>
          <w:tab w:val="left" w:pos="1080"/>
          <w:tab w:val="left" w:pos="1440"/>
          <w:tab w:val="left" w:pos="1800"/>
          <w:tab w:val="left" w:pos="2160"/>
        </w:tabs>
        <w:ind w:left="720" w:hanging="720"/>
      </w:pPr>
      <w:r>
        <w:rPr>
          <w:rFonts w:ascii="Calibri" w:eastAsia="Calibri" w:hAnsi="Calibri" w:cs="Calibri"/>
          <w:b/>
        </w:rPr>
        <w:tab/>
      </w:r>
      <w:r w:rsidR="00F05D22" w:rsidRPr="00F05D22">
        <w:rPr>
          <w:rFonts w:ascii="Calibri" w:eastAsia="Calibri" w:hAnsi="Calibri" w:cs="Calibri"/>
          <w:b/>
        </w:rPr>
        <w:t>B.</w:t>
      </w:r>
      <w:r w:rsidR="00980095" w:rsidRPr="00F05D22">
        <w:rPr>
          <w:rFonts w:ascii="Calibri" w:eastAsia="Calibri" w:hAnsi="Calibri" w:cs="Calibri"/>
        </w:rPr>
        <w:t xml:space="preserve"> </w:t>
      </w:r>
      <w:r w:rsidR="00F05D22">
        <w:rPr>
          <w:rFonts w:ascii="Calibri" w:eastAsia="Calibri" w:hAnsi="Calibri" w:cs="Calibri"/>
        </w:rPr>
        <w:tab/>
      </w:r>
      <w:r w:rsidR="00952586">
        <w:t xml:space="preserve">The district </w:t>
      </w:r>
      <w:r w:rsidR="00980095">
        <w:t xml:space="preserve">should </w:t>
      </w:r>
      <w:r w:rsidR="00893322">
        <w:t>provide time</w:t>
      </w:r>
      <w:r w:rsidR="00980095">
        <w:t xml:space="preserve"> to </w:t>
      </w:r>
      <w:r w:rsidR="00893322">
        <w:t xml:space="preserve">complete </w:t>
      </w:r>
      <w:r w:rsidR="00781A66">
        <w:t>this work</w:t>
      </w:r>
      <w:r w:rsidR="00980095">
        <w:t xml:space="preserve">.  </w:t>
      </w:r>
    </w:p>
    <w:p w:rsidR="00781A66" w:rsidRPr="00781A66" w:rsidRDefault="00781A66" w:rsidP="00781A66">
      <w:pPr>
        <w:tabs>
          <w:tab w:val="left" w:pos="360"/>
          <w:tab w:val="left" w:pos="720"/>
          <w:tab w:val="left" w:pos="1080"/>
          <w:tab w:val="left" w:pos="1440"/>
          <w:tab w:val="left" w:pos="1800"/>
          <w:tab w:val="left" w:pos="2160"/>
        </w:tabs>
        <w:ind w:left="1080" w:hanging="1080"/>
      </w:pPr>
      <w:r>
        <w:rPr>
          <w:rFonts w:ascii="Calibri" w:eastAsia="Calibri" w:hAnsi="Calibri" w:cs="Calibri"/>
          <w:b/>
        </w:rPr>
        <w:tab/>
      </w:r>
      <w:r>
        <w:rPr>
          <w:rFonts w:ascii="Calibri" w:eastAsia="Calibri" w:hAnsi="Calibri" w:cs="Calibri"/>
          <w:b/>
        </w:rPr>
        <w:tab/>
      </w:r>
      <w:r w:rsidR="0047041E" w:rsidRPr="0047041E">
        <w:rPr>
          <w:rFonts w:ascii="Calibri" w:eastAsia="Calibri" w:hAnsi="Calibri" w:cs="Calibri"/>
        </w:rPr>
        <w:t>1.</w:t>
      </w:r>
      <w:r w:rsidRPr="00D56980">
        <w:rPr>
          <w:rFonts w:ascii="Calibri" w:eastAsia="Calibri" w:hAnsi="Calibri" w:cs="Calibri"/>
        </w:rPr>
        <w:tab/>
        <w:t>The district should consider ways to provide sufficient, regular common planning time across the district to support curriculum development, revision, and review.</w:t>
      </w:r>
    </w:p>
    <w:p w:rsidR="0047041E" w:rsidRDefault="006E1E5C" w:rsidP="0047041E">
      <w:pPr>
        <w:tabs>
          <w:tab w:val="left" w:pos="360"/>
          <w:tab w:val="left" w:pos="720"/>
          <w:tab w:val="left" w:pos="1080"/>
          <w:tab w:val="left" w:pos="1440"/>
          <w:tab w:val="left" w:pos="1800"/>
          <w:tab w:val="left" w:pos="2160"/>
        </w:tabs>
        <w:ind w:left="720" w:hanging="720"/>
      </w:pPr>
      <w:r>
        <w:rPr>
          <w:b/>
        </w:rPr>
        <w:t>Note:</w:t>
      </w:r>
      <w:r w:rsidR="00781A66">
        <w:rPr>
          <w:b/>
        </w:rPr>
        <w:tab/>
      </w:r>
      <w:r w:rsidR="00C0530D">
        <w:t xml:space="preserve">At the time of the onsite, </w:t>
      </w:r>
      <w:r w:rsidR="00371404">
        <w:t xml:space="preserve">ESE </w:t>
      </w:r>
      <w:r w:rsidR="00C0530D">
        <w:t>was</w:t>
      </w:r>
      <w:r>
        <w:t xml:space="preserve"> reviewing standards and </w:t>
      </w:r>
      <w:r w:rsidR="001B45F5">
        <w:t xml:space="preserve">was preparing </w:t>
      </w:r>
      <w:r w:rsidR="001016D2">
        <w:t>to release</w:t>
      </w:r>
      <w:r w:rsidR="00371404" w:rsidRPr="002B1584">
        <w:t xml:space="preserve"> new ELA/English and mathematics standards.</w:t>
      </w:r>
      <w:r w:rsidR="001B45F5">
        <w:rPr>
          <w:rStyle w:val="FootnoteReference"/>
        </w:rPr>
        <w:footnoteReference w:id="15"/>
      </w:r>
      <w:r w:rsidR="00371404" w:rsidRPr="002B1584">
        <w:t xml:space="preserve"> </w:t>
      </w:r>
    </w:p>
    <w:p w:rsidR="00980095" w:rsidRPr="00952586" w:rsidRDefault="00980095" w:rsidP="00952586">
      <w:pPr>
        <w:spacing w:before="200"/>
        <w:rPr>
          <w:rFonts w:ascii="Calibri" w:eastAsia="Calibri" w:hAnsi="Calibri" w:cs="Calibri"/>
          <w:color w:val="000000"/>
        </w:rPr>
      </w:pPr>
      <w:r>
        <w:rPr>
          <w:rFonts w:ascii="Calibri" w:eastAsia="Calibri" w:hAnsi="Calibri" w:cs="Calibri"/>
          <w:b/>
          <w:color w:val="000000"/>
        </w:rPr>
        <w:t>Benefits</w:t>
      </w:r>
      <w:r w:rsidR="007251DD">
        <w:rPr>
          <w:rFonts w:ascii="Calibri" w:eastAsia="Calibri" w:hAnsi="Calibri" w:cs="Calibri"/>
          <w:b/>
          <w:color w:val="000000"/>
        </w:rPr>
        <w:t>:</w:t>
      </w:r>
      <w:r>
        <w:rPr>
          <w:rFonts w:ascii="Calibri" w:eastAsia="Calibri" w:hAnsi="Calibri" w:cs="Calibri"/>
          <w:color w:val="000000"/>
        </w:rPr>
        <w:t xml:space="preserve"> </w:t>
      </w:r>
      <w:r w:rsidR="007251DD">
        <w:rPr>
          <w:rFonts w:ascii="Calibri" w:eastAsia="Calibri" w:hAnsi="Calibri" w:cs="Calibri"/>
          <w:color w:val="000000"/>
        </w:rPr>
        <w:t>I</w:t>
      </w:r>
      <w:r>
        <w:rPr>
          <w:rFonts w:ascii="Calibri" w:eastAsia="Calibri" w:hAnsi="Calibri" w:cs="Calibri"/>
          <w:color w:val="000000"/>
        </w:rPr>
        <w:t xml:space="preserve">mplementing this recommendation </w:t>
      </w:r>
      <w:r w:rsidR="007251DD">
        <w:rPr>
          <w:rFonts w:ascii="Calibri" w:eastAsia="Calibri" w:hAnsi="Calibri" w:cs="Calibri"/>
          <w:color w:val="000000"/>
        </w:rPr>
        <w:t>will mean</w:t>
      </w:r>
      <w:r>
        <w:rPr>
          <w:rFonts w:ascii="Calibri" w:eastAsia="Calibri" w:hAnsi="Calibri" w:cs="Calibri"/>
          <w:color w:val="000000"/>
        </w:rPr>
        <w:t xml:space="preserve"> updated, comprehensive, and clearly articulated alignment of </w:t>
      </w:r>
      <w:r w:rsidR="007251DD">
        <w:rPr>
          <w:rFonts w:ascii="Calibri" w:eastAsia="Calibri" w:hAnsi="Calibri" w:cs="Calibri"/>
          <w:color w:val="000000"/>
        </w:rPr>
        <w:t>pre-</w:t>
      </w:r>
      <w:r>
        <w:rPr>
          <w:rFonts w:ascii="Calibri" w:eastAsia="Calibri" w:hAnsi="Calibri" w:cs="Calibri"/>
          <w:color w:val="000000"/>
        </w:rPr>
        <w:t>K</w:t>
      </w:r>
      <w:r w:rsidR="00617110">
        <w:rPr>
          <w:rFonts w:ascii="Calibri" w:eastAsia="Calibri" w:hAnsi="Calibri" w:cs="Calibri"/>
          <w:color w:val="000000"/>
        </w:rPr>
        <w:t>–</w:t>
      </w:r>
      <w:r>
        <w:rPr>
          <w:rFonts w:ascii="Calibri" w:eastAsia="Calibri" w:hAnsi="Calibri" w:cs="Calibri"/>
          <w:color w:val="000000"/>
        </w:rPr>
        <w:t>12 curriculum</w:t>
      </w:r>
      <w:r w:rsidR="007251DD">
        <w:rPr>
          <w:rFonts w:ascii="Calibri" w:eastAsia="Calibri" w:hAnsi="Calibri" w:cs="Calibri"/>
          <w:color w:val="000000"/>
        </w:rPr>
        <w:t>, instruction, and assessment practices</w:t>
      </w:r>
      <w:r>
        <w:rPr>
          <w:rFonts w:ascii="Calibri" w:eastAsia="Calibri" w:hAnsi="Calibri" w:cs="Calibri"/>
          <w:color w:val="000000"/>
        </w:rPr>
        <w:t xml:space="preserve">. As a result, all students </w:t>
      </w:r>
      <w:r w:rsidR="007251DD">
        <w:rPr>
          <w:rFonts w:ascii="Calibri" w:eastAsia="Calibri" w:hAnsi="Calibri" w:cs="Calibri"/>
          <w:color w:val="000000"/>
        </w:rPr>
        <w:t xml:space="preserve">will </w:t>
      </w:r>
      <w:r>
        <w:rPr>
          <w:rFonts w:ascii="Calibri" w:eastAsia="Calibri" w:hAnsi="Calibri" w:cs="Calibri"/>
          <w:color w:val="000000"/>
        </w:rPr>
        <w:t xml:space="preserve">have equal access to a </w:t>
      </w:r>
      <w:r w:rsidR="007251DD">
        <w:rPr>
          <w:rFonts w:ascii="Calibri" w:eastAsia="Calibri" w:hAnsi="Calibri" w:cs="Calibri"/>
          <w:color w:val="000000"/>
        </w:rPr>
        <w:t>high-</w:t>
      </w:r>
      <w:r>
        <w:rPr>
          <w:rFonts w:ascii="Calibri" w:eastAsia="Calibri" w:hAnsi="Calibri" w:cs="Calibri"/>
          <w:color w:val="000000"/>
        </w:rPr>
        <w:t xml:space="preserve">quality education that </w:t>
      </w:r>
      <w:r w:rsidR="007251DD">
        <w:rPr>
          <w:rFonts w:ascii="Calibri" w:eastAsia="Calibri" w:hAnsi="Calibri" w:cs="Calibri"/>
          <w:color w:val="000000"/>
        </w:rPr>
        <w:t xml:space="preserve">promotes higher levels of achievement and </w:t>
      </w:r>
      <w:r>
        <w:rPr>
          <w:rFonts w:ascii="Calibri" w:eastAsia="Calibri" w:hAnsi="Calibri" w:cs="Calibri"/>
          <w:color w:val="000000"/>
        </w:rPr>
        <w:t>enables them to be college and career ready.</w:t>
      </w:r>
    </w:p>
    <w:p w:rsidR="00980095" w:rsidRPr="00FD3743" w:rsidRDefault="00980095" w:rsidP="00980095">
      <w:pPr>
        <w:tabs>
          <w:tab w:val="left" w:pos="360"/>
          <w:tab w:val="left" w:pos="720"/>
          <w:tab w:val="left" w:pos="1080"/>
          <w:tab w:val="left" w:pos="1800"/>
          <w:tab w:val="left" w:pos="2160"/>
        </w:tabs>
        <w:rPr>
          <w:b/>
        </w:rPr>
      </w:pPr>
      <w:r w:rsidRPr="00FD3743">
        <w:rPr>
          <w:b/>
        </w:rPr>
        <w:t>Recommended resources:</w:t>
      </w:r>
    </w:p>
    <w:p w:rsidR="00980095" w:rsidRPr="00910462" w:rsidRDefault="00980095" w:rsidP="00A14225">
      <w:pPr>
        <w:pStyle w:val="ListParagraph"/>
        <w:numPr>
          <w:ilvl w:val="0"/>
          <w:numId w:val="5"/>
        </w:numPr>
        <w:ind w:left="360"/>
        <w:contextualSpacing w:val="0"/>
        <w:rPr>
          <w:rFonts w:cs="Calibri"/>
        </w:rPr>
      </w:pPr>
      <w:r w:rsidRPr="00910462">
        <w:rPr>
          <w:rFonts w:cs="Calibri"/>
        </w:rPr>
        <w:t xml:space="preserve">The </w:t>
      </w:r>
      <w:r w:rsidRPr="00910462">
        <w:rPr>
          <w:rFonts w:cs="Calibri"/>
          <w:i/>
        </w:rPr>
        <w:t>Model Curriculum Unit and Lesson Plan Template</w:t>
      </w:r>
      <w:r w:rsidRPr="00910462">
        <w:rPr>
          <w:rFonts w:cs="Calibri"/>
        </w:rPr>
        <w:t xml:space="preserve"> (</w:t>
      </w:r>
      <w:hyperlink r:id="rId21" w:history="1">
        <w:r w:rsidRPr="00910462">
          <w:rPr>
            <w:rStyle w:val="Hyperlink"/>
            <w:rFonts w:cs="Calibri"/>
          </w:rPr>
          <w:t>http://www.doe.mass.edu/candi/model/MCUtemplate.pdf</w:t>
        </w:r>
      </w:hyperlink>
      <w:r w:rsidRPr="00910462">
        <w:rPr>
          <w:rFonts w:cs="Calibri"/>
        </w:rPr>
        <w:t>) includes Understanding by Design elements. It could be useful for districts’ and schools’ curriculum development and revision.</w:t>
      </w:r>
    </w:p>
    <w:p w:rsidR="00980095" w:rsidRDefault="00980095" w:rsidP="00A14225">
      <w:pPr>
        <w:pStyle w:val="ListParagraph"/>
        <w:numPr>
          <w:ilvl w:val="0"/>
          <w:numId w:val="5"/>
        </w:numPr>
        <w:ind w:left="360"/>
        <w:contextualSpacing w:val="0"/>
        <w:rPr>
          <w:rFonts w:cs="Calibri"/>
        </w:rPr>
      </w:pPr>
      <w:r w:rsidRPr="00910462">
        <w:rPr>
          <w:rFonts w:cs="Calibri"/>
        </w:rPr>
        <w:t xml:space="preserve">ESE’s </w:t>
      </w:r>
      <w:r w:rsidRPr="00910462">
        <w:rPr>
          <w:rFonts w:cs="Calibri"/>
          <w:i/>
        </w:rPr>
        <w:t>Quality Review Rubrics</w:t>
      </w:r>
      <w:r w:rsidRPr="00910462">
        <w:rPr>
          <w:rFonts w:cs="Calibri"/>
        </w:rPr>
        <w:t xml:space="preserve"> (</w:t>
      </w:r>
      <w:hyperlink r:id="rId22" w:history="1">
        <w:r w:rsidRPr="00910462">
          <w:rPr>
            <w:rStyle w:val="Hyperlink"/>
            <w:rFonts w:cs="Calibri"/>
          </w:rPr>
          <w:t>http://www.doe.mass.edu/candi/model/rubrics/</w:t>
        </w:r>
      </w:hyperlink>
      <w:r w:rsidRPr="00910462">
        <w:rPr>
          <w:rFonts w:cs="Calibri"/>
        </w:rPr>
        <w:t xml:space="preserve">) can support the analysis and improvement of curriculum units.  </w:t>
      </w:r>
    </w:p>
    <w:p w:rsidR="00802E9B" w:rsidRPr="008412BA" w:rsidRDefault="0047041E" w:rsidP="00A14225">
      <w:pPr>
        <w:pStyle w:val="ListParagraph"/>
        <w:numPr>
          <w:ilvl w:val="0"/>
          <w:numId w:val="5"/>
        </w:numPr>
        <w:ind w:left="360"/>
        <w:contextualSpacing w:val="0"/>
        <w:rPr>
          <w:rFonts w:cs="Calibri"/>
        </w:rPr>
      </w:pPr>
      <w:r w:rsidRPr="0047041E">
        <w:rPr>
          <w:i/>
        </w:rPr>
        <w:t>Summary of Grade-by-Grade Detailed Revisions in ELA/Literacy</w:t>
      </w:r>
      <w:r w:rsidR="00802E9B">
        <w:t xml:space="preserve"> (</w:t>
      </w:r>
      <w:hyperlink r:id="rId23" w:history="1">
        <w:r w:rsidR="00802E9B" w:rsidRPr="00B22AE2">
          <w:rPr>
            <w:rStyle w:val="Hyperlink"/>
          </w:rPr>
          <w:t>http://www.doe.mass.edu/boe/docs/FY2017/2017-03/item3-ELA-Revisions.docx</w:t>
        </w:r>
      </w:hyperlink>
      <w:r w:rsidR="00802E9B">
        <w:t xml:space="preserve">) and </w:t>
      </w:r>
      <w:r w:rsidRPr="0047041E">
        <w:rPr>
          <w:i/>
        </w:rPr>
        <w:t xml:space="preserve">Summary of Grade-by-Grade Detailed Revisions in Mathematics </w:t>
      </w:r>
      <w:r w:rsidR="00802E9B">
        <w:lastRenderedPageBreak/>
        <w:t>(</w:t>
      </w:r>
      <w:hyperlink r:id="rId24" w:history="1">
        <w:r w:rsidR="00802E9B" w:rsidRPr="00B22AE2">
          <w:rPr>
            <w:rStyle w:val="Hyperlink"/>
          </w:rPr>
          <w:t>http://www.doe.mass.edu/boe/docs/FY2017/2017-03/item3-Math-Revisions.docx</w:t>
        </w:r>
      </w:hyperlink>
      <w:r w:rsidR="00802E9B">
        <w:t>)</w:t>
      </w:r>
      <w:r w:rsidR="00B30178">
        <w:t xml:space="preserve"> show which 2011 standards were changed or moved in the 2017 Curriculum Frameworks.</w:t>
      </w:r>
    </w:p>
    <w:p w:rsidR="00980095" w:rsidRPr="00F86E67" w:rsidRDefault="00980095" w:rsidP="00386849">
      <w:pPr>
        <w:pStyle w:val="ListParagraph"/>
        <w:numPr>
          <w:ilvl w:val="2"/>
          <w:numId w:val="21"/>
        </w:numPr>
        <w:tabs>
          <w:tab w:val="left" w:pos="0"/>
          <w:tab w:val="left" w:pos="360"/>
          <w:tab w:val="left" w:pos="1080"/>
          <w:tab w:val="left" w:pos="1440"/>
          <w:tab w:val="left" w:pos="1800"/>
          <w:tab w:val="left" w:pos="2160"/>
        </w:tabs>
        <w:ind w:left="360"/>
        <w:contextualSpacing w:val="0"/>
        <w:rPr>
          <w:b/>
        </w:rPr>
      </w:pPr>
      <w:r w:rsidRPr="00F86E67">
        <w:rPr>
          <w:rFonts w:cstheme="minorHAnsi"/>
          <w:b/>
          <w:bCs/>
        </w:rPr>
        <w:t xml:space="preserve">It is recommended that the </w:t>
      </w:r>
      <w:r w:rsidR="00D072F9">
        <w:rPr>
          <w:rFonts w:cstheme="minorHAnsi"/>
          <w:b/>
          <w:bCs/>
        </w:rPr>
        <w:t>d</w:t>
      </w:r>
      <w:r w:rsidRPr="00F86E67">
        <w:rPr>
          <w:rFonts w:cstheme="minorHAnsi"/>
          <w:b/>
          <w:bCs/>
        </w:rPr>
        <w:t xml:space="preserve">istrict </w:t>
      </w:r>
      <w:r w:rsidR="00C41146">
        <w:rPr>
          <w:rFonts w:cstheme="minorHAnsi"/>
          <w:b/>
          <w:bCs/>
        </w:rPr>
        <w:t xml:space="preserve">further articulate </w:t>
      </w:r>
      <w:r w:rsidR="00952586">
        <w:rPr>
          <w:rFonts w:cstheme="minorHAnsi"/>
          <w:b/>
          <w:bCs/>
        </w:rPr>
        <w:t>the</w:t>
      </w:r>
      <w:r>
        <w:rPr>
          <w:rFonts w:cstheme="minorHAnsi"/>
          <w:b/>
          <w:bCs/>
        </w:rPr>
        <w:t xml:space="preserve"> Framework</w:t>
      </w:r>
      <w:r w:rsidRPr="00F86E67">
        <w:rPr>
          <w:rFonts w:cstheme="minorHAnsi"/>
          <w:b/>
          <w:bCs/>
        </w:rPr>
        <w:t xml:space="preserve"> </w:t>
      </w:r>
      <w:r w:rsidR="00D072F9">
        <w:rPr>
          <w:rFonts w:cstheme="minorHAnsi"/>
          <w:b/>
          <w:bCs/>
        </w:rPr>
        <w:t>of High Quality Teaching and Learning</w:t>
      </w:r>
      <w:r w:rsidR="00B871C9">
        <w:rPr>
          <w:rFonts w:cstheme="minorHAnsi"/>
          <w:b/>
          <w:bCs/>
        </w:rPr>
        <w:t>,</w:t>
      </w:r>
      <w:r w:rsidR="00D072F9">
        <w:rPr>
          <w:rFonts w:cstheme="minorHAnsi"/>
          <w:b/>
          <w:bCs/>
        </w:rPr>
        <w:t xml:space="preserve"> </w:t>
      </w:r>
      <w:r>
        <w:rPr>
          <w:rFonts w:cstheme="minorHAnsi"/>
          <w:b/>
          <w:bCs/>
        </w:rPr>
        <w:t xml:space="preserve"> </w:t>
      </w:r>
      <w:r w:rsidR="00C41146">
        <w:rPr>
          <w:rFonts w:cstheme="minorHAnsi"/>
          <w:b/>
          <w:bCs/>
        </w:rPr>
        <w:t xml:space="preserve">prioritize </w:t>
      </w:r>
      <w:r w:rsidR="00D072F9">
        <w:rPr>
          <w:rFonts w:cstheme="minorHAnsi"/>
          <w:b/>
          <w:bCs/>
        </w:rPr>
        <w:t xml:space="preserve">key </w:t>
      </w:r>
      <w:r w:rsidR="00952586">
        <w:rPr>
          <w:rFonts w:cstheme="minorHAnsi"/>
          <w:b/>
          <w:bCs/>
        </w:rPr>
        <w:t xml:space="preserve">instructional </w:t>
      </w:r>
      <w:r w:rsidR="00D072F9">
        <w:rPr>
          <w:rFonts w:cstheme="minorHAnsi"/>
          <w:b/>
          <w:bCs/>
        </w:rPr>
        <w:t>practices</w:t>
      </w:r>
      <w:r w:rsidR="00952586">
        <w:rPr>
          <w:rFonts w:cstheme="minorHAnsi"/>
          <w:b/>
          <w:bCs/>
        </w:rPr>
        <w:t xml:space="preserve">, </w:t>
      </w:r>
      <w:r w:rsidR="00D072F9">
        <w:rPr>
          <w:rFonts w:cstheme="minorHAnsi"/>
          <w:b/>
          <w:bCs/>
        </w:rPr>
        <w:t>co</w:t>
      </w:r>
      <w:r w:rsidR="00C41146">
        <w:rPr>
          <w:rFonts w:cstheme="minorHAnsi"/>
          <w:b/>
          <w:bCs/>
        </w:rPr>
        <w:t>mmunicate these key instructional strategies</w:t>
      </w:r>
      <w:r w:rsidR="00D072F9">
        <w:rPr>
          <w:rFonts w:cstheme="minorHAnsi"/>
          <w:b/>
          <w:bCs/>
        </w:rPr>
        <w:t xml:space="preserve"> to the full educational community</w:t>
      </w:r>
      <w:r>
        <w:rPr>
          <w:rFonts w:cstheme="minorHAnsi"/>
          <w:b/>
          <w:bCs/>
        </w:rPr>
        <w:t xml:space="preserve">, and </w:t>
      </w:r>
      <w:r w:rsidR="00D072F9">
        <w:rPr>
          <w:rFonts w:cstheme="minorHAnsi"/>
          <w:b/>
          <w:bCs/>
        </w:rPr>
        <w:t>support teachers in their</w:t>
      </w:r>
      <w:r>
        <w:rPr>
          <w:rFonts w:cstheme="minorHAnsi"/>
          <w:b/>
          <w:bCs/>
        </w:rPr>
        <w:t xml:space="preserve"> implement</w:t>
      </w:r>
      <w:r w:rsidR="007C65CE">
        <w:rPr>
          <w:rFonts w:cstheme="minorHAnsi"/>
          <w:b/>
          <w:bCs/>
        </w:rPr>
        <w:t>ation</w:t>
      </w:r>
      <w:r>
        <w:rPr>
          <w:rFonts w:cstheme="minorHAnsi"/>
          <w:b/>
          <w:bCs/>
        </w:rPr>
        <w:t>.</w:t>
      </w:r>
    </w:p>
    <w:p w:rsidR="00980095" w:rsidRDefault="00D072F9" w:rsidP="00386849">
      <w:pPr>
        <w:pStyle w:val="ListParagraph"/>
        <w:numPr>
          <w:ilvl w:val="0"/>
          <w:numId w:val="43"/>
        </w:numPr>
        <w:tabs>
          <w:tab w:val="left" w:pos="360"/>
          <w:tab w:val="left" w:pos="720"/>
          <w:tab w:val="left" w:pos="1080"/>
          <w:tab w:val="left" w:pos="1440"/>
          <w:tab w:val="left" w:pos="1800"/>
          <w:tab w:val="left" w:pos="2160"/>
        </w:tabs>
        <w:ind w:left="720"/>
        <w:contextualSpacing w:val="0"/>
      </w:pPr>
      <w:r>
        <w:t xml:space="preserve">The district should convene a </w:t>
      </w:r>
      <w:r w:rsidR="00980095">
        <w:t xml:space="preserve">representative group of teachers and administrators to identify </w:t>
      </w:r>
      <w:r>
        <w:t xml:space="preserve">key instructional practices in </w:t>
      </w:r>
      <w:r w:rsidR="00980095">
        <w:t xml:space="preserve">the Framework </w:t>
      </w:r>
      <w:r w:rsidR="0047041E" w:rsidRPr="0047041E">
        <w:rPr>
          <w:rFonts w:cstheme="minorHAnsi"/>
          <w:bCs/>
        </w:rPr>
        <w:t>of High Quality Teaching and Learning</w:t>
      </w:r>
      <w:r w:rsidR="00980095">
        <w:t>.</w:t>
      </w:r>
    </w:p>
    <w:p w:rsidR="00D072F9" w:rsidRPr="008F27C0" w:rsidRDefault="00D072F9" w:rsidP="00D072F9">
      <w:pPr>
        <w:tabs>
          <w:tab w:val="left" w:pos="360"/>
          <w:tab w:val="left" w:pos="720"/>
          <w:tab w:val="left" w:pos="1080"/>
          <w:tab w:val="left" w:pos="1440"/>
          <w:tab w:val="left" w:pos="1800"/>
          <w:tab w:val="left" w:pos="2160"/>
        </w:tabs>
        <w:ind w:left="360"/>
      </w:pPr>
      <w:r>
        <w:tab/>
        <w:t>1.</w:t>
      </w:r>
      <w:r>
        <w:tab/>
        <w:t>The district</w:t>
      </w:r>
      <w:r w:rsidR="00666A91">
        <w:t>’</w:t>
      </w:r>
      <w:r>
        <w:t xml:space="preserve">s educator evaluation rubric </w:t>
      </w:r>
      <w:r w:rsidR="00666A91">
        <w:t>can</w:t>
      </w:r>
      <w:r>
        <w:t xml:space="preserve"> support this</w:t>
      </w:r>
      <w:r w:rsidR="00666A91">
        <w:t xml:space="preserve"> work</w:t>
      </w:r>
      <w:r>
        <w:t>.</w:t>
      </w:r>
    </w:p>
    <w:p w:rsidR="0047041E" w:rsidRDefault="00D072F9" w:rsidP="0047041E">
      <w:pPr>
        <w:tabs>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s>
        <w:ind w:left="1080" w:hanging="1080"/>
      </w:pPr>
      <w:r>
        <w:tab/>
      </w:r>
      <w:r w:rsidR="001B45F5">
        <w:tab/>
      </w:r>
      <w:r>
        <w:t>2.</w:t>
      </w:r>
      <w:r>
        <w:tab/>
      </w:r>
      <w:r w:rsidR="00980095">
        <w:t xml:space="preserve">The district </w:t>
      </w:r>
      <w:r>
        <w:t xml:space="preserve">should prioritize these </w:t>
      </w:r>
      <w:r w:rsidR="00980095">
        <w:t xml:space="preserve">foundational strategies </w:t>
      </w:r>
      <w:r w:rsidR="00E84765">
        <w:t xml:space="preserve">as </w:t>
      </w:r>
      <w:r>
        <w:t>its</w:t>
      </w:r>
      <w:r w:rsidR="00980095">
        <w:t xml:space="preserve"> </w:t>
      </w:r>
      <w:r w:rsidR="00015DF5">
        <w:t>“</w:t>
      </w:r>
      <w:r w:rsidR="00980095">
        <w:t>non-negotiables.</w:t>
      </w:r>
      <w:r w:rsidR="00015DF5">
        <w:t>”</w:t>
      </w:r>
      <w:r w:rsidR="00980095">
        <w:t xml:space="preserve">  </w:t>
      </w:r>
    </w:p>
    <w:p w:rsidR="0047041E" w:rsidRDefault="00617110" w:rsidP="0047041E">
      <w:pPr>
        <w:tabs>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s>
        <w:ind w:left="1440" w:hanging="1440"/>
      </w:pPr>
      <w:r>
        <w:tab/>
      </w:r>
      <w:r>
        <w:tab/>
      </w:r>
      <w:r w:rsidR="001B45F5">
        <w:tab/>
      </w:r>
      <w:r>
        <w:t>a.</w:t>
      </w:r>
      <w:r>
        <w:tab/>
        <w:t>The recommended product of these meetings is a set of key strategies that promote</w:t>
      </w:r>
      <w:r w:rsidR="00C41146">
        <w:t xml:space="preserve"> critical thinking, promote</w:t>
      </w:r>
      <w:r>
        <w:t xml:space="preserve"> high levels of student engagement</w:t>
      </w:r>
      <w:r w:rsidR="00C41146">
        <w:t>, differentiate instruction, and use appropriate resources to meet students’ diverse learning needs.</w:t>
      </w:r>
    </w:p>
    <w:p w:rsidR="00B871C9" w:rsidRDefault="00B871C9" w:rsidP="00C41146">
      <w:pPr>
        <w:tabs>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s>
        <w:ind w:left="1440" w:hanging="1440"/>
      </w:pPr>
      <w:r>
        <w:tab/>
      </w:r>
      <w:r>
        <w:tab/>
        <w:t>3.</w:t>
      </w:r>
      <w:r>
        <w:tab/>
        <w:t>These might be drawn from the best practices that the district has focused on in the past.</w:t>
      </w:r>
    </w:p>
    <w:p w:rsidR="00B871C9" w:rsidRDefault="00B871C9" w:rsidP="00B871C9">
      <w:pPr>
        <w:tabs>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s>
        <w:ind w:left="1080" w:hanging="1080"/>
      </w:pPr>
      <w:r>
        <w:tab/>
      </w:r>
      <w:r>
        <w:tab/>
        <w:t>4.</w:t>
      </w:r>
      <w:r>
        <w:tab/>
        <w:t xml:space="preserve">The group should include high-school teachers to ensure that the district’s </w:t>
      </w:r>
      <w:r w:rsidR="00015DF5">
        <w:t>“</w:t>
      </w:r>
      <w:r>
        <w:t>non-negotiables</w:t>
      </w:r>
      <w:r w:rsidR="00015DF5">
        <w:t>”</w:t>
      </w:r>
      <w:r>
        <w:t xml:space="preserve"> meet the need for instructional improvement at the secondary level.</w:t>
      </w:r>
    </w:p>
    <w:p w:rsidR="00980095" w:rsidRPr="002D6E6D" w:rsidRDefault="00980095" w:rsidP="00386849">
      <w:pPr>
        <w:pStyle w:val="ListParagraph"/>
        <w:numPr>
          <w:ilvl w:val="0"/>
          <w:numId w:val="43"/>
        </w:numPr>
        <w:tabs>
          <w:tab w:val="left" w:pos="360"/>
          <w:tab w:val="left" w:pos="720"/>
          <w:tab w:val="left" w:pos="1080"/>
          <w:tab w:val="left" w:pos="1440"/>
          <w:tab w:val="left" w:pos="1800"/>
          <w:tab w:val="left" w:pos="2160"/>
        </w:tabs>
        <w:ind w:left="720"/>
      </w:pPr>
      <w:r w:rsidRPr="008F27C0">
        <w:t xml:space="preserve">Once </w:t>
      </w:r>
      <w:r w:rsidR="00657FE6">
        <w:t>key instructional practices</w:t>
      </w:r>
      <w:r w:rsidRPr="008F27C0">
        <w:t xml:space="preserve"> have been identified, district </w:t>
      </w:r>
      <w:r w:rsidR="00657FE6">
        <w:t xml:space="preserve">administrators </w:t>
      </w:r>
      <w:r w:rsidRPr="008F27C0">
        <w:t xml:space="preserve">should develop a plan for </w:t>
      </w:r>
      <w:r w:rsidR="00657FE6">
        <w:t xml:space="preserve">communicating </w:t>
      </w:r>
      <w:r w:rsidRPr="008F27C0">
        <w:t xml:space="preserve">instructional expectations </w:t>
      </w:r>
      <w:r w:rsidR="00657FE6">
        <w:t>with staff</w:t>
      </w:r>
      <w:r w:rsidRPr="008F27C0">
        <w:t xml:space="preserve">. </w:t>
      </w:r>
    </w:p>
    <w:p w:rsidR="00980095" w:rsidRDefault="00980095" w:rsidP="00980095">
      <w:pPr>
        <w:tabs>
          <w:tab w:val="left" w:pos="360"/>
          <w:tab w:val="left" w:pos="720"/>
          <w:tab w:val="left" w:pos="1080"/>
          <w:tab w:val="left" w:pos="1440"/>
          <w:tab w:val="left" w:pos="1800"/>
          <w:tab w:val="left" w:pos="2160"/>
        </w:tabs>
        <w:ind w:left="1080" w:hanging="1080"/>
        <w:rPr>
          <w:rFonts w:ascii="Calibri" w:hAnsi="Calibri" w:cs="Calibri"/>
          <w:bCs/>
        </w:rPr>
      </w:pPr>
      <w:r>
        <w:tab/>
      </w:r>
      <w:r>
        <w:tab/>
      </w:r>
      <w:r w:rsidR="00657FE6">
        <w:t xml:space="preserve">1.  </w:t>
      </w:r>
      <w:r w:rsidR="004512D7">
        <w:tab/>
      </w:r>
      <w:r>
        <w:t>Using grade level, department</w:t>
      </w:r>
      <w:r w:rsidR="00657FE6">
        <w:t xml:space="preserve"> meetings</w:t>
      </w:r>
      <w:r>
        <w:t xml:space="preserve">, faculty meetings, </w:t>
      </w:r>
      <w:r w:rsidR="00657FE6">
        <w:t xml:space="preserve">common planning time </w:t>
      </w:r>
      <w:r>
        <w:t xml:space="preserve">and/or professional development days, </w:t>
      </w:r>
      <w:r w:rsidRPr="00E50CCA">
        <w:rPr>
          <w:rFonts w:ascii="Calibri" w:hAnsi="Calibri" w:cs="Calibri"/>
          <w:bCs/>
        </w:rPr>
        <w:t xml:space="preserve">the district </w:t>
      </w:r>
      <w:r>
        <w:rPr>
          <w:rFonts w:ascii="Calibri" w:hAnsi="Calibri" w:cs="Calibri"/>
          <w:bCs/>
        </w:rPr>
        <w:t xml:space="preserve">is encouraged to </w:t>
      </w:r>
      <w:r w:rsidR="00657FE6">
        <w:rPr>
          <w:rFonts w:ascii="Calibri" w:hAnsi="Calibri" w:cs="Calibri"/>
          <w:bCs/>
        </w:rPr>
        <w:t xml:space="preserve">discuss ideas and </w:t>
      </w:r>
      <w:r>
        <w:rPr>
          <w:rFonts w:ascii="Calibri" w:hAnsi="Calibri" w:cs="Calibri"/>
          <w:bCs/>
        </w:rPr>
        <w:t xml:space="preserve">strategies </w:t>
      </w:r>
      <w:r w:rsidR="00657FE6">
        <w:rPr>
          <w:rFonts w:ascii="Calibri" w:hAnsi="Calibri" w:cs="Calibri"/>
          <w:bCs/>
        </w:rPr>
        <w:t>from the Framework</w:t>
      </w:r>
      <w:r>
        <w:rPr>
          <w:rFonts w:ascii="Calibri" w:hAnsi="Calibri" w:cs="Calibri"/>
          <w:bCs/>
        </w:rPr>
        <w:t xml:space="preserve">.  </w:t>
      </w:r>
    </w:p>
    <w:p w:rsidR="00657FE6" w:rsidRDefault="00657FE6" w:rsidP="00657FE6">
      <w:pPr>
        <w:tabs>
          <w:tab w:val="left" w:pos="360"/>
          <w:tab w:val="left" w:pos="720"/>
          <w:tab w:val="left" w:pos="1080"/>
          <w:tab w:val="left" w:pos="1440"/>
          <w:tab w:val="left" w:pos="1800"/>
          <w:tab w:val="left" w:pos="2160"/>
        </w:tabs>
        <w:ind w:left="1440" w:hanging="1440"/>
        <w:rPr>
          <w:rFonts w:ascii="Calibri" w:hAnsi="Calibri" w:cs="Calibri"/>
          <w:bCs/>
        </w:rPr>
      </w:pPr>
      <w:r>
        <w:rPr>
          <w:rFonts w:ascii="Calibri" w:hAnsi="Calibri" w:cs="Calibri"/>
          <w:bCs/>
        </w:rPr>
        <w:tab/>
      </w:r>
      <w:r>
        <w:rPr>
          <w:rFonts w:ascii="Calibri" w:hAnsi="Calibri" w:cs="Calibri"/>
          <w:bCs/>
        </w:rPr>
        <w:tab/>
      </w:r>
      <w:r>
        <w:rPr>
          <w:rFonts w:ascii="Calibri" w:hAnsi="Calibri" w:cs="Calibri"/>
          <w:bCs/>
        </w:rPr>
        <w:tab/>
        <w:t>a.</w:t>
      </w:r>
      <w:r>
        <w:rPr>
          <w:rFonts w:ascii="Calibri" w:hAnsi="Calibri" w:cs="Calibri"/>
          <w:bCs/>
        </w:rPr>
        <w:tab/>
        <w:t>Equitable opportunities should be provided by level for teachers to share best practices reflective of the Framework.</w:t>
      </w:r>
    </w:p>
    <w:p w:rsidR="00FA019B" w:rsidRPr="002D6E6D" w:rsidRDefault="00FA019B" w:rsidP="00657FE6">
      <w:pPr>
        <w:tabs>
          <w:tab w:val="left" w:pos="360"/>
          <w:tab w:val="left" w:pos="720"/>
          <w:tab w:val="left" w:pos="1080"/>
          <w:tab w:val="left" w:pos="1440"/>
          <w:tab w:val="left" w:pos="1800"/>
          <w:tab w:val="left" w:pos="2160"/>
        </w:tabs>
        <w:ind w:left="1440" w:hanging="1440"/>
        <w:rPr>
          <w:rFonts w:ascii="Calibri" w:hAnsi="Calibri" w:cs="Calibri"/>
          <w:bCs/>
        </w:rPr>
      </w:pPr>
      <w:r>
        <w:rPr>
          <w:rFonts w:ascii="Calibri" w:hAnsi="Calibri" w:cs="Calibri"/>
          <w:bCs/>
        </w:rPr>
        <w:tab/>
      </w:r>
      <w:r>
        <w:rPr>
          <w:rFonts w:ascii="Calibri" w:hAnsi="Calibri" w:cs="Calibri"/>
          <w:bCs/>
        </w:rPr>
        <w:tab/>
      </w:r>
      <w:r>
        <w:rPr>
          <w:rFonts w:ascii="Calibri" w:hAnsi="Calibri" w:cs="Calibri"/>
          <w:bCs/>
        </w:rPr>
        <w:tab/>
        <w:t>b.</w:t>
      </w:r>
      <w:r>
        <w:rPr>
          <w:rFonts w:ascii="Calibri" w:hAnsi="Calibri" w:cs="Calibri"/>
          <w:bCs/>
        </w:rPr>
        <w:tab/>
        <w:t>Teachers and administrators might consider watching videos of effective teaching and discussing instructional strategies as a way to calibrate expectations.</w:t>
      </w:r>
    </w:p>
    <w:p w:rsidR="00980095" w:rsidRPr="002D6E6D" w:rsidRDefault="00FA019B" w:rsidP="00386849">
      <w:pPr>
        <w:pStyle w:val="ListParagraph"/>
        <w:numPr>
          <w:ilvl w:val="0"/>
          <w:numId w:val="44"/>
        </w:numPr>
        <w:tabs>
          <w:tab w:val="left" w:pos="360"/>
          <w:tab w:val="left" w:pos="720"/>
          <w:tab w:val="left" w:pos="1080"/>
          <w:tab w:val="left" w:pos="1800"/>
          <w:tab w:val="left" w:pos="2160"/>
        </w:tabs>
        <w:ind w:left="720"/>
        <w:contextualSpacing w:val="0"/>
      </w:pPr>
      <w:r>
        <w:rPr>
          <w:rFonts w:cstheme="minorHAnsi"/>
          <w:bCs/>
        </w:rPr>
        <w:t>The administrative team is encouraged to conduct non-evaluative walkthroughs in pa</w:t>
      </w:r>
      <w:r w:rsidR="00E41B6E">
        <w:rPr>
          <w:rFonts w:cstheme="minorHAnsi"/>
          <w:bCs/>
        </w:rPr>
        <w:t>i</w:t>
      </w:r>
      <w:r>
        <w:rPr>
          <w:rFonts w:cstheme="minorHAnsi"/>
          <w:bCs/>
        </w:rPr>
        <w:t xml:space="preserve">rs/small groups, to generalize and share feedback about trends observed, and to discuss improvement </w:t>
      </w:r>
      <w:r w:rsidR="00980095" w:rsidRPr="002D6E6D">
        <w:rPr>
          <w:rFonts w:cstheme="minorHAnsi"/>
          <w:bCs/>
        </w:rPr>
        <w:t xml:space="preserve">strategies </w:t>
      </w:r>
      <w:r>
        <w:rPr>
          <w:rFonts w:cstheme="minorHAnsi"/>
          <w:bCs/>
        </w:rPr>
        <w:t>regularly with teachers</w:t>
      </w:r>
      <w:r w:rsidR="00980095" w:rsidRPr="002D6E6D">
        <w:rPr>
          <w:rFonts w:cstheme="minorHAnsi"/>
          <w:bCs/>
        </w:rPr>
        <w:t>.</w:t>
      </w:r>
    </w:p>
    <w:p w:rsidR="00980095" w:rsidRDefault="00FA019B" w:rsidP="00FA019B">
      <w:pPr>
        <w:pStyle w:val="ListParagraph"/>
        <w:numPr>
          <w:ilvl w:val="0"/>
          <w:numId w:val="44"/>
        </w:numPr>
        <w:tabs>
          <w:tab w:val="left" w:pos="360"/>
          <w:tab w:val="left" w:pos="720"/>
          <w:tab w:val="left" w:pos="1080"/>
          <w:tab w:val="left" w:pos="1440"/>
          <w:tab w:val="left" w:pos="1800"/>
          <w:tab w:val="left" w:pos="2160"/>
        </w:tabs>
        <w:ind w:left="720"/>
        <w:contextualSpacing w:val="0"/>
      </w:pPr>
      <w:r>
        <w:t>Teachers should be provided with appropriate guidance and feedback as they implement the Framework.</w:t>
      </w:r>
    </w:p>
    <w:p w:rsidR="00FA019B" w:rsidRDefault="00FA019B" w:rsidP="00FA019B">
      <w:pPr>
        <w:tabs>
          <w:tab w:val="left" w:pos="360"/>
          <w:tab w:val="left" w:pos="720"/>
          <w:tab w:val="left" w:pos="1080"/>
          <w:tab w:val="left" w:pos="1440"/>
          <w:tab w:val="left" w:pos="1800"/>
          <w:tab w:val="left" w:pos="2160"/>
        </w:tabs>
        <w:ind w:left="360"/>
      </w:pPr>
      <w:r>
        <w:tab/>
        <w:t>1.</w:t>
      </w:r>
      <w:r>
        <w:tab/>
        <w:t>Professional development should f</w:t>
      </w:r>
      <w:r w:rsidR="00C25E9B">
        <w:t>oc</w:t>
      </w:r>
      <w:r>
        <w:t>us on key instructional practices of the Framework.</w:t>
      </w:r>
    </w:p>
    <w:p w:rsidR="00FA019B" w:rsidRDefault="00FA019B" w:rsidP="00FA019B">
      <w:pPr>
        <w:tabs>
          <w:tab w:val="left" w:pos="360"/>
          <w:tab w:val="left" w:pos="720"/>
          <w:tab w:val="left" w:pos="1080"/>
          <w:tab w:val="left" w:pos="1440"/>
          <w:tab w:val="left" w:pos="1800"/>
          <w:tab w:val="left" w:pos="2160"/>
        </w:tabs>
        <w:ind w:left="1080" w:hanging="720"/>
      </w:pPr>
      <w:r>
        <w:tab/>
        <w:t>2.</w:t>
      </w:r>
      <w:r>
        <w:tab/>
        <w:t>Principals, as instructional leaders, should ensure that teachers have the information and support necessary to meet the district’s expectations for instruction.</w:t>
      </w:r>
    </w:p>
    <w:p w:rsidR="00FA019B" w:rsidRDefault="00FA019B" w:rsidP="00C25E9B">
      <w:pPr>
        <w:tabs>
          <w:tab w:val="left" w:pos="360"/>
          <w:tab w:val="left" w:pos="720"/>
          <w:tab w:val="left" w:pos="1080"/>
          <w:tab w:val="left" w:pos="1440"/>
          <w:tab w:val="left" w:pos="1800"/>
          <w:tab w:val="left" w:pos="2160"/>
        </w:tabs>
        <w:ind w:left="1080" w:hanging="720"/>
      </w:pPr>
      <w:r>
        <w:lastRenderedPageBreak/>
        <w:tab/>
        <w:t>3.</w:t>
      </w:r>
      <w:r>
        <w:tab/>
      </w:r>
      <w:r w:rsidR="00C25E9B">
        <w:t xml:space="preserve">Teachers should receive frequent, helpful feedback </w:t>
      </w:r>
      <w:r w:rsidR="000E1492">
        <w:t>as they provide more student-centered, engaging learning experiences</w:t>
      </w:r>
      <w:r w:rsidR="00C25E9B">
        <w:t xml:space="preserve"> (see the Human Resources and Professional Development recommendation below).</w:t>
      </w:r>
    </w:p>
    <w:p w:rsidR="00980095" w:rsidRDefault="00980095" w:rsidP="00980095">
      <w:pPr>
        <w:rPr>
          <w:rFonts w:cstheme="minorHAnsi"/>
          <w:bCs/>
          <w:iCs/>
        </w:rPr>
      </w:pPr>
      <w:r w:rsidRPr="00071D3E">
        <w:rPr>
          <w:b/>
        </w:rPr>
        <w:t>Benefits</w:t>
      </w:r>
      <w:r w:rsidR="00402642">
        <w:rPr>
          <w:b/>
        </w:rPr>
        <w:t>:</w:t>
      </w:r>
      <w:r w:rsidRPr="00A3783B">
        <w:rPr>
          <w:rFonts w:cstheme="minorHAnsi"/>
        </w:rPr>
        <w:t xml:space="preserve"> </w:t>
      </w:r>
      <w:r w:rsidR="00402642">
        <w:rPr>
          <w:rFonts w:cstheme="minorHAnsi"/>
        </w:rPr>
        <w:t>I</w:t>
      </w:r>
      <w:r w:rsidRPr="00A3783B">
        <w:rPr>
          <w:rFonts w:cstheme="minorHAnsi"/>
        </w:rPr>
        <w:t xml:space="preserve">mplementing this recommendation </w:t>
      </w:r>
      <w:r w:rsidR="00233BFB">
        <w:rPr>
          <w:rFonts w:cstheme="minorHAnsi"/>
        </w:rPr>
        <w:t>will mean</w:t>
      </w:r>
      <w:r>
        <w:rPr>
          <w:rFonts w:cstheme="minorHAnsi"/>
          <w:bCs/>
          <w:iCs/>
        </w:rPr>
        <w:t xml:space="preserve"> </w:t>
      </w:r>
      <w:r w:rsidR="00233BFB">
        <w:rPr>
          <w:rFonts w:cstheme="minorHAnsi"/>
          <w:bCs/>
          <w:iCs/>
        </w:rPr>
        <w:t xml:space="preserve">clear </w:t>
      </w:r>
      <w:r>
        <w:rPr>
          <w:rFonts w:cstheme="minorHAnsi"/>
          <w:bCs/>
          <w:iCs/>
        </w:rPr>
        <w:t xml:space="preserve">and </w:t>
      </w:r>
      <w:r w:rsidR="00233BFB">
        <w:rPr>
          <w:rFonts w:cstheme="minorHAnsi"/>
          <w:bCs/>
          <w:iCs/>
        </w:rPr>
        <w:t>articulated</w:t>
      </w:r>
      <w:r w:rsidRPr="00A3783B">
        <w:rPr>
          <w:rFonts w:cstheme="minorHAnsi"/>
          <w:bCs/>
          <w:iCs/>
        </w:rPr>
        <w:t xml:space="preserve"> expectations </w:t>
      </w:r>
      <w:r>
        <w:rPr>
          <w:rFonts w:cstheme="minorHAnsi"/>
          <w:bCs/>
          <w:iCs/>
        </w:rPr>
        <w:t xml:space="preserve">for teachers and administrators for </w:t>
      </w:r>
      <w:r w:rsidR="00233BFB">
        <w:rPr>
          <w:rFonts w:cstheme="minorHAnsi"/>
          <w:bCs/>
          <w:iCs/>
        </w:rPr>
        <w:t>what constitutes</w:t>
      </w:r>
      <w:r>
        <w:rPr>
          <w:rFonts w:cstheme="minorHAnsi"/>
          <w:bCs/>
          <w:iCs/>
        </w:rPr>
        <w:t xml:space="preserve"> best practices. </w:t>
      </w:r>
      <w:r w:rsidRPr="00A3783B">
        <w:rPr>
          <w:rFonts w:cstheme="minorHAnsi"/>
          <w:bCs/>
          <w:iCs/>
        </w:rPr>
        <w:t xml:space="preserve"> A district that provides </w:t>
      </w:r>
      <w:r w:rsidR="00233BFB" w:rsidRPr="00A3783B">
        <w:rPr>
          <w:rFonts w:cstheme="minorHAnsi"/>
          <w:bCs/>
          <w:iCs/>
        </w:rPr>
        <w:t>high</w:t>
      </w:r>
      <w:r w:rsidR="00233BFB">
        <w:rPr>
          <w:rFonts w:cstheme="minorHAnsi"/>
          <w:bCs/>
          <w:iCs/>
        </w:rPr>
        <w:t>-</w:t>
      </w:r>
      <w:r w:rsidRPr="00A3783B">
        <w:rPr>
          <w:rFonts w:cstheme="minorHAnsi"/>
          <w:bCs/>
          <w:iCs/>
        </w:rPr>
        <w:t xml:space="preserve">quality instruction for all students </w:t>
      </w:r>
      <w:r>
        <w:rPr>
          <w:rFonts w:cstheme="minorHAnsi"/>
          <w:bCs/>
          <w:iCs/>
        </w:rPr>
        <w:t xml:space="preserve">and ongoing professional supports for teachers and administrators </w:t>
      </w:r>
      <w:r w:rsidRPr="00A3783B">
        <w:rPr>
          <w:rFonts w:cstheme="minorHAnsi"/>
          <w:bCs/>
          <w:iCs/>
        </w:rPr>
        <w:t>creates and sustains a culture of co</w:t>
      </w:r>
      <w:r>
        <w:rPr>
          <w:rFonts w:cstheme="minorHAnsi"/>
          <w:bCs/>
          <w:iCs/>
        </w:rPr>
        <w:t xml:space="preserve">ntinuous improvement, resulting in </w:t>
      </w:r>
      <w:r w:rsidR="00233BFB">
        <w:rPr>
          <w:rFonts w:cstheme="minorHAnsi"/>
          <w:bCs/>
          <w:iCs/>
        </w:rPr>
        <w:t xml:space="preserve">professional growth and </w:t>
      </w:r>
      <w:r>
        <w:rPr>
          <w:rFonts w:cstheme="minorHAnsi"/>
          <w:bCs/>
          <w:iCs/>
        </w:rPr>
        <w:t>increased student achievement.</w:t>
      </w:r>
    </w:p>
    <w:p w:rsidR="00980095" w:rsidRPr="00BF77F4" w:rsidRDefault="00980095" w:rsidP="00980095">
      <w:pPr>
        <w:rPr>
          <w:b/>
        </w:rPr>
      </w:pPr>
      <w:r w:rsidRPr="00BF77F4">
        <w:rPr>
          <w:b/>
        </w:rPr>
        <w:t>Recommended resources:</w:t>
      </w:r>
    </w:p>
    <w:p w:rsidR="0047041E" w:rsidRDefault="002E07A6" w:rsidP="0047041E">
      <w:pPr>
        <w:pStyle w:val="ListParagraph"/>
        <w:numPr>
          <w:ilvl w:val="0"/>
          <w:numId w:val="5"/>
        </w:numPr>
        <w:ind w:left="360"/>
        <w:contextualSpacing w:val="0"/>
        <w:rPr>
          <w:rFonts w:cs="Calibri"/>
        </w:rPr>
      </w:pPr>
      <w:r>
        <w:rPr>
          <w:rFonts w:cs="Calibri"/>
          <w:i/>
        </w:rPr>
        <w:t>A</w:t>
      </w:r>
      <w:r w:rsidR="00980095" w:rsidRPr="00910462">
        <w:rPr>
          <w:rFonts w:cs="Calibri"/>
          <w:i/>
        </w:rPr>
        <w:t>n Effective Standards-Based K-12 Science and Technology/Engineering Classroom</w:t>
      </w:r>
      <w:r w:rsidR="00980095" w:rsidRPr="00910462">
        <w:rPr>
          <w:rFonts w:cs="Calibri"/>
        </w:rPr>
        <w:t xml:space="preserve"> (</w:t>
      </w:r>
      <w:hyperlink r:id="rId25" w:history="1">
        <w:r w:rsidR="00980095" w:rsidRPr="00910462">
          <w:rPr>
            <w:rStyle w:val="Hyperlink"/>
            <w:rFonts w:cs="Calibri"/>
          </w:rPr>
          <w:t>http://www.doe.mass.edu/STEM/Standards-BasedClassroom.pdf</w:t>
        </w:r>
      </w:hyperlink>
      <w:r w:rsidR="00980095" w:rsidRPr="00910462">
        <w:rPr>
          <w:rFonts w:cs="Calibri"/>
        </w:rPr>
        <w:t xml:space="preserve">) and </w:t>
      </w:r>
      <w:r w:rsidR="00980095" w:rsidRPr="00910462">
        <w:rPr>
          <w:rFonts w:cs="Calibri"/>
          <w:i/>
        </w:rPr>
        <w:t>Characteristics of a Standards-Based Mathematics Classroom</w:t>
      </w:r>
      <w:r w:rsidR="00980095" w:rsidRPr="00910462">
        <w:rPr>
          <w:rFonts w:cs="Calibri"/>
        </w:rPr>
        <w:t xml:space="preserve"> </w:t>
      </w:r>
      <w:r w:rsidR="00FF387E" w:rsidRPr="00FF387E">
        <w:rPr>
          <w:rFonts w:cs="Calibri"/>
          <w:color w:val="0000FF"/>
        </w:rPr>
        <w:t>(</w:t>
      </w:r>
      <w:hyperlink r:id="rId26" w:history="1">
        <w:r w:rsidR="00980095" w:rsidRPr="00910462">
          <w:rPr>
            <w:rStyle w:val="Hyperlink"/>
            <w:rFonts w:cs="Calibri"/>
          </w:rPr>
          <w:t>http://www.doe.mass.edu/STEM/news07/mathclass_char.pdf</w:t>
        </w:r>
      </w:hyperlink>
      <w:r w:rsidR="00980095" w:rsidRPr="00910462">
        <w:rPr>
          <w:rFonts w:cs="Calibri"/>
        </w:rPr>
        <w:t>) are references for instructional planning and observation, intended to support activities that advance standards-based educational practice, including formal study, dialogue and discussion, classroom observations, and other professional development activities.</w:t>
      </w:r>
    </w:p>
    <w:p w:rsidR="0047041E" w:rsidRDefault="00980095" w:rsidP="0047041E">
      <w:pPr>
        <w:pStyle w:val="ListParagraph"/>
        <w:numPr>
          <w:ilvl w:val="0"/>
          <w:numId w:val="5"/>
        </w:numPr>
        <w:ind w:left="360"/>
        <w:contextualSpacing w:val="0"/>
        <w:rPr>
          <w:rFonts w:cs="Calibri"/>
        </w:rPr>
      </w:pPr>
      <w:r w:rsidRPr="00910462">
        <w:rPr>
          <w:rFonts w:cs="Calibri"/>
        </w:rPr>
        <w:t xml:space="preserve">ESE’s </w:t>
      </w:r>
      <w:r w:rsidRPr="00910462">
        <w:rPr>
          <w:rFonts w:cs="Calibri"/>
          <w:i/>
        </w:rPr>
        <w:t>Calibration Video Library</w:t>
      </w:r>
      <w:r w:rsidRPr="00910462">
        <w:rPr>
          <w:rFonts w:cs="Calibri"/>
        </w:rPr>
        <w:t xml:space="preserve"> (</w:t>
      </w:r>
      <w:hyperlink r:id="rId27" w:history="1">
        <w:r w:rsidRPr="00910462">
          <w:rPr>
            <w:rStyle w:val="Hyperlink"/>
            <w:rFonts w:cs="Calibri"/>
          </w:rPr>
          <w:t>http://www.doe.mass.edu/edeval/resources/calibration/</w:t>
        </w:r>
      </w:hyperlink>
      <w:r w:rsidRPr="00910462">
        <w:rPr>
          <w:rFonts w:cs="Calibri"/>
        </w:rPr>
        <w:t>) is a collection of professionally created videos of classroom instruction produced by the School Improvement Network. These videos depict a range of practice (this is NOT a collection of exemplars) to support within-district calibration activities that promote a shared understanding of instructional quality and rigor.</w:t>
      </w:r>
    </w:p>
    <w:p w:rsidR="0047041E" w:rsidRDefault="00980095" w:rsidP="0047041E">
      <w:pPr>
        <w:pStyle w:val="ListParagraph"/>
        <w:numPr>
          <w:ilvl w:val="1"/>
          <w:numId w:val="5"/>
        </w:numPr>
        <w:tabs>
          <w:tab w:val="left" w:pos="360"/>
          <w:tab w:val="left" w:pos="2160"/>
          <w:tab w:val="left" w:pos="2520"/>
          <w:tab w:val="left" w:pos="2880"/>
        </w:tabs>
        <w:ind w:left="360"/>
        <w:contextualSpacing w:val="0"/>
      </w:pPr>
      <w:r w:rsidRPr="00B04121">
        <w:rPr>
          <w:rFonts w:cs="Calibri"/>
        </w:rPr>
        <w:t xml:space="preserve">ESE’s </w:t>
      </w:r>
      <w:r w:rsidRPr="00B04121">
        <w:rPr>
          <w:rFonts w:cs="Calibri"/>
          <w:i/>
        </w:rPr>
        <w:t>Online Calibration Training Tool</w:t>
      </w:r>
      <w:r w:rsidRPr="00B04121">
        <w:rPr>
          <w:rFonts w:cs="Calibri"/>
        </w:rPr>
        <w:t xml:space="preserve"> (</w:t>
      </w:r>
      <w:hyperlink r:id="rId28" w:tgtFrame="_blank" w:history="1">
        <w:r w:rsidRPr="00B04121">
          <w:rPr>
            <w:rStyle w:val="Hyperlink"/>
            <w:rFonts w:cs="Tahoma"/>
          </w:rPr>
          <w:t>http://www.doe.mass.edu/edeval/resources/calibration/tool/</w:t>
        </w:r>
      </w:hyperlink>
      <w:r w:rsidRPr="00B04121">
        <w:rPr>
          <w:rFonts w:cs="Calibri"/>
        </w:rPr>
        <w:t>) uses videos of classroom instruction from ESE’s Calibration Video Library to simulate brief, unannounced observations. Groups of educators, such as a district leadership team, watch a video together and then individually assess the educator’s practice related to specific elements from the Model Classroom Teacher Rubric and provide the educator with written feedback. Through real-time data displays, the group members can then see how their conclusions compare to each other, as well educators throughout the state.</w:t>
      </w:r>
      <w:r w:rsidR="00B04121" w:rsidRPr="00F04EDB">
        <w:t xml:space="preserve"> </w:t>
      </w:r>
      <w:r w:rsidR="00342350" w:rsidRPr="00F04EDB">
        <w:br w:type="page"/>
      </w:r>
    </w:p>
    <w:p w:rsidR="00580DB8" w:rsidRPr="000D7416" w:rsidRDefault="00342350" w:rsidP="000D7416">
      <w:pPr>
        <w:pStyle w:val="Section"/>
        <w:rPr>
          <w:szCs w:val="36"/>
        </w:rPr>
      </w:pPr>
      <w:bookmarkStart w:id="12" w:name="_Toc484611574"/>
      <w:r w:rsidRPr="00BA0701">
        <w:rPr>
          <w:szCs w:val="36"/>
        </w:rPr>
        <w:lastRenderedPageBreak/>
        <w:t>Assessment</w:t>
      </w:r>
      <w:bookmarkEnd w:id="12"/>
      <w:r w:rsidR="00580DB8" w:rsidRPr="00580DB8">
        <w:rPr>
          <w:b/>
          <w:i/>
          <w:sz w:val="28"/>
          <w:szCs w:val="28"/>
        </w:rPr>
        <w:t xml:space="preserve"> </w:t>
      </w:r>
    </w:p>
    <w:p w:rsidR="00580DB8" w:rsidRPr="000D7416" w:rsidRDefault="00580DB8" w:rsidP="00580DB8">
      <w:pPr>
        <w:tabs>
          <w:tab w:val="left" w:pos="360"/>
          <w:tab w:val="left" w:pos="720"/>
          <w:tab w:val="left" w:pos="1080"/>
          <w:tab w:val="left" w:pos="1440"/>
          <w:tab w:val="left" w:pos="1800"/>
          <w:tab w:val="left" w:pos="2160"/>
        </w:tabs>
        <w:rPr>
          <w:b/>
          <w:i/>
          <w:sz w:val="28"/>
          <w:szCs w:val="28"/>
        </w:rPr>
      </w:pPr>
      <w:r w:rsidRPr="000D7416">
        <w:rPr>
          <w:b/>
          <w:i/>
          <w:sz w:val="28"/>
          <w:szCs w:val="28"/>
        </w:rPr>
        <w:t xml:space="preserve">Contextual Background </w:t>
      </w:r>
    </w:p>
    <w:p w:rsidR="00580DB8" w:rsidRDefault="00580DB8" w:rsidP="00580DB8">
      <w:pPr>
        <w:tabs>
          <w:tab w:val="left" w:pos="360"/>
          <w:tab w:val="left" w:pos="720"/>
          <w:tab w:val="left" w:pos="1080"/>
          <w:tab w:val="left" w:pos="1440"/>
          <w:tab w:val="left" w:pos="1800"/>
          <w:tab w:val="left" w:pos="2160"/>
        </w:tabs>
      </w:pPr>
      <w:r>
        <w:t>The district’s office of research and a</w:t>
      </w:r>
      <w:r w:rsidRPr="00243B3B">
        <w:t xml:space="preserve">ccountability </w:t>
      </w:r>
      <w:r w:rsidR="00FF387E">
        <w:t xml:space="preserve">is responsible for </w:t>
      </w:r>
      <w:r>
        <w:t>oversee</w:t>
      </w:r>
      <w:r w:rsidR="00FF387E">
        <w:t>ing</w:t>
      </w:r>
      <w:r>
        <w:t xml:space="preserve"> and monitor</w:t>
      </w:r>
      <w:r w:rsidR="00FF387E">
        <w:t>ing</w:t>
      </w:r>
      <w:r>
        <w:t xml:space="preserve"> </w:t>
      </w:r>
      <w:r w:rsidRPr="00243B3B">
        <w:t>assessments and</w:t>
      </w:r>
      <w:r w:rsidR="00FF387E">
        <w:t xml:space="preserve"> the use of</w:t>
      </w:r>
      <w:r w:rsidRPr="00243B3B">
        <w:t xml:space="preserve"> assessment</w:t>
      </w:r>
      <w:r w:rsidR="00B47EFE">
        <w:t xml:space="preserve"> and other</w:t>
      </w:r>
      <w:r w:rsidRPr="00243B3B">
        <w:t xml:space="preserve"> data.</w:t>
      </w:r>
      <w:r w:rsidR="00FF387E">
        <w:t xml:space="preserve"> </w:t>
      </w:r>
      <w:r>
        <w:t>In addition</w:t>
      </w:r>
      <w:r w:rsidR="00FF387E">
        <w:t>, the office collects and</w:t>
      </w:r>
      <w:r>
        <w:t xml:space="preserve"> analyzes most </w:t>
      </w:r>
      <w:r w:rsidR="00B63B12">
        <w:t>achievement</w:t>
      </w:r>
      <w:r w:rsidR="00B47EFE">
        <w:t xml:space="preserve"> data </w:t>
      </w:r>
      <w:r w:rsidR="00B63B12">
        <w:t>and disseminates</w:t>
      </w:r>
      <w:r w:rsidR="000B100D">
        <w:t xml:space="preserve"> user-friendly, timely</w:t>
      </w:r>
      <w:r w:rsidR="00B63B12">
        <w:t xml:space="preserve"> </w:t>
      </w:r>
      <w:r>
        <w:t>data reports</w:t>
      </w:r>
      <w:r w:rsidR="00FF387E">
        <w:t xml:space="preserve"> to the schools</w:t>
      </w:r>
      <w:r w:rsidR="00B47EFE">
        <w:t xml:space="preserve">. The </w:t>
      </w:r>
      <w:r w:rsidR="00C0530D">
        <w:t>chief research and accountability</w:t>
      </w:r>
      <w:r>
        <w:t xml:space="preserve"> </w:t>
      </w:r>
      <w:r w:rsidR="00C0530D">
        <w:t xml:space="preserve">officer </w:t>
      </w:r>
      <w:r w:rsidR="00BF77F4">
        <w:t>provides leadership to a staff that includes</w:t>
      </w:r>
      <w:r>
        <w:t xml:space="preserve"> a</w:t>
      </w:r>
      <w:r w:rsidR="00B47EFE">
        <w:t xml:space="preserve"> testing and evaluation specialist,</w:t>
      </w:r>
      <w:r>
        <w:t xml:space="preserve"> a data analyst, a data assistant</w:t>
      </w:r>
      <w:r w:rsidR="001A2C8B">
        <w:t>,</w:t>
      </w:r>
      <w:r>
        <w:t xml:space="preserve"> and clerical support. </w:t>
      </w:r>
      <w:r w:rsidR="00FF387E">
        <w:t>The office</w:t>
      </w:r>
      <w:r>
        <w:t xml:space="preserve"> works</w:t>
      </w:r>
      <w:r w:rsidR="00FF387E">
        <w:t xml:space="preserve"> closely</w:t>
      </w:r>
      <w:r>
        <w:t xml:space="preserve"> with </w:t>
      </w:r>
      <w:r w:rsidR="00FF387E">
        <w:t>leaders in the o</w:t>
      </w:r>
      <w:r>
        <w:t>ffic</w:t>
      </w:r>
      <w:r w:rsidR="00FF387E">
        <w:t>e of curriculum and l</w:t>
      </w:r>
      <w:r>
        <w:t>earning</w:t>
      </w:r>
      <w:r w:rsidR="00FF387E">
        <w:t xml:space="preserve"> to ensure that assessments and the use of assessment data are fully integrated into</w:t>
      </w:r>
      <w:r w:rsidR="00D46561">
        <w:t xml:space="preserve"> school </w:t>
      </w:r>
      <w:r w:rsidR="00705C3D">
        <w:t xml:space="preserve">improvement </w:t>
      </w:r>
      <w:r w:rsidR="00B63B12">
        <w:t>planning and</w:t>
      </w:r>
      <w:r w:rsidR="00FF387E">
        <w:t xml:space="preserve"> improving teaching and learning</w:t>
      </w:r>
      <w:r>
        <w:t xml:space="preserve">. </w:t>
      </w:r>
    </w:p>
    <w:p w:rsidR="00580DB8" w:rsidRDefault="00580DB8" w:rsidP="00580DB8">
      <w:pPr>
        <w:pStyle w:val="CommentText"/>
        <w:spacing w:line="276" w:lineRule="auto"/>
        <w:rPr>
          <w:sz w:val="22"/>
          <w:szCs w:val="22"/>
        </w:rPr>
      </w:pPr>
      <w:r>
        <w:rPr>
          <w:sz w:val="22"/>
          <w:szCs w:val="22"/>
        </w:rPr>
        <w:t xml:space="preserve">The analysis and use of student achievement data and other student information is highly developed at the district level where the school committee and district leaders use data to prepare the budget and set and monitor district improvement priorities and goals.  District leaders, managers, specialists, </w:t>
      </w:r>
      <w:r w:rsidR="00C0530D">
        <w:rPr>
          <w:sz w:val="22"/>
          <w:szCs w:val="22"/>
        </w:rPr>
        <w:t xml:space="preserve">academic </w:t>
      </w:r>
      <w:r>
        <w:rPr>
          <w:sz w:val="22"/>
          <w:szCs w:val="22"/>
        </w:rPr>
        <w:t>liaisons</w:t>
      </w:r>
      <w:r w:rsidR="001A2C8B">
        <w:rPr>
          <w:sz w:val="22"/>
          <w:szCs w:val="22"/>
        </w:rPr>
        <w:t>,</w:t>
      </w:r>
      <w:r>
        <w:rPr>
          <w:sz w:val="22"/>
          <w:szCs w:val="22"/>
        </w:rPr>
        <w:t xml:space="preserve"> and coaches are well informed </w:t>
      </w:r>
      <w:r w:rsidR="00705C3D">
        <w:rPr>
          <w:sz w:val="22"/>
          <w:szCs w:val="22"/>
        </w:rPr>
        <w:t xml:space="preserve">about </w:t>
      </w:r>
      <w:r>
        <w:rPr>
          <w:sz w:val="22"/>
          <w:szCs w:val="22"/>
        </w:rPr>
        <w:t xml:space="preserve">the data trends in the schools in which they work to support teaching and learning.  </w:t>
      </w:r>
    </w:p>
    <w:p w:rsidR="006B3E4F" w:rsidRDefault="00580DB8" w:rsidP="006B3E4F">
      <w:pPr>
        <w:pStyle w:val="CommentText"/>
        <w:spacing w:line="276" w:lineRule="auto"/>
        <w:rPr>
          <w:sz w:val="22"/>
          <w:szCs w:val="22"/>
        </w:rPr>
      </w:pPr>
      <w:r>
        <w:rPr>
          <w:sz w:val="22"/>
          <w:szCs w:val="22"/>
        </w:rPr>
        <w:t>It is at the school level, however, where the system</w:t>
      </w:r>
      <w:r w:rsidR="006B0CF3">
        <w:rPr>
          <w:sz w:val="22"/>
          <w:szCs w:val="22"/>
        </w:rPr>
        <w:t xml:space="preserve"> and its practices show</w:t>
      </w:r>
      <w:r w:rsidR="006136B8">
        <w:rPr>
          <w:sz w:val="22"/>
          <w:szCs w:val="22"/>
        </w:rPr>
        <w:t xml:space="preserve"> fragility.  </w:t>
      </w:r>
      <w:r w:rsidR="00B52629">
        <w:rPr>
          <w:sz w:val="22"/>
          <w:szCs w:val="22"/>
        </w:rPr>
        <w:t xml:space="preserve">Principals told the team that most </w:t>
      </w:r>
      <w:r>
        <w:rPr>
          <w:sz w:val="22"/>
          <w:szCs w:val="22"/>
        </w:rPr>
        <w:t xml:space="preserve">principals are reasonably well versed </w:t>
      </w:r>
      <w:r w:rsidR="006B0CF3">
        <w:rPr>
          <w:sz w:val="22"/>
          <w:szCs w:val="22"/>
        </w:rPr>
        <w:t>in the analysis and use of data.  And t</w:t>
      </w:r>
      <w:r>
        <w:rPr>
          <w:sz w:val="22"/>
          <w:szCs w:val="22"/>
        </w:rPr>
        <w:t xml:space="preserve">he ability of teachers and teacher-leaders to use data well for improvement differs across schools. While there are exemplary practices at some schools, </w:t>
      </w:r>
      <w:r w:rsidR="00A862A3">
        <w:rPr>
          <w:sz w:val="22"/>
          <w:szCs w:val="22"/>
        </w:rPr>
        <w:t xml:space="preserve">some </w:t>
      </w:r>
      <w:r>
        <w:rPr>
          <w:sz w:val="22"/>
          <w:szCs w:val="22"/>
        </w:rPr>
        <w:t xml:space="preserve">teachers </w:t>
      </w:r>
      <w:r w:rsidR="00A862A3">
        <w:rPr>
          <w:sz w:val="22"/>
          <w:szCs w:val="22"/>
        </w:rPr>
        <w:t xml:space="preserve">said that they did not understand how to interpret </w:t>
      </w:r>
      <w:r w:rsidR="00A862A3" w:rsidRPr="006B3E4F">
        <w:rPr>
          <w:sz w:val="22"/>
          <w:szCs w:val="22"/>
        </w:rPr>
        <w:t>data, data meetings were not well facilitated, and they had received little train</w:t>
      </w:r>
      <w:r w:rsidR="00D66B0B" w:rsidRPr="006B3E4F">
        <w:rPr>
          <w:sz w:val="22"/>
          <w:szCs w:val="22"/>
        </w:rPr>
        <w:t>in</w:t>
      </w:r>
      <w:r w:rsidR="00A862A3" w:rsidRPr="006B3E4F">
        <w:rPr>
          <w:sz w:val="22"/>
          <w:szCs w:val="22"/>
        </w:rPr>
        <w:t>g about how to use data</w:t>
      </w:r>
      <w:r w:rsidR="006B0CF3" w:rsidRPr="006B3E4F">
        <w:rPr>
          <w:sz w:val="22"/>
          <w:szCs w:val="22"/>
        </w:rPr>
        <w:t xml:space="preserve">.  </w:t>
      </w:r>
      <w:r w:rsidR="0047041E" w:rsidRPr="0047041E">
        <w:rPr>
          <w:sz w:val="22"/>
          <w:szCs w:val="22"/>
        </w:rPr>
        <w:t xml:space="preserve">Finally, </w:t>
      </w:r>
      <w:r w:rsidR="00255FA5">
        <w:rPr>
          <w:sz w:val="22"/>
          <w:szCs w:val="22"/>
        </w:rPr>
        <w:t xml:space="preserve">in observed </w:t>
      </w:r>
      <w:r w:rsidR="006B3E4F" w:rsidRPr="006B3E4F">
        <w:rPr>
          <w:sz w:val="22"/>
          <w:szCs w:val="22"/>
        </w:rPr>
        <w:t>lesson</w:t>
      </w:r>
      <w:r w:rsidR="00255FA5">
        <w:rPr>
          <w:sz w:val="22"/>
          <w:szCs w:val="22"/>
        </w:rPr>
        <w:t>s</w:t>
      </w:r>
      <w:r w:rsidR="006B3E4F">
        <w:rPr>
          <w:sz w:val="22"/>
          <w:szCs w:val="22"/>
        </w:rPr>
        <w:t xml:space="preserve"> formative assessments </w:t>
      </w:r>
      <w:r w:rsidR="00255FA5">
        <w:rPr>
          <w:sz w:val="22"/>
          <w:szCs w:val="22"/>
        </w:rPr>
        <w:t>were</w:t>
      </w:r>
      <w:r w:rsidR="006B3E4F">
        <w:rPr>
          <w:sz w:val="22"/>
          <w:szCs w:val="22"/>
        </w:rPr>
        <w:t xml:space="preserve"> the least </w:t>
      </w:r>
      <w:r w:rsidR="00255FA5">
        <w:rPr>
          <w:sz w:val="22"/>
          <w:szCs w:val="22"/>
        </w:rPr>
        <w:t>common</w:t>
      </w:r>
      <w:r w:rsidR="006B3E4F">
        <w:rPr>
          <w:sz w:val="22"/>
          <w:szCs w:val="22"/>
        </w:rPr>
        <w:t xml:space="preserve"> assessment format.  </w:t>
      </w:r>
    </w:p>
    <w:p w:rsidR="00580DB8" w:rsidRPr="001A2C8B" w:rsidRDefault="0047041E" w:rsidP="00580DB8">
      <w:pPr>
        <w:tabs>
          <w:tab w:val="left" w:pos="360"/>
          <w:tab w:val="left" w:pos="720"/>
          <w:tab w:val="left" w:pos="1080"/>
          <w:tab w:val="left" w:pos="1440"/>
          <w:tab w:val="left" w:pos="1800"/>
          <w:tab w:val="left" w:pos="2160"/>
        </w:tabs>
        <w:rPr>
          <w:b/>
          <w:sz w:val="28"/>
          <w:szCs w:val="28"/>
        </w:rPr>
      </w:pPr>
      <w:r w:rsidRPr="0047041E">
        <w:rPr>
          <w:b/>
          <w:sz w:val="28"/>
          <w:szCs w:val="28"/>
        </w:rPr>
        <w:t xml:space="preserve">Strength Findings </w:t>
      </w:r>
    </w:p>
    <w:p w:rsidR="00580DB8" w:rsidRPr="00D34770" w:rsidRDefault="00580DB8" w:rsidP="00580DB8">
      <w:pPr>
        <w:tabs>
          <w:tab w:val="left" w:pos="360"/>
          <w:tab w:val="left" w:pos="720"/>
          <w:tab w:val="left" w:pos="1080"/>
          <w:tab w:val="left" w:pos="1440"/>
          <w:tab w:val="left" w:pos="1800"/>
          <w:tab w:val="left" w:pos="2160"/>
        </w:tabs>
        <w:ind w:left="360" w:hanging="360"/>
        <w:rPr>
          <w:b/>
          <w:i/>
        </w:rPr>
      </w:pPr>
      <w:r>
        <w:rPr>
          <w:b/>
        </w:rPr>
        <w:t xml:space="preserve">1. </w:t>
      </w:r>
      <w:r>
        <w:rPr>
          <w:b/>
        </w:rPr>
        <w:tab/>
        <w:t xml:space="preserve">The Worcester Public Schools has developed and implemented a strategic assessment system to invest each school with the responsibility and authority to plan its own assessment program with guidance and expectations set by the district.  </w:t>
      </w:r>
    </w:p>
    <w:p w:rsidR="000514D1" w:rsidRDefault="000514D1" w:rsidP="000514D1">
      <w:pPr>
        <w:tabs>
          <w:tab w:val="left" w:pos="720"/>
          <w:tab w:val="left" w:pos="1080"/>
          <w:tab w:val="left" w:pos="1440"/>
          <w:tab w:val="left" w:pos="1800"/>
          <w:tab w:val="left" w:pos="2160"/>
        </w:tabs>
        <w:ind w:left="720" w:hanging="360"/>
        <w:rPr>
          <w:b/>
          <w:i/>
        </w:rPr>
      </w:pPr>
      <w:r w:rsidRPr="000514D1">
        <w:rPr>
          <w:b/>
        </w:rPr>
        <w:t>A.</w:t>
      </w:r>
      <w:r>
        <w:t xml:space="preserve">  </w:t>
      </w:r>
      <w:r w:rsidR="001E0494">
        <w:tab/>
      </w:r>
      <w:r w:rsidR="00580DB8">
        <w:t xml:space="preserve">The </w:t>
      </w:r>
      <w:r w:rsidR="001A2C8B">
        <w:t xml:space="preserve">office </w:t>
      </w:r>
      <w:r w:rsidR="00580DB8">
        <w:t xml:space="preserve">of </w:t>
      </w:r>
      <w:r w:rsidR="0087620F">
        <w:t xml:space="preserve">research </w:t>
      </w:r>
      <w:r w:rsidR="00580DB8">
        <w:t xml:space="preserve">and </w:t>
      </w:r>
      <w:r w:rsidR="0087620F">
        <w:t xml:space="preserve">accountability </w:t>
      </w:r>
      <w:r w:rsidR="00580DB8">
        <w:t xml:space="preserve">has district responsibility for oversight and monitoring of assessments and assessment data.  It publishes an </w:t>
      </w:r>
      <w:r w:rsidR="0087620F">
        <w:t xml:space="preserve">assessment handbook </w:t>
      </w:r>
      <w:r w:rsidR="00580DB8">
        <w:t xml:space="preserve">and sends a monthly </w:t>
      </w:r>
      <w:r w:rsidR="0087620F">
        <w:t xml:space="preserve">assessment newsletter </w:t>
      </w:r>
      <w:r w:rsidR="00580DB8">
        <w:t>to all teachers and administrators.  Both documents help stakeholders better understand the assessment system and its protocols and help support decision-making for assessment options and data use.</w:t>
      </w:r>
      <w:r w:rsidR="00580DB8" w:rsidRPr="00F46118">
        <w:rPr>
          <w:rStyle w:val="FootnoteReference"/>
        </w:rPr>
        <w:t xml:space="preserve"> </w:t>
      </w:r>
    </w:p>
    <w:p w:rsidR="00580DB8" w:rsidRPr="000514D1" w:rsidRDefault="000514D1" w:rsidP="000514D1">
      <w:pPr>
        <w:tabs>
          <w:tab w:val="left" w:pos="720"/>
          <w:tab w:val="left" w:pos="1080"/>
          <w:tab w:val="left" w:pos="1440"/>
          <w:tab w:val="left" w:pos="1800"/>
          <w:tab w:val="left" w:pos="2160"/>
        </w:tabs>
        <w:ind w:left="720" w:hanging="360"/>
        <w:rPr>
          <w:b/>
          <w:i/>
        </w:rPr>
      </w:pPr>
      <w:r w:rsidRPr="000514D1">
        <w:rPr>
          <w:b/>
        </w:rPr>
        <w:t>B.</w:t>
      </w:r>
      <w:r>
        <w:rPr>
          <w:b/>
          <w:i/>
        </w:rPr>
        <w:tab/>
      </w:r>
      <w:r w:rsidR="0087620F">
        <w:t>Interviews with</w:t>
      </w:r>
      <w:r w:rsidR="00580DB8">
        <w:t xml:space="preserve"> district leaders, principals</w:t>
      </w:r>
      <w:r w:rsidR="0087620F">
        <w:t>,</w:t>
      </w:r>
      <w:r w:rsidR="00580DB8">
        <w:t xml:space="preserve"> and teachers and </w:t>
      </w:r>
      <w:r w:rsidR="0087620F">
        <w:t xml:space="preserve">a </w:t>
      </w:r>
      <w:r w:rsidR="00580DB8">
        <w:t xml:space="preserve">document </w:t>
      </w:r>
      <w:r w:rsidR="0087620F">
        <w:t xml:space="preserve">review indicated </w:t>
      </w:r>
      <w:r w:rsidR="00580DB8">
        <w:t xml:space="preserve">that one district-required standardized assessment </w:t>
      </w:r>
      <w:r w:rsidR="0087620F">
        <w:t xml:space="preserve">is </w:t>
      </w:r>
      <w:r w:rsidR="00580DB8">
        <w:t>given to each grade level at all schools in addition to MCAS and ACCESS testing. Each school may choose additional assessments that respond best to their needs.</w:t>
      </w:r>
      <w:r w:rsidR="00580DB8" w:rsidRPr="0023504E">
        <w:t xml:space="preserve"> </w:t>
      </w:r>
    </w:p>
    <w:p w:rsidR="00580DB8" w:rsidRPr="0023504E" w:rsidRDefault="00580DB8" w:rsidP="00386849">
      <w:pPr>
        <w:pStyle w:val="ListParagraph"/>
        <w:numPr>
          <w:ilvl w:val="2"/>
          <w:numId w:val="8"/>
        </w:numPr>
        <w:tabs>
          <w:tab w:val="left" w:pos="360"/>
          <w:tab w:val="left" w:pos="720"/>
          <w:tab w:val="left" w:pos="1080"/>
          <w:tab w:val="left" w:pos="1440"/>
          <w:tab w:val="left" w:pos="1800"/>
          <w:tab w:val="left" w:pos="2160"/>
        </w:tabs>
        <w:ind w:left="1080"/>
        <w:contextualSpacing w:val="0"/>
        <w:rPr>
          <w:b/>
          <w:i/>
        </w:rPr>
      </w:pPr>
      <w:r>
        <w:lastRenderedPageBreak/>
        <w:t xml:space="preserve">The district requires each school to submit a yearly assessment plan by grade level to the </w:t>
      </w:r>
      <w:r w:rsidR="0087620F">
        <w:t xml:space="preserve">office </w:t>
      </w:r>
      <w:r>
        <w:t xml:space="preserve">of </w:t>
      </w:r>
      <w:r w:rsidR="0087620F">
        <w:t xml:space="preserve">research </w:t>
      </w:r>
      <w:r>
        <w:t xml:space="preserve">and </w:t>
      </w:r>
      <w:r w:rsidR="0087620F">
        <w:t>accountability</w:t>
      </w:r>
      <w:r>
        <w:t xml:space="preserve">.  The plan identifies the required and supplemental assessments that will be administered and how </w:t>
      </w:r>
      <w:r w:rsidR="0087620F">
        <w:t xml:space="preserve">various assessments and </w:t>
      </w:r>
      <w:r>
        <w:t>data will be used</w:t>
      </w:r>
      <w:r w:rsidR="0087620F">
        <w:t xml:space="preserve"> to improve student achievement, support struggling students, and identify professional development needs</w:t>
      </w:r>
      <w:r>
        <w:t xml:space="preserve">.  Plans can be revised during the year if additional assessments are needed.  </w:t>
      </w:r>
    </w:p>
    <w:p w:rsidR="0047041E" w:rsidRDefault="0040796B" w:rsidP="0047041E">
      <w:pPr>
        <w:tabs>
          <w:tab w:val="left" w:pos="360"/>
          <w:tab w:val="left" w:pos="720"/>
          <w:tab w:val="left" w:pos="1080"/>
          <w:tab w:val="left" w:pos="1440"/>
          <w:tab w:val="left" w:pos="1800"/>
          <w:tab w:val="left" w:pos="2160"/>
        </w:tabs>
        <w:ind w:left="1080" w:hanging="1080"/>
        <w:rPr>
          <w:b/>
          <w:i/>
        </w:rPr>
      </w:pPr>
      <w:r>
        <w:tab/>
      </w:r>
      <w:r w:rsidR="0053176C">
        <w:tab/>
        <w:t>2</w:t>
      </w:r>
      <w:r>
        <w:t>.</w:t>
      </w:r>
      <w:r>
        <w:tab/>
      </w:r>
      <w:r w:rsidR="00580DB8">
        <w:t xml:space="preserve">Principals </w:t>
      </w:r>
      <w:r w:rsidR="00D64C1F">
        <w:t xml:space="preserve">said </w:t>
      </w:r>
      <w:r w:rsidR="00580DB8">
        <w:t xml:space="preserve">that the plan is submitted after they have met with their school’s Instructional Leadership Team (ILT) and discussed their analysis of achievement data and the School Accountability Plan. </w:t>
      </w:r>
    </w:p>
    <w:p w:rsidR="00580DB8" w:rsidRPr="000514D1" w:rsidRDefault="000514D1" w:rsidP="000514D1">
      <w:pPr>
        <w:tabs>
          <w:tab w:val="left" w:pos="360"/>
          <w:tab w:val="left" w:pos="720"/>
          <w:tab w:val="left" w:pos="1080"/>
          <w:tab w:val="left" w:pos="1440"/>
          <w:tab w:val="left" w:pos="1800"/>
          <w:tab w:val="left" w:pos="2160"/>
        </w:tabs>
        <w:ind w:left="720" w:hanging="360"/>
        <w:rPr>
          <w:b/>
          <w:i/>
        </w:rPr>
      </w:pPr>
      <w:r w:rsidRPr="000514D1">
        <w:rPr>
          <w:b/>
        </w:rPr>
        <w:t>C.</w:t>
      </w:r>
      <w:r>
        <w:t xml:space="preserve"> </w:t>
      </w:r>
      <w:r>
        <w:tab/>
      </w:r>
      <w:r w:rsidR="00580DB8">
        <w:t xml:space="preserve">Administrators stated that the schools develop the assessment plans from a “tool box” of required and optional assessments. </w:t>
      </w:r>
    </w:p>
    <w:p w:rsidR="000514D1" w:rsidRDefault="000514D1" w:rsidP="000514D1">
      <w:pPr>
        <w:tabs>
          <w:tab w:val="left" w:pos="0"/>
          <w:tab w:val="left" w:pos="990"/>
          <w:tab w:val="left" w:pos="1800"/>
          <w:tab w:val="left" w:pos="2160"/>
        </w:tabs>
        <w:ind w:left="990" w:hanging="270"/>
      </w:pPr>
      <w:r>
        <w:t>1.</w:t>
      </w:r>
      <w:r w:rsidR="00381ED8">
        <w:tab/>
      </w:r>
      <w:r w:rsidR="00580DB8">
        <w:t xml:space="preserve">In </w:t>
      </w:r>
      <w:r w:rsidR="00D64C1F">
        <w:t>pre</w:t>
      </w:r>
      <w:r w:rsidR="001E0494">
        <w:t>-</w:t>
      </w:r>
      <w:r w:rsidR="00D64C1F">
        <w:t>kindergarten and kindergarten</w:t>
      </w:r>
      <w:r w:rsidR="00580DB8">
        <w:t>, all entering</w:t>
      </w:r>
      <w:r w:rsidR="00580DB8" w:rsidRPr="00CE3486">
        <w:t xml:space="preserve"> students take the </w:t>
      </w:r>
      <w:r w:rsidR="0047041E" w:rsidRPr="0047041E">
        <w:t>Early Screening Inventory</w:t>
      </w:r>
      <w:r w:rsidR="00580DB8" w:rsidRPr="00132F31">
        <w:t xml:space="preserve"> </w:t>
      </w:r>
      <w:r w:rsidR="00580DB8">
        <w:t>(ESI) to identify</w:t>
      </w:r>
      <w:r w:rsidR="00580DB8" w:rsidRPr="00CE3486">
        <w:t xml:space="preserve"> children who may need special services.  There are clear protocols for observing students’ skills and progress before rescreening and possible referral.</w:t>
      </w:r>
      <w:r>
        <w:t xml:space="preserve"> </w:t>
      </w:r>
    </w:p>
    <w:p w:rsidR="00580DB8" w:rsidRPr="00CE3486" w:rsidRDefault="000514D1" w:rsidP="000514D1">
      <w:pPr>
        <w:tabs>
          <w:tab w:val="left" w:pos="0"/>
          <w:tab w:val="left" w:pos="990"/>
          <w:tab w:val="left" w:pos="1800"/>
          <w:tab w:val="left" w:pos="2160"/>
        </w:tabs>
        <w:ind w:left="990" w:hanging="270"/>
      </w:pPr>
      <w:r>
        <w:t>2.</w:t>
      </w:r>
      <w:r>
        <w:tab/>
      </w:r>
      <w:r w:rsidR="0040796B">
        <w:t>D</w:t>
      </w:r>
      <w:r w:rsidR="00580DB8">
        <w:t xml:space="preserve">istrict leaders and elementary teachers </w:t>
      </w:r>
      <w:r w:rsidR="0040796B">
        <w:t>told</w:t>
      </w:r>
      <w:r w:rsidR="00580DB8">
        <w:t xml:space="preserve"> the review team that in </w:t>
      </w:r>
      <w:r w:rsidR="0040796B">
        <w:t xml:space="preserve">kindergarten through grade </w:t>
      </w:r>
      <w:r w:rsidR="00580DB8" w:rsidRPr="00CE3486">
        <w:t>1</w:t>
      </w:r>
      <w:r w:rsidR="00580DB8">
        <w:t>, schools</w:t>
      </w:r>
      <w:r w:rsidR="00580DB8" w:rsidRPr="00CE3486">
        <w:t xml:space="preserve"> have the option to administer </w:t>
      </w:r>
      <w:r w:rsidR="0047041E" w:rsidRPr="0047041E">
        <w:t>DIBELS Next</w:t>
      </w:r>
      <w:r w:rsidR="00580DB8" w:rsidRPr="000514D1">
        <w:rPr>
          <w:i/>
        </w:rPr>
        <w:t xml:space="preserve"> </w:t>
      </w:r>
      <w:r w:rsidR="00906704">
        <w:t xml:space="preserve">(Dynamic Indicators of Early Literacy Success) </w:t>
      </w:r>
      <w:r w:rsidR="00580DB8" w:rsidRPr="00CE3486">
        <w:t xml:space="preserve">three times a year to assess early literacy skills.  DIBELS Next is used as both a formative and benchmark assessment to group students and to measure and monitor progress. </w:t>
      </w:r>
    </w:p>
    <w:p w:rsidR="00580DB8" w:rsidRDefault="0047041E" w:rsidP="00386849">
      <w:pPr>
        <w:pStyle w:val="ListParagraph"/>
        <w:numPr>
          <w:ilvl w:val="3"/>
          <w:numId w:val="8"/>
        </w:numPr>
        <w:tabs>
          <w:tab w:val="left" w:pos="0"/>
          <w:tab w:val="left" w:pos="360"/>
          <w:tab w:val="left" w:pos="1440"/>
          <w:tab w:val="left" w:pos="1800"/>
          <w:tab w:val="left" w:pos="2160"/>
        </w:tabs>
        <w:ind w:left="1440"/>
        <w:contextualSpacing w:val="0"/>
      </w:pPr>
      <w:r w:rsidRPr="0047041E">
        <w:t>DIBELS Next</w:t>
      </w:r>
      <w:r w:rsidR="00580DB8" w:rsidRPr="00196F8A">
        <w:t xml:space="preserve"> </w:t>
      </w:r>
      <w:r w:rsidR="0040796B">
        <w:t>became optional</w:t>
      </w:r>
      <w:r w:rsidR="0040796B" w:rsidRPr="00196F8A">
        <w:t xml:space="preserve"> </w:t>
      </w:r>
      <w:r w:rsidR="0040796B">
        <w:t>in 2016</w:t>
      </w:r>
      <w:r w:rsidR="00705C3D">
        <w:t>–</w:t>
      </w:r>
      <w:r w:rsidR="0040796B">
        <w:t>2017</w:t>
      </w:r>
      <w:r w:rsidR="00580DB8" w:rsidRPr="00196F8A">
        <w:t xml:space="preserve"> to accommodate schools using the </w:t>
      </w:r>
      <w:r w:rsidRPr="0047041E">
        <w:t xml:space="preserve">Fundations </w:t>
      </w:r>
      <w:r w:rsidR="00132F31">
        <w:t>l</w:t>
      </w:r>
      <w:r w:rsidR="00132F31" w:rsidRPr="0013310A">
        <w:t>iteracy</w:t>
      </w:r>
      <w:r w:rsidR="00132F31" w:rsidRPr="00196F8A">
        <w:rPr>
          <w:i/>
        </w:rPr>
        <w:t xml:space="preserve"> </w:t>
      </w:r>
      <w:r w:rsidR="00132F31">
        <w:t>p</w:t>
      </w:r>
      <w:r w:rsidR="00132F31" w:rsidRPr="00196F8A">
        <w:t>rogram</w:t>
      </w:r>
      <w:r w:rsidR="00580DB8" w:rsidRPr="00196F8A">
        <w:t>, which includes formative assessments and progress monitoring in every lesson.</w:t>
      </w:r>
      <w:r w:rsidR="00580DB8">
        <w:t xml:space="preserve"> </w:t>
      </w:r>
      <w:r w:rsidR="00580DB8" w:rsidRPr="00196F8A">
        <w:t xml:space="preserve"> </w:t>
      </w:r>
    </w:p>
    <w:p w:rsidR="000514D1" w:rsidRDefault="00580DB8" w:rsidP="00386849">
      <w:pPr>
        <w:pStyle w:val="ListParagraph"/>
        <w:numPr>
          <w:ilvl w:val="3"/>
          <w:numId w:val="8"/>
        </w:numPr>
        <w:tabs>
          <w:tab w:val="left" w:pos="0"/>
          <w:tab w:val="left" w:pos="360"/>
          <w:tab w:val="left" w:pos="1440"/>
          <w:tab w:val="left" w:pos="1800"/>
          <w:tab w:val="left" w:pos="2160"/>
        </w:tabs>
        <w:ind w:left="1440"/>
        <w:contextualSpacing w:val="0"/>
      </w:pPr>
      <w:r w:rsidRPr="00196F8A">
        <w:t>If DIBELS Next is not used, the school</w:t>
      </w:r>
      <w:r>
        <w:t>’s assessment plan</w:t>
      </w:r>
      <w:r w:rsidRPr="00196F8A">
        <w:t xml:space="preserve"> must </w:t>
      </w:r>
      <w:r w:rsidR="0040796B">
        <w:t xml:space="preserve">identify </w:t>
      </w:r>
      <w:r>
        <w:t>which</w:t>
      </w:r>
      <w:r w:rsidRPr="00196F8A">
        <w:t xml:space="preserve"> measure(s) will be used to obtain and use early literacy data.</w:t>
      </w:r>
    </w:p>
    <w:p w:rsidR="00580DB8" w:rsidRDefault="000514D1" w:rsidP="000514D1">
      <w:pPr>
        <w:tabs>
          <w:tab w:val="left" w:pos="900"/>
          <w:tab w:val="left" w:pos="1440"/>
          <w:tab w:val="left" w:pos="1800"/>
          <w:tab w:val="left" w:pos="2160"/>
        </w:tabs>
        <w:ind w:left="1080" w:hanging="360"/>
      </w:pPr>
      <w:r>
        <w:t>3.</w:t>
      </w:r>
      <w:r>
        <w:tab/>
      </w:r>
      <w:r>
        <w:tab/>
      </w:r>
      <w:r w:rsidR="00580DB8">
        <w:t xml:space="preserve">Interviews and </w:t>
      </w:r>
      <w:r w:rsidR="0040796B">
        <w:t xml:space="preserve">a </w:t>
      </w:r>
      <w:r w:rsidR="00580DB8">
        <w:t xml:space="preserve">document </w:t>
      </w:r>
      <w:r w:rsidR="0040796B">
        <w:t xml:space="preserve">review indicated </w:t>
      </w:r>
      <w:r w:rsidR="00580DB8">
        <w:t xml:space="preserve">that the district requires the use of the Fountas and Pinnell Benchmark Assessment System (BAS) in grades 1 and 2 three times a year.  In </w:t>
      </w:r>
      <w:r w:rsidR="0040796B">
        <w:t xml:space="preserve">kindergarten </w:t>
      </w:r>
      <w:r w:rsidR="00580DB8">
        <w:t xml:space="preserve">and </w:t>
      </w:r>
      <w:r w:rsidR="0040796B">
        <w:t xml:space="preserve">grades </w:t>
      </w:r>
      <w:r w:rsidR="00580DB8">
        <w:t>3</w:t>
      </w:r>
      <w:r w:rsidR="00705C3D">
        <w:t>–</w:t>
      </w:r>
      <w:r w:rsidR="00580DB8">
        <w:t>8, schools can use BAS as a supplemental assessment and the school can determine how often it is administered.</w:t>
      </w:r>
      <w:r w:rsidR="00580DB8">
        <w:rPr>
          <w:rStyle w:val="FootnoteReference"/>
        </w:rPr>
        <w:footnoteReference w:id="16"/>
      </w:r>
      <w:r w:rsidR="00580DB8">
        <w:t xml:space="preserve">  </w:t>
      </w:r>
    </w:p>
    <w:p w:rsidR="00580DB8" w:rsidRDefault="000514D1" w:rsidP="000514D1">
      <w:pPr>
        <w:tabs>
          <w:tab w:val="left" w:pos="360"/>
          <w:tab w:val="left" w:pos="1440"/>
          <w:tab w:val="left" w:pos="1800"/>
          <w:tab w:val="left" w:pos="2160"/>
        </w:tabs>
        <w:ind w:left="1440" w:hanging="360"/>
      </w:pPr>
      <w:r>
        <w:t>a.</w:t>
      </w:r>
      <w:r>
        <w:tab/>
      </w:r>
      <w:r w:rsidR="00580DB8">
        <w:t>BAS provides data that measures decoding, fluency, vocabulary</w:t>
      </w:r>
      <w:r w:rsidR="0040796B">
        <w:t>,</w:t>
      </w:r>
      <w:r w:rsidR="00580DB8">
        <w:t xml:space="preserve"> and comprehension skills and is used </w:t>
      </w:r>
      <w:r w:rsidR="0040796B">
        <w:t xml:space="preserve">as a </w:t>
      </w:r>
      <w:r w:rsidR="00580DB8">
        <w:t>formative and a benchmark assessment.</w:t>
      </w:r>
    </w:p>
    <w:p w:rsidR="0047041E" w:rsidRDefault="0040796B" w:rsidP="0047041E">
      <w:pPr>
        <w:tabs>
          <w:tab w:val="left" w:pos="360"/>
          <w:tab w:val="left" w:pos="720"/>
          <w:tab w:val="left" w:pos="1080"/>
          <w:tab w:val="left" w:pos="1440"/>
          <w:tab w:val="left" w:pos="1800"/>
          <w:tab w:val="left" w:pos="2160"/>
        </w:tabs>
        <w:ind w:left="1080" w:hanging="360"/>
      </w:pPr>
      <w:r>
        <w:t>4.</w:t>
      </w:r>
      <w:r>
        <w:tab/>
      </w:r>
      <w:r w:rsidR="00580DB8">
        <w:t>Measures of Academic Progress (MAP) tests in ELA and mathematics are required for grades 3</w:t>
      </w:r>
      <w:r w:rsidR="00705C3D">
        <w:t>–</w:t>
      </w:r>
      <w:r w:rsidR="00580DB8">
        <w:t xml:space="preserve">9 and are optional in grades 2 and 10. MAP tests </w:t>
      </w:r>
      <w:r w:rsidR="00DD6EA0">
        <w:t>are used formatively to guide decisions about</w:t>
      </w:r>
      <w:r w:rsidR="00580DB8">
        <w:t xml:space="preserve"> instruction</w:t>
      </w:r>
      <w:r w:rsidR="00DD6EA0">
        <w:t xml:space="preserve"> and curriculum</w:t>
      </w:r>
      <w:r w:rsidR="00580DB8">
        <w:t>.</w:t>
      </w:r>
    </w:p>
    <w:p w:rsidR="0047041E" w:rsidRDefault="0040796B" w:rsidP="0047041E">
      <w:pPr>
        <w:pStyle w:val="CommentText"/>
        <w:spacing w:line="276" w:lineRule="auto"/>
        <w:ind w:left="1080" w:hanging="360"/>
        <w:rPr>
          <w:sz w:val="22"/>
          <w:szCs w:val="22"/>
        </w:rPr>
      </w:pPr>
      <w:r>
        <w:lastRenderedPageBreak/>
        <w:t>5.</w:t>
      </w:r>
      <w:r>
        <w:tab/>
      </w:r>
      <w:r w:rsidR="0046612F">
        <w:rPr>
          <w:sz w:val="22"/>
          <w:szCs w:val="22"/>
        </w:rPr>
        <w:t xml:space="preserve">At the high school, in addition to common subject-specific assessments, midterms and final exams, all grade 9–11 students must take the PSAT </w:t>
      </w:r>
      <w:r w:rsidR="0047041E" w:rsidRPr="0047041E">
        <w:rPr>
          <w:sz w:val="22"/>
          <w:szCs w:val="22"/>
        </w:rPr>
        <w:t>to demonstrate readiness for AP and other advanced course work</w:t>
      </w:r>
      <w:r w:rsidR="0046612F" w:rsidRPr="00F51908">
        <w:rPr>
          <w:sz w:val="22"/>
          <w:szCs w:val="22"/>
        </w:rPr>
        <w:t xml:space="preserve"> </w:t>
      </w:r>
      <w:r w:rsidR="0046612F">
        <w:rPr>
          <w:sz w:val="22"/>
          <w:szCs w:val="22"/>
        </w:rPr>
        <w:t xml:space="preserve">and all grade 11 students must also take the SAT.  </w:t>
      </w:r>
    </w:p>
    <w:p w:rsidR="0047041E" w:rsidRDefault="0040796B" w:rsidP="0047041E">
      <w:pPr>
        <w:tabs>
          <w:tab w:val="left" w:pos="360"/>
          <w:tab w:val="left" w:pos="720"/>
          <w:tab w:val="left" w:pos="1080"/>
          <w:tab w:val="left" w:pos="1440"/>
          <w:tab w:val="left" w:pos="1800"/>
          <w:tab w:val="left" w:pos="2160"/>
        </w:tabs>
        <w:ind w:left="1440" w:hanging="1440"/>
      </w:pPr>
      <w:r>
        <w:tab/>
      </w:r>
      <w:r>
        <w:tab/>
      </w:r>
      <w:r w:rsidR="00381ED8">
        <w:tab/>
      </w:r>
      <w:r>
        <w:t>a.</w:t>
      </w:r>
      <w:r>
        <w:tab/>
      </w:r>
      <w:r w:rsidR="00580DB8" w:rsidRPr="0032509E">
        <w:t xml:space="preserve">The district pays all student fees for both the PSAT and the SAT and students take both tests during a school day, since </w:t>
      </w:r>
      <w:r w:rsidR="00A47BE0">
        <w:t xml:space="preserve">many students have work/family obligations on </w:t>
      </w:r>
      <w:r w:rsidR="00580DB8" w:rsidRPr="0032509E">
        <w:t>Saturday</w:t>
      </w:r>
      <w:r w:rsidR="00580DB8">
        <w:t>.</w:t>
      </w:r>
      <w:r w:rsidR="00580DB8" w:rsidRPr="0032509E">
        <w:rPr>
          <w:rStyle w:val="FootnoteReference"/>
        </w:rPr>
        <w:t xml:space="preserve"> </w:t>
      </w:r>
    </w:p>
    <w:p w:rsidR="0047041E" w:rsidRDefault="0040796B" w:rsidP="0047041E">
      <w:pPr>
        <w:tabs>
          <w:tab w:val="left" w:pos="360"/>
          <w:tab w:val="left" w:pos="720"/>
          <w:tab w:val="left" w:pos="1080"/>
          <w:tab w:val="left" w:pos="1440"/>
          <w:tab w:val="left" w:pos="1800"/>
          <w:tab w:val="left" w:pos="2160"/>
        </w:tabs>
        <w:ind w:left="1440" w:hanging="1440"/>
      </w:pPr>
      <w:r>
        <w:tab/>
      </w:r>
      <w:r>
        <w:tab/>
      </w:r>
      <w:r w:rsidR="001E0494">
        <w:tab/>
      </w:r>
      <w:r>
        <w:t>b.</w:t>
      </w:r>
      <w:r w:rsidR="00381ED8">
        <w:tab/>
      </w:r>
      <w:r w:rsidR="00580DB8" w:rsidRPr="0032509E">
        <w:t>PSAT results are used to</w:t>
      </w:r>
      <w:r w:rsidR="00580DB8">
        <w:t xml:space="preserve"> help students select</w:t>
      </w:r>
      <w:r w:rsidR="00580DB8" w:rsidRPr="0032509E">
        <w:t xml:space="preserve"> appropriate course levels and </w:t>
      </w:r>
      <w:r w:rsidR="00580DB8">
        <w:t xml:space="preserve">to </w:t>
      </w:r>
      <w:r w:rsidR="00580DB8" w:rsidRPr="0032509E">
        <w:t xml:space="preserve">encourage them to take AP or other </w:t>
      </w:r>
      <w:r w:rsidR="00580DB8">
        <w:t>higher-level</w:t>
      </w:r>
      <w:r w:rsidR="00580DB8" w:rsidRPr="0032509E">
        <w:t xml:space="preserve"> courses. </w:t>
      </w:r>
    </w:p>
    <w:p w:rsidR="00580DB8" w:rsidRDefault="00381ED8" w:rsidP="00381ED8">
      <w:pPr>
        <w:tabs>
          <w:tab w:val="left" w:pos="360"/>
          <w:tab w:val="left" w:pos="1080"/>
          <w:tab w:val="left" w:pos="1440"/>
          <w:tab w:val="left" w:pos="1800"/>
          <w:tab w:val="left" w:pos="2160"/>
        </w:tabs>
        <w:ind w:left="1080" w:hanging="360"/>
      </w:pPr>
      <w:r>
        <w:t>6.</w:t>
      </w:r>
      <w:r>
        <w:tab/>
      </w:r>
      <w:r w:rsidR="00580DB8">
        <w:t xml:space="preserve">Interviews and </w:t>
      </w:r>
      <w:r w:rsidR="00E31ECF">
        <w:t xml:space="preserve">a </w:t>
      </w:r>
      <w:r w:rsidR="00580DB8">
        <w:t>document</w:t>
      </w:r>
      <w:r w:rsidR="00E31ECF">
        <w:t xml:space="preserve"> review </w:t>
      </w:r>
      <w:r w:rsidR="00580DB8">
        <w:t>indicated that</w:t>
      </w:r>
      <w:r w:rsidR="00DD6EA0">
        <w:t xml:space="preserve"> more and more</w:t>
      </w:r>
      <w:r w:rsidR="00580DB8" w:rsidRPr="0032509E">
        <w:t xml:space="preserve"> students in grades 9</w:t>
      </w:r>
      <w:r w:rsidR="00705C3D">
        <w:t>–</w:t>
      </w:r>
      <w:r w:rsidR="00580DB8" w:rsidRPr="0032509E">
        <w:t>12</w:t>
      </w:r>
      <w:r w:rsidR="00DD6EA0">
        <w:t xml:space="preserve"> are choosing to</w:t>
      </w:r>
      <w:r w:rsidR="00580DB8" w:rsidRPr="0032509E">
        <w:t xml:space="preserve"> take A</w:t>
      </w:r>
      <w:r w:rsidR="00580DB8">
        <w:t xml:space="preserve">dvanced </w:t>
      </w:r>
      <w:r w:rsidR="00580DB8" w:rsidRPr="0032509E">
        <w:t>P</w:t>
      </w:r>
      <w:r w:rsidR="00580DB8">
        <w:t>lacement (AP)</w:t>
      </w:r>
      <w:r w:rsidR="00580DB8" w:rsidRPr="0032509E">
        <w:t xml:space="preserve"> </w:t>
      </w:r>
      <w:r w:rsidR="00E31ECF">
        <w:t>courses and e</w:t>
      </w:r>
      <w:r w:rsidR="00E31ECF" w:rsidRPr="0032509E">
        <w:t>xams</w:t>
      </w:r>
      <w:r w:rsidR="00580DB8" w:rsidRPr="0032509E">
        <w:t>.</w:t>
      </w:r>
    </w:p>
    <w:p w:rsidR="00580DB8" w:rsidRDefault="00580DB8" w:rsidP="00580DB8">
      <w:pPr>
        <w:tabs>
          <w:tab w:val="left" w:pos="360"/>
          <w:tab w:val="left" w:pos="1440"/>
          <w:tab w:val="left" w:pos="1800"/>
          <w:tab w:val="left" w:pos="2160"/>
        </w:tabs>
        <w:ind w:left="1440" w:hanging="360"/>
      </w:pPr>
      <w:r>
        <w:t>a.</w:t>
      </w:r>
      <w:r>
        <w:tab/>
        <w:t xml:space="preserve">The district </w:t>
      </w:r>
      <w:r w:rsidR="00E31ECF">
        <w:t xml:space="preserve">emphasizes </w:t>
      </w:r>
      <w:r>
        <w:t>college and career readines</w:t>
      </w:r>
      <w:r w:rsidR="000408EC">
        <w:t xml:space="preserve">s and encourages able students </w:t>
      </w:r>
      <w:r>
        <w:t>to enroll in challenging courses such as AP courses.</w:t>
      </w:r>
    </w:p>
    <w:p w:rsidR="00580DB8" w:rsidRDefault="00580DB8" w:rsidP="00735B58">
      <w:pPr>
        <w:tabs>
          <w:tab w:val="left" w:pos="360"/>
          <w:tab w:val="left" w:pos="1440"/>
          <w:tab w:val="left" w:pos="1800"/>
          <w:tab w:val="left" w:pos="2160"/>
        </w:tabs>
        <w:ind w:left="1440" w:hanging="360"/>
      </w:pPr>
      <w:r>
        <w:t>b.</w:t>
      </w:r>
      <w:r>
        <w:tab/>
      </w:r>
      <w:r w:rsidR="00E31ECF">
        <w:t>According to ESE data</w:t>
      </w:r>
      <w:r w:rsidRPr="0032509E">
        <w:t>, there has been a 56 percent increase in the number of high school students taking AP courses over the past five years and a 57 percent increase in the number of tests taken</w:t>
      </w:r>
      <w:r w:rsidR="00735B58">
        <w:t xml:space="preserve"> </w:t>
      </w:r>
      <w:r w:rsidRPr="0032509E">
        <w:t>over the last five years.</w:t>
      </w:r>
      <w:r>
        <w:rPr>
          <w:rStyle w:val="FootnoteReference"/>
        </w:rPr>
        <w:footnoteReference w:id="17"/>
      </w:r>
      <w:r w:rsidRPr="0032509E">
        <w:t xml:space="preserve"> </w:t>
      </w:r>
      <w:r>
        <w:t xml:space="preserve"> </w:t>
      </w:r>
    </w:p>
    <w:p w:rsidR="00580DB8" w:rsidRDefault="00580DB8" w:rsidP="00580DB8">
      <w:pPr>
        <w:tabs>
          <w:tab w:val="left" w:pos="360"/>
          <w:tab w:val="left" w:pos="1440"/>
          <w:tab w:val="left" w:pos="1800"/>
          <w:tab w:val="left" w:pos="2160"/>
        </w:tabs>
        <w:ind w:left="1440" w:hanging="360"/>
      </w:pPr>
      <w:r>
        <w:t>c.</w:t>
      </w:r>
      <w:r>
        <w:tab/>
        <w:t xml:space="preserve">In addition, there has been a proportional increase in the number of AP class sections offered and the number of teachers trained to teach AP. </w:t>
      </w:r>
    </w:p>
    <w:p w:rsidR="00580DB8" w:rsidRDefault="00580DB8" w:rsidP="00580DB8">
      <w:pPr>
        <w:tabs>
          <w:tab w:val="left" w:pos="360"/>
          <w:tab w:val="left" w:pos="1440"/>
          <w:tab w:val="left" w:pos="1800"/>
          <w:tab w:val="left" w:pos="2160"/>
        </w:tabs>
        <w:ind w:left="1080" w:hanging="360"/>
        <w:rPr>
          <w:rStyle w:val="FootnoteReference"/>
        </w:rPr>
      </w:pPr>
      <w:r>
        <w:t>7.</w:t>
      </w:r>
      <w:r>
        <w:tab/>
        <w:t>All grade 11 and 12 students are required to take Accuplacer tests to identify academic skills in reading, writing</w:t>
      </w:r>
      <w:r w:rsidR="00E31ECF">
        <w:t>,</w:t>
      </w:r>
      <w:r>
        <w:t xml:space="preserve"> and mathematics to assess students’ readiness for introductory college</w:t>
      </w:r>
      <w:r w:rsidR="00E31ECF">
        <w:t>-</w:t>
      </w:r>
      <w:r>
        <w:t xml:space="preserve"> level work.</w:t>
      </w:r>
    </w:p>
    <w:p w:rsidR="00580DB8" w:rsidRPr="0032509E" w:rsidRDefault="00580DB8" w:rsidP="00580DB8">
      <w:pPr>
        <w:tabs>
          <w:tab w:val="left" w:pos="360"/>
          <w:tab w:val="left" w:pos="1440"/>
          <w:tab w:val="left" w:pos="1800"/>
          <w:tab w:val="left" w:pos="2160"/>
        </w:tabs>
        <w:ind w:left="1440" w:hanging="360"/>
      </w:pPr>
      <w:r>
        <w:t xml:space="preserve">a.    To be eligible for dual enrollment in local </w:t>
      </w:r>
      <w:r w:rsidR="00705C3D">
        <w:t>higher-</w:t>
      </w:r>
      <w:r>
        <w:t xml:space="preserve">education institutions, students </w:t>
      </w:r>
      <w:r w:rsidR="00DB3577">
        <w:t xml:space="preserve">in grade 10 </w:t>
      </w:r>
      <w:r>
        <w:t>may be asked to complete Accuplacer tests.</w:t>
      </w:r>
    </w:p>
    <w:p w:rsidR="00580DB8" w:rsidRDefault="00580DB8" w:rsidP="00580DB8">
      <w:pPr>
        <w:tabs>
          <w:tab w:val="left" w:pos="360"/>
          <w:tab w:val="left" w:pos="1080"/>
          <w:tab w:val="left" w:pos="1440"/>
          <w:tab w:val="left" w:pos="1800"/>
          <w:tab w:val="left" w:pos="2160"/>
        </w:tabs>
      </w:pPr>
      <w:r w:rsidRPr="004E594D">
        <w:rPr>
          <w:b/>
        </w:rPr>
        <w:t>Impact</w:t>
      </w:r>
      <w:r>
        <w:t xml:space="preserve">:  By </w:t>
      </w:r>
      <w:r w:rsidR="007C7998">
        <w:t>requiring</w:t>
      </w:r>
      <w:r>
        <w:t xml:space="preserve"> each school to design and </w:t>
      </w:r>
      <w:r w:rsidR="001E0494">
        <w:t xml:space="preserve">describe </w:t>
      </w:r>
      <w:r>
        <w:t>its assessment program, the district has empowered the schools to be more strategic, thoughtful</w:t>
      </w:r>
      <w:r w:rsidR="007C7998">
        <w:t>,</w:t>
      </w:r>
      <w:r>
        <w:t xml:space="preserve"> and invested in the assessments </w:t>
      </w:r>
      <w:r w:rsidR="007C7998">
        <w:t xml:space="preserve">that </w:t>
      </w:r>
      <w:r>
        <w:t>it administers to monitor student progress, measure student achievement</w:t>
      </w:r>
      <w:r w:rsidR="007C7998">
        <w:t>,</w:t>
      </w:r>
      <w:r>
        <w:t xml:space="preserve"> and inform school-based, grade-level</w:t>
      </w:r>
      <w:r w:rsidR="007C7998">
        <w:t>,</w:t>
      </w:r>
      <w:r>
        <w:t xml:space="preserve"> and classroom decisions about teaching and learning.  When schools design their own assessment programs, it is likely that the data </w:t>
      </w:r>
      <w:r w:rsidR="007C7998">
        <w:t xml:space="preserve">is </w:t>
      </w:r>
      <w:r>
        <w:t>used to improve teaching, learning</w:t>
      </w:r>
      <w:r w:rsidR="007C7998">
        <w:t>,</w:t>
      </w:r>
      <w:r>
        <w:t xml:space="preserve"> and the curriculum. </w:t>
      </w:r>
    </w:p>
    <w:p w:rsidR="00DF65F9" w:rsidRDefault="00DF65F9" w:rsidP="00580DB8">
      <w:pPr>
        <w:tabs>
          <w:tab w:val="left" w:pos="360"/>
          <w:tab w:val="left" w:pos="1080"/>
          <w:tab w:val="left" w:pos="1440"/>
          <w:tab w:val="left" w:pos="1800"/>
          <w:tab w:val="left" w:pos="2160"/>
        </w:tabs>
      </w:pPr>
    </w:p>
    <w:p w:rsidR="00DF65F9" w:rsidRDefault="00DF65F9" w:rsidP="00580DB8">
      <w:pPr>
        <w:tabs>
          <w:tab w:val="left" w:pos="360"/>
          <w:tab w:val="left" w:pos="1080"/>
          <w:tab w:val="left" w:pos="1440"/>
          <w:tab w:val="left" w:pos="1800"/>
          <w:tab w:val="left" w:pos="2160"/>
        </w:tabs>
      </w:pPr>
    </w:p>
    <w:p w:rsidR="00EA6976" w:rsidRDefault="005402F9" w:rsidP="00841361">
      <w:pPr>
        <w:tabs>
          <w:tab w:val="left" w:pos="360"/>
          <w:tab w:val="left" w:pos="720"/>
          <w:tab w:val="left" w:pos="1080"/>
          <w:tab w:val="left" w:pos="1440"/>
          <w:tab w:val="left" w:pos="1800"/>
          <w:tab w:val="left" w:pos="2160"/>
        </w:tabs>
        <w:ind w:left="360" w:hanging="360"/>
        <w:rPr>
          <w:b/>
        </w:rPr>
      </w:pPr>
      <w:r>
        <w:rPr>
          <w:b/>
        </w:rPr>
        <w:lastRenderedPageBreak/>
        <w:t>2</w:t>
      </w:r>
      <w:r w:rsidR="00247B48" w:rsidRPr="00E81064">
        <w:rPr>
          <w:b/>
        </w:rPr>
        <w:t>.</w:t>
      </w:r>
      <w:r w:rsidR="00247B48" w:rsidRPr="00E81064">
        <w:rPr>
          <w:b/>
        </w:rPr>
        <w:tab/>
      </w:r>
      <w:r w:rsidR="000B100D" w:rsidRPr="00E81064">
        <w:rPr>
          <w:b/>
        </w:rPr>
        <w:t xml:space="preserve">District leaders </w:t>
      </w:r>
      <w:r w:rsidR="001E0494" w:rsidRPr="00E81064">
        <w:rPr>
          <w:b/>
        </w:rPr>
        <w:t>analyz</w:t>
      </w:r>
      <w:r w:rsidR="001E0494">
        <w:rPr>
          <w:b/>
        </w:rPr>
        <w:t>e</w:t>
      </w:r>
      <w:r w:rsidR="001E0494" w:rsidRPr="00E81064">
        <w:rPr>
          <w:b/>
        </w:rPr>
        <w:t xml:space="preserve"> </w:t>
      </w:r>
      <w:r w:rsidR="000B100D" w:rsidRPr="00E81064">
        <w:rPr>
          <w:b/>
        </w:rPr>
        <w:t xml:space="preserve">and </w:t>
      </w:r>
      <w:r w:rsidR="001E0494" w:rsidRPr="00E81064">
        <w:rPr>
          <w:b/>
        </w:rPr>
        <w:t>us</w:t>
      </w:r>
      <w:r w:rsidR="001E0494">
        <w:rPr>
          <w:b/>
        </w:rPr>
        <w:t>e</w:t>
      </w:r>
      <w:r w:rsidR="001E0494" w:rsidRPr="00E81064">
        <w:rPr>
          <w:b/>
        </w:rPr>
        <w:t xml:space="preserve"> </w:t>
      </w:r>
      <w:r w:rsidR="000B100D" w:rsidRPr="00E81064">
        <w:rPr>
          <w:b/>
        </w:rPr>
        <w:t>data to</w:t>
      </w:r>
      <w:r w:rsidR="00247B48" w:rsidRPr="00E81064">
        <w:rPr>
          <w:b/>
        </w:rPr>
        <w:t xml:space="preserve"> set improvement priorities and drive decision-</w:t>
      </w:r>
      <w:r w:rsidR="000B100D" w:rsidRPr="00E81064">
        <w:rPr>
          <w:b/>
        </w:rPr>
        <w:t>making</w:t>
      </w:r>
      <w:r w:rsidR="00E81064" w:rsidRPr="00E81064">
        <w:rPr>
          <w:b/>
        </w:rPr>
        <w:t xml:space="preserve"> for budgeting and resource allocation. District leaders, managers</w:t>
      </w:r>
      <w:r w:rsidR="00916A52">
        <w:rPr>
          <w:b/>
        </w:rPr>
        <w:t>,</w:t>
      </w:r>
      <w:r w:rsidR="00E81064" w:rsidRPr="00E81064">
        <w:rPr>
          <w:b/>
        </w:rPr>
        <w:t xml:space="preserve"> and other specialists are well informed of the data trends in the schools in which they work to support teaching and learning</w:t>
      </w:r>
      <w:r w:rsidR="00247B48" w:rsidRPr="00E81064">
        <w:rPr>
          <w:b/>
        </w:rPr>
        <w:t>.</w:t>
      </w:r>
    </w:p>
    <w:p w:rsidR="00580DB8" w:rsidRPr="00E81064" w:rsidRDefault="00AF4D0A" w:rsidP="00AF4D0A">
      <w:pPr>
        <w:tabs>
          <w:tab w:val="left" w:pos="360"/>
          <w:tab w:val="left" w:pos="720"/>
          <w:tab w:val="left" w:pos="1080"/>
          <w:tab w:val="left" w:pos="1440"/>
          <w:tab w:val="left" w:pos="1800"/>
          <w:tab w:val="left" w:pos="2160"/>
        </w:tabs>
        <w:ind w:left="720" w:hanging="360"/>
      </w:pPr>
      <w:r w:rsidRPr="00E81064">
        <w:rPr>
          <w:b/>
        </w:rPr>
        <w:t>A.</w:t>
      </w:r>
      <w:r w:rsidRPr="00E81064">
        <w:tab/>
      </w:r>
      <w:r w:rsidR="00CA65B7">
        <w:t>I</w:t>
      </w:r>
      <w:r w:rsidR="00247B48" w:rsidRPr="00E81064">
        <w:t xml:space="preserve">nterviews and </w:t>
      </w:r>
      <w:r w:rsidR="00CA65B7">
        <w:t xml:space="preserve">a </w:t>
      </w:r>
      <w:r w:rsidR="00247B48" w:rsidRPr="00E81064">
        <w:t>document</w:t>
      </w:r>
      <w:r w:rsidR="00CA65B7">
        <w:t xml:space="preserve"> review</w:t>
      </w:r>
      <w:r w:rsidR="00247B48" w:rsidRPr="00E81064">
        <w:t xml:space="preserve"> </w:t>
      </w:r>
      <w:r w:rsidR="00CA65B7">
        <w:t>showed</w:t>
      </w:r>
      <w:r w:rsidR="00247B48" w:rsidRPr="00E81064">
        <w:t xml:space="preserve"> that the district established a culture of data-driven decision-making almost two decades ago.</w:t>
      </w:r>
    </w:p>
    <w:p w:rsidR="001E0494" w:rsidRDefault="00580DB8" w:rsidP="00580DB8">
      <w:pPr>
        <w:pStyle w:val="ListParagraph"/>
        <w:tabs>
          <w:tab w:val="left" w:pos="360"/>
          <w:tab w:val="left" w:pos="1080"/>
          <w:tab w:val="left" w:pos="1440"/>
          <w:tab w:val="left" w:pos="1800"/>
          <w:tab w:val="left" w:pos="2160"/>
        </w:tabs>
        <w:ind w:left="1080" w:hanging="360"/>
        <w:contextualSpacing w:val="0"/>
      </w:pPr>
      <w:r w:rsidRPr="00E81064">
        <w:t>1.</w:t>
      </w:r>
      <w:r w:rsidRPr="00E81064">
        <w:tab/>
        <w:t>The office of research and accountability manages the collection and dissemination of data</w:t>
      </w:r>
      <w:r w:rsidR="00E81064">
        <w:t xml:space="preserve"> and data</w:t>
      </w:r>
      <w:r w:rsidRPr="00E81064">
        <w:t xml:space="preserve"> reports. </w:t>
      </w:r>
    </w:p>
    <w:p w:rsidR="00580DB8" w:rsidRPr="00E81064" w:rsidRDefault="009C7309" w:rsidP="00580DB8">
      <w:pPr>
        <w:pStyle w:val="ListParagraph"/>
        <w:tabs>
          <w:tab w:val="left" w:pos="360"/>
          <w:tab w:val="left" w:pos="1080"/>
          <w:tab w:val="left" w:pos="1440"/>
          <w:tab w:val="left" w:pos="1800"/>
          <w:tab w:val="left" w:pos="2160"/>
        </w:tabs>
        <w:ind w:left="1080" w:hanging="360"/>
        <w:contextualSpacing w:val="0"/>
      </w:pPr>
      <w:r>
        <w:t>2</w:t>
      </w:r>
      <w:r w:rsidR="00580DB8" w:rsidRPr="00E81064">
        <w:t>.</w:t>
      </w:r>
      <w:r w:rsidR="00580DB8" w:rsidRPr="00E81064">
        <w:tab/>
        <w:t>The office manages SAGE</w:t>
      </w:r>
      <w:r w:rsidR="00705C3D">
        <w:t xml:space="preserve"> (Student Attendance Grading Enrollment)</w:t>
      </w:r>
      <w:r w:rsidR="00580DB8" w:rsidRPr="00E81064">
        <w:t>, the district’s “home-grown”</w:t>
      </w:r>
      <w:r w:rsidR="00E81064">
        <w:t xml:space="preserve"> data management system</w:t>
      </w:r>
      <w:r w:rsidR="00580DB8" w:rsidRPr="00E81064">
        <w:t xml:space="preserve">, and when asked, produces accurate, </w:t>
      </w:r>
      <w:r w:rsidR="00E81064">
        <w:t xml:space="preserve">user-friendly, </w:t>
      </w:r>
      <w:r w:rsidR="00CA65B7" w:rsidRPr="00E81064">
        <w:t>high</w:t>
      </w:r>
      <w:r w:rsidR="00CA65B7">
        <w:t>-</w:t>
      </w:r>
      <w:r w:rsidR="00580DB8" w:rsidRPr="00E81064">
        <w:t>quality data reports for the schools</w:t>
      </w:r>
      <w:r w:rsidR="00E81064">
        <w:t xml:space="preserve">.  Elementary data reports </w:t>
      </w:r>
      <w:r w:rsidR="00CA65B7">
        <w:t>include</w:t>
      </w:r>
      <w:r w:rsidR="00E81064">
        <w:t xml:space="preserve"> results from</w:t>
      </w:r>
      <w:r w:rsidR="00580DB8" w:rsidRPr="00E81064">
        <w:t xml:space="preserve"> DIBELS, MAP</w:t>
      </w:r>
      <w:r w:rsidR="00E81064">
        <w:t xml:space="preserve"> assessments,</w:t>
      </w:r>
      <w:r w:rsidR="00580DB8" w:rsidRPr="00E81064">
        <w:t xml:space="preserve"> and Fountas </w:t>
      </w:r>
      <w:r w:rsidR="00E81064">
        <w:t>and Pinnell BAS literacy assessments</w:t>
      </w:r>
      <w:r w:rsidR="00580DB8" w:rsidRPr="00E81064">
        <w:t xml:space="preserve">.  </w:t>
      </w:r>
    </w:p>
    <w:p w:rsidR="00580DB8" w:rsidRPr="00E81064" w:rsidRDefault="00247B48" w:rsidP="00247B48">
      <w:pPr>
        <w:tabs>
          <w:tab w:val="left" w:pos="360"/>
          <w:tab w:val="left" w:pos="1080"/>
          <w:tab w:val="left" w:pos="1440"/>
          <w:tab w:val="left" w:pos="1800"/>
          <w:tab w:val="left" w:pos="2160"/>
        </w:tabs>
        <w:ind w:left="720" w:hanging="360"/>
      </w:pPr>
      <w:r w:rsidRPr="00E81064">
        <w:rPr>
          <w:b/>
        </w:rPr>
        <w:t>B.</w:t>
      </w:r>
      <w:r w:rsidRPr="00E81064">
        <w:tab/>
        <w:t xml:space="preserve">District leaders analyze multiple sources of data </w:t>
      </w:r>
      <w:r w:rsidR="00580DB8" w:rsidRPr="00E81064">
        <w:t>and</w:t>
      </w:r>
      <w:r w:rsidRPr="00E81064">
        <w:t xml:space="preserve"> the district disseminates reports</w:t>
      </w:r>
      <w:r w:rsidR="00580DB8" w:rsidRPr="00E81064">
        <w:t xml:space="preserve"> throughout the district to better understand student progress, achievement, and demographics. </w:t>
      </w:r>
    </w:p>
    <w:p w:rsidR="00AF4D0A" w:rsidRPr="00E81064" w:rsidRDefault="009C7309" w:rsidP="007C0712">
      <w:pPr>
        <w:pStyle w:val="ListParagraph"/>
        <w:tabs>
          <w:tab w:val="left" w:pos="360"/>
          <w:tab w:val="left" w:pos="1080"/>
          <w:tab w:val="left" w:pos="1440"/>
          <w:tab w:val="left" w:pos="1800"/>
          <w:tab w:val="left" w:pos="2160"/>
        </w:tabs>
        <w:ind w:left="1080" w:hanging="360"/>
        <w:contextualSpacing w:val="0"/>
      </w:pPr>
      <w:r>
        <w:t>1</w:t>
      </w:r>
      <w:r w:rsidR="00580DB8" w:rsidRPr="00E81064">
        <w:t>.</w:t>
      </w:r>
      <w:r w:rsidR="00580DB8" w:rsidRPr="00E81064">
        <w:tab/>
        <w:t>The district</w:t>
      </w:r>
      <w:r w:rsidR="007C0712" w:rsidRPr="00E81064">
        <w:t xml:space="preserve">’s Redesign Plan </w:t>
      </w:r>
      <w:r w:rsidR="00580DB8" w:rsidRPr="00E81064">
        <w:t xml:space="preserve">is based on an analysis of schools’ differentiated improvement needs and grounded in a close analysis of student performance and other relevant data. </w:t>
      </w:r>
      <w:r w:rsidR="00AF4D0A" w:rsidRPr="00E81064">
        <w:rPr>
          <w:rFonts w:asciiTheme="majorHAnsi" w:hAnsiTheme="majorHAnsi"/>
        </w:rPr>
        <w:t xml:space="preserve"> </w:t>
      </w:r>
    </w:p>
    <w:p w:rsidR="00AF4D0A" w:rsidRPr="00E81064" w:rsidRDefault="00AF4D0A" w:rsidP="007C0712">
      <w:pPr>
        <w:pStyle w:val="ListParagraph"/>
        <w:tabs>
          <w:tab w:val="left" w:pos="360"/>
          <w:tab w:val="left" w:pos="1440"/>
          <w:tab w:val="left" w:pos="1800"/>
          <w:tab w:val="left" w:pos="2160"/>
        </w:tabs>
        <w:ind w:left="1440" w:hanging="360"/>
        <w:contextualSpacing w:val="0"/>
      </w:pPr>
      <w:r w:rsidRPr="00E81064">
        <w:t>a.</w:t>
      </w:r>
      <w:r w:rsidRPr="00E81064">
        <w:tab/>
      </w:r>
      <w:r w:rsidR="00580DB8" w:rsidRPr="00E81064">
        <w:t xml:space="preserve">The Redesign Plan </w:t>
      </w:r>
      <w:r w:rsidR="00CA65B7">
        <w:t>presents</w:t>
      </w:r>
      <w:r w:rsidR="00CA65B7" w:rsidRPr="00E81064">
        <w:t xml:space="preserve"> </w:t>
      </w:r>
      <w:r w:rsidR="00580DB8" w:rsidRPr="00E81064">
        <w:t xml:space="preserve">and analyzes multiple sources of data disaggregated by student sub-groups, </w:t>
      </w:r>
      <w:r w:rsidRPr="00E81064">
        <w:t>such as demographics, achievement data, perceptual data</w:t>
      </w:r>
      <w:r w:rsidR="00CA65B7">
        <w:t>,</w:t>
      </w:r>
      <w:r w:rsidRPr="00E81064">
        <w:t xml:space="preserve"> and observations</w:t>
      </w:r>
      <w:r w:rsidR="00580DB8" w:rsidRPr="00E81064">
        <w:t xml:space="preserve">. </w:t>
      </w:r>
    </w:p>
    <w:p w:rsidR="007C0712" w:rsidRPr="00E81064" w:rsidRDefault="007C0712" w:rsidP="007C0712">
      <w:pPr>
        <w:pStyle w:val="ListParagraph"/>
        <w:tabs>
          <w:tab w:val="left" w:pos="360"/>
          <w:tab w:val="left" w:pos="1440"/>
          <w:tab w:val="left" w:pos="1800"/>
          <w:tab w:val="left" w:pos="2160"/>
        </w:tabs>
        <w:ind w:left="1440" w:hanging="360"/>
        <w:contextualSpacing w:val="0"/>
      </w:pPr>
      <w:r w:rsidRPr="00E81064">
        <w:t>b.</w:t>
      </w:r>
      <w:r w:rsidRPr="00E81064">
        <w:tab/>
        <w:t>The district has used data analyses to identify root causes, prioritize issues</w:t>
      </w:r>
      <w:r w:rsidR="00CA65B7">
        <w:t>,</w:t>
      </w:r>
      <w:r w:rsidRPr="00E81064">
        <w:t xml:space="preserve"> and </w:t>
      </w:r>
      <w:r w:rsidR="00CA65B7" w:rsidRPr="00E81064">
        <w:t>determin</w:t>
      </w:r>
      <w:r w:rsidR="00CA65B7">
        <w:t>e</w:t>
      </w:r>
      <w:r w:rsidR="00CA65B7" w:rsidRPr="00E81064">
        <w:t xml:space="preserve"> </w:t>
      </w:r>
      <w:r w:rsidRPr="00E81064">
        <w:t>redesign priorities and intervention and support strategies.</w:t>
      </w:r>
    </w:p>
    <w:p w:rsidR="00580DB8" w:rsidRPr="00E81064" w:rsidRDefault="009C7309" w:rsidP="00580DB8">
      <w:pPr>
        <w:pStyle w:val="ListParagraph"/>
        <w:tabs>
          <w:tab w:val="left" w:pos="360"/>
          <w:tab w:val="left" w:pos="1080"/>
          <w:tab w:val="left" w:pos="1440"/>
          <w:tab w:val="left" w:pos="1800"/>
          <w:tab w:val="left" w:pos="2160"/>
        </w:tabs>
        <w:ind w:left="1080" w:hanging="360"/>
        <w:contextualSpacing w:val="0"/>
      </w:pPr>
      <w:r>
        <w:t>2</w:t>
      </w:r>
      <w:r w:rsidR="00580DB8" w:rsidRPr="00E81064">
        <w:t>.</w:t>
      </w:r>
      <w:r w:rsidR="00580DB8" w:rsidRPr="00E81064">
        <w:tab/>
        <w:t>Using achievement data and other data points such as ESE</w:t>
      </w:r>
      <w:r w:rsidR="00CA65B7">
        <w:t>’s</w:t>
      </w:r>
      <w:r w:rsidR="00580DB8" w:rsidRPr="00E81064">
        <w:t xml:space="preserve"> </w:t>
      </w:r>
      <w:r w:rsidR="00CA65B7">
        <w:t>a</w:t>
      </w:r>
      <w:r w:rsidR="00CA65B7" w:rsidRPr="00E81064">
        <w:t xml:space="preserve">ccountability </w:t>
      </w:r>
      <w:r w:rsidR="00CA65B7">
        <w:t>l</w:t>
      </w:r>
      <w:r w:rsidR="00CA65B7" w:rsidRPr="00E81064">
        <w:t>evels</w:t>
      </w:r>
      <w:r w:rsidR="00580DB8" w:rsidRPr="00E81064">
        <w:t xml:space="preserve">, the district has placed schools into red, yellow, and green cohorts to </w:t>
      </w:r>
      <w:r w:rsidR="00E81064">
        <w:t xml:space="preserve">help </w:t>
      </w:r>
      <w:r w:rsidR="00580DB8" w:rsidRPr="00E81064">
        <w:t xml:space="preserve">define how to focus on schools in critical need (red) and those with less intense need (green).  </w:t>
      </w:r>
    </w:p>
    <w:p w:rsidR="00580DB8" w:rsidRPr="00E81064" w:rsidRDefault="009C7309" w:rsidP="00580DB8">
      <w:pPr>
        <w:pStyle w:val="ListParagraph"/>
        <w:tabs>
          <w:tab w:val="left" w:pos="360"/>
          <w:tab w:val="left" w:pos="1080"/>
          <w:tab w:val="left" w:pos="1440"/>
          <w:tab w:val="left" w:pos="1800"/>
          <w:tab w:val="left" w:pos="2160"/>
        </w:tabs>
        <w:ind w:left="1080" w:hanging="360"/>
        <w:contextualSpacing w:val="0"/>
      </w:pPr>
      <w:r>
        <w:t>3</w:t>
      </w:r>
      <w:r w:rsidR="00580DB8" w:rsidRPr="00E81064">
        <w:t>.</w:t>
      </w:r>
      <w:r w:rsidR="00580DB8" w:rsidRPr="00E81064">
        <w:tab/>
        <w:t>District leaders identified a cohort of six schools in critical need as the highest priorit</w:t>
      </w:r>
      <w:r>
        <w:t xml:space="preserve">y. District leaders </w:t>
      </w:r>
      <w:r w:rsidR="00580DB8" w:rsidRPr="00E81064">
        <w:t xml:space="preserve">are now working with </w:t>
      </w:r>
      <w:r>
        <w:t xml:space="preserve">principals </w:t>
      </w:r>
      <w:r w:rsidR="00580DB8" w:rsidRPr="00E81064">
        <w:t>and teachers in an in</w:t>
      </w:r>
      <w:r>
        <w:t>tensive professional learning</w:t>
      </w:r>
      <w:r w:rsidR="00580DB8" w:rsidRPr="00E81064">
        <w:t xml:space="preserve"> program with Research for Better Teaching (RBT) to improve instruction.</w:t>
      </w:r>
    </w:p>
    <w:p w:rsidR="00580DB8" w:rsidRPr="00E81064" w:rsidRDefault="004C5947" w:rsidP="00580DB8">
      <w:pPr>
        <w:tabs>
          <w:tab w:val="left" w:pos="720"/>
          <w:tab w:val="left" w:pos="1080"/>
          <w:tab w:val="left" w:pos="1440"/>
          <w:tab w:val="left" w:pos="1800"/>
          <w:tab w:val="left" w:pos="2160"/>
        </w:tabs>
        <w:ind w:left="720" w:hanging="360"/>
      </w:pPr>
      <w:r>
        <w:rPr>
          <w:b/>
        </w:rPr>
        <w:t>C</w:t>
      </w:r>
      <w:r w:rsidR="00580DB8" w:rsidRPr="00E81064">
        <w:rPr>
          <w:b/>
        </w:rPr>
        <w:t>.</w:t>
      </w:r>
      <w:r w:rsidR="00580DB8" w:rsidRPr="00E81064">
        <w:t xml:space="preserve"> </w:t>
      </w:r>
      <w:r w:rsidR="00580DB8" w:rsidRPr="00E81064">
        <w:tab/>
      </w:r>
      <w:r w:rsidR="00A87615">
        <w:t>I</w:t>
      </w:r>
      <w:r w:rsidR="00A87615" w:rsidRPr="00E81064">
        <w:t xml:space="preserve">nterviews </w:t>
      </w:r>
      <w:r w:rsidR="00CA65B7">
        <w:t>with</w:t>
      </w:r>
      <w:r w:rsidR="00580DB8" w:rsidRPr="00E81064">
        <w:t xml:space="preserve"> district and school leaders </w:t>
      </w:r>
      <w:r w:rsidR="00CA65B7">
        <w:t>and a document review indicated</w:t>
      </w:r>
      <w:r w:rsidR="00580DB8" w:rsidRPr="00E81064">
        <w:t xml:space="preserve"> the expectations for how </w:t>
      </w:r>
      <w:r>
        <w:t>data should be used for improvement at the school levels</w:t>
      </w:r>
      <w:r w:rsidR="00CA65B7">
        <w:t>.</w:t>
      </w:r>
      <w:r w:rsidR="00CA65B7" w:rsidRPr="00E81064">
        <w:t xml:space="preserve"> </w:t>
      </w:r>
    </w:p>
    <w:p w:rsidR="00580DB8" w:rsidRPr="00E81064" w:rsidRDefault="00580DB8" w:rsidP="00580DB8">
      <w:pPr>
        <w:tabs>
          <w:tab w:val="left" w:pos="1080"/>
          <w:tab w:val="left" w:pos="1440"/>
          <w:tab w:val="left" w:pos="1800"/>
          <w:tab w:val="left" w:pos="2160"/>
        </w:tabs>
        <w:ind w:left="1080" w:hanging="360"/>
      </w:pPr>
      <w:r w:rsidRPr="00E81064">
        <w:t>1.</w:t>
      </w:r>
      <w:r w:rsidRPr="00E81064">
        <w:tab/>
      </w:r>
      <w:r w:rsidR="00CA65B7">
        <w:t xml:space="preserve">For example, </w:t>
      </w:r>
      <w:r w:rsidR="004C5947">
        <w:t>Instructional Leadership Teams (</w:t>
      </w:r>
      <w:r w:rsidR="007C0712" w:rsidRPr="00E81064">
        <w:t>ILTs</w:t>
      </w:r>
      <w:r w:rsidR="004C5947">
        <w:t>) are responsible for</w:t>
      </w:r>
      <w:r w:rsidR="007C0712" w:rsidRPr="00E81064">
        <w:t xml:space="preserve"> develop</w:t>
      </w:r>
      <w:r w:rsidR="004C5947">
        <w:t>ing their</w:t>
      </w:r>
      <w:r w:rsidR="007C0712" w:rsidRPr="00E81064">
        <w:t xml:space="preserve"> school a</w:t>
      </w:r>
      <w:r w:rsidRPr="00E81064">
        <w:t>ccou</w:t>
      </w:r>
      <w:r w:rsidR="007C0712" w:rsidRPr="00E81064">
        <w:t>ntability p</w:t>
      </w:r>
      <w:r w:rsidRPr="00E81064">
        <w:t>lan</w:t>
      </w:r>
      <w:r w:rsidR="007C0712" w:rsidRPr="00E81064">
        <w:t>s using</w:t>
      </w:r>
      <w:r w:rsidRPr="00E81064">
        <w:t xml:space="preserve"> a district-designed te</w:t>
      </w:r>
      <w:r w:rsidR="007C0712" w:rsidRPr="00E81064">
        <w:t>mplate and</w:t>
      </w:r>
      <w:r w:rsidRPr="00E81064">
        <w:t xml:space="preserve"> </w:t>
      </w:r>
      <w:r w:rsidR="007C0712" w:rsidRPr="00E81064">
        <w:t xml:space="preserve">a </w:t>
      </w:r>
      <w:r w:rsidRPr="00E81064">
        <w:t>needs assessment</w:t>
      </w:r>
      <w:r w:rsidR="00CA65B7">
        <w:t xml:space="preserve"> based on data</w:t>
      </w:r>
      <w:r w:rsidRPr="00E81064">
        <w:t>.  The plans</w:t>
      </w:r>
      <w:r w:rsidR="007C0712" w:rsidRPr="00E81064">
        <w:t xml:space="preserve"> should</w:t>
      </w:r>
      <w:r w:rsidRPr="00E81064">
        <w:t xml:space="preserve"> identify student results indicators to demonstrate how</w:t>
      </w:r>
      <w:r w:rsidR="007C0712" w:rsidRPr="00E81064">
        <w:t xml:space="preserve"> well</w:t>
      </w:r>
      <w:r w:rsidRPr="00E81064">
        <w:t xml:space="preserve"> </w:t>
      </w:r>
      <w:r w:rsidR="004C5947">
        <w:t>the schools have met their improvement goals</w:t>
      </w:r>
      <w:r w:rsidRPr="00E81064">
        <w:t xml:space="preserve">.  </w:t>
      </w:r>
    </w:p>
    <w:p w:rsidR="00580DB8" w:rsidRPr="00E81064" w:rsidRDefault="00580DB8" w:rsidP="00580DB8">
      <w:pPr>
        <w:tabs>
          <w:tab w:val="left" w:pos="1080"/>
          <w:tab w:val="left" w:pos="1440"/>
          <w:tab w:val="left" w:pos="1800"/>
          <w:tab w:val="left" w:pos="2160"/>
        </w:tabs>
        <w:ind w:left="1080" w:hanging="360"/>
      </w:pPr>
      <w:r w:rsidRPr="00E81064">
        <w:t>2.</w:t>
      </w:r>
      <w:r w:rsidRPr="00E81064">
        <w:tab/>
      </w:r>
      <w:r w:rsidR="00CA65B7">
        <w:t>U</w:t>
      </w:r>
      <w:r w:rsidRPr="00E81064">
        <w:t xml:space="preserve">nder the recent reorganization of the central office, managers are more focused and </w:t>
      </w:r>
      <w:r w:rsidR="00CA65B7">
        <w:t xml:space="preserve">more </w:t>
      </w:r>
      <w:r w:rsidRPr="00E81064">
        <w:t>aware of school-based data and</w:t>
      </w:r>
      <w:r w:rsidR="004C5947">
        <w:t xml:space="preserve"> have a</w:t>
      </w:r>
      <w:r w:rsidRPr="00E81064">
        <w:t xml:space="preserve"> more</w:t>
      </w:r>
      <w:r w:rsidR="004C5947">
        <w:t xml:space="preserve"> visible and active presence</w:t>
      </w:r>
      <w:r w:rsidRPr="00E81064">
        <w:t xml:space="preserve"> in the schools</w:t>
      </w:r>
      <w:r w:rsidR="004C5947">
        <w:t xml:space="preserve">.  This </w:t>
      </w:r>
      <w:r w:rsidRPr="00E81064">
        <w:lastRenderedPageBreak/>
        <w:t xml:space="preserve">has given them a greater understanding of school improvement needs and </w:t>
      </w:r>
      <w:r w:rsidR="00CA65B7">
        <w:t xml:space="preserve">has </w:t>
      </w:r>
      <w:r w:rsidRPr="00E81064">
        <w:t>helped</w:t>
      </w:r>
      <w:r w:rsidR="004C5947">
        <w:t xml:space="preserve"> them support</w:t>
      </w:r>
      <w:r w:rsidRPr="00E81064">
        <w:t xml:space="preserve"> principals</w:t>
      </w:r>
      <w:r w:rsidR="004C5947">
        <w:t xml:space="preserve"> to</w:t>
      </w:r>
      <w:r w:rsidRPr="00E81064">
        <w:t xml:space="preserve"> “dig down deep” into data. </w:t>
      </w:r>
    </w:p>
    <w:p w:rsidR="00580DB8" w:rsidRPr="00E81064" w:rsidRDefault="00580DB8" w:rsidP="00580DB8">
      <w:pPr>
        <w:tabs>
          <w:tab w:val="left" w:pos="1080"/>
          <w:tab w:val="left" w:pos="1440"/>
          <w:tab w:val="left" w:pos="1800"/>
          <w:tab w:val="left" w:pos="2160"/>
        </w:tabs>
        <w:ind w:left="1080" w:hanging="360"/>
      </w:pPr>
      <w:r w:rsidRPr="00E81064">
        <w:t>3.</w:t>
      </w:r>
      <w:r w:rsidRPr="00E81064">
        <w:tab/>
        <w:t>The district requires each school to identify the assessments it will use and how assessment data will be used for improvement. Examples offered</w:t>
      </w:r>
      <w:r w:rsidR="0040344C" w:rsidRPr="00E81064">
        <w:t xml:space="preserve"> in assessment plans </w:t>
      </w:r>
      <w:r w:rsidRPr="00E81064">
        <w:t xml:space="preserve">include: to individualize instruction, </w:t>
      </w:r>
      <w:r w:rsidR="00CA65B7">
        <w:t xml:space="preserve">to </w:t>
      </w:r>
      <w:r w:rsidRPr="00E81064">
        <w:t xml:space="preserve">monitor student progress, </w:t>
      </w:r>
      <w:r w:rsidR="00CA65B7">
        <w:t xml:space="preserve">to </w:t>
      </w:r>
      <w:r w:rsidRPr="00E81064">
        <w:t xml:space="preserve">identify student and teacher strengths and </w:t>
      </w:r>
      <w:r w:rsidR="00CA65B7">
        <w:t>challenges</w:t>
      </w:r>
      <w:r w:rsidRPr="00E81064">
        <w:t xml:space="preserve">, </w:t>
      </w:r>
      <w:r w:rsidR="00CA65B7">
        <w:t xml:space="preserve">to </w:t>
      </w:r>
      <w:r w:rsidRPr="00E81064">
        <w:t xml:space="preserve">provide student support and remediation, </w:t>
      </w:r>
      <w:r w:rsidR="00CA65B7">
        <w:t xml:space="preserve">to </w:t>
      </w:r>
      <w:r w:rsidRPr="00E81064">
        <w:t xml:space="preserve">group students for instruction, and </w:t>
      </w:r>
      <w:r w:rsidR="00CA65B7">
        <w:t xml:space="preserve">to </w:t>
      </w:r>
      <w:r w:rsidRPr="00E81064">
        <w:t>help plan instruction and professional development.</w:t>
      </w:r>
    </w:p>
    <w:p w:rsidR="00580DB8" w:rsidRPr="00E81064" w:rsidRDefault="00580DB8" w:rsidP="00580DB8">
      <w:pPr>
        <w:tabs>
          <w:tab w:val="left" w:pos="1080"/>
          <w:tab w:val="left" w:pos="1440"/>
          <w:tab w:val="left" w:pos="1800"/>
          <w:tab w:val="left" w:pos="2160"/>
        </w:tabs>
        <w:ind w:left="1080" w:hanging="360"/>
      </w:pPr>
      <w:r w:rsidRPr="00E81064">
        <w:t>4.</w:t>
      </w:r>
      <w:r w:rsidRPr="00E81064">
        <w:tab/>
        <w:t xml:space="preserve">The monthly assessment newsletter sent to all leaders and teachers by the office of research and accountability provides </w:t>
      </w:r>
      <w:r w:rsidR="0040344C" w:rsidRPr="00E81064">
        <w:t xml:space="preserve">teachers with </w:t>
      </w:r>
      <w:r w:rsidRPr="00E81064">
        <w:t xml:space="preserve">useful information about how to use assessment data. For example, recent editions listed five ways to use DIBELS data and five ways to use MAP data. </w:t>
      </w:r>
      <w:r w:rsidRPr="00E81064">
        <w:tab/>
      </w:r>
      <w:r w:rsidRPr="00E81064">
        <w:tab/>
      </w:r>
      <w:r w:rsidRPr="00E81064">
        <w:tab/>
      </w:r>
      <w:r w:rsidRPr="00E81064">
        <w:tab/>
      </w:r>
    </w:p>
    <w:p w:rsidR="007628FC" w:rsidRDefault="00580DB8" w:rsidP="00722D99">
      <w:pPr>
        <w:tabs>
          <w:tab w:val="left" w:pos="1080"/>
          <w:tab w:val="left" w:pos="1440"/>
          <w:tab w:val="left" w:pos="1800"/>
          <w:tab w:val="left" w:pos="2160"/>
        </w:tabs>
      </w:pPr>
      <w:r w:rsidRPr="00E81064">
        <w:rPr>
          <w:b/>
        </w:rPr>
        <w:t xml:space="preserve">Impact:  </w:t>
      </w:r>
      <w:r w:rsidRPr="00E81064">
        <w:t xml:space="preserve">When a district models and uses data </w:t>
      </w:r>
      <w:r w:rsidR="0040344C" w:rsidRPr="00E81064">
        <w:t>in meaningful ways, it sets expectations for how data analysis can help define and monitor improvement goals and priorities</w:t>
      </w:r>
      <w:r w:rsidR="00722D99" w:rsidRPr="00E81064">
        <w:t xml:space="preserve"> as well as the allocation of resources</w:t>
      </w:r>
      <w:r w:rsidR="0040344C" w:rsidRPr="00E81064">
        <w:t xml:space="preserve">.  </w:t>
      </w:r>
      <w:r w:rsidR="00722D99" w:rsidRPr="00E81064">
        <w:t xml:space="preserve">With </w:t>
      </w:r>
      <w:r w:rsidR="00CA65B7">
        <w:t>effective</w:t>
      </w:r>
      <w:r w:rsidR="00CA65B7" w:rsidRPr="00E81064">
        <w:t xml:space="preserve"> </w:t>
      </w:r>
      <w:r w:rsidR="00722D99" w:rsidRPr="00E81064">
        <w:t>data analysis, the district can also identify professional development needs for both teachers and leaders.  By using data well at the district level, leaders also can exemplify a data literate culture that uses data to drive all decision-making to improve programs, teacher performance</w:t>
      </w:r>
      <w:r w:rsidR="00611521">
        <w:t>,</w:t>
      </w:r>
      <w:r w:rsidR="00722D99" w:rsidRPr="00E81064">
        <w:t xml:space="preserve"> and student achievement.</w:t>
      </w:r>
      <w:r w:rsidR="00722D99">
        <w:t xml:space="preserve"> </w:t>
      </w:r>
    </w:p>
    <w:p w:rsidR="00B87A5E" w:rsidRPr="00722D99" w:rsidRDefault="00B87A5E" w:rsidP="00722D99">
      <w:pPr>
        <w:tabs>
          <w:tab w:val="left" w:pos="1080"/>
          <w:tab w:val="left" w:pos="1440"/>
          <w:tab w:val="left" w:pos="1800"/>
          <w:tab w:val="left" w:pos="2160"/>
        </w:tabs>
      </w:pPr>
    </w:p>
    <w:p w:rsidR="00580DB8" w:rsidRPr="00611521" w:rsidRDefault="0047041E" w:rsidP="00580DB8">
      <w:pPr>
        <w:tabs>
          <w:tab w:val="left" w:pos="360"/>
          <w:tab w:val="left" w:pos="720"/>
          <w:tab w:val="left" w:pos="1080"/>
          <w:tab w:val="left" w:pos="1440"/>
          <w:tab w:val="left" w:pos="1800"/>
          <w:tab w:val="left" w:pos="2160"/>
        </w:tabs>
        <w:rPr>
          <w:b/>
          <w:sz w:val="28"/>
          <w:szCs w:val="28"/>
        </w:rPr>
      </w:pPr>
      <w:r w:rsidRPr="0047041E">
        <w:rPr>
          <w:b/>
          <w:sz w:val="28"/>
          <w:szCs w:val="28"/>
        </w:rPr>
        <w:t>Challenges and Areas for Growth</w:t>
      </w:r>
    </w:p>
    <w:p w:rsidR="00580DB8" w:rsidRPr="002B10C7" w:rsidRDefault="00D013FE" w:rsidP="00580DB8">
      <w:pPr>
        <w:tabs>
          <w:tab w:val="left" w:pos="360"/>
          <w:tab w:val="left" w:pos="720"/>
          <w:tab w:val="left" w:pos="1080"/>
          <w:tab w:val="left" w:pos="1440"/>
          <w:tab w:val="left" w:pos="1800"/>
          <w:tab w:val="left" w:pos="2160"/>
        </w:tabs>
        <w:ind w:left="360" w:hanging="360"/>
        <w:rPr>
          <w:b/>
        </w:rPr>
      </w:pPr>
      <w:r>
        <w:rPr>
          <w:b/>
        </w:rPr>
        <w:t>3</w:t>
      </w:r>
      <w:r w:rsidR="00580DB8">
        <w:rPr>
          <w:b/>
        </w:rPr>
        <w:t>.</w:t>
      </w:r>
      <w:r w:rsidR="00580DB8">
        <w:rPr>
          <w:b/>
        </w:rPr>
        <w:tab/>
      </w:r>
      <w:r w:rsidR="00611521">
        <w:rPr>
          <w:b/>
        </w:rPr>
        <w:t>At the school level</w:t>
      </w:r>
      <w:r w:rsidR="004C5947">
        <w:rPr>
          <w:b/>
        </w:rPr>
        <w:t xml:space="preserve">, </w:t>
      </w:r>
      <w:r w:rsidR="00580DB8" w:rsidRPr="002B10C7">
        <w:rPr>
          <w:b/>
        </w:rPr>
        <w:t>there are inconsistencies in how well</w:t>
      </w:r>
      <w:r w:rsidR="00580DB8">
        <w:rPr>
          <w:b/>
        </w:rPr>
        <w:t xml:space="preserve"> </w:t>
      </w:r>
      <w:r w:rsidR="00580DB8" w:rsidRPr="002B10C7">
        <w:rPr>
          <w:b/>
        </w:rPr>
        <w:t xml:space="preserve">data is </w:t>
      </w:r>
      <w:r w:rsidR="00580DB8">
        <w:rPr>
          <w:b/>
        </w:rPr>
        <w:t xml:space="preserve">understood, </w:t>
      </w:r>
      <w:r w:rsidR="00580DB8" w:rsidRPr="002B10C7">
        <w:rPr>
          <w:b/>
        </w:rPr>
        <w:t>analyzed</w:t>
      </w:r>
      <w:r w:rsidR="00611521">
        <w:rPr>
          <w:b/>
        </w:rPr>
        <w:t>,</w:t>
      </w:r>
      <w:r w:rsidR="00580DB8" w:rsidRPr="002B10C7">
        <w:rPr>
          <w:b/>
        </w:rPr>
        <w:t xml:space="preserve"> and used to improve teaching and learning.</w:t>
      </w:r>
    </w:p>
    <w:p w:rsidR="00580DB8" w:rsidRDefault="00580DB8" w:rsidP="00580DB8">
      <w:pPr>
        <w:tabs>
          <w:tab w:val="left" w:pos="360"/>
          <w:tab w:val="left" w:pos="720"/>
          <w:tab w:val="left" w:pos="1440"/>
          <w:tab w:val="left" w:pos="1800"/>
          <w:tab w:val="left" w:pos="2160"/>
        </w:tabs>
        <w:ind w:left="720" w:hanging="360"/>
      </w:pPr>
      <w:r w:rsidRPr="00670AFC">
        <w:rPr>
          <w:b/>
        </w:rPr>
        <w:t>A.</w:t>
      </w:r>
      <w:r>
        <w:t xml:space="preserve">    </w:t>
      </w:r>
      <w:r w:rsidR="00916A52">
        <w:t>Interviewees expressed</w:t>
      </w:r>
      <w:r>
        <w:t xml:space="preserve"> contrasting views about how well the Instructional Leadership Teams (ILTs) used and leveraged data at their schools.  </w:t>
      </w:r>
    </w:p>
    <w:p w:rsidR="00580DB8" w:rsidRDefault="00580DB8" w:rsidP="00580DB8">
      <w:pPr>
        <w:tabs>
          <w:tab w:val="left" w:pos="360"/>
          <w:tab w:val="left" w:pos="720"/>
          <w:tab w:val="left" w:pos="1080"/>
          <w:tab w:val="left" w:pos="1440"/>
          <w:tab w:val="left" w:pos="1800"/>
          <w:tab w:val="left" w:pos="2160"/>
        </w:tabs>
        <w:ind w:left="1080" w:hanging="360"/>
      </w:pPr>
      <w:r w:rsidRPr="00134EA5">
        <w:t>1.</w:t>
      </w:r>
      <w:r w:rsidRPr="00134EA5">
        <w:tab/>
      </w:r>
      <w:r>
        <w:t xml:space="preserve">District leaders agreed that ILT members had responsibility to work collaboratively to </w:t>
      </w:r>
      <w:r w:rsidR="00722D99">
        <w:t>review schoolwide data to understand strengths and challenges in order</w:t>
      </w:r>
      <w:r>
        <w:t xml:space="preserve"> to develop the vision and mission of the school as well as the S</w:t>
      </w:r>
      <w:r w:rsidR="00722D99">
        <w:t>chool Accountability Plan (SAP)</w:t>
      </w:r>
      <w:r>
        <w:t>.</w:t>
      </w:r>
    </w:p>
    <w:p w:rsidR="00580DB8" w:rsidRDefault="00181CCF" w:rsidP="00181CCF">
      <w:pPr>
        <w:tabs>
          <w:tab w:val="left" w:pos="360"/>
          <w:tab w:val="left" w:pos="720"/>
          <w:tab w:val="left" w:pos="1440"/>
          <w:tab w:val="left" w:pos="1800"/>
          <w:tab w:val="left" w:pos="2160"/>
        </w:tabs>
        <w:ind w:left="1440" w:hanging="360"/>
      </w:pPr>
      <w:r>
        <w:t>a</w:t>
      </w:r>
      <w:r w:rsidR="00580DB8">
        <w:t>.</w:t>
      </w:r>
      <w:r w:rsidR="00580DB8">
        <w:tab/>
      </w:r>
      <w:r w:rsidR="001E0494">
        <w:t>F</w:t>
      </w:r>
      <w:r w:rsidR="001E0494" w:rsidRPr="00134EA5">
        <w:t xml:space="preserve">ocus </w:t>
      </w:r>
      <w:r w:rsidR="001E0494">
        <w:t>group attendees reported that i</w:t>
      </w:r>
      <w:r w:rsidR="001E0494" w:rsidRPr="00134EA5">
        <w:t xml:space="preserve">n </w:t>
      </w:r>
      <w:r w:rsidR="00580DB8" w:rsidRPr="00134EA5">
        <w:t>some schools</w:t>
      </w:r>
      <w:r w:rsidR="001E0494">
        <w:t xml:space="preserve"> </w:t>
      </w:r>
      <w:r w:rsidR="00580DB8">
        <w:t>ILT meetings we</w:t>
      </w:r>
      <w:r w:rsidR="00580DB8" w:rsidRPr="00134EA5">
        <w:t>re open to all</w:t>
      </w:r>
      <w:r w:rsidR="00722D99">
        <w:t xml:space="preserve"> and </w:t>
      </w:r>
      <w:r w:rsidR="00580DB8" w:rsidRPr="00134EA5">
        <w:t>ILT members use</w:t>
      </w:r>
      <w:r w:rsidR="00580DB8">
        <w:t>d</w:t>
      </w:r>
      <w:r w:rsidR="00580DB8" w:rsidRPr="00134EA5">
        <w:t xml:space="preserve"> </w:t>
      </w:r>
      <w:r w:rsidR="00580DB8">
        <w:t xml:space="preserve">and shared </w:t>
      </w:r>
      <w:r w:rsidR="00580DB8" w:rsidRPr="00134EA5">
        <w:t>data</w:t>
      </w:r>
      <w:r w:rsidR="00580DB8">
        <w:t xml:space="preserve"> by subject and grade level with teachers</w:t>
      </w:r>
      <w:r w:rsidR="00580DB8" w:rsidRPr="00134EA5">
        <w:t xml:space="preserve"> to identify school-based </w:t>
      </w:r>
      <w:r w:rsidR="00611521">
        <w:t xml:space="preserve">professional development </w:t>
      </w:r>
      <w:r w:rsidR="00580DB8">
        <w:t xml:space="preserve">and discuss strategies to help struggling students.  In some schools, the ILT was </w:t>
      </w:r>
      <w:r w:rsidR="00611521">
        <w:t xml:space="preserve">the </w:t>
      </w:r>
      <w:r w:rsidR="00580DB8">
        <w:t xml:space="preserve">key in </w:t>
      </w:r>
      <w:r w:rsidR="00580DB8" w:rsidRPr="00134EA5">
        <w:t>develop</w:t>
      </w:r>
      <w:r w:rsidR="00580DB8">
        <w:t>ing</w:t>
      </w:r>
      <w:r w:rsidR="00580DB8" w:rsidRPr="00134EA5">
        <w:t xml:space="preserve"> the School Accountability Plan.</w:t>
      </w:r>
    </w:p>
    <w:p w:rsidR="00580DB8" w:rsidRPr="00134EA5" w:rsidRDefault="00181CCF" w:rsidP="00181CCF">
      <w:pPr>
        <w:tabs>
          <w:tab w:val="left" w:pos="360"/>
          <w:tab w:val="left" w:pos="720"/>
          <w:tab w:val="left" w:pos="1440"/>
          <w:tab w:val="left" w:pos="1800"/>
          <w:tab w:val="left" w:pos="2160"/>
        </w:tabs>
        <w:ind w:left="1440" w:hanging="360"/>
      </w:pPr>
      <w:r>
        <w:t>b</w:t>
      </w:r>
      <w:r w:rsidR="00580DB8">
        <w:t>.</w:t>
      </w:r>
      <w:r w:rsidR="00580DB8">
        <w:tab/>
      </w:r>
      <w:r w:rsidR="001E0494">
        <w:t xml:space="preserve">Teachers said that </w:t>
      </w:r>
      <w:r w:rsidR="000D7206">
        <w:t>i</w:t>
      </w:r>
      <w:r w:rsidR="000D7206" w:rsidRPr="00134EA5">
        <w:t>n</w:t>
      </w:r>
      <w:r w:rsidR="000D7206">
        <w:t xml:space="preserve"> </w:t>
      </w:r>
      <w:r w:rsidR="00580DB8">
        <w:t>other school</w:t>
      </w:r>
      <w:r>
        <w:t>s ILTs we</w:t>
      </w:r>
      <w:r w:rsidR="00580DB8">
        <w:t xml:space="preserve">re more insular, </w:t>
      </w:r>
      <w:r w:rsidR="00611521">
        <w:t>were not transparent</w:t>
      </w:r>
      <w:r>
        <w:t xml:space="preserve">, </w:t>
      </w:r>
      <w:r w:rsidR="000D7206">
        <w:t xml:space="preserve">and </w:t>
      </w:r>
      <w:r>
        <w:t>did</w:t>
      </w:r>
      <w:r w:rsidR="00580DB8">
        <w:t xml:space="preserve"> not share meeting minutes</w:t>
      </w:r>
      <w:r w:rsidR="000D7206">
        <w:t xml:space="preserve">. Teachers </w:t>
      </w:r>
      <w:r w:rsidR="00611521">
        <w:t xml:space="preserve">expressed the view that they were </w:t>
      </w:r>
      <w:r w:rsidR="00580DB8">
        <w:t xml:space="preserve">left out of the improvement process. </w:t>
      </w:r>
    </w:p>
    <w:p w:rsidR="00580DB8" w:rsidRDefault="00580DB8" w:rsidP="000D7206">
      <w:pPr>
        <w:tabs>
          <w:tab w:val="left" w:pos="360"/>
          <w:tab w:val="left" w:pos="720"/>
          <w:tab w:val="left" w:pos="1080"/>
          <w:tab w:val="left" w:pos="1440"/>
          <w:tab w:val="left" w:pos="1800"/>
          <w:tab w:val="left" w:pos="2160"/>
        </w:tabs>
        <w:ind w:left="810" w:hanging="450"/>
      </w:pPr>
      <w:r w:rsidRPr="00670AFC">
        <w:rPr>
          <w:b/>
        </w:rPr>
        <w:lastRenderedPageBreak/>
        <w:t>B.</w:t>
      </w:r>
      <w:r>
        <w:t xml:space="preserve"> </w:t>
      </w:r>
      <w:r>
        <w:tab/>
        <w:t xml:space="preserve">  Teachers </w:t>
      </w:r>
      <w:r w:rsidR="00B16593">
        <w:t xml:space="preserve">stated </w:t>
      </w:r>
      <w:r>
        <w:t xml:space="preserve">divergent views about how they use assessments and assessment data to inform decision-making. </w:t>
      </w:r>
    </w:p>
    <w:p w:rsidR="00580DB8" w:rsidRDefault="00580DB8" w:rsidP="00580DB8">
      <w:pPr>
        <w:tabs>
          <w:tab w:val="left" w:pos="360"/>
          <w:tab w:val="left" w:pos="720"/>
          <w:tab w:val="left" w:pos="1080"/>
          <w:tab w:val="left" w:pos="2160"/>
        </w:tabs>
        <w:ind w:left="1080" w:hanging="360"/>
      </w:pPr>
      <w:r>
        <w:t>1.</w:t>
      </w:r>
      <w:r>
        <w:tab/>
      </w:r>
      <w:r w:rsidR="00635A84">
        <w:t xml:space="preserve">For example, </w:t>
      </w:r>
      <w:r w:rsidR="00F151A6">
        <w:t xml:space="preserve">some </w:t>
      </w:r>
      <w:r w:rsidR="00635A84">
        <w:t xml:space="preserve">teachers </w:t>
      </w:r>
      <w:r w:rsidR="00F151A6">
        <w:t xml:space="preserve">said that they </w:t>
      </w:r>
      <w:r w:rsidR="00635A84">
        <w:t xml:space="preserve">used </w:t>
      </w:r>
      <w:r>
        <w:t xml:space="preserve">data to define flexible groups, </w:t>
      </w:r>
      <w:r w:rsidR="00F151A6">
        <w:t xml:space="preserve">to </w:t>
      </w:r>
      <w:r>
        <w:t>identify students in need of intervention</w:t>
      </w:r>
      <w:r w:rsidR="00F151A6">
        <w:t>,</w:t>
      </w:r>
      <w:r>
        <w:t xml:space="preserve"> and </w:t>
      </w:r>
      <w:r w:rsidR="00F151A6">
        <w:t xml:space="preserve">to </w:t>
      </w:r>
      <w:r>
        <w:t>check student</w:t>
      </w:r>
      <w:r w:rsidR="00F151A6">
        <w:t>s’</w:t>
      </w:r>
      <w:r>
        <w:t xml:space="preserve"> progress.</w:t>
      </w:r>
      <w:r w:rsidRPr="00A1340E">
        <w:t xml:space="preserve"> </w:t>
      </w:r>
      <w:r w:rsidR="00635A84">
        <w:t xml:space="preserve"> Teachers </w:t>
      </w:r>
      <w:r>
        <w:t>acknowledged that time was set aside to discuss student data and “drill down” to better understand student and class achievement. Others described coaches as helpful in putting data together for teacher</w:t>
      </w:r>
      <w:r w:rsidR="00F151A6">
        <w:t>s’</w:t>
      </w:r>
      <w:r>
        <w:t xml:space="preserve"> review. </w:t>
      </w:r>
    </w:p>
    <w:p w:rsidR="00A20D86" w:rsidRDefault="00580DB8" w:rsidP="00580DB8">
      <w:pPr>
        <w:tabs>
          <w:tab w:val="left" w:pos="360"/>
          <w:tab w:val="left" w:pos="720"/>
          <w:tab w:val="left" w:pos="1080"/>
          <w:tab w:val="left" w:pos="2160"/>
        </w:tabs>
        <w:ind w:left="1080" w:hanging="360"/>
      </w:pPr>
      <w:r>
        <w:t>2.</w:t>
      </w:r>
      <w:r>
        <w:tab/>
      </w:r>
      <w:r w:rsidR="00F151A6">
        <w:t>Other</w:t>
      </w:r>
      <w:r>
        <w:t xml:space="preserve"> teachers </w:t>
      </w:r>
      <w:r w:rsidR="00F151A6">
        <w:t xml:space="preserve">expressed the belief that </w:t>
      </w:r>
      <w:r>
        <w:t>there was, “more data than teachers knew what to do with,” and “mo</w:t>
      </w:r>
      <w:r w:rsidR="00635A84">
        <w:t>re testing than teaching” took</w:t>
      </w:r>
      <w:r>
        <w:t xml:space="preserve"> place.  </w:t>
      </w:r>
    </w:p>
    <w:p w:rsidR="00A20D86" w:rsidRDefault="00A20D86" w:rsidP="00A20D86">
      <w:pPr>
        <w:tabs>
          <w:tab w:val="left" w:pos="360"/>
          <w:tab w:val="left" w:pos="720"/>
          <w:tab w:val="left" w:pos="1080"/>
          <w:tab w:val="left" w:pos="1440"/>
          <w:tab w:val="left" w:pos="1800"/>
          <w:tab w:val="left" w:pos="2160"/>
        </w:tabs>
        <w:ind w:left="1440" w:hanging="720"/>
      </w:pPr>
      <w:r>
        <w:tab/>
        <w:t>a.</w:t>
      </w:r>
      <w:r>
        <w:tab/>
      </w:r>
      <w:r w:rsidR="00580DB8">
        <w:t>Some teachers expressed concern</w:t>
      </w:r>
      <w:r w:rsidR="00F151A6">
        <w:t xml:space="preserve"> that</w:t>
      </w:r>
      <w:r w:rsidR="00580DB8">
        <w:t xml:space="preserve"> </w:t>
      </w:r>
      <w:r w:rsidR="000530D4">
        <w:t xml:space="preserve">they </w:t>
      </w:r>
      <w:r w:rsidR="00580DB8">
        <w:t xml:space="preserve">had to administer weekly tests even though some children were not ready for them and </w:t>
      </w:r>
      <w:r w:rsidR="00F151A6">
        <w:t xml:space="preserve">noted that </w:t>
      </w:r>
      <w:r w:rsidR="00580DB8">
        <w:t>test results were not used to drive or differentiate instruction.</w:t>
      </w:r>
      <w:r w:rsidR="00635A84">
        <w:t xml:space="preserve">  </w:t>
      </w:r>
    </w:p>
    <w:p w:rsidR="00580DB8" w:rsidRDefault="00A20D86" w:rsidP="00A20D86">
      <w:pPr>
        <w:tabs>
          <w:tab w:val="left" w:pos="360"/>
          <w:tab w:val="left" w:pos="720"/>
          <w:tab w:val="left" w:pos="1080"/>
          <w:tab w:val="left" w:pos="1440"/>
          <w:tab w:val="left" w:pos="1800"/>
          <w:tab w:val="left" w:pos="2160"/>
        </w:tabs>
        <w:ind w:left="1440" w:hanging="720"/>
      </w:pPr>
      <w:r>
        <w:tab/>
        <w:t>b.</w:t>
      </w:r>
      <w:r>
        <w:tab/>
      </w:r>
      <w:r w:rsidR="002B3544">
        <w:t xml:space="preserve">Some teachers </w:t>
      </w:r>
      <w:r w:rsidR="00F151A6">
        <w:t xml:space="preserve">stated that they </w:t>
      </w:r>
      <w:r w:rsidR="00580DB8">
        <w:t>did not understand how to interpret MCAS data on their own</w:t>
      </w:r>
      <w:r w:rsidR="00F151A6">
        <w:t>,</w:t>
      </w:r>
      <w:r w:rsidR="00B16593">
        <w:t xml:space="preserve"> </w:t>
      </w:r>
      <w:r w:rsidR="00580DB8">
        <w:t>data meetings were not well facilitated</w:t>
      </w:r>
      <w:r w:rsidR="00F151A6">
        <w:t xml:space="preserve">, </w:t>
      </w:r>
      <w:r w:rsidR="00580DB8">
        <w:t>and teachers had no</w:t>
      </w:r>
      <w:r w:rsidR="00F151A6">
        <w:t>t</w:t>
      </w:r>
      <w:r w:rsidR="00580DB8">
        <w:t xml:space="preserve"> </w:t>
      </w:r>
      <w:r w:rsidR="00F151A6">
        <w:t xml:space="preserve">received </w:t>
      </w:r>
      <w:r w:rsidR="00D66B0B">
        <w:t xml:space="preserve">sufficient </w:t>
      </w:r>
      <w:r w:rsidR="00580DB8">
        <w:t xml:space="preserve">training </w:t>
      </w:r>
      <w:r w:rsidR="00F151A6">
        <w:t>about</w:t>
      </w:r>
      <w:r w:rsidR="00580DB8">
        <w:t xml:space="preserve"> how to use data.</w:t>
      </w:r>
      <w:r w:rsidR="00635A84">
        <w:t xml:space="preserve"> Some </w:t>
      </w:r>
      <w:r w:rsidR="0006114C">
        <w:t xml:space="preserve">teachers </w:t>
      </w:r>
      <w:r w:rsidR="00F151A6">
        <w:t xml:space="preserve">expressed the belief that </w:t>
      </w:r>
      <w:r w:rsidR="00580DB8">
        <w:t xml:space="preserve">data analysis led to </w:t>
      </w:r>
      <w:r>
        <w:t>“</w:t>
      </w:r>
      <w:r w:rsidR="00580DB8">
        <w:t>blaming teachers.</w:t>
      </w:r>
      <w:r>
        <w:t>”</w:t>
      </w:r>
      <w:r w:rsidR="00580DB8">
        <w:t xml:space="preserve"> Others reflected on how teachers were “data’d-out” and wondered, “At what point does it [i.e., all the data and </w:t>
      </w:r>
      <w:r w:rsidR="00635A84">
        <w:t>assessments] become overbearing?</w:t>
      </w:r>
      <w:r w:rsidR="00580DB8">
        <w:t xml:space="preserve">” </w:t>
      </w:r>
      <w:r w:rsidR="00580DB8" w:rsidRPr="00780544">
        <w:tab/>
      </w:r>
      <w:r w:rsidR="00580DB8" w:rsidRPr="00780544">
        <w:tab/>
      </w:r>
    </w:p>
    <w:p w:rsidR="00EC70B2" w:rsidRDefault="00173CB3" w:rsidP="00EC70B2">
      <w:pPr>
        <w:tabs>
          <w:tab w:val="left" w:pos="360"/>
          <w:tab w:val="left" w:pos="720"/>
          <w:tab w:val="left" w:pos="1080"/>
          <w:tab w:val="left" w:pos="1440"/>
          <w:tab w:val="left" w:pos="1800"/>
        </w:tabs>
        <w:ind w:left="720" w:hanging="360"/>
      </w:pPr>
      <w:r>
        <w:rPr>
          <w:b/>
        </w:rPr>
        <w:t>C</w:t>
      </w:r>
      <w:r w:rsidR="00580DB8" w:rsidRPr="00987363">
        <w:rPr>
          <w:b/>
        </w:rPr>
        <w:t>.</w:t>
      </w:r>
      <w:r w:rsidR="0096553B">
        <w:tab/>
        <w:t xml:space="preserve">District leaders are </w:t>
      </w:r>
      <w:r w:rsidR="00580DB8">
        <w:t xml:space="preserve">aware of issues impeding the consistent and </w:t>
      </w:r>
      <w:r w:rsidR="006D52C5">
        <w:t xml:space="preserve">effective </w:t>
      </w:r>
      <w:r w:rsidR="00580DB8">
        <w:t>use of assessments and assessment data.</w:t>
      </w:r>
    </w:p>
    <w:p w:rsidR="009F7ED6" w:rsidRDefault="00EC70B2" w:rsidP="00EC70B2">
      <w:pPr>
        <w:tabs>
          <w:tab w:val="left" w:pos="360"/>
          <w:tab w:val="left" w:pos="1440"/>
          <w:tab w:val="left" w:pos="1800"/>
        </w:tabs>
        <w:ind w:left="1080" w:hanging="360"/>
      </w:pPr>
      <w:r>
        <w:t>1.</w:t>
      </w:r>
      <w:r>
        <w:tab/>
      </w:r>
      <w:r w:rsidR="006D52C5" w:rsidRPr="006D52C5">
        <w:t xml:space="preserve">In the </w:t>
      </w:r>
      <w:r w:rsidR="0096553B">
        <w:t xml:space="preserve">district’s </w:t>
      </w:r>
      <w:r w:rsidR="006D52C5">
        <w:t>self-assessment</w:t>
      </w:r>
      <w:r w:rsidR="00B15040">
        <w:t xml:space="preserve"> submitted before the onsite</w:t>
      </w:r>
      <w:r w:rsidR="006D52C5">
        <w:t xml:space="preserve">, the </w:t>
      </w:r>
      <w:r w:rsidR="006D52C5" w:rsidRPr="006D52C5">
        <w:t>district</w:t>
      </w:r>
      <w:r w:rsidR="006D52C5">
        <w:t xml:space="preserve"> rate</w:t>
      </w:r>
      <w:r w:rsidR="001F3C7C">
        <w:t>d</w:t>
      </w:r>
      <w:r w:rsidR="006D52C5" w:rsidRPr="006D52C5">
        <w:t xml:space="preserve"> </w:t>
      </w:r>
      <w:r w:rsidR="006D52C5" w:rsidRPr="00EC70B2">
        <w:rPr>
          <w:rFonts w:ascii="Calibri"/>
        </w:rPr>
        <w:t xml:space="preserve">staff training and support </w:t>
      </w:r>
      <w:r w:rsidR="009F7ED6">
        <w:rPr>
          <w:rFonts w:ascii="Calibri"/>
        </w:rPr>
        <w:t xml:space="preserve">as “Somewhat well” described by the indicator “The district offers ongoing, effective staff training and support </w:t>
      </w:r>
      <w:r w:rsidR="006D52C5" w:rsidRPr="00EC70B2">
        <w:rPr>
          <w:rFonts w:ascii="Calibri"/>
        </w:rPr>
        <w:t>to use student achievement data to improve performance.</w:t>
      </w:r>
      <w:r w:rsidR="009F7ED6">
        <w:rPr>
          <w:rFonts w:ascii="Calibri"/>
        </w:rPr>
        <w:t>”</w:t>
      </w:r>
      <w:r w:rsidRPr="00EC70B2">
        <w:rPr>
          <w:rFonts w:ascii="Calibri"/>
        </w:rPr>
        <w:t xml:space="preserve"> </w:t>
      </w:r>
      <w:r w:rsidR="009F7ED6">
        <w:t>(Possible responses were Not at all well, Somewhat well, Well, and Very Well.)</w:t>
      </w:r>
    </w:p>
    <w:p w:rsidR="006D52C5" w:rsidRPr="006D52C5" w:rsidRDefault="009F7ED6" w:rsidP="009F7ED6">
      <w:pPr>
        <w:tabs>
          <w:tab w:val="left" w:pos="360"/>
          <w:tab w:val="left" w:pos="720"/>
          <w:tab w:val="left" w:pos="1080"/>
          <w:tab w:val="left" w:pos="1440"/>
          <w:tab w:val="left" w:pos="1800"/>
        </w:tabs>
        <w:ind w:left="1440" w:hanging="720"/>
      </w:pPr>
      <w:r>
        <w:tab/>
        <w:t>a.</w:t>
      </w:r>
      <w:r>
        <w:tab/>
      </w:r>
      <w:r w:rsidR="00EC70B2">
        <w:t xml:space="preserve">The district’s professional </w:t>
      </w:r>
      <w:r w:rsidR="00DB3577">
        <w:t xml:space="preserve">learning </w:t>
      </w:r>
      <w:r w:rsidR="00EC70B2">
        <w:t>plan for 2016</w:t>
      </w:r>
      <w:r w:rsidR="00A268B9">
        <w:t>–</w:t>
      </w:r>
      <w:r w:rsidR="00B15040">
        <w:t>20</w:t>
      </w:r>
      <w:r w:rsidR="00EC70B2">
        <w:t xml:space="preserve">17 does not list any professional learning activities for </w:t>
      </w:r>
      <w:r w:rsidR="0096553B">
        <w:t>teachers or leaders to learn to analyze or</w:t>
      </w:r>
      <w:r w:rsidR="00EC70B2">
        <w:t xml:space="preserve"> use data well.</w:t>
      </w:r>
    </w:p>
    <w:p w:rsidR="00580DB8" w:rsidRDefault="006D52C5" w:rsidP="00580DB8">
      <w:pPr>
        <w:tabs>
          <w:tab w:val="left" w:pos="360"/>
          <w:tab w:val="left" w:pos="990"/>
          <w:tab w:val="left" w:pos="1440"/>
          <w:tab w:val="left" w:pos="1800"/>
        </w:tabs>
        <w:ind w:left="1080" w:hanging="360"/>
      </w:pPr>
      <w:r>
        <w:t>2.</w:t>
      </w:r>
      <w:r>
        <w:tab/>
      </w:r>
      <w:r>
        <w:tab/>
      </w:r>
      <w:r w:rsidR="00B15040">
        <w:t>T</w:t>
      </w:r>
      <w:r w:rsidR="00580DB8">
        <w:t xml:space="preserve">he superintendent </w:t>
      </w:r>
      <w:r w:rsidR="00B15040">
        <w:t xml:space="preserve">told </w:t>
      </w:r>
      <w:r w:rsidR="00580DB8">
        <w:t xml:space="preserve">review team members that more professional development </w:t>
      </w:r>
      <w:r w:rsidR="00B15040">
        <w:t xml:space="preserve">(PD) </w:t>
      </w:r>
      <w:r w:rsidR="00580DB8">
        <w:t>was needed for teachers to learn how to use daily formative assessments and that only some schools operated with a</w:t>
      </w:r>
      <w:r w:rsidR="00B15040">
        <w:t>n</w:t>
      </w:r>
      <w:r w:rsidR="00580DB8">
        <w:t xml:space="preserve"> </w:t>
      </w:r>
      <w:r w:rsidR="00B15040">
        <w:t xml:space="preserve">effective </w:t>
      </w:r>
      <w:r w:rsidR="00580DB8">
        <w:t>assessment program and used data rooms</w:t>
      </w:r>
      <w:r w:rsidR="00DD5748">
        <w:t xml:space="preserve"> well</w:t>
      </w:r>
      <w:r w:rsidR="00580DB8">
        <w:t xml:space="preserve"> to share and analyze data.  </w:t>
      </w:r>
    </w:p>
    <w:p w:rsidR="00580DB8" w:rsidRDefault="00EC70B2" w:rsidP="00580DB8">
      <w:pPr>
        <w:tabs>
          <w:tab w:val="left" w:pos="360"/>
          <w:tab w:val="left" w:pos="1080"/>
          <w:tab w:val="left" w:pos="1440"/>
          <w:tab w:val="left" w:pos="1800"/>
        </w:tabs>
        <w:ind w:left="1080" w:hanging="360"/>
      </w:pPr>
      <w:r>
        <w:t>3</w:t>
      </w:r>
      <w:r w:rsidR="00580DB8">
        <w:t>.</w:t>
      </w:r>
      <w:r w:rsidR="00580DB8">
        <w:tab/>
        <w:t xml:space="preserve">The superintendent also stated that there was inconsistent data in the district and an inconsistent </w:t>
      </w:r>
      <w:r w:rsidR="00B15040">
        <w:t xml:space="preserve">ability </w:t>
      </w:r>
      <w:r w:rsidR="00580DB8">
        <w:t>at the school levels to analyze data</w:t>
      </w:r>
      <w:r w:rsidR="00B15040">
        <w:t>,</w:t>
      </w:r>
      <w:r w:rsidR="00580DB8">
        <w:t xml:space="preserve"> </w:t>
      </w:r>
      <w:r w:rsidR="00B15040">
        <w:t xml:space="preserve">adding </w:t>
      </w:r>
      <w:r w:rsidR="00580DB8">
        <w:t xml:space="preserve">that it was unclear whether all the schools were using data.  She also noted that PD on data analysis </w:t>
      </w:r>
      <w:r w:rsidR="00591494">
        <w:t xml:space="preserve">was needed </w:t>
      </w:r>
      <w:r w:rsidR="00580DB8">
        <w:t>in the district.</w:t>
      </w:r>
    </w:p>
    <w:p w:rsidR="00580DB8" w:rsidRDefault="00580DB8" w:rsidP="00580DB8">
      <w:pPr>
        <w:tabs>
          <w:tab w:val="left" w:pos="0"/>
          <w:tab w:val="left" w:pos="720"/>
          <w:tab w:val="left" w:pos="1080"/>
          <w:tab w:val="left" w:pos="1440"/>
          <w:tab w:val="left" w:pos="1800"/>
          <w:tab w:val="left" w:pos="2160"/>
        </w:tabs>
      </w:pPr>
      <w:r w:rsidRPr="00F731AA">
        <w:rPr>
          <w:b/>
        </w:rPr>
        <w:lastRenderedPageBreak/>
        <w:t>Impact</w:t>
      </w:r>
      <w:r>
        <w:t xml:space="preserve">: </w:t>
      </w:r>
      <w:r w:rsidR="00B15040">
        <w:t>W</w:t>
      </w:r>
      <w:r>
        <w:t xml:space="preserve">ithout the support systems and resources needed for </w:t>
      </w:r>
      <w:r w:rsidR="00B15040">
        <w:t>improved analysis, understanding, and use of student achievement and other data sources---</w:t>
      </w:r>
      <w:r>
        <w:t xml:space="preserve">such as </w:t>
      </w:r>
      <w:r w:rsidR="000D3895">
        <w:t xml:space="preserve">sufficient </w:t>
      </w:r>
      <w:r>
        <w:t>common planning time, highly functioning I</w:t>
      </w:r>
      <w:r w:rsidR="000D3895">
        <w:t xml:space="preserve">nstructional </w:t>
      </w:r>
      <w:r>
        <w:t>L</w:t>
      </w:r>
      <w:r w:rsidR="000D3895">
        <w:t xml:space="preserve">eadership </w:t>
      </w:r>
      <w:r>
        <w:t>T</w:t>
      </w:r>
      <w:r w:rsidR="000D3895">
        <w:t>eam</w:t>
      </w:r>
      <w:r>
        <w:t xml:space="preserve">s, and </w:t>
      </w:r>
      <w:r w:rsidR="000D3895">
        <w:t>educators trained</w:t>
      </w:r>
      <w:r w:rsidR="00B15040">
        <w:t xml:space="preserve"> </w:t>
      </w:r>
      <w:r>
        <w:t>to analyze and use data well</w:t>
      </w:r>
      <w:r w:rsidR="00B15040">
        <w:t>---</w:t>
      </w:r>
      <w:r w:rsidR="00755560">
        <w:t xml:space="preserve">the </w:t>
      </w:r>
      <w:r>
        <w:t>district cannot implement and sustain its improvement plans and efforts to ensure that all children learn at high levels.</w:t>
      </w:r>
    </w:p>
    <w:p w:rsidR="00580DB8" w:rsidRPr="00755560" w:rsidRDefault="0047041E" w:rsidP="00580DB8">
      <w:pPr>
        <w:tabs>
          <w:tab w:val="left" w:pos="360"/>
          <w:tab w:val="left" w:pos="720"/>
          <w:tab w:val="left" w:pos="1080"/>
          <w:tab w:val="left" w:pos="1440"/>
          <w:tab w:val="left" w:pos="1800"/>
          <w:tab w:val="left" w:pos="2160"/>
        </w:tabs>
        <w:rPr>
          <w:b/>
          <w:sz w:val="28"/>
          <w:szCs w:val="28"/>
        </w:rPr>
      </w:pPr>
      <w:r w:rsidRPr="0047041E">
        <w:rPr>
          <w:b/>
          <w:sz w:val="28"/>
          <w:szCs w:val="28"/>
        </w:rPr>
        <w:t xml:space="preserve">Recommendation </w:t>
      </w:r>
    </w:p>
    <w:p w:rsidR="00580DB8" w:rsidRPr="002620E7" w:rsidRDefault="00CA6162" w:rsidP="00386849">
      <w:pPr>
        <w:pStyle w:val="ListParagraph"/>
        <w:numPr>
          <w:ilvl w:val="6"/>
          <w:numId w:val="12"/>
        </w:numPr>
        <w:tabs>
          <w:tab w:val="left" w:pos="360"/>
          <w:tab w:val="left" w:pos="720"/>
          <w:tab w:val="left" w:pos="1080"/>
          <w:tab w:val="left" w:pos="1440"/>
          <w:tab w:val="left" w:pos="1800"/>
        </w:tabs>
        <w:ind w:left="360"/>
        <w:contextualSpacing w:val="0"/>
        <w:rPr>
          <w:b/>
          <w:i/>
        </w:rPr>
      </w:pPr>
      <w:r>
        <w:rPr>
          <w:b/>
        </w:rPr>
        <w:t>D</w:t>
      </w:r>
      <w:r w:rsidR="00580DB8">
        <w:rPr>
          <w:b/>
        </w:rPr>
        <w:t xml:space="preserve">istrict and school leaders should </w:t>
      </w:r>
      <w:r>
        <w:rPr>
          <w:b/>
        </w:rPr>
        <w:t>develop uniform policies</w:t>
      </w:r>
      <w:r w:rsidR="00616C00">
        <w:rPr>
          <w:b/>
        </w:rPr>
        <w:t>, structures, and</w:t>
      </w:r>
      <w:r w:rsidR="00580DB8">
        <w:rPr>
          <w:b/>
        </w:rPr>
        <w:t xml:space="preserve"> </w:t>
      </w:r>
      <w:r>
        <w:rPr>
          <w:b/>
        </w:rPr>
        <w:t>practices</w:t>
      </w:r>
      <w:r w:rsidR="0052747F">
        <w:rPr>
          <w:b/>
        </w:rPr>
        <w:t xml:space="preserve"> </w:t>
      </w:r>
      <w:r w:rsidR="00580DB8">
        <w:rPr>
          <w:b/>
        </w:rPr>
        <w:t>at all schools to</w:t>
      </w:r>
      <w:r w:rsidR="0096553B">
        <w:rPr>
          <w:b/>
        </w:rPr>
        <w:t xml:space="preserve"> facilitate the analysis</w:t>
      </w:r>
      <w:r w:rsidR="00616C00">
        <w:rPr>
          <w:b/>
        </w:rPr>
        <w:t xml:space="preserve"> and use </w:t>
      </w:r>
      <w:r w:rsidR="0096553B">
        <w:rPr>
          <w:b/>
        </w:rPr>
        <w:t xml:space="preserve">of </w:t>
      </w:r>
      <w:r>
        <w:rPr>
          <w:b/>
        </w:rPr>
        <w:t xml:space="preserve">student performance </w:t>
      </w:r>
      <w:r w:rsidR="00580DB8">
        <w:rPr>
          <w:b/>
        </w:rPr>
        <w:t>data</w:t>
      </w:r>
      <w:r w:rsidR="00616C00">
        <w:rPr>
          <w:b/>
        </w:rPr>
        <w:t xml:space="preserve"> and other </w:t>
      </w:r>
      <w:r>
        <w:rPr>
          <w:b/>
        </w:rPr>
        <w:t>data sources</w:t>
      </w:r>
      <w:r w:rsidR="0096553B">
        <w:rPr>
          <w:b/>
        </w:rPr>
        <w:t>.</w:t>
      </w:r>
    </w:p>
    <w:p w:rsidR="00580DB8" w:rsidRDefault="000D7416" w:rsidP="000D7416">
      <w:pPr>
        <w:tabs>
          <w:tab w:val="left" w:pos="360"/>
          <w:tab w:val="left" w:pos="720"/>
          <w:tab w:val="left" w:pos="1080"/>
          <w:tab w:val="left" w:pos="1440"/>
          <w:tab w:val="left" w:pos="1800"/>
          <w:tab w:val="left" w:pos="2160"/>
        </w:tabs>
        <w:ind w:left="720" w:hanging="360"/>
      </w:pPr>
      <w:r w:rsidRPr="000D7416">
        <w:rPr>
          <w:b/>
        </w:rPr>
        <w:t>A.</w:t>
      </w:r>
      <w:r w:rsidR="00616C00">
        <w:rPr>
          <w:b/>
        </w:rPr>
        <w:tab/>
      </w:r>
      <w:r w:rsidR="0047041E" w:rsidRPr="0047041E">
        <w:t>The superintendent,</w:t>
      </w:r>
      <w:r w:rsidR="00140865">
        <w:rPr>
          <w:b/>
        </w:rPr>
        <w:t xml:space="preserve"> </w:t>
      </w:r>
      <w:r w:rsidR="00140865">
        <w:t xml:space="preserve">principals, and Instructional Leadership Teams </w:t>
      </w:r>
      <w:r w:rsidR="007628FC">
        <w:t xml:space="preserve">should </w:t>
      </w:r>
      <w:r w:rsidR="00140865">
        <w:t>develop specific strategies, timelines, and clear expectations for the use of data districtwide</w:t>
      </w:r>
      <w:r w:rsidR="00616C00">
        <w:t>.</w:t>
      </w:r>
    </w:p>
    <w:p w:rsidR="008F762C" w:rsidRDefault="000D7416" w:rsidP="000D7416">
      <w:pPr>
        <w:tabs>
          <w:tab w:val="left" w:pos="360"/>
          <w:tab w:val="left" w:pos="720"/>
          <w:tab w:val="left" w:pos="1080"/>
          <w:tab w:val="left" w:pos="1440"/>
          <w:tab w:val="left" w:pos="1800"/>
          <w:tab w:val="left" w:pos="2160"/>
        </w:tabs>
        <w:ind w:left="1080" w:hanging="360"/>
      </w:pPr>
      <w:r>
        <w:t>1.</w:t>
      </w:r>
      <w:r>
        <w:tab/>
      </w:r>
      <w:r w:rsidR="00403173">
        <w:t xml:space="preserve">Building on the practices in place in some schools, the district and school leaders should establish systematic, consistent processes for the analysis and </w:t>
      </w:r>
      <w:r w:rsidR="002620E7">
        <w:t>us</w:t>
      </w:r>
      <w:r w:rsidR="008F762C">
        <w:t xml:space="preserve">e </w:t>
      </w:r>
      <w:r w:rsidR="00403173">
        <w:t xml:space="preserve">of assessment </w:t>
      </w:r>
      <w:r w:rsidR="008F762C">
        <w:t>data</w:t>
      </w:r>
      <w:r w:rsidR="002620E7">
        <w:t>.</w:t>
      </w:r>
      <w:r w:rsidR="008F762C">
        <w:t xml:space="preserve"> </w:t>
      </w:r>
    </w:p>
    <w:p w:rsidR="00580DB8" w:rsidRPr="00A10BD7" w:rsidRDefault="008F762C" w:rsidP="000D7416">
      <w:pPr>
        <w:tabs>
          <w:tab w:val="left" w:pos="360"/>
          <w:tab w:val="left" w:pos="720"/>
          <w:tab w:val="left" w:pos="1080"/>
          <w:tab w:val="left" w:pos="1440"/>
          <w:tab w:val="left" w:pos="1800"/>
          <w:tab w:val="left" w:pos="2160"/>
        </w:tabs>
        <w:ind w:left="1080" w:hanging="360"/>
      </w:pPr>
      <w:r>
        <w:t>2.</w:t>
      </w:r>
      <w:r>
        <w:tab/>
      </w:r>
      <w:r w:rsidR="00403173">
        <w:t xml:space="preserve">The district </w:t>
      </w:r>
      <w:r w:rsidR="00580DB8">
        <w:t xml:space="preserve">should </w:t>
      </w:r>
      <w:r w:rsidR="00403173">
        <w:t>ensure that educators at all levels</w:t>
      </w:r>
      <w:r w:rsidR="00580DB8">
        <w:t xml:space="preserve"> use data </w:t>
      </w:r>
      <w:r w:rsidR="00403173">
        <w:t>strategically to inform instruction, ongoing curriculum revision, program evaluation, and the educator evaluation system</w:t>
      </w:r>
      <w:r>
        <w:t xml:space="preserve">.  </w:t>
      </w:r>
    </w:p>
    <w:p w:rsidR="00580DB8" w:rsidRDefault="000D7416" w:rsidP="000D7416">
      <w:pPr>
        <w:pStyle w:val="ListParagraph"/>
        <w:tabs>
          <w:tab w:val="left" w:pos="360"/>
          <w:tab w:val="left" w:pos="720"/>
          <w:tab w:val="left" w:pos="1080"/>
          <w:tab w:val="left" w:pos="1440"/>
          <w:tab w:val="left" w:pos="1800"/>
          <w:tab w:val="left" w:pos="2160"/>
        </w:tabs>
        <w:ind w:hanging="360"/>
        <w:contextualSpacing w:val="0"/>
      </w:pPr>
      <w:r w:rsidRPr="000D7416">
        <w:rPr>
          <w:b/>
        </w:rPr>
        <w:t>B</w:t>
      </w:r>
      <w:r w:rsidR="00580DB8">
        <w:t>.</w:t>
      </w:r>
      <w:r w:rsidR="002620E7">
        <w:tab/>
      </w:r>
      <w:r w:rsidR="008F02EE">
        <w:t>Ongoing, targeted training in the analysis and use of student performance</w:t>
      </w:r>
      <w:r w:rsidR="002D7C1E">
        <w:t xml:space="preserve"> data </w:t>
      </w:r>
      <w:r w:rsidR="008F02EE">
        <w:t>should be provided for staff in each school, grade level, and subject area</w:t>
      </w:r>
      <w:r w:rsidR="002D7C1E">
        <w:t>.</w:t>
      </w:r>
    </w:p>
    <w:p w:rsidR="00B04121" w:rsidRPr="00977F8F" w:rsidRDefault="00B04121" w:rsidP="000D7416">
      <w:pPr>
        <w:pStyle w:val="ListParagraph"/>
        <w:tabs>
          <w:tab w:val="left" w:pos="360"/>
          <w:tab w:val="left" w:pos="720"/>
          <w:tab w:val="left" w:pos="1080"/>
          <w:tab w:val="left" w:pos="1440"/>
          <w:tab w:val="left" w:pos="1800"/>
          <w:tab w:val="left" w:pos="2160"/>
        </w:tabs>
        <w:ind w:hanging="360"/>
        <w:contextualSpacing w:val="0"/>
      </w:pPr>
      <w:r>
        <w:rPr>
          <w:b/>
        </w:rPr>
        <w:tab/>
      </w:r>
      <w:r w:rsidR="0047041E" w:rsidRPr="0047041E">
        <w:t>1.</w:t>
      </w:r>
      <w:r w:rsidR="00977F8F">
        <w:tab/>
        <w:t>Data use should include ongoing analysis of the performance of student subgroups.</w:t>
      </w:r>
    </w:p>
    <w:p w:rsidR="00616C00" w:rsidRDefault="00186F89" w:rsidP="00186F89">
      <w:pPr>
        <w:tabs>
          <w:tab w:val="left" w:pos="360"/>
          <w:tab w:val="left" w:pos="720"/>
          <w:tab w:val="left" w:pos="1080"/>
          <w:tab w:val="left" w:pos="1440"/>
          <w:tab w:val="left" w:pos="1800"/>
          <w:tab w:val="left" w:pos="2160"/>
        </w:tabs>
        <w:ind w:left="720" w:hanging="360"/>
      </w:pPr>
      <w:r w:rsidRPr="00186F89">
        <w:rPr>
          <w:b/>
        </w:rPr>
        <w:t>C.</w:t>
      </w:r>
      <w:r>
        <w:tab/>
      </w:r>
      <w:r w:rsidR="00D655DC">
        <w:t>District and school leaders should review how</w:t>
      </w:r>
      <w:r w:rsidR="007628FC">
        <w:t xml:space="preserve"> grade-level and course-level meetings </w:t>
      </w:r>
      <w:r w:rsidR="00D655DC">
        <w:t>are</w:t>
      </w:r>
      <w:r>
        <w:t xml:space="preserve"> use</w:t>
      </w:r>
      <w:r w:rsidR="00D655DC">
        <w:t>d;</w:t>
      </w:r>
      <w:r>
        <w:t xml:space="preserve"> </w:t>
      </w:r>
      <w:r w:rsidR="00D655DC">
        <w:t xml:space="preserve">they could provide opportunities for more frequent </w:t>
      </w:r>
      <w:r>
        <w:t>data</w:t>
      </w:r>
      <w:r w:rsidR="00C8584A">
        <w:t xml:space="preserve"> </w:t>
      </w:r>
      <w:r w:rsidR="00D655DC">
        <w:t xml:space="preserve">analysis to </w:t>
      </w:r>
      <w:r w:rsidR="00C8584A">
        <w:t>improve</w:t>
      </w:r>
      <w:r>
        <w:t xml:space="preserve"> </w:t>
      </w:r>
      <w:r w:rsidR="00D655DC">
        <w:t>educators’</w:t>
      </w:r>
      <w:r>
        <w:t xml:space="preserve"> practice and student </w:t>
      </w:r>
      <w:r w:rsidR="00D655DC">
        <w:t>achievement</w:t>
      </w:r>
      <w:r w:rsidR="00C8584A">
        <w:t>.</w:t>
      </w:r>
      <w:r w:rsidR="007628FC">
        <w:t xml:space="preserve">  </w:t>
      </w:r>
    </w:p>
    <w:p w:rsidR="00386849" w:rsidRDefault="00580DB8" w:rsidP="006136B8">
      <w:pPr>
        <w:tabs>
          <w:tab w:val="left" w:pos="360"/>
          <w:tab w:val="left" w:pos="720"/>
          <w:tab w:val="left" w:pos="1080"/>
          <w:tab w:val="left" w:pos="1440"/>
          <w:tab w:val="left" w:pos="1800"/>
          <w:tab w:val="left" w:pos="2160"/>
        </w:tabs>
      </w:pPr>
      <w:r w:rsidRPr="006136B8">
        <w:rPr>
          <w:b/>
        </w:rPr>
        <w:t>Benefits</w:t>
      </w:r>
      <w:r w:rsidR="00D655DC">
        <w:rPr>
          <w:b/>
        </w:rPr>
        <w:t>:</w:t>
      </w:r>
      <w:r w:rsidRPr="00870959">
        <w:t xml:space="preserve"> </w:t>
      </w:r>
      <w:r w:rsidR="00D655DC">
        <w:t>I</w:t>
      </w:r>
      <w:r w:rsidRPr="00870959">
        <w:t>mplementing this recommendation</w:t>
      </w:r>
      <w:r w:rsidR="00527276">
        <w:t xml:space="preserve"> </w:t>
      </w:r>
      <w:r w:rsidR="00C8584A">
        <w:t xml:space="preserve">will </w:t>
      </w:r>
      <w:r w:rsidR="00D655DC">
        <w:t>help</w:t>
      </w:r>
      <w:r w:rsidR="00527276">
        <w:t xml:space="preserve"> </w:t>
      </w:r>
      <w:r w:rsidR="00C8584A">
        <w:t xml:space="preserve">teachers and </w:t>
      </w:r>
      <w:r w:rsidR="00D655DC">
        <w:t xml:space="preserve">school </w:t>
      </w:r>
      <w:r w:rsidR="00C8584A">
        <w:t xml:space="preserve">leaders </w:t>
      </w:r>
      <w:r w:rsidR="00D655DC">
        <w:t xml:space="preserve">to understand, and provide professional development for, the analysis and use of student performance </w:t>
      </w:r>
      <w:r w:rsidR="00527276">
        <w:t xml:space="preserve">data to the </w:t>
      </w:r>
      <w:r w:rsidR="00D655DC">
        <w:t>improve instructional skills and raise student achievement</w:t>
      </w:r>
      <w:r w:rsidR="00527276">
        <w:t>.</w:t>
      </w:r>
      <w:r w:rsidR="00C8584A">
        <w:t xml:space="preserve"> </w:t>
      </w:r>
      <w:r w:rsidR="00527276">
        <w:t xml:space="preserve"> The ultimate beneficiaries will be Worcester’s students, who will be better prepared for school, work</w:t>
      </w:r>
      <w:r w:rsidR="00D655DC">
        <w:t>,</w:t>
      </w:r>
      <w:r w:rsidR="00527276">
        <w:t xml:space="preserve"> and careers.</w:t>
      </w:r>
      <w:r w:rsidR="00C8584A">
        <w:t xml:space="preserve">  </w:t>
      </w:r>
    </w:p>
    <w:p w:rsidR="006136B8" w:rsidRPr="00386849" w:rsidRDefault="00386849" w:rsidP="006136B8">
      <w:pPr>
        <w:tabs>
          <w:tab w:val="left" w:pos="360"/>
          <w:tab w:val="left" w:pos="720"/>
          <w:tab w:val="left" w:pos="1080"/>
          <w:tab w:val="left" w:pos="1440"/>
          <w:tab w:val="left" w:pos="1800"/>
          <w:tab w:val="left" w:pos="2160"/>
        </w:tabs>
        <w:rPr>
          <w:b/>
        </w:rPr>
      </w:pPr>
      <w:r w:rsidRPr="00386849">
        <w:rPr>
          <w:b/>
        </w:rPr>
        <w:t xml:space="preserve">Recommended </w:t>
      </w:r>
      <w:r w:rsidR="00A84C3B">
        <w:rPr>
          <w:b/>
        </w:rPr>
        <w:t>r</w:t>
      </w:r>
      <w:r w:rsidR="00A84C3B" w:rsidRPr="00386849">
        <w:rPr>
          <w:b/>
        </w:rPr>
        <w:t>esources</w:t>
      </w:r>
      <w:r w:rsidRPr="00386849">
        <w:rPr>
          <w:b/>
        </w:rPr>
        <w:t>:</w:t>
      </w:r>
      <w:r w:rsidR="00C8584A" w:rsidRPr="00386849">
        <w:rPr>
          <w:b/>
        </w:rPr>
        <w:t xml:space="preserve"> </w:t>
      </w:r>
    </w:p>
    <w:p w:rsidR="0047041E" w:rsidRDefault="00580DB8" w:rsidP="0047041E">
      <w:pPr>
        <w:pStyle w:val="ListParagraph"/>
        <w:numPr>
          <w:ilvl w:val="0"/>
          <w:numId w:val="22"/>
        </w:numPr>
        <w:ind w:left="360"/>
        <w:contextualSpacing w:val="0"/>
        <w:rPr>
          <w:rFonts w:cs="Calibri"/>
        </w:rPr>
      </w:pPr>
      <w:r w:rsidRPr="00910462">
        <w:rPr>
          <w:rFonts w:cs="Calibri"/>
        </w:rPr>
        <w:t xml:space="preserve">ESE’s </w:t>
      </w:r>
      <w:r w:rsidRPr="00910462">
        <w:rPr>
          <w:rFonts w:cs="Calibri"/>
          <w:i/>
        </w:rPr>
        <w:t>Assessment Literacy Self-Assessment and Gap Analysis Tool</w:t>
      </w:r>
      <w:r w:rsidRPr="00910462">
        <w:rPr>
          <w:rFonts w:cs="Calibri"/>
        </w:rPr>
        <w:t xml:space="preserve"> (</w:t>
      </w:r>
      <w:hyperlink r:id="rId29" w:history="1">
        <w:r w:rsidRPr="00910462">
          <w:rPr>
            <w:rStyle w:val="Hyperlink"/>
            <w:rFonts w:cs="Calibri"/>
          </w:rPr>
          <w:t>http://www.doe.mass.edu/edeval/ddm/webinar/PartI-GapAnalysis.pdf</w:t>
        </w:r>
      </w:hyperlink>
      <w:r w:rsidRPr="00910462">
        <w:rPr>
          <w:rFonts w:cs="Calibri"/>
        </w:rPr>
        <w:t xml:space="preserve">) is intended to support districts in understanding where their educators fit overall on a continuum of assessment literacy. After determining where the district as a whole generally falls on the continuum, districts can determine potential next steps. </w:t>
      </w:r>
    </w:p>
    <w:p w:rsidR="008F51E5" w:rsidRPr="008F51E5" w:rsidRDefault="008F51E5" w:rsidP="008F51E5">
      <w:pPr>
        <w:rPr>
          <w:rFonts w:cs="Calibri"/>
        </w:rPr>
      </w:pPr>
    </w:p>
    <w:p w:rsidR="0047041E" w:rsidRDefault="00580DB8" w:rsidP="0047041E">
      <w:pPr>
        <w:pStyle w:val="ListParagraph"/>
        <w:numPr>
          <w:ilvl w:val="0"/>
          <w:numId w:val="22"/>
        </w:numPr>
        <w:ind w:left="360"/>
        <w:contextualSpacing w:val="0"/>
        <w:rPr>
          <w:rFonts w:cs="Calibri"/>
        </w:rPr>
      </w:pPr>
      <w:r w:rsidRPr="00910462">
        <w:rPr>
          <w:rFonts w:cs="Calibri"/>
        </w:rPr>
        <w:lastRenderedPageBreak/>
        <w:t xml:space="preserve">ESE’s </w:t>
      </w:r>
      <w:r w:rsidRPr="00910462">
        <w:rPr>
          <w:rFonts w:cs="Calibri"/>
          <w:i/>
        </w:rPr>
        <w:t>District Data Team Toolkit</w:t>
      </w:r>
      <w:r w:rsidRPr="00910462">
        <w:rPr>
          <w:rFonts w:cs="Calibri"/>
        </w:rPr>
        <w:t xml:space="preserve"> (</w:t>
      </w:r>
      <w:hyperlink r:id="rId30" w:history="1">
        <w:r w:rsidRPr="00910462">
          <w:rPr>
            <w:rStyle w:val="Hyperlink"/>
          </w:rPr>
          <w:t>http://www.mass.gov/edu/government/departments-and-boards/ese/programs/accountability/tools-and-resources/district-analysis-review-and-assistance/leadership-and-governance.html</w:t>
        </w:r>
      </w:hyperlink>
      <w:r w:rsidRPr="00910462">
        <w:rPr>
          <w:rFonts w:cs="Calibri"/>
        </w:rPr>
        <w:t>) is a set of r</w:t>
      </w:r>
      <w:r w:rsidRPr="00910462">
        <w:rPr>
          <w:rFonts w:cs="Calibri"/>
          <w:bCs/>
        </w:rPr>
        <w:t>esources to help a district establish, grow, and maintain a culture of inquiry and data use through a District Data Team.</w:t>
      </w:r>
    </w:p>
    <w:p w:rsidR="00580DB8" w:rsidRDefault="00580DB8" w:rsidP="00580DB8">
      <w:pPr>
        <w:tabs>
          <w:tab w:val="left" w:pos="360"/>
          <w:tab w:val="left" w:pos="720"/>
          <w:tab w:val="left" w:pos="1080"/>
          <w:tab w:val="left" w:pos="1800"/>
          <w:tab w:val="left" w:pos="2160"/>
        </w:tabs>
        <w:rPr>
          <w:b/>
        </w:rPr>
      </w:pPr>
    </w:p>
    <w:p w:rsidR="0023695F" w:rsidRPr="00BA0701" w:rsidRDefault="00342350" w:rsidP="0023695F">
      <w:pPr>
        <w:pStyle w:val="Section"/>
        <w:rPr>
          <w:szCs w:val="36"/>
        </w:rPr>
      </w:pPr>
      <w:bookmarkStart w:id="13" w:name="_Toc484611575"/>
      <w:r w:rsidRPr="00BA0701">
        <w:rPr>
          <w:szCs w:val="36"/>
        </w:rPr>
        <w:lastRenderedPageBreak/>
        <w:t>Human Resources and Professional Development</w:t>
      </w:r>
      <w:bookmarkEnd w:id="13"/>
    </w:p>
    <w:p w:rsidR="00342350" w:rsidRPr="00BA0701" w:rsidRDefault="00342350" w:rsidP="002D7C1E">
      <w:pPr>
        <w:rPr>
          <w:b/>
          <w:i/>
          <w:sz w:val="28"/>
          <w:szCs w:val="28"/>
        </w:rPr>
      </w:pPr>
      <w:r w:rsidRPr="00BA0701">
        <w:rPr>
          <w:b/>
          <w:i/>
          <w:sz w:val="28"/>
          <w:szCs w:val="28"/>
        </w:rPr>
        <w:t>Contextual Background</w:t>
      </w:r>
    </w:p>
    <w:p w:rsidR="0047041E" w:rsidRDefault="00740F7D" w:rsidP="0047041E">
      <w:pPr>
        <w:pStyle w:val="CommentText"/>
        <w:spacing w:line="276" w:lineRule="auto"/>
      </w:pPr>
      <w:r>
        <w:rPr>
          <w:sz w:val="22"/>
          <w:szCs w:val="22"/>
        </w:rPr>
        <w:t xml:space="preserve">The </w:t>
      </w:r>
      <w:r w:rsidR="002C41DD">
        <w:rPr>
          <w:sz w:val="22"/>
          <w:szCs w:val="22"/>
        </w:rPr>
        <w:t>district’s Redesign Plan</w:t>
      </w:r>
      <w:r w:rsidR="002D7C1E">
        <w:rPr>
          <w:sz w:val="22"/>
          <w:szCs w:val="22"/>
        </w:rPr>
        <w:t xml:space="preserve"> has as its three-</w:t>
      </w:r>
      <w:r>
        <w:rPr>
          <w:sz w:val="22"/>
          <w:szCs w:val="22"/>
        </w:rPr>
        <w:t>year vision a school district in which</w:t>
      </w:r>
      <w:r w:rsidR="002D7C1E">
        <w:rPr>
          <w:sz w:val="22"/>
          <w:szCs w:val="22"/>
        </w:rPr>
        <w:t xml:space="preserve"> the schools support</w:t>
      </w:r>
      <w:r>
        <w:rPr>
          <w:sz w:val="22"/>
          <w:szCs w:val="22"/>
        </w:rPr>
        <w:t xml:space="preserve"> students and families and</w:t>
      </w:r>
      <w:r w:rsidR="002D7C1E">
        <w:rPr>
          <w:sz w:val="22"/>
          <w:szCs w:val="22"/>
        </w:rPr>
        <w:t xml:space="preserve"> district services support the</w:t>
      </w:r>
      <w:r>
        <w:rPr>
          <w:sz w:val="22"/>
          <w:szCs w:val="22"/>
        </w:rPr>
        <w:t xml:space="preserve"> schools</w:t>
      </w:r>
      <w:r w:rsidR="002D7C1E">
        <w:rPr>
          <w:sz w:val="22"/>
          <w:szCs w:val="22"/>
        </w:rPr>
        <w:t>.</w:t>
      </w:r>
      <w:r>
        <w:rPr>
          <w:sz w:val="22"/>
          <w:szCs w:val="22"/>
        </w:rPr>
        <w:t xml:space="preserve"> The goal of the Plan is to have systems in place to ensure the continuous improvement of educational delivery so that every student and staff member enjoys the advantages of an exciting environment of inquiry and learning. </w:t>
      </w:r>
    </w:p>
    <w:p w:rsidR="00B7194B" w:rsidRDefault="002D7C1E" w:rsidP="00B7194B">
      <w:pPr>
        <w:pStyle w:val="CommentText"/>
        <w:spacing w:line="276" w:lineRule="auto"/>
        <w:rPr>
          <w:sz w:val="22"/>
          <w:szCs w:val="22"/>
        </w:rPr>
      </w:pPr>
      <w:r>
        <w:rPr>
          <w:sz w:val="22"/>
          <w:szCs w:val="22"/>
        </w:rPr>
        <w:t xml:space="preserve">A cornerstone of the </w:t>
      </w:r>
      <w:r w:rsidR="00E22DD9">
        <w:rPr>
          <w:sz w:val="22"/>
          <w:szCs w:val="22"/>
        </w:rPr>
        <w:t xml:space="preserve">Plan </w:t>
      </w:r>
      <w:r w:rsidR="00740F7D">
        <w:rPr>
          <w:sz w:val="22"/>
          <w:szCs w:val="22"/>
        </w:rPr>
        <w:t xml:space="preserve">is </w:t>
      </w:r>
      <w:r w:rsidR="00D2484F">
        <w:rPr>
          <w:sz w:val="22"/>
          <w:szCs w:val="22"/>
        </w:rPr>
        <w:t xml:space="preserve">to </w:t>
      </w:r>
      <w:r w:rsidR="00740F7D">
        <w:rPr>
          <w:sz w:val="22"/>
          <w:szCs w:val="22"/>
        </w:rPr>
        <w:t xml:space="preserve">increase </w:t>
      </w:r>
      <w:r w:rsidR="00BE07AB">
        <w:rPr>
          <w:sz w:val="22"/>
          <w:szCs w:val="22"/>
        </w:rPr>
        <w:t xml:space="preserve">ability </w:t>
      </w:r>
      <w:r>
        <w:rPr>
          <w:sz w:val="22"/>
          <w:szCs w:val="22"/>
        </w:rPr>
        <w:t>of educators, through a deep-</w:t>
      </w:r>
      <w:r w:rsidR="00740F7D">
        <w:rPr>
          <w:sz w:val="22"/>
          <w:szCs w:val="22"/>
        </w:rPr>
        <w:t>rooted continuous improvement cycle</w:t>
      </w:r>
      <w:r w:rsidR="0096553B">
        <w:rPr>
          <w:sz w:val="22"/>
          <w:szCs w:val="22"/>
        </w:rPr>
        <w:t xml:space="preserve">, to </w:t>
      </w:r>
      <w:r w:rsidR="00740F7D">
        <w:rPr>
          <w:sz w:val="22"/>
          <w:szCs w:val="22"/>
        </w:rPr>
        <w:t xml:space="preserve">sustain the district’s </w:t>
      </w:r>
      <w:r w:rsidR="00712E16">
        <w:rPr>
          <w:sz w:val="22"/>
          <w:szCs w:val="22"/>
        </w:rPr>
        <w:t>work</w:t>
      </w:r>
      <w:r w:rsidR="00740F7D">
        <w:rPr>
          <w:sz w:val="22"/>
          <w:szCs w:val="22"/>
        </w:rPr>
        <w:t>.  To this end, two previously separate distri</w:t>
      </w:r>
      <w:r>
        <w:rPr>
          <w:sz w:val="22"/>
          <w:szCs w:val="22"/>
        </w:rPr>
        <w:t>ct department</w:t>
      </w:r>
      <w:r w:rsidR="00660718">
        <w:rPr>
          <w:sz w:val="22"/>
          <w:szCs w:val="22"/>
        </w:rPr>
        <w:t>s</w:t>
      </w:r>
      <w:r w:rsidR="00712E16">
        <w:rPr>
          <w:sz w:val="22"/>
          <w:szCs w:val="22"/>
        </w:rPr>
        <w:t>---</w:t>
      </w:r>
      <w:r>
        <w:rPr>
          <w:sz w:val="22"/>
          <w:szCs w:val="22"/>
        </w:rPr>
        <w:t>curriculum and instruction and professional d</w:t>
      </w:r>
      <w:r w:rsidR="00740F7D">
        <w:rPr>
          <w:sz w:val="22"/>
          <w:szCs w:val="22"/>
        </w:rPr>
        <w:t>evelopment</w:t>
      </w:r>
      <w:r w:rsidR="00712E16">
        <w:rPr>
          <w:sz w:val="22"/>
          <w:szCs w:val="22"/>
        </w:rPr>
        <w:t>---</w:t>
      </w:r>
      <w:r w:rsidR="00740F7D">
        <w:rPr>
          <w:sz w:val="22"/>
          <w:szCs w:val="22"/>
        </w:rPr>
        <w:t>have been consolidated, a</w:t>
      </w:r>
      <w:r>
        <w:rPr>
          <w:sz w:val="22"/>
          <w:szCs w:val="22"/>
        </w:rPr>
        <w:t xml:space="preserve">nd under the leadership of the manager of this newly created office of curriculum and </w:t>
      </w:r>
      <w:r w:rsidR="00D66B0B">
        <w:rPr>
          <w:sz w:val="22"/>
          <w:szCs w:val="22"/>
        </w:rPr>
        <w:t xml:space="preserve"> </w:t>
      </w:r>
      <w:r>
        <w:rPr>
          <w:sz w:val="22"/>
          <w:szCs w:val="22"/>
        </w:rPr>
        <w:t>l</w:t>
      </w:r>
      <w:r w:rsidR="00740F7D">
        <w:rPr>
          <w:sz w:val="22"/>
          <w:szCs w:val="22"/>
        </w:rPr>
        <w:t xml:space="preserve">earning, the district’s professional development </w:t>
      </w:r>
      <w:r w:rsidR="00BE10F0">
        <w:rPr>
          <w:sz w:val="22"/>
          <w:szCs w:val="22"/>
        </w:rPr>
        <w:t xml:space="preserve">(PD) </w:t>
      </w:r>
      <w:r w:rsidR="00740F7D">
        <w:rPr>
          <w:sz w:val="22"/>
          <w:szCs w:val="22"/>
        </w:rPr>
        <w:t>programs, se</w:t>
      </w:r>
      <w:r>
        <w:rPr>
          <w:sz w:val="22"/>
          <w:szCs w:val="22"/>
        </w:rPr>
        <w:t>rvices, and structures are being</w:t>
      </w:r>
      <w:r w:rsidR="00740F7D">
        <w:rPr>
          <w:sz w:val="22"/>
          <w:szCs w:val="22"/>
        </w:rPr>
        <w:t xml:space="preserve"> expanded and improved.  The redesign and revitalization of the district’s PD system has already resulted in improvements in organization, coordination, and communication and the introduction of a number of promising practices.</w:t>
      </w:r>
    </w:p>
    <w:p w:rsidR="00740F7D" w:rsidRPr="00484242" w:rsidRDefault="00740F7D" w:rsidP="002D7C1E">
      <w:pPr>
        <w:pStyle w:val="CommentText"/>
        <w:spacing w:line="276" w:lineRule="auto"/>
        <w:rPr>
          <w:sz w:val="22"/>
          <w:szCs w:val="22"/>
        </w:rPr>
      </w:pPr>
      <w:r>
        <w:rPr>
          <w:sz w:val="22"/>
          <w:szCs w:val="22"/>
        </w:rPr>
        <w:t xml:space="preserve">Another related, key priority of the district’s </w:t>
      </w:r>
      <w:r w:rsidR="00BE10F0">
        <w:rPr>
          <w:sz w:val="22"/>
          <w:szCs w:val="22"/>
        </w:rPr>
        <w:t xml:space="preserve">Redesign </w:t>
      </w:r>
      <w:r w:rsidR="00B81DCB">
        <w:rPr>
          <w:sz w:val="22"/>
          <w:szCs w:val="22"/>
        </w:rPr>
        <w:t>P</w:t>
      </w:r>
      <w:r w:rsidR="00BE10F0">
        <w:rPr>
          <w:sz w:val="22"/>
          <w:szCs w:val="22"/>
        </w:rPr>
        <w:t xml:space="preserve">lan </w:t>
      </w:r>
      <w:r>
        <w:rPr>
          <w:sz w:val="22"/>
          <w:szCs w:val="22"/>
        </w:rPr>
        <w:t>is the implementation of an “educator evaluation system that connects professional practice with student outcomes</w:t>
      </w:r>
      <w:r w:rsidR="006E57E9">
        <w:rPr>
          <w:sz w:val="22"/>
          <w:szCs w:val="22"/>
        </w:rPr>
        <w:t xml:space="preserve">.” </w:t>
      </w:r>
      <w:r>
        <w:rPr>
          <w:sz w:val="22"/>
          <w:szCs w:val="22"/>
        </w:rPr>
        <w:t xml:space="preserve"> Although Worcester was an early adopter of the </w:t>
      </w:r>
      <w:r w:rsidR="00BE10F0">
        <w:rPr>
          <w:sz w:val="22"/>
          <w:szCs w:val="22"/>
        </w:rPr>
        <w:t xml:space="preserve">Massachusetts Educator Evaluation Framework </w:t>
      </w:r>
      <w:r>
        <w:rPr>
          <w:sz w:val="22"/>
          <w:szCs w:val="22"/>
        </w:rPr>
        <w:t xml:space="preserve">and has endeavored to </w:t>
      </w:r>
      <w:r w:rsidR="002C41DD">
        <w:rPr>
          <w:sz w:val="22"/>
          <w:szCs w:val="22"/>
        </w:rPr>
        <w:t>meet the</w:t>
      </w:r>
      <w:r>
        <w:rPr>
          <w:sz w:val="22"/>
          <w:szCs w:val="22"/>
        </w:rPr>
        <w:t xml:space="preserve"> requirements</w:t>
      </w:r>
      <w:r w:rsidR="002C41DD">
        <w:rPr>
          <w:sz w:val="22"/>
          <w:szCs w:val="22"/>
        </w:rPr>
        <w:t xml:space="preserve"> of the Educator Evaluation Framework</w:t>
      </w:r>
      <w:r>
        <w:rPr>
          <w:sz w:val="22"/>
          <w:szCs w:val="22"/>
        </w:rPr>
        <w:t xml:space="preserve">, </w:t>
      </w:r>
      <w:r w:rsidR="002C41DD">
        <w:rPr>
          <w:sz w:val="22"/>
          <w:szCs w:val="22"/>
        </w:rPr>
        <w:t xml:space="preserve">the </w:t>
      </w:r>
      <w:r>
        <w:rPr>
          <w:sz w:val="22"/>
          <w:szCs w:val="22"/>
        </w:rPr>
        <w:t xml:space="preserve">implementation of </w:t>
      </w:r>
      <w:r w:rsidR="002C41DD">
        <w:rPr>
          <w:sz w:val="22"/>
          <w:szCs w:val="22"/>
        </w:rPr>
        <w:t xml:space="preserve">its </w:t>
      </w:r>
      <w:r>
        <w:rPr>
          <w:sz w:val="22"/>
          <w:szCs w:val="22"/>
        </w:rPr>
        <w:t xml:space="preserve">educator evaluation </w:t>
      </w:r>
      <w:r w:rsidR="002C41DD">
        <w:rPr>
          <w:sz w:val="22"/>
          <w:szCs w:val="22"/>
        </w:rPr>
        <w:t>system</w:t>
      </w:r>
      <w:r>
        <w:rPr>
          <w:sz w:val="22"/>
          <w:szCs w:val="22"/>
        </w:rPr>
        <w:t xml:space="preserve"> has been inconsistent</w:t>
      </w:r>
      <w:r w:rsidR="00FC7427">
        <w:rPr>
          <w:sz w:val="22"/>
          <w:szCs w:val="22"/>
        </w:rPr>
        <w:t xml:space="preserve"> and</w:t>
      </w:r>
      <w:r w:rsidR="00C15FFE">
        <w:rPr>
          <w:sz w:val="22"/>
          <w:szCs w:val="22"/>
        </w:rPr>
        <w:t xml:space="preserve"> </w:t>
      </w:r>
      <w:r>
        <w:rPr>
          <w:sz w:val="22"/>
          <w:szCs w:val="22"/>
        </w:rPr>
        <w:t>of uneven quality</w:t>
      </w:r>
      <w:r w:rsidR="00FC7427">
        <w:rPr>
          <w:sz w:val="22"/>
          <w:szCs w:val="22"/>
        </w:rPr>
        <w:t>. The district has not taken action on the more recent components of the Educator Evaluation Framework</w:t>
      </w:r>
      <w:r>
        <w:rPr>
          <w:sz w:val="22"/>
          <w:szCs w:val="22"/>
        </w:rPr>
        <w:t xml:space="preserve">. </w:t>
      </w:r>
    </w:p>
    <w:p w:rsidR="00332703" w:rsidRDefault="002F2FA7" w:rsidP="002D7C1E">
      <w:pPr>
        <w:tabs>
          <w:tab w:val="left" w:pos="360"/>
          <w:tab w:val="left" w:pos="720"/>
          <w:tab w:val="left" w:pos="1080"/>
          <w:tab w:val="left" w:pos="1440"/>
          <w:tab w:val="left" w:pos="1800"/>
          <w:tab w:val="left" w:pos="2160"/>
        </w:tabs>
        <w:rPr>
          <w:b/>
          <w:sz w:val="28"/>
          <w:szCs w:val="28"/>
        </w:rPr>
      </w:pPr>
      <w:r>
        <w:rPr>
          <w:b/>
          <w:sz w:val="28"/>
          <w:szCs w:val="28"/>
        </w:rPr>
        <w:t>Strength Finding</w:t>
      </w:r>
    </w:p>
    <w:p w:rsidR="00D47AE3" w:rsidRPr="0095674B" w:rsidRDefault="00D47AE3" w:rsidP="00D47AE3">
      <w:pPr>
        <w:tabs>
          <w:tab w:val="left" w:pos="360"/>
          <w:tab w:val="left" w:pos="720"/>
          <w:tab w:val="left" w:pos="1080"/>
          <w:tab w:val="left" w:pos="1440"/>
          <w:tab w:val="left" w:pos="1800"/>
          <w:tab w:val="left" w:pos="2160"/>
        </w:tabs>
        <w:ind w:left="360" w:hanging="360"/>
        <w:rPr>
          <w:b/>
        </w:rPr>
      </w:pPr>
      <w:r>
        <w:rPr>
          <w:b/>
        </w:rPr>
        <w:t>1.</w:t>
      </w:r>
      <w:r>
        <w:rPr>
          <w:b/>
        </w:rPr>
        <w:tab/>
        <w:t>The newly created office of c</w:t>
      </w:r>
      <w:r w:rsidRPr="0095674B">
        <w:rPr>
          <w:b/>
        </w:rPr>
        <w:t>ur</w:t>
      </w:r>
      <w:r>
        <w:rPr>
          <w:b/>
        </w:rPr>
        <w:t xml:space="preserve">riculum and learning has begun to develop professional development </w:t>
      </w:r>
      <w:r w:rsidRPr="0095674B">
        <w:rPr>
          <w:b/>
        </w:rPr>
        <w:t xml:space="preserve">programming and structures that are more </w:t>
      </w:r>
      <w:r>
        <w:rPr>
          <w:b/>
        </w:rPr>
        <w:t>focused</w:t>
      </w:r>
      <w:r w:rsidRPr="0095674B">
        <w:rPr>
          <w:b/>
        </w:rPr>
        <w:t xml:space="preserve">, collaborative, and timely than in the past.  </w:t>
      </w:r>
    </w:p>
    <w:p w:rsidR="00D47AE3" w:rsidRDefault="00D47AE3" w:rsidP="00D47AE3">
      <w:pPr>
        <w:tabs>
          <w:tab w:val="left" w:pos="360"/>
          <w:tab w:val="left" w:pos="720"/>
          <w:tab w:val="left" w:pos="1080"/>
          <w:tab w:val="left" w:pos="1440"/>
          <w:tab w:val="left" w:pos="1800"/>
          <w:tab w:val="left" w:pos="2160"/>
        </w:tabs>
        <w:ind w:left="720" w:hanging="360"/>
      </w:pPr>
      <w:r w:rsidRPr="0095674B">
        <w:rPr>
          <w:b/>
        </w:rPr>
        <w:t>A.</w:t>
      </w:r>
      <w:r>
        <w:t xml:space="preserve">   </w:t>
      </w:r>
      <w:r>
        <w:tab/>
        <w:t>Interviews and a document review indicated that professional development (PD) in the district is aligned with and informed by the core components of the Massachusetts Standards for Professional Development. According to</w:t>
      </w:r>
      <w:r w:rsidRPr="002B573F">
        <w:t xml:space="preserve"> </w:t>
      </w:r>
      <w:r>
        <w:t xml:space="preserve">these standards, PD should be a systematic and purposeful process that requires effective and collaborative leadership.  </w:t>
      </w:r>
    </w:p>
    <w:p w:rsidR="00D47AE3" w:rsidRDefault="00D47AE3" w:rsidP="00D47AE3">
      <w:pPr>
        <w:tabs>
          <w:tab w:val="left" w:pos="360"/>
          <w:tab w:val="left" w:pos="720"/>
          <w:tab w:val="left" w:pos="1080"/>
          <w:tab w:val="left" w:pos="1440"/>
          <w:tab w:val="left" w:pos="1800"/>
          <w:tab w:val="left" w:pos="2160"/>
        </w:tabs>
        <w:ind w:left="1080" w:hanging="360"/>
      </w:pPr>
      <w:r>
        <w:t xml:space="preserve">1.  </w:t>
      </w:r>
      <w:r>
        <w:tab/>
        <w:t>Interviewees said that the district created a PD council in 2016–2017 to work in an advisory capacity with the manager of curriculum and learning to design, plan, and coordinate PD programming for the district. They reported that this leadership group has been working to improve communication and coordination among key stakeholders to enhance the quality and overall effectiveness of PD programs, services, and support structures.</w:t>
      </w:r>
    </w:p>
    <w:p w:rsidR="00D47AE3" w:rsidRDefault="00D47AE3" w:rsidP="00D47AE3">
      <w:pPr>
        <w:tabs>
          <w:tab w:val="left" w:pos="360"/>
          <w:tab w:val="left" w:pos="720"/>
          <w:tab w:val="left" w:pos="1080"/>
          <w:tab w:val="left" w:pos="1440"/>
          <w:tab w:val="left" w:pos="1800"/>
          <w:tab w:val="left" w:pos="2160"/>
        </w:tabs>
        <w:ind w:left="1080" w:hanging="360"/>
      </w:pPr>
      <w:r>
        <w:lastRenderedPageBreak/>
        <w:t>2.</w:t>
      </w:r>
      <w:r>
        <w:tab/>
        <w:t>The PD council is a committee composed of 18 members, including: three principals (representing elementary, middle, and high schools); liaisons in math, science, and visual arts; instructional coaches; the mentor coordinator; and two teacher representatives.</w:t>
      </w:r>
      <w:r w:rsidRPr="005D6B91">
        <w:t xml:space="preserve"> </w:t>
      </w:r>
    </w:p>
    <w:p w:rsidR="00D47AE3" w:rsidRDefault="00D47AE3" w:rsidP="00D47AE3">
      <w:pPr>
        <w:tabs>
          <w:tab w:val="left" w:pos="360"/>
          <w:tab w:val="left" w:pos="720"/>
          <w:tab w:val="left" w:pos="1080"/>
          <w:tab w:val="left" w:pos="1440"/>
          <w:tab w:val="left" w:pos="1800"/>
          <w:tab w:val="left" w:pos="2160"/>
        </w:tabs>
        <w:ind w:left="1080" w:hanging="360"/>
      </w:pPr>
      <w:r>
        <w:t>3.</w:t>
      </w:r>
      <w:r>
        <w:tab/>
        <w:t xml:space="preserve">Interviewees stated that there have been increased efforts to better organize and coordinate PD programming so that it is more directly aligned with district priorities and needs, as well as individual school improvement goals and objectives. They said that balanced </w:t>
      </w:r>
      <w:r w:rsidRPr="001D508D">
        <w:t>literacy has been identified as the district’s primary focus area in 2016–2017 and that PD programming at both the district and school levels is being designed accordingly.</w:t>
      </w:r>
      <w:r>
        <w:t xml:space="preserve"> </w:t>
      </w:r>
    </w:p>
    <w:p w:rsidR="00D47AE3" w:rsidRDefault="00D47AE3" w:rsidP="00D47AE3">
      <w:pPr>
        <w:pStyle w:val="ListParagraph"/>
        <w:numPr>
          <w:ilvl w:val="0"/>
          <w:numId w:val="8"/>
        </w:numPr>
        <w:tabs>
          <w:tab w:val="left" w:pos="720"/>
          <w:tab w:val="left" w:pos="1080"/>
          <w:tab w:val="left" w:pos="1440"/>
          <w:tab w:val="left" w:pos="1800"/>
          <w:tab w:val="left" w:pos="2160"/>
        </w:tabs>
        <w:ind w:left="720"/>
        <w:contextualSpacing w:val="0"/>
      </w:pPr>
      <w:r>
        <w:t xml:space="preserve">According to the Massachusetts Standards for Professional Development, PD design should be based on the collection and analysis of data relevant to identified goals and needs and should be assessed to ensure that it is meeting its stated objectives. The district is making increasingly effective use of data to improve its PD programming.                                                                    </w:t>
      </w:r>
    </w:p>
    <w:p w:rsidR="00D47AE3" w:rsidRDefault="00D47AE3" w:rsidP="00D47AE3">
      <w:pPr>
        <w:pStyle w:val="ListParagraph"/>
        <w:numPr>
          <w:ilvl w:val="2"/>
          <w:numId w:val="8"/>
        </w:numPr>
        <w:tabs>
          <w:tab w:val="left" w:pos="0"/>
          <w:tab w:val="left" w:pos="360"/>
          <w:tab w:val="left" w:pos="720"/>
          <w:tab w:val="left" w:pos="1080"/>
          <w:tab w:val="left" w:pos="1440"/>
          <w:tab w:val="left" w:pos="1800"/>
          <w:tab w:val="left" w:pos="2160"/>
        </w:tabs>
        <w:ind w:left="1080"/>
        <w:contextualSpacing w:val="0"/>
      </w:pPr>
      <w:r>
        <w:t>District and school administrators said that PD planning and prioritizing is informed by student performance data. Sources of academic data include state assessments such as PARCC and MCAS, ELL assessments, Advanced Placement scores, a variety of standardized tests in math and ELA K–6, and the results of district-generated grade level and content area common assessments.</w:t>
      </w:r>
      <w:r>
        <w:tab/>
      </w:r>
      <w:r>
        <w:tab/>
      </w:r>
    </w:p>
    <w:p w:rsidR="00D47AE3" w:rsidRDefault="00D47AE3" w:rsidP="00D47AE3">
      <w:pPr>
        <w:pStyle w:val="ListParagraph"/>
        <w:numPr>
          <w:ilvl w:val="2"/>
          <w:numId w:val="8"/>
        </w:numPr>
        <w:tabs>
          <w:tab w:val="left" w:pos="0"/>
          <w:tab w:val="left" w:pos="360"/>
          <w:tab w:val="left" w:pos="720"/>
          <w:tab w:val="left" w:pos="1080"/>
          <w:tab w:val="left" w:pos="1440"/>
          <w:tab w:val="left" w:pos="1800"/>
          <w:tab w:val="left" w:pos="2160"/>
        </w:tabs>
        <w:ind w:left="1080"/>
        <w:contextualSpacing w:val="0"/>
      </w:pPr>
      <w:r>
        <w:t>PD council members told reviewers that more systematic efforts are also being made to compile data from staff in order to better plan and evaluate PD programs. These include annual surveys of principals and teachers to inform decisions about PD goals, needs, and learning objectives.  Online feedback surveys are used to monitor and evaluate the quality and effectiveness of current programs and to plan PD offerings.  Teachers are required to complete these evaluation forms in order to receive their PDPs.</w:t>
      </w:r>
    </w:p>
    <w:p w:rsidR="00D47AE3" w:rsidRDefault="00D47AE3" w:rsidP="00D47AE3">
      <w:pPr>
        <w:pStyle w:val="ListParagraph"/>
        <w:numPr>
          <w:ilvl w:val="0"/>
          <w:numId w:val="8"/>
        </w:numPr>
        <w:tabs>
          <w:tab w:val="left" w:pos="720"/>
          <w:tab w:val="left" w:pos="1080"/>
          <w:tab w:val="left" w:pos="1440"/>
          <w:tab w:val="left" w:pos="1800"/>
          <w:tab w:val="left" w:pos="2160"/>
        </w:tabs>
        <w:ind w:left="720"/>
      </w:pPr>
      <w:r>
        <w:t>The Massachusetts Standards for Professional Development standards also hold that PD should have clear goals and objectives that are systematically aligned with and supportive of educators’ goals.  This has been a primary focus of the new office of curriculum and learning.</w:t>
      </w:r>
    </w:p>
    <w:p w:rsidR="00D47AE3" w:rsidRPr="00BB0FBA" w:rsidRDefault="00D47AE3" w:rsidP="00D47AE3">
      <w:pPr>
        <w:pStyle w:val="ListParagraph"/>
        <w:tabs>
          <w:tab w:val="left" w:pos="0"/>
          <w:tab w:val="left" w:pos="360"/>
          <w:tab w:val="left" w:pos="720"/>
          <w:tab w:val="left" w:pos="1080"/>
          <w:tab w:val="left" w:pos="1440"/>
          <w:tab w:val="left" w:pos="1800"/>
          <w:tab w:val="left" w:pos="2160"/>
        </w:tabs>
        <w:ind w:left="0"/>
      </w:pPr>
    </w:p>
    <w:p w:rsidR="00D47AE3" w:rsidRDefault="00D47AE3" w:rsidP="00D47AE3">
      <w:pPr>
        <w:pStyle w:val="ListParagraph"/>
        <w:numPr>
          <w:ilvl w:val="2"/>
          <w:numId w:val="8"/>
        </w:numPr>
        <w:tabs>
          <w:tab w:val="left" w:pos="0"/>
          <w:tab w:val="left" w:pos="360"/>
          <w:tab w:val="left" w:pos="720"/>
          <w:tab w:val="left" w:pos="1080"/>
          <w:tab w:val="left" w:pos="1440"/>
          <w:tab w:val="left" w:pos="1800"/>
          <w:tab w:val="left" w:pos="2160"/>
        </w:tabs>
        <w:ind w:left="1080"/>
        <w:contextualSpacing w:val="0"/>
      </w:pPr>
      <w:r>
        <w:t>Interviewees described the district’s PD programming as being designed to advance and properly balance district goals and priorities with those unique to the needs of individual schools. They stated that in addition to the comprehensive offerings provided by the district, each school is required to develop eight hours of PD for its staff, which focuses on target areas described in its school accountability plan.</w:t>
      </w:r>
    </w:p>
    <w:p w:rsidR="00D47AE3" w:rsidRDefault="00D47AE3" w:rsidP="00D47AE3">
      <w:pPr>
        <w:pStyle w:val="ListParagraph"/>
        <w:numPr>
          <w:ilvl w:val="2"/>
          <w:numId w:val="8"/>
        </w:numPr>
        <w:tabs>
          <w:tab w:val="left" w:pos="0"/>
          <w:tab w:val="left" w:pos="360"/>
          <w:tab w:val="left" w:pos="720"/>
          <w:tab w:val="left" w:pos="1080"/>
          <w:tab w:val="left" w:pos="1440"/>
          <w:tab w:val="left" w:pos="1800"/>
          <w:tab w:val="left" w:pos="2160"/>
        </w:tabs>
        <w:ind w:left="1080"/>
        <w:contextualSpacing w:val="0"/>
      </w:pPr>
      <w:r>
        <w:t xml:space="preserve">Administrators said that although the district’s PD programming is directly aligned with district priorities, it is appropriately differentiated in order to better meet the diverse needs, professional goals, and skill and experience levels of the staff. </w:t>
      </w:r>
    </w:p>
    <w:p w:rsidR="00D47AE3" w:rsidRPr="001D58D6" w:rsidRDefault="00D47AE3" w:rsidP="00D47AE3">
      <w:pPr>
        <w:tabs>
          <w:tab w:val="left" w:pos="0"/>
          <w:tab w:val="left" w:pos="360"/>
          <w:tab w:val="left" w:pos="720"/>
          <w:tab w:val="left" w:pos="1080"/>
          <w:tab w:val="left" w:pos="1440"/>
          <w:tab w:val="left" w:pos="1800"/>
          <w:tab w:val="left" w:pos="2160"/>
        </w:tabs>
        <w:ind w:left="1080" w:hanging="360"/>
      </w:pPr>
      <w:r>
        <w:t>3.</w:t>
      </w:r>
      <w:r>
        <w:tab/>
        <w:t xml:space="preserve">Interviews and a review of district documents indicated that a broad range of PD opportunities are available for teachers throughout the year.  A variety of research-based </w:t>
      </w:r>
      <w:r>
        <w:lastRenderedPageBreak/>
        <w:t>workshops, collaborative groupings, and trainings are provided to support teachers and specialists at all career stages.  These include what was described as a comprehensive and high-quality new teacher induction and mentoring program.</w:t>
      </w:r>
    </w:p>
    <w:p w:rsidR="00D47AE3" w:rsidRPr="004E594D" w:rsidRDefault="00D47AE3" w:rsidP="00D47AE3">
      <w:pPr>
        <w:tabs>
          <w:tab w:val="left" w:pos="360"/>
          <w:tab w:val="left" w:pos="1080"/>
          <w:tab w:val="left" w:pos="1440"/>
          <w:tab w:val="left" w:pos="1800"/>
          <w:tab w:val="left" w:pos="2160"/>
        </w:tabs>
      </w:pPr>
      <w:r w:rsidRPr="004E594D">
        <w:rPr>
          <w:b/>
        </w:rPr>
        <w:t>Impact</w:t>
      </w:r>
      <w:r>
        <w:t xml:space="preserve">: Providing focused opportunities and supports for educators to work together on well-defined strategic needs and goals can help them to improve their practice and promotes a culture of continuous professional growth and shared responsibility among all staff to advance student learning.  </w:t>
      </w:r>
    </w:p>
    <w:p w:rsidR="00332703" w:rsidRPr="00332703" w:rsidRDefault="00332703" w:rsidP="002D7C1E">
      <w:pPr>
        <w:tabs>
          <w:tab w:val="left" w:pos="360"/>
          <w:tab w:val="left" w:pos="720"/>
          <w:tab w:val="left" w:pos="1080"/>
          <w:tab w:val="left" w:pos="1440"/>
          <w:tab w:val="left" w:pos="1800"/>
          <w:tab w:val="left" w:pos="2160"/>
        </w:tabs>
        <w:rPr>
          <w:b/>
        </w:rPr>
      </w:pPr>
    </w:p>
    <w:p w:rsidR="000D7416" w:rsidRPr="00602CF9" w:rsidRDefault="0047041E" w:rsidP="002D7C1E">
      <w:pPr>
        <w:tabs>
          <w:tab w:val="left" w:pos="360"/>
          <w:tab w:val="left" w:pos="720"/>
          <w:tab w:val="left" w:pos="1080"/>
          <w:tab w:val="left" w:pos="1440"/>
          <w:tab w:val="left" w:pos="1800"/>
          <w:tab w:val="left" w:pos="2160"/>
        </w:tabs>
        <w:rPr>
          <w:b/>
          <w:sz w:val="28"/>
          <w:szCs w:val="28"/>
        </w:rPr>
      </w:pPr>
      <w:r w:rsidRPr="0047041E">
        <w:rPr>
          <w:b/>
          <w:sz w:val="28"/>
          <w:szCs w:val="28"/>
        </w:rPr>
        <w:t>Challenges and Areas for Growth</w:t>
      </w:r>
    </w:p>
    <w:p w:rsidR="00740F7D" w:rsidRPr="009248AB" w:rsidRDefault="00B87A5E" w:rsidP="000D7416">
      <w:pPr>
        <w:tabs>
          <w:tab w:val="left" w:pos="360"/>
          <w:tab w:val="left" w:pos="720"/>
          <w:tab w:val="left" w:pos="1080"/>
          <w:tab w:val="left" w:pos="1440"/>
          <w:tab w:val="left" w:pos="1800"/>
          <w:tab w:val="left" w:pos="2160"/>
        </w:tabs>
        <w:ind w:left="360" w:hanging="360"/>
        <w:rPr>
          <w:b/>
          <w:i/>
        </w:rPr>
      </w:pPr>
      <w:r>
        <w:rPr>
          <w:b/>
        </w:rPr>
        <w:t>1</w:t>
      </w:r>
      <w:r w:rsidR="009248AB">
        <w:rPr>
          <w:b/>
        </w:rPr>
        <w:t>.</w:t>
      </w:r>
      <w:r w:rsidR="009248AB">
        <w:rPr>
          <w:b/>
        </w:rPr>
        <w:tab/>
      </w:r>
      <w:r w:rsidR="00084969">
        <w:rPr>
          <w:b/>
        </w:rPr>
        <w:t>T</w:t>
      </w:r>
      <w:r w:rsidR="00740F7D" w:rsidRPr="009248AB">
        <w:rPr>
          <w:b/>
        </w:rPr>
        <w:t xml:space="preserve">he district has </w:t>
      </w:r>
      <w:r w:rsidR="00B81373">
        <w:rPr>
          <w:b/>
        </w:rPr>
        <w:t>not achieved consistency in</w:t>
      </w:r>
      <w:r w:rsidR="00740F7D" w:rsidRPr="009248AB">
        <w:rPr>
          <w:b/>
        </w:rPr>
        <w:t xml:space="preserve"> </w:t>
      </w:r>
      <w:r w:rsidR="00B81373">
        <w:rPr>
          <w:b/>
        </w:rPr>
        <w:t>the</w:t>
      </w:r>
      <w:r w:rsidR="00B81373" w:rsidRPr="009248AB">
        <w:rPr>
          <w:b/>
        </w:rPr>
        <w:t xml:space="preserve"> </w:t>
      </w:r>
      <w:r w:rsidR="00740F7D" w:rsidRPr="009248AB">
        <w:rPr>
          <w:b/>
        </w:rPr>
        <w:t xml:space="preserve">implementation of </w:t>
      </w:r>
      <w:r w:rsidR="00084969">
        <w:rPr>
          <w:b/>
        </w:rPr>
        <w:t>its educator evaluation system</w:t>
      </w:r>
      <w:r w:rsidR="00740F7D" w:rsidRPr="009248AB">
        <w:rPr>
          <w:b/>
        </w:rPr>
        <w:t xml:space="preserve">. </w:t>
      </w:r>
    </w:p>
    <w:p w:rsidR="00740F7D" w:rsidRDefault="0095674B" w:rsidP="009248AB">
      <w:pPr>
        <w:tabs>
          <w:tab w:val="left" w:pos="360"/>
          <w:tab w:val="left" w:pos="720"/>
          <w:tab w:val="left" w:pos="1080"/>
          <w:tab w:val="left" w:pos="1440"/>
          <w:tab w:val="left" w:pos="1800"/>
          <w:tab w:val="left" w:pos="2160"/>
        </w:tabs>
        <w:ind w:left="720" w:hanging="360"/>
      </w:pPr>
      <w:r w:rsidRPr="0095674B">
        <w:rPr>
          <w:b/>
        </w:rPr>
        <w:t>A.</w:t>
      </w:r>
      <w:r>
        <w:rPr>
          <w:b/>
        </w:rPr>
        <w:tab/>
      </w:r>
      <w:r w:rsidR="00740F7D">
        <w:t xml:space="preserve">The district has endeavored to </w:t>
      </w:r>
      <w:r w:rsidR="00A268B9">
        <w:t>meet</w:t>
      </w:r>
      <w:r w:rsidR="00740F7D">
        <w:t xml:space="preserve"> the requirements </w:t>
      </w:r>
      <w:r w:rsidR="00A268B9">
        <w:t xml:space="preserve">and support the full implementation </w:t>
      </w:r>
      <w:r w:rsidR="00740F7D">
        <w:t xml:space="preserve">of the state’s </w:t>
      </w:r>
      <w:r w:rsidR="00040CAF">
        <w:t>Educator Evaluation Framework</w:t>
      </w:r>
      <w:r w:rsidR="00A268B9">
        <w:t>,</w:t>
      </w:r>
      <w:r w:rsidR="00040CAF">
        <w:t xml:space="preserve"> </w:t>
      </w:r>
      <w:r w:rsidR="00740F7D">
        <w:t xml:space="preserve">but </w:t>
      </w:r>
      <w:r w:rsidR="00040CAF">
        <w:t xml:space="preserve">overall </w:t>
      </w:r>
      <w:r w:rsidR="00740F7D">
        <w:t xml:space="preserve">its implementation practices and procedures vary widely in consistency and quality, as do the formal evaluations of both teachers and administrators. </w:t>
      </w:r>
    </w:p>
    <w:p w:rsidR="00740F7D" w:rsidRPr="00C30A3B" w:rsidRDefault="000D7416" w:rsidP="000D7416">
      <w:pPr>
        <w:tabs>
          <w:tab w:val="left" w:pos="360"/>
          <w:tab w:val="left" w:pos="1080"/>
          <w:tab w:val="left" w:pos="1440"/>
          <w:tab w:val="left" w:pos="1800"/>
          <w:tab w:val="left" w:pos="2160"/>
        </w:tabs>
        <w:ind w:left="1080" w:hanging="360"/>
      </w:pPr>
      <w:r>
        <w:t>1.</w:t>
      </w:r>
      <w:r>
        <w:tab/>
      </w:r>
      <w:r w:rsidR="00740F7D">
        <w:t xml:space="preserve">The team </w:t>
      </w:r>
      <w:r w:rsidR="00040CAF">
        <w:t xml:space="preserve">reviewed </w:t>
      </w:r>
      <w:r w:rsidR="00740F7D">
        <w:t xml:space="preserve">the formative </w:t>
      </w:r>
      <w:r w:rsidR="00AE05BD">
        <w:t>assessments</w:t>
      </w:r>
      <w:r w:rsidR="0098743C">
        <w:t>/</w:t>
      </w:r>
      <w:r w:rsidR="00AE05BD">
        <w:t xml:space="preserve">evaluations </w:t>
      </w:r>
      <w:r w:rsidR="00740F7D">
        <w:t xml:space="preserve">and summative evaluations of 46 teachers selected randomly from across the district.  In general, these </w:t>
      </w:r>
      <w:r w:rsidR="00AE05BD">
        <w:t xml:space="preserve">evaluations </w:t>
      </w:r>
      <w:r w:rsidR="00740F7D">
        <w:t xml:space="preserve">were </w:t>
      </w:r>
      <w:r w:rsidR="00755A71">
        <w:t xml:space="preserve">not </w:t>
      </w:r>
      <w:r w:rsidR="00740F7D">
        <w:t>instructive</w:t>
      </w:r>
      <w:r w:rsidR="00755A71">
        <w:rPr>
          <w:rStyle w:val="FootnoteReference"/>
        </w:rPr>
        <w:footnoteReference w:id="18"/>
      </w:r>
      <w:r w:rsidR="00740F7D">
        <w:t xml:space="preserve"> and seldom provided teachers with feedback for improved classroom practice that was specific, measurable, or actionable.  Nor did they generally contain clear and specific recommendations with the </w:t>
      </w:r>
      <w:r w:rsidR="00AE05BD">
        <w:t xml:space="preserve">ability </w:t>
      </w:r>
      <w:r w:rsidR="00740F7D">
        <w:t xml:space="preserve">to significantly improve instruction or contribute meaningfully to </w:t>
      </w:r>
      <w:r w:rsidR="00755A71">
        <w:t xml:space="preserve">professional </w:t>
      </w:r>
      <w:r w:rsidR="00740F7D">
        <w:t>growth.</w:t>
      </w:r>
    </w:p>
    <w:p w:rsidR="000D7416" w:rsidRDefault="000D7416" w:rsidP="000D7416">
      <w:pPr>
        <w:pStyle w:val="ListParagraph"/>
        <w:tabs>
          <w:tab w:val="left" w:pos="360"/>
          <w:tab w:val="left" w:pos="720"/>
          <w:tab w:val="left" w:pos="1080"/>
          <w:tab w:val="left" w:pos="1440"/>
          <w:tab w:val="left" w:pos="1800"/>
          <w:tab w:val="left" w:pos="2160"/>
        </w:tabs>
        <w:ind w:left="1080" w:hanging="360"/>
        <w:contextualSpacing w:val="0"/>
      </w:pPr>
      <w:r>
        <w:t xml:space="preserve">2.   </w:t>
      </w:r>
      <w:r w:rsidR="002C5405">
        <w:tab/>
      </w:r>
      <w:r w:rsidR="00040CAF">
        <w:t>Team members</w:t>
      </w:r>
      <w:r w:rsidR="00740F7D">
        <w:t xml:space="preserve"> conducted a similar </w:t>
      </w:r>
      <w:r w:rsidR="00040CAF">
        <w:t xml:space="preserve">review </w:t>
      </w:r>
      <w:r w:rsidR="00740F7D">
        <w:t xml:space="preserve">of the </w:t>
      </w:r>
      <w:r w:rsidR="0098743C">
        <w:t xml:space="preserve">formative assessments/evaluations and summative </w:t>
      </w:r>
      <w:r w:rsidR="00740F7D">
        <w:t>evaluations of all the district’s p</w:t>
      </w:r>
      <w:r w:rsidR="00AF4D0A">
        <w:t>rincipals.  In approximately 50 percent</w:t>
      </w:r>
      <w:r w:rsidR="00740F7D">
        <w:t xml:space="preserve"> of cases, no formative </w:t>
      </w:r>
      <w:r w:rsidR="0098743C">
        <w:t xml:space="preserve">assessments/evaluations </w:t>
      </w:r>
      <w:r w:rsidR="00740F7D">
        <w:t xml:space="preserve">or summative evaluations had been written for principals during the past two school years. </w:t>
      </w:r>
    </w:p>
    <w:p w:rsidR="00740F7D" w:rsidRPr="006340C9" w:rsidRDefault="000D7416" w:rsidP="000D7416">
      <w:pPr>
        <w:pStyle w:val="ListParagraph"/>
        <w:tabs>
          <w:tab w:val="left" w:pos="360"/>
          <w:tab w:val="left" w:pos="720"/>
          <w:tab w:val="left" w:pos="1080"/>
          <w:tab w:val="left" w:pos="1440"/>
          <w:tab w:val="left" w:pos="1800"/>
          <w:tab w:val="left" w:pos="2160"/>
        </w:tabs>
        <w:ind w:left="1080" w:hanging="360"/>
        <w:contextualSpacing w:val="0"/>
      </w:pPr>
      <w:r>
        <w:t>3.</w:t>
      </w:r>
      <w:r>
        <w:tab/>
      </w:r>
      <w:r w:rsidR="00740F7D">
        <w:t xml:space="preserve">When evaluations were written they were similar to those of teachers in that they were </w:t>
      </w:r>
      <w:r w:rsidR="00755A71">
        <w:t xml:space="preserve">not </w:t>
      </w:r>
      <w:r w:rsidR="00AF4D0A">
        <w:t>instructive</w:t>
      </w:r>
      <w:r w:rsidR="0098743C">
        <w:t xml:space="preserve"> and </w:t>
      </w:r>
      <w:r w:rsidR="00740F7D">
        <w:t>contained little feedback that was specific, measurable, or evidence based, or concrete recommendations that were clear, actionable, or capable of contributing in a direct and  meaningful way to the principal’s professional growth or enhanced leadership capacity</w:t>
      </w:r>
      <w:r w:rsidR="00EB0ABC">
        <w:t>.</w:t>
      </w:r>
      <w:r w:rsidR="00740F7D">
        <w:t xml:space="preserve"> </w:t>
      </w:r>
    </w:p>
    <w:p w:rsidR="00740F7D" w:rsidRPr="005E4C2B" w:rsidRDefault="000D7416" w:rsidP="000D7416">
      <w:pPr>
        <w:tabs>
          <w:tab w:val="left" w:pos="360"/>
          <w:tab w:val="left" w:pos="720"/>
          <w:tab w:val="left" w:pos="1080"/>
          <w:tab w:val="left" w:pos="1440"/>
          <w:tab w:val="left" w:pos="1800"/>
          <w:tab w:val="left" w:pos="2160"/>
        </w:tabs>
        <w:ind w:left="720" w:hanging="360"/>
      </w:pPr>
      <w:r w:rsidRPr="000D7416">
        <w:rPr>
          <w:b/>
        </w:rPr>
        <w:t>B.</w:t>
      </w:r>
      <w:r>
        <w:t xml:space="preserve">   </w:t>
      </w:r>
      <w:r w:rsidR="00740F7D">
        <w:t>The overall quality and consistency of supervisory and evaluative policies, practices, and procedures varies widely among and within schools across the district</w:t>
      </w:r>
      <w:r w:rsidR="00740F7D" w:rsidRPr="00C900C6">
        <w:t xml:space="preserve">. </w:t>
      </w:r>
      <w:r w:rsidR="00740F7D">
        <w:t xml:space="preserve">This has </w:t>
      </w:r>
      <w:r w:rsidR="0098743C">
        <w:t xml:space="preserve">contributed </w:t>
      </w:r>
      <w:r w:rsidR="00740F7D">
        <w:t>to a range of inequities, staff concerns, and contractual disputes.</w:t>
      </w:r>
    </w:p>
    <w:p w:rsidR="000D7416" w:rsidRDefault="000D7416" w:rsidP="000D7416">
      <w:pPr>
        <w:tabs>
          <w:tab w:val="left" w:pos="360"/>
          <w:tab w:val="left" w:pos="720"/>
          <w:tab w:val="left" w:pos="1080"/>
          <w:tab w:val="left" w:pos="1440"/>
        </w:tabs>
        <w:ind w:left="1080" w:hanging="360"/>
      </w:pPr>
      <w:r>
        <w:lastRenderedPageBreak/>
        <w:t xml:space="preserve">1.  </w:t>
      </w:r>
      <w:r w:rsidR="00755A71">
        <w:tab/>
      </w:r>
      <w:r w:rsidR="00740F7D">
        <w:t xml:space="preserve">Interviewees </w:t>
      </w:r>
      <w:r w:rsidR="00755A71">
        <w:t xml:space="preserve">said </w:t>
      </w:r>
      <w:r w:rsidR="00740F7D">
        <w:t xml:space="preserve">that, subsequent to the district’s adoption of the state </w:t>
      </w:r>
      <w:r w:rsidR="00755A71">
        <w:t>Educator Evaluation Framework</w:t>
      </w:r>
      <w:r w:rsidR="00740F7D">
        <w:t xml:space="preserve">, </w:t>
      </w:r>
      <w:r w:rsidR="00755A71">
        <w:t xml:space="preserve">the district did not establish a </w:t>
      </w:r>
      <w:r w:rsidR="00740F7D">
        <w:t xml:space="preserve">process or structure to monitor the implementation of </w:t>
      </w:r>
      <w:r w:rsidR="00755A71">
        <w:t>its educator evaluation system</w:t>
      </w:r>
      <w:r w:rsidR="00740F7D">
        <w:t xml:space="preserve"> to ensure equity and consistency of practices and procedures. Teachers and teacher association leaders said that the </w:t>
      </w:r>
      <w:r w:rsidR="00755A71">
        <w:t xml:space="preserve">absence </w:t>
      </w:r>
      <w:r w:rsidR="00740F7D">
        <w:t xml:space="preserve">of an appropriate and designated forum has left the grievance procedure as a primary vehicle to address and resolve </w:t>
      </w:r>
      <w:r w:rsidR="00755A71">
        <w:t>evaluation-</w:t>
      </w:r>
      <w:r w:rsidR="00740F7D">
        <w:t xml:space="preserve">based </w:t>
      </w:r>
      <w:r w:rsidR="0098743C">
        <w:t xml:space="preserve">inequities </w:t>
      </w:r>
      <w:r w:rsidR="00740F7D">
        <w:t>and concerns.</w:t>
      </w:r>
      <w:r w:rsidR="00740F7D" w:rsidRPr="005E4C2B">
        <w:t xml:space="preserve">  </w:t>
      </w:r>
    </w:p>
    <w:p w:rsidR="000D7416" w:rsidRDefault="000D7416" w:rsidP="000D7416">
      <w:pPr>
        <w:tabs>
          <w:tab w:val="left" w:pos="360"/>
          <w:tab w:val="left" w:pos="720"/>
          <w:tab w:val="left" w:pos="1080"/>
          <w:tab w:val="left" w:pos="1440"/>
        </w:tabs>
        <w:ind w:left="1080" w:hanging="360"/>
      </w:pPr>
      <w:r>
        <w:t>2.</w:t>
      </w:r>
      <w:r>
        <w:tab/>
      </w:r>
      <w:r w:rsidR="00740F7D">
        <w:t xml:space="preserve">Teachers reported that </w:t>
      </w:r>
      <w:r w:rsidR="00755A71">
        <w:t xml:space="preserve">in some </w:t>
      </w:r>
      <w:r w:rsidR="00740F7D">
        <w:t xml:space="preserve">schools and departments evaluations </w:t>
      </w:r>
      <w:r w:rsidR="00755A71">
        <w:t xml:space="preserve">have not been </w:t>
      </w:r>
      <w:r w:rsidR="00740F7D">
        <w:t xml:space="preserve">written and there </w:t>
      </w:r>
      <w:r w:rsidR="00755A71">
        <w:t xml:space="preserve">has been </w:t>
      </w:r>
      <w:r w:rsidR="00740F7D">
        <w:t xml:space="preserve">little supervision of classroom practice and a corresponding </w:t>
      </w:r>
      <w:r w:rsidR="00755A71">
        <w:t xml:space="preserve">absence </w:t>
      </w:r>
      <w:r w:rsidR="00740F7D">
        <w:t>of regular, timely, and constructive pedagogical feedback</w:t>
      </w:r>
      <w:r w:rsidR="00AF4D0A">
        <w:t>.</w:t>
      </w:r>
      <w:r>
        <w:t xml:space="preserve">  </w:t>
      </w:r>
      <w:r w:rsidR="00740F7D">
        <w:t>They indicated that the qual</w:t>
      </w:r>
      <w:r w:rsidR="00AF4D0A">
        <w:t>ity of evaluative processes varies</w:t>
      </w:r>
      <w:r w:rsidR="00740F7D">
        <w:t xml:space="preserve"> widely from school to school and largely “depends on the person</w:t>
      </w:r>
      <w:r w:rsidR="00755A71">
        <w:t xml:space="preserve"> [the evaluator]</w:t>
      </w:r>
      <w:r w:rsidR="00A94E9C">
        <w:t>.</w:t>
      </w:r>
      <w:r w:rsidR="00740F7D">
        <w:t xml:space="preserve">” </w:t>
      </w:r>
    </w:p>
    <w:p w:rsidR="00740F7D" w:rsidRDefault="000D7416" w:rsidP="000D7416">
      <w:pPr>
        <w:tabs>
          <w:tab w:val="left" w:pos="360"/>
          <w:tab w:val="left" w:pos="720"/>
          <w:tab w:val="left" w:pos="1080"/>
          <w:tab w:val="left" w:pos="1440"/>
        </w:tabs>
        <w:ind w:left="1080" w:hanging="360"/>
      </w:pPr>
      <w:r>
        <w:t>3.</w:t>
      </w:r>
      <w:r>
        <w:tab/>
      </w:r>
      <w:r w:rsidR="00755A71">
        <w:t>T</w:t>
      </w:r>
      <w:r w:rsidR="00740F7D">
        <w:t>eachers and administrators acknowledged significant differences in the amount of eviden</w:t>
      </w:r>
      <w:r w:rsidR="00AF4D0A">
        <w:t xml:space="preserve">ce </w:t>
      </w:r>
      <w:r w:rsidR="003F1B67">
        <w:t xml:space="preserve">that </w:t>
      </w:r>
      <w:r w:rsidR="00AF4D0A">
        <w:t>teachers were required to submit in support of their educator p</w:t>
      </w:r>
      <w:r w:rsidR="00740F7D">
        <w:t>lans. Teachers reported that in some schools</w:t>
      </w:r>
      <w:r w:rsidR="007C0712">
        <w:t xml:space="preserve"> they were asked to provide three to five </w:t>
      </w:r>
      <w:r w:rsidR="00740F7D">
        <w:t xml:space="preserve">pieces of evidence per standard, a total of approximately 20, while in other schools </w:t>
      </w:r>
      <w:r w:rsidR="007C0712">
        <w:t>they were required to submit three to five</w:t>
      </w:r>
      <w:r w:rsidR="00740F7D">
        <w:t xml:space="preserve"> pieces of evidence per standard and indicator, for a total of almost 70 artifacts.</w:t>
      </w:r>
      <w:r w:rsidR="00CD3AAA">
        <w:rPr>
          <w:rStyle w:val="FootnoteReference"/>
        </w:rPr>
        <w:footnoteReference w:id="19"/>
      </w:r>
    </w:p>
    <w:p w:rsidR="00740F7D" w:rsidRDefault="00740F7D" w:rsidP="00386849">
      <w:pPr>
        <w:pStyle w:val="ListParagraph"/>
        <w:numPr>
          <w:ilvl w:val="6"/>
          <w:numId w:val="31"/>
        </w:numPr>
        <w:tabs>
          <w:tab w:val="left" w:pos="360"/>
          <w:tab w:val="left" w:pos="720"/>
          <w:tab w:val="left" w:pos="1080"/>
          <w:tab w:val="left" w:pos="1440"/>
          <w:tab w:val="left" w:pos="1800"/>
        </w:tabs>
        <w:ind w:left="1080"/>
        <w:contextualSpacing w:val="0"/>
      </w:pPr>
      <w:r>
        <w:t>Teacher leaders reported instances in which evaluative documents and practices, including the use</w:t>
      </w:r>
      <w:r w:rsidR="00AF4D0A">
        <w:t xml:space="preserve"> of improvement plans and directed growth plans, were employed </w:t>
      </w:r>
      <w:r>
        <w:t xml:space="preserve">very differently from school to school and in a manner </w:t>
      </w:r>
      <w:r w:rsidR="00AB36BC">
        <w:t xml:space="preserve">that </w:t>
      </w:r>
      <w:r>
        <w:t>they believe</w:t>
      </w:r>
      <w:r w:rsidR="0098743C">
        <w:t>d</w:t>
      </w:r>
      <w:r>
        <w:t xml:space="preserve"> </w:t>
      </w:r>
      <w:r w:rsidR="0098743C">
        <w:t xml:space="preserve">was </w:t>
      </w:r>
      <w:r w:rsidR="00AF4D0A">
        <w:t xml:space="preserve">contrary to the </w:t>
      </w:r>
      <w:r>
        <w:t>procedures articulated in the present collective bargaining agreement.  Teacher</w:t>
      </w:r>
      <w:r w:rsidR="005B6732">
        <w:t>s’</w:t>
      </w:r>
      <w:r>
        <w:t xml:space="preserve"> association officials indicated that e</w:t>
      </w:r>
      <w:r w:rsidR="00AF4D0A">
        <w:t>ducator evaluation concerns would</w:t>
      </w:r>
      <w:r>
        <w:t xml:space="preserve"> be a focus of </w:t>
      </w:r>
      <w:r w:rsidR="0080236C">
        <w:t xml:space="preserve">collective bargaining agreement </w:t>
      </w:r>
      <w:r>
        <w:t xml:space="preserve">negotiations.   </w:t>
      </w:r>
    </w:p>
    <w:p w:rsidR="00740F7D" w:rsidRDefault="005B6732" w:rsidP="00386849">
      <w:pPr>
        <w:pStyle w:val="ListParagraph"/>
        <w:numPr>
          <w:ilvl w:val="6"/>
          <w:numId w:val="31"/>
        </w:numPr>
        <w:tabs>
          <w:tab w:val="left" w:pos="360"/>
          <w:tab w:val="left" w:pos="720"/>
          <w:tab w:val="left" w:pos="1080"/>
          <w:tab w:val="left" w:pos="1440"/>
          <w:tab w:val="left" w:pos="1800"/>
        </w:tabs>
        <w:ind w:left="1080"/>
        <w:contextualSpacing w:val="0"/>
      </w:pPr>
      <w:r>
        <w:t>T</w:t>
      </w:r>
      <w:r w:rsidR="00740F7D">
        <w:t>eachers and teacher</w:t>
      </w:r>
      <w:r>
        <w:t>s’</w:t>
      </w:r>
      <w:r w:rsidR="00740F7D">
        <w:t xml:space="preserve"> association leaders expressed the opinion that many of the </w:t>
      </w:r>
      <w:r w:rsidR="0080236C">
        <w:t xml:space="preserve">challenges in </w:t>
      </w:r>
      <w:r w:rsidR="00740F7D">
        <w:t>the implementation of the educator evaluation system were at least in part the result of a</w:t>
      </w:r>
      <w:r>
        <w:t>n</w:t>
      </w:r>
      <w:r w:rsidR="00740F7D">
        <w:t xml:space="preserve"> </w:t>
      </w:r>
      <w:r>
        <w:t xml:space="preserve">absence </w:t>
      </w:r>
      <w:r w:rsidR="00740F7D">
        <w:t>of adequate training provided by the district to administrators and teachers</w:t>
      </w:r>
      <w:r w:rsidR="00740F7D" w:rsidRPr="00412451">
        <w:t>.</w:t>
      </w:r>
      <w:r w:rsidR="00740F7D" w:rsidRPr="00412451">
        <w:tab/>
      </w:r>
      <w:r w:rsidR="00740F7D" w:rsidRPr="00412451">
        <w:tab/>
      </w:r>
      <w:r w:rsidR="00740F7D" w:rsidRPr="00412451">
        <w:tab/>
      </w:r>
    </w:p>
    <w:p w:rsidR="00740F7D" w:rsidRPr="006B4D20" w:rsidRDefault="00F34975" w:rsidP="00386849">
      <w:pPr>
        <w:pStyle w:val="ListParagraph"/>
        <w:numPr>
          <w:ilvl w:val="6"/>
          <w:numId w:val="31"/>
        </w:numPr>
        <w:tabs>
          <w:tab w:val="left" w:pos="360"/>
          <w:tab w:val="left" w:pos="720"/>
          <w:tab w:val="left" w:pos="1080"/>
          <w:tab w:val="left" w:pos="1440"/>
          <w:tab w:val="left" w:pos="1800"/>
        </w:tabs>
        <w:ind w:left="1080"/>
        <w:contextualSpacing w:val="0"/>
      </w:pPr>
      <w:r>
        <w:t>In</w:t>
      </w:r>
      <w:r w:rsidR="00740F7D">
        <w:t xml:space="preserve"> the district’s </w:t>
      </w:r>
      <w:r w:rsidR="005B6732">
        <w:t>self assessment submitted in advance of the onsite</w:t>
      </w:r>
      <w:r w:rsidR="00740F7D">
        <w:t xml:space="preserve">, </w:t>
      </w:r>
      <w:r>
        <w:t xml:space="preserve">the </w:t>
      </w:r>
      <w:r w:rsidR="00740F7D">
        <w:t xml:space="preserve">district rated </w:t>
      </w:r>
      <w:r w:rsidR="001F3C7C">
        <w:t xml:space="preserve">evaluation </w:t>
      </w:r>
      <w:r w:rsidR="007C0712">
        <w:t>“</w:t>
      </w:r>
      <w:r w:rsidR="001F3C7C">
        <w:t xml:space="preserve">Somewhat </w:t>
      </w:r>
      <w:r w:rsidR="007C0712">
        <w:t xml:space="preserve">well” </w:t>
      </w:r>
      <w:r w:rsidR="001F3C7C">
        <w:t xml:space="preserve">described by </w:t>
      </w:r>
      <w:r w:rsidR="007C0712">
        <w:t>the indicator,</w:t>
      </w:r>
      <w:r w:rsidR="00740F7D">
        <w:t xml:space="preserve"> “Evaluations are conducted by trained administrators who calibrate their work for fairness and consistency</w:t>
      </w:r>
      <w:r w:rsidR="007C0712">
        <w:t>.</w:t>
      </w:r>
      <w:r w:rsidR="00740F7D">
        <w:t>”</w:t>
      </w:r>
      <w:r w:rsidR="00436E01">
        <w:t xml:space="preserve"> </w:t>
      </w:r>
      <w:r w:rsidR="001F3C7C">
        <w:t xml:space="preserve">(Possible responses were Not at all well, Somewhat well, Well, and Very </w:t>
      </w:r>
      <w:r w:rsidR="00A94E9C">
        <w:t>w</w:t>
      </w:r>
      <w:r w:rsidR="001F3C7C">
        <w:t>ell.)</w:t>
      </w:r>
    </w:p>
    <w:p w:rsidR="00740F7D" w:rsidRDefault="00740F7D" w:rsidP="009248AB">
      <w:pPr>
        <w:tabs>
          <w:tab w:val="left" w:pos="0"/>
          <w:tab w:val="left" w:pos="720"/>
          <w:tab w:val="left" w:pos="1080"/>
          <w:tab w:val="left" w:pos="1440"/>
          <w:tab w:val="left" w:pos="1800"/>
          <w:tab w:val="left" w:pos="2160"/>
        </w:tabs>
      </w:pPr>
      <w:r w:rsidRPr="00F731AA">
        <w:rPr>
          <w:b/>
        </w:rPr>
        <w:t>Impact</w:t>
      </w:r>
      <w:r w:rsidR="007C0712">
        <w:t>: The state designed the</w:t>
      </w:r>
      <w:r>
        <w:t xml:space="preserve"> </w:t>
      </w:r>
      <w:r w:rsidR="005B6732">
        <w:t xml:space="preserve">Educator Evaluation </w:t>
      </w:r>
      <w:r w:rsidR="00A94E9C">
        <w:t>Framework</w:t>
      </w:r>
      <w:r w:rsidR="005B6732">
        <w:t xml:space="preserve"> </w:t>
      </w:r>
      <w:r>
        <w:t>to provide teachers and teacher leaders w</w:t>
      </w:r>
      <w:r w:rsidR="00AC081B">
        <w:t xml:space="preserve">ith the type of </w:t>
      </w:r>
      <w:r w:rsidR="005B6732">
        <w:t>evidence-</w:t>
      </w:r>
      <w:r>
        <w:t xml:space="preserve">based, </w:t>
      </w:r>
      <w:r w:rsidR="005B6732">
        <w:t>growth-</w:t>
      </w:r>
      <w:r>
        <w:t xml:space="preserve">oriented feedback and continuous support needed to </w:t>
      </w:r>
      <w:r>
        <w:lastRenderedPageBreak/>
        <w:t>significantly enhance pedagogical skills and expan</w:t>
      </w:r>
      <w:r w:rsidR="00AC081B">
        <w:t>d professional competencies.  With</w:t>
      </w:r>
      <w:r w:rsidR="005B6732">
        <w:t>out</w:t>
      </w:r>
      <w:r w:rsidR="00AC081B">
        <w:t xml:space="preserve"> </w:t>
      </w:r>
      <w:r w:rsidR="005B6732">
        <w:t xml:space="preserve">consistent </w:t>
      </w:r>
      <w:r w:rsidR="00AC081B">
        <w:t>supervisory practices</w:t>
      </w:r>
      <w:r w:rsidR="005B6732">
        <w:t>,</w:t>
      </w:r>
      <w:r w:rsidR="00AC081B">
        <w:t xml:space="preserve"> </w:t>
      </w:r>
      <w:r>
        <w:t>evaluative procedures</w:t>
      </w:r>
      <w:r w:rsidR="005B6732">
        <w:t>,</w:t>
      </w:r>
      <w:r>
        <w:t xml:space="preserve"> and </w:t>
      </w:r>
      <w:r w:rsidR="00AC081B">
        <w:t>documentation, the district can</w:t>
      </w:r>
      <w:r w:rsidR="005B6732">
        <w:t>not</w:t>
      </w:r>
      <w:r>
        <w:t xml:space="preserve"> create an effective and lasting mechanism by which to provide enriched learning opportunities, experiences, and increased academic outcomes for all students.</w:t>
      </w:r>
    </w:p>
    <w:p w:rsidR="00740F7D" w:rsidRDefault="00B87A5E" w:rsidP="009248AB">
      <w:pPr>
        <w:tabs>
          <w:tab w:val="left" w:pos="360"/>
          <w:tab w:val="left" w:pos="720"/>
          <w:tab w:val="left" w:pos="1080"/>
          <w:tab w:val="left" w:pos="1440"/>
          <w:tab w:val="left" w:pos="1800"/>
        </w:tabs>
        <w:ind w:left="360" w:hanging="360"/>
      </w:pPr>
      <w:r>
        <w:rPr>
          <w:b/>
        </w:rPr>
        <w:t>2</w:t>
      </w:r>
      <w:r w:rsidR="00740F7D">
        <w:rPr>
          <w:b/>
        </w:rPr>
        <w:t xml:space="preserve">.  </w:t>
      </w:r>
      <w:r w:rsidR="009248AB">
        <w:rPr>
          <w:b/>
        </w:rPr>
        <w:tab/>
      </w:r>
      <w:r w:rsidR="00740F7D">
        <w:rPr>
          <w:b/>
        </w:rPr>
        <w:t xml:space="preserve">The </w:t>
      </w:r>
      <w:r w:rsidR="00D411FD">
        <w:rPr>
          <w:b/>
        </w:rPr>
        <w:t>more recent</w:t>
      </w:r>
      <w:r w:rsidR="00740F7D">
        <w:rPr>
          <w:b/>
        </w:rPr>
        <w:t xml:space="preserve"> </w:t>
      </w:r>
      <w:r w:rsidR="00D411FD">
        <w:rPr>
          <w:b/>
        </w:rPr>
        <w:t xml:space="preserve">components </w:t>
      </w:r>
      <w:r w:rsidR="00740F7D">
        <w:rPr>
          <w:b/>
        </w:rPr>
        <w:t xml:space="preserve">of the state </w:t>
      </w:r>
      <w:r w:rsidR="00D411FD">
        <w:rPr>
          <w:b/>
        </w:rPr>
        <w:t xml:space="preserve">Educator Evaluation Framework </w:t>
      </w:r>
      <w:r w:rsidR="00740F7D">
        <w:rPr>
          <w:b/>
        </w:rPr>
        <w:t xml:space="preserve">require districts to collect multiple measures of evidence </w:t>
      </w:r>
      <w:r w:rsidR="009248AB">
        <w:rPr>
          <w:b/>
        </w:rPr>
        <w:t xml:space="preserve">in the evaluation of </w:t>
      </w:r>
      <w:r w:rsidR="00740F7D">
        <w:rPr>
          <w:b/>
        </w:rPr>
        <w:t xml:space="preserve">teachers and administrators.  The district has </w:t>
      </w:r>
      <w:r w:rsidR="00A357A2">
        <w:rPr>
          <w:b/>
        </w:rPr>
        <w:t xml:space="preserve">not </w:t>
      </w:r>
      <w:r w:rsidR="00740F7D">
        <w:rPr>
          <w:b/>
        </w:rPr>
        <w:t xml:space="preserve">taken action on these </w:t>
      </w:r>
      <w:r w:rsidR="00A357A2">
        <w:rPr>
          <w:b/>
        </w:rPr>
        <w:t xml:space="preserve">more recent </w:t>
      </w:r>
      <w:r w:rsidR="00740F7D">
        <w:rPr>
          <w:b/>
        </w:rPr>
        <w:t xml:space="preserve">components of the state </w:t>
      </w:r>
      <w:r w:rsidR="00A357A2">
        <w:rPr>
          <w:b/>
        </w:rPr>
        <w:t>Framework</w:t>
      </w:r>
      <w:r w:rsidR="00740F7D">
        <w:rPr>
          <w:b/>
        </w:rPr>
        <w:t>.</w:t>
      </w:r>
    </w:p>
    <w:p w:rsidR="00740F7D" w:rsidRPr="006B4D20" w:rsidRDefault="00740F7D" w:rsidP="009248AB">
      <w:pPr>
        <w:tabs>
          <w:tab w:val="left" w:pos="360"/>
          <w:tab w:val="left" w:pos="720"/>
          <w:tab w:val="left" w:pos="1080"/>
          <w:tab w:val="left" w:pos="1440"/>
          <w:tab w:val="left" w:pos="1800"/>
        </w:tabs>
        <w:ind w:left="720" w:hanging="360"/>
      </w:pPr>
      <w:r>
        <w:rPr>
          <w:b/>
        </w:rPr>
        <w:t xml:space="preserve">A.  </w:t>
      </w:r>
      <w:r w:rsidR="009248AB">
        <w:rPr>
          <w:b/>
        </w:rPr>
        <w:tab/>
      </w:r>
      <w:r w:rsidRPr="006B4D20">
        <w:t>As of the 2015</w:t>
      </w:r>
      <w:r w:rsidR="00A268B9">
        <w:t>–</w:t>
      </w:r>
      <w:r w:rsidRPr="006B4D20">
        <w:t>2016 school year, state regulations called for all districts to collect and include student feedback as a source of evidence in determining an educator’s summative performance rating.</w:t>
      </w:r>
      <w:r w:rsidR="00A357A2">
        <w:rPr>
          <w:rStyle w:val="FootnoteReference"/>
        </w:rPr>
        <w:footnoteReference w:id="20"/>
      </w:r>
      <w:r w:rsidRPr="006B4D20">
        <w:t xml:space="preserve">  Similarly, </w:t>
      </w:r>
      <w:r w:rsidR="00AC081B">
        <w:t xml:space="preserve">the district should collect and use </w:t>
      </w:r>
      <w:r w:rsidRPr="006B4D20">
        <w:t>staff feedback to inform administrator’s evaluations. Feedback may also be us</w:t>
      </w:r>
      <w:r w:rsidR="009248AB">
        <w:t>ed to inform an educator’s self-</w:t>
      </w:r>
      <w:r w:rsidRPr="006B4D20">
        <w:t>assessment, goal setting, and as evidence to demonstrate changes in practice over time.  The district is currently out of compliance with this state requirement.</w:t>
      </w:r>
    </w:p>
    <w:p w:rsidR="00740F7D" w:rsidRPr="006B4D20" w:rsidRDefault="00740F7D" w:rsidP="008C4609">
      <w:pPr>
        <w:tabs>
          <w:tab w:val="left" w:pos="360"/>
          <w:tab w:val="left" w:pos="990"/>
          <w:tab w:val="left" w:pos="1440"/>
          <w:tab w:val="left" w:pos="1800"/>
          <w:tab w:val="left" w:pos="2160"/>
        </w:tabs>
        <w:ind w:left="1080" w:hanging="360"/>
      </w:pPr>
      <w:r w:rsidRPr="006B4D20">
        <w:t>1</w:t>
      </w:r>
      <w:r>
        <w:t xml:space="preserve">.    </w:t>
      </w:r>
      <w:r w:rsidR="00D411FD">
        <w:t>T</w:t>
      </w:r>
      <w:r w:rsidRPr="006B4D20">
        <w:t xml:space="preserve">eachers and administrators acknowledged that </w:t>
      </w:r>
      <w:r w:rsidR="00D411FD">
        <w:t xml:space="preserve">the district has </w:t>
      </w:r>
      <w:r w:rsidRPr="006B4D20">
        <w:t>no</w:t>
      </w:r>
      <w:r w:rsidR="00D411FD">
        <w:t xml:space="preserve">t taken </w:t>
      </w:r>
      <w:r w:rsidRPr="006B4D20">
        <w:t xml:space="preserve">action to implement this component of the state </w:t>
      </w:r>
      <w:r w:rsidR="00D411FD">
        <w:t>E</w:t>
      </w:r>
      <w:r w:rsidR="00D411FD" w:rsidRPr="006B4D20">
        <w:t xml:space="preserve">ducator </w:t>
      </w:r>
      <w:r w:rsidR="00D411FD">
        <w:t>E</w:t>
      </w:r>
      <w:r w:rsidR="00D411FD" w:rsidRPr="006B4D20">
        <w:t xml:space="preserve">valuation </w:t>
      </w:r>
      <w:r w:rsidR="00D411FD">
        <w:t>Framework</w:t>
      </w:r>
      <w:r w:rsidR="00D411FD" w:rsidRPr="006B4D20">
        <w:t xml:space="preserve"> </w:t>
      </w:r>
      <w:r w:rsidRPr="006B4D20">
        <w:t>and indicated they were unaware of any such initiative currently under consideration.</w:t>
      </w:r>
    </w:p>
    <w:p w:rsidR="00740F7D" w:rsidRPr="00A4176A" w:rsidRDefault="000D7416" w:rsidP="000D7416">
      <w:pPr>
        <w:tabs>
          <w:tab w:val="left" w:pos="360"/>
          <w:tab w:val="left" w:pos="720"/>
          <w:tab w:val="left" w:pos="1080"/>
          <w:tab w:val="left" w:pos="1440"/>
          <w:tab w:val="left" w:pos="1800"/>
        </w:tabs>
        <w:ind w:left="720" w:hanging="360"/>
      </w:pPr>
      <w:r w:rsidRPr="000D7416">
        <w:rPr>
          <w:b/>
        </w:rPr>
        <w:t>B.</w:t>
      </w:r>
      <w:r>
        <w:t xml:space="preserve"> </w:t>
      </w:r>
      <w:r>
        <w:tab/>
      </w:r>
      <w:r w:rsidR="00740F7D">
        <w:t xml:space="preserve">The other </w:t>
      </w:r>
      <w:r w:rsidR="00D411FD">
        <w:t xml:space="preserve">recent </w:t>
      </w:r>
      <w:r w:rsidR="00740F7D">
        <w:t xml:space="preserve">component of the state </w:t>
      </w:r>
      <w:r w:rsidR="00D411FD">
        <w:t xml:space="preserve">Educator Evaluation Framework </w:t>
      </w:r>
      <w:r w:rsidR="00740F7D">
        <w:t>requires school districts to develop and use multiple measures of student learning, including common assessments and other statewide student growth measures, to assess student growth and achievement.  These assessments are intended to provide reliable feedback about student learning and educator efficacy across all grade levels and content areas.  They are also to serve as a component of an educator’s summative performance rating.  The district is currently out of compliance with this requirement, as well.</w:t>
      </w:r>
    </w:p>
    <w:p w:rsidR="00740F7D" w:rsidRPr="006B4D20" w:rsidRDefault="009248AB" w:rsidP="00DA203F">
      <w:pPr>
        <w:tabs>
          <w:tab w:val="left" w:pos="900"/>
          <w:tab w:val="left" w:pos="990"/>
          <w:tab w:val="left" w:pos="1440"/>
          <w:tab w:val="left" w:pos="1800"/>
          <w:tab w:val="left" w:pos="2160"/>
        </w:tabs>
        <w:ind w:left="1080" w:hanging="360"/>
      </w:pPr>
      <w:r>
        <w:t xml:space="preserve">1.    </w:t>
      </w:r>
      <w:r w:rsidR="00740F7D" w:rsidRPr="006B4D20">
        <w:t>Although the district has and is continuing to develop a battery of common student assessments, interviewees stated that they were unaware of any plan to include evidence of student learning as a component of educator</w:t>
      </w:r>
      <w:r w:rsidR="00257FC2">
        <w:t>s’</w:t>
      </w:r>
      <w:r w:rsidR="00740F7D" w:rsidRPr="006B4D20">
        <w:t xml:space="preserve"> evaluations.</w:t>
      </w:r>
    </w:p>
    <w:p w:rsidR="00740F7D" w:rsidRDefault="00740F7D" w:rsidP="009248AB">
      <w:pPr>
        <w:tabs>
          <w:tab w:val="left" w:pos="0"/>
          <w:tab w:val="left" w:pos="720"/>
          <w:tab w:val="left" w:pos="1080"/>
          <w:tab w:val="left" w:pos="1440"/>
          <w:tab w:val="left" w:pos="1800"/>
          <w:tab w:val="left" w:pos="2160"/>
        </w:tabs>
      </w:pPr>
      <w:r>
        <w:rPr>
          <w:b/>
        </w:rPr>
        <w:t xml:space="preserve">Impact:  </w:t>
      </w:r>
      <w:r>
        <w:t xml:space="preserve">By </w:t>
      </w:r>
      <w:r w:rsidR="0090247C">
        <w:t xml:space="preserve">missing the opportunity to </w:t>
      </w:r>
      <w:r w:rsidR="002B0F9D">
        <w:t>implement</w:t>
      </w:r>
      <w:r>
        <w:t xml:space="preserve"> </w:t>
      </w:r>
      <w:r w:rsidR="0090247C">
        <w:t xml:space="preserve">the </w:t>
      </w:r>
      <w:r>
        <w:t xml:space="preserve">components of the </w:t>
      </w:r>
      <w:r w:rsidR="0090247C">
        <w:t xml:space="preserve">Massachusetts Educator Evaluation Framework </w:t>
      </w:r>
      <w:r>
        <w:t xml:space="preserve">that require the collection and use of multiple measures of </w:t>
      </w:r>
      <w:r w:rsidR="006675FF">
        <w:t xml:space="preserve">student learning </w:t>
      </w:r>
      <w:r>
        <w:t xml:space="preserve">to be used in the evaluation of teachers and administrators, the district </w:t>
      </w:r>
      <w:r w:rsidR="0090247C">
        <w:t>is challenged</w:t>
      </w:r>
      <w:r>
        <w:t xml:space="preserve"> to provide educators with a comprehensive, clear, and accurate description of their overall effectiveness</w:t>
      </w:r>
      <w:r w:rsidR="001C3226">
        <w:t xml:space="preserve"> </w:t>
      </w:r>
      <w:r w:rsidR="0090247C">
        <w:t xml:space="preserve">and to help them </w:t>
      </w:r>
      <w:r>
        <w:t>identify areas of strength and opportunities for improvement</w:t>
      </w:r>
      <w:r w:rsidR="0090247C">
        <w:t xml:space="preserve"> in their practice</w:t>
      </w:r>
      <w:r>
        <w:t xml:space="preserve">.  </w:t>
      </w:r>
    </w:p>
    <w:p w:rsidR="00740F7D" w:rsidRPr="008C1F12" w:rsidRDefault="00B87A5E" w:rsidP="009248AB">
      <w:pPr>
        <w:tabs>
          <w:tab w:val="left" w:pos="360"/>
          <w:tab w:val="left" w:pos="720"/>
          <w:tab w:val="left" w:pos="1080"/>
          <w:tab w:val="left" w:pos="1440"/>
          <w:tab w:val="left" w:pos="1800"/>
        </w:tabs>
        <w:ind w:left="360" w:hanging="360"/>
        <w:rPr>
          <w:b/>
        </w:rPr>
      </w:pPr>
      <w:r>
        <w:rPr>
          <w:b/>
        </w:rPr>
        <w:lastRenderedPageBreak/>
        <w:t>3</w:t>
      </w:r>
      <w:r w:rsidR="009248AB">
        <w:rPr>
          <w:b/>
        </w:rPr>
        <w:t>.</w:t>
      </w:r>
      <w:r w:rsidR="009248AB">
        <w:rPr>
          <w:b/>
        </w:rPr>
        <w:tab/>
      </w:r>
      <w:r w:rsidR="00F967E2">
        <w:rPr>
          <w:b/>
        </w:rPr>
        <w:t>Teachers said that the quality and extent of faculty collaboration about professional development varied greatly across schools</w:t>
      </w:r>
      <w:r w:rsidR="00143F3C">
        <w:rPr>
          <w:b/>
        </w:rPr>
        <w:t>.</w:t>
      </w:r>
      <w:r w:rsidR="00143F3C" w:rsidRPr="008C1F12">
        <w:rPr>
          <w:b/>
        </w:rPr>
        <w:t xml:space="preserve"> </w:t>
      </w:r>
      <w:r w:rsidR="00143F3C">
        <w:rPr>
          <w:b/>
        </w:rPr>
        <w:t>D</w:t>
      </w:r>
      <w:r w:rsidR="00F967E2">
        <w:rPr>
          <w:b/>
        </w:rPr>
        <w:t>istrict and school leaders agreed that the time available to support professional development was insufficient</w:t>
      </w:r>
      <w:r w:rsidR="00740F7D" w:rsidRPr="008C1F12">
        <w:rPr>
          <w:b/>
        </w:rPr>
        <w:t xml:space="preserve">. </w:t>
      </w:r>
    </w:p>
    <w:p w:rsidR="00740F7D" w:rsidRPr="00C30A3B" w:rsidRDefault="009248AB" w:rsidP="009248AB">
      <w:pPr>
        <w:tabs>
          <w:tab w:val="left" w:pos="360"/>
          <w:tab w:val="left" w:pos="720"/>
          <w:tab w:val="left" w:pos="1080"/>
          <w:tab w:val="left" w:pos="1440"/>
          <w:tab w:val="left" w:pos="1800"/>
          <w:tab w:val="left" w:pos="2160"/>
        </w:tabs>
        <w:ind w:left="720" w:hanging="360"/>
      </w:pPr>
      <w:r>
        <w:rPr>
          <w:b/>
        </w:rPr>
        <w:t xml:space="preserve">A.  </w:t>
      </w:r>
      <w:r w:rsidR="00F967E2">
        <w:rPr>
          <w:b/>
        </w:rPr>
        <w:tab/>
      </w:r>
      <w:r w:rsidR="00740F7D">
        <w:t xml:space="preserve">Although a primary purpose of the </w:t>
      </w:r>
      <w:r w:rsidR="00C74704">
        <w:t>professional development (</w:t>
      </w:r>
      <w:r w:rsidR="00740F7D">
        <w:t>PD</w:t>
      </w:r>
      <w:r w:rsidR="00C74704">
        <w:t>)</w:t>
      </w:r>
      <w:r w:rsidR="00740F7D">
        <w:t xml:space="preserve"> council is to improve communication and collaboration among district stakeholders, interviewees indicated that </w:t>
      </w:r>
      <w:r w:rsidR="00C74704">
        <w:t xml:space="preserve">the council </w:t>
      </w:r>
      <w:r w:rsidR="00740F7D">
        <w:t xml:space="preserve">has met only once </w:t>
      </w:r>
      <w:r w:rsidR="00C74704">
        <w:t>in the 2016</w:t>
      </w:r>
      <w:r w:rsidR="00A268B9">
        <w:t>–</w:t>
      </w:r>
      <w:r w:rsidR="00C74704">
        <w:t xml:space="preserve">2017 </w:t>
      </w:r>
      <w:r w:rsidR="00740F7D">
        <w:t xml:space="preserve">school year and that there are only </w:t>
      </w:r>
      <w:r w:rsidR="00C74704">
        <w:t xml:space="preserve">2 </w:t>
      </w:r>
      <w:r w:rsidR="00740F7D">
        <w:t xml:space="preserve">teachers among its 18 members, </w:t>
      </w:r>
      <w:r w:rsidR="004512E2">
        <w:t xml:space="preserve">1 </w:t>
      </w:r>
      <w:r w:rsidR="00740F7D">
        <w:t xml:space="preserve">from an elementary school and </w:t>
      </w:r>
      <w:r w:rsidR="004512E2">
        <w:t xml:space="preserve">1 </w:t>
      </w:r>
      <w:r w:rsidR="00740F7D">
        <w:t>from a middle school.</w:t>
      </w:r>
      <w:r w:rsidR="00740F7D" w:rsidRPr="00C30A3B">
        <w:t xml:space="preserve"> </w:t>
      </w:r>
    </w:p>
    <w:p w:rsidR="00740F7D" w:rsidRPr="004C30C2" w:rsidRDefault="00C74704" w:rsidP="00C74704">
      <w:pPr>
        <w:tabs>
          <w:tab w:val="left" w:pos="360"/>
          <w:tab w:val="left" w:pos="720"/>
          <w:tab w:val="left" w:pos="1080"/>
          <w:tab w:val="left" w:pos="1440"/>
          <w:tab w:val="left" w:pos="1800"/>
          <w:tab w:val="left" w:pos="2160"/>
        </w:tabs>
        <w:ind w:left="720" w:hanging="720"/>
      </w:pPr>
      <w:r>
        <w:tab/>
      </w:r>
      <w:r w:rsidR="0047041E" w:rsidRPr="0047041E">
        <w:rPr>
          <w:b/>
        </w:rPr>
        <w:t>B.</w:t>
      </w:r>
      <w:r w:rsidR="009248AB">
        <w:t xml:space="preserve"> </w:t>
      </w:r>
      <w:r w:rsidR="00AC081B">
        <w:tab/>
      </w:r>
      <w:r w:rsidR="002C5405">
        <w:t>So</w:t>
      </w:r>
      <w:r w:rsidR="00A94E9C">
        <w:t>me t</w:t>
      </w:r>
      <w:r w:rsidR="00740F7D">
        <w:t>eachers reported that some principals employ systematic and inclusive practices to solicit teacher input and involvement in developing, delivering, and evaluating PD programming, while others do not.</w:t>
      </w:r>
      <w:r w:rsidR="00740F7D" w:rsidRPr="004C30C2">
        <w:t xml:space="preserve"> </w:t>
      </w:r>
    </w:p>
    <w:p w:rsidR="00C74704" w:rsidRDefault="00C74704" w:rsidP="009248AB">
      <w:pPr>
        <w:tabs>
          <w:tab w:val="left" w:pos="360"/>
          <w:tab w:val="left" w:pos="720"/>
          <w:tab w:val="left" w:pos="1080"/>
          <w:tab w:val="left" w:pos="1440"/>
          <w:tab w:val="left" w:pos="1800"/>
          <w:tab w:val="left" w:pos="2160"/>
        </w:tabs>
        <w:ind w:left="720" w:hanging="360"/>
      </w:pPr>
      <w:r>
        <w:rPr>
          <w:b/>
        </w:rPr>
        <w:t>C</w:t>
      </w:r>
      <w:r w:rsidR="009248AB" w:rsidRPr="009248AB">
        <w:rPr>
          <w:b/>
        </w:rPr>
        <w:t>.</w:t>
      </w:r>
      <w:r>
        <w:t xml:space="preserve">  </w:t>
      </w:r>
      <w:r w:rsidR="003757C9">
        <w:tab/>
      </w:r>
      <w:r w:rsidR="00740F7D">
        <w:t xml:space="preserve">District and school leaders </w:t>
      </w:r>
      <w:r>
        <w:t xml:space="preserve">stated </w:t>
      </w:r>
      <w:r w:rsidR="00740F7D">
        <w:t xml:space="preserve">that the time currently available to support PD programming needs was inadequate. </w:t>
      </w:r>
    </w:p>
    <w:p w:rsidR="00101DBE" w:rsidRDefault="00C74704" w:rsidP="00C74704">
      <w:pPr>
        <w:tabs>
          <w:tab w:val="left" w:pos="360"/>
          <w:tab w:val="left" w:pos="720"/>
          <w:tab w:val="left" w:pos="1080"/>
          <w:tab w:val="left" w:pos="1440"/>
          <w:tab w:val="left" w:pos="1800"/>
          <w:tab w:val="left" w:pos="2160"/>
        </w:tabs>
        <w:ind w:left="1080" w:hanging="720"/>
      </w:pPr>
      <w:r>
        <w:rPr>
          <w:b/>
        </w:rPr>
        <w:tab/>
      </w:r>
      <w:r w:rsidR="0047041E" w:rsidRPr="0047041E">
        <w:t>1.</w:t>
      </w:r>
      <w:r>
        <w:tab/>
      </w:r>
      <w:r w:rsidR="00740F7D">
        <w:t xml:space="preserve">They reported that, with the exception of two days prior to the opening of school and one day in October, </w:t>
      </w:r>
      <w:r>
        <w:t>full-</w:t>
      </w:r>
      <w:r w:rsidR="00740F7D">
        <w:t xml:space="preserve">day, </w:t>
      </w:r>
      <w:r>
        <w:t>early-</w:t>
      </w:r>
      <w:r w:rsidR="00740F7D">
        <w:t xml:space="preserve">release, </w:t>
      </w:r>
      <w:r>
        <w:t>and delayed-</w:t>
      </w:r>
      <w:r w:rsidR="00740F7D">
        <w:t xml:space="preserve">opening </w:t>
      </w:r>
      <w:r>
        <w:t>staff-</w:t>
      </w:r>
      <w:r w:rsidR="00740F7D">
        <w:t xml:space="preserve">development opportunities </w:t>
      </w:r>
      <w:r>
        <w:t xml:space="preserve">were not </w:t>
      </w:r>
      <w:r w:rsidR="00740F7D">
        <w:t xml:space="preserve">built into the district calendar.  They </w:t>
      </w:r>
      <w:r>
        <w:t xml:space="preserve">said </w:t>
      </w:r>
      <w:r w:rsidR="00740F7D">
        <w:t>that, consequently, most PD</w:t>
      </w:r>
      <w:r w:rsidR="00EF02CB">
        <w:t xml:space="preserve"> programming has to be provided</w:t>
      </w:r>
      <w:r w:rsidR="00740F7D">
        <w:t xml:space="preserve"> during the school day throughout the school year</w:t>
      </w:r>
      <w:r w:rsidR="00740F7D" w:rsidRPr="00C900C6">
        <w:t>.</w:t>
      </w:r>
      <w:r w:rsidR="00740F7D">
        <w:t xml:space="preserve"> </w:t>
      </w:r>
    </w:p>
    <w:p w:rsidR="00740F7D" w:rsidRDefault="00101DBE" w:rsidP="00A94E9C">
      <w:pPr>
        <w:tabs>
          <w:tab w:val="left" w:pos="360"/>
          <w:tab w:val="left" w:pos="720"/>
          <w:tab w:val="left" w:pos="1080"/>
          <w:tab w:val="left" w:pos="1440"/>
          <w:tab w:val="left" w:pos="1800"/>
          <w:tab w:val="left" w:pos="2160"/>
        </w:tabs>
        <w:ind w:left="1440" w:hanging="1080"/>
      </w:pPr>
      <w:r>
        <w:tab/>
      </w:r>
      <w:r w:rsidR="00A94E9C">
        <w:tab/>
        <w:t>a.</w:t>
      </w:r>
      <w:r w:rsidR="00A94E9C">
        <w:tab/>
      </w:r>
      <w:r w:rsidR="00740F7D">
        <w:t>This results in teachers being pulled out of their classes and principals having to arrange for substitute coverage.  More importantly, it precludes district</w:t>
      </w:r>
      <w:r w:rsidR="002620E7">
        <w:t xml:space="preserve">wide </w:t>
      </w:r>
      <w:r w:rsidR="00740F7D">
        <w:t xml:space="preserve">horizontal or vertical </w:t>
      </w:r>
      <w:r w:rsidR="00C74704">
        <w:t>grade-</w:t>
      </w:r>
      <w:r w:rsidR="00740F7D">
        <w:t xml:space="preserve">level and/or </w:t>
      </w:r>
      <w:r w:rsidR="00C74704">
        <w:t>content-</w:t>
      </w:r>
      <w:r w:rsidR="00740F7D">
        <w:t xml:space="preserve">area teacher collaborations.  </w:t>
      </w:r>
    </w:p>
    <w:p w:rsidR="00EF02CB" w:rsidRDefault="00740F7D" w:rsidP="00FD4B8F">
      <w:pPr>
        <w:tabs>
          <w:tab w:val="left" w:pos="0"/>
          <w:tab w:val="left" w:pos="720"/>
          <w:tab w:val="left" w:pos="1080"/>
          <w:tab w:val="left" w:pos="1440"/>
          <w:tab w:val="left" w:pos="1800"/>
          <w:tab w:val="left" w:pos="2160"/>
        </w:tabs>
        <w:rPr>
          <w:b/>
        </w:rPr>
      </w:pPr>
      <w:r>
        <w:rPr>
          <w:b/>
        </w:rPr>
        <w:t xml:space="preserve">Impact:  </w:t>
      </w:r>
      <w:r w:rsidR="0047041E" w:rsidRPr="0047041E">
        <w:t>Without</w:t>
      </w:r>
      <w:r w:rsidR="00101DBE" w:rsidRPr="00741575">
        <w:t xml:space="preserve"> </w:t>
      </w:r>
      <w:r w:rsidR="00F26580" w:rsidRPr="00741575">
        <w:t>meaningful, systematic</w:t>
      </w:r>
      <w:r w:rsidR="00101DBE" w:rsidRPr="00741575">
        <w:t xml:space="preserve"> opportunities for educators to engage in planning PD and participating in ongoing learning experiences that support students’ needs, the </w:t>
      </w:r>
      <w:r w:rsidRPr="00741575">
        <w:t xml:space="preserve">district </w:t>
      </w:r>
      <w:r w:rsidR="00143F3C" w:rsidRPr="00741575">
        <w:t xml:space="preserve">cannot adequately </w:t>
      </w:r>
      <w:r w:rsidRPr="00741575">
        <w:t>develop a comprehensive set of learning experiences that is systematic, purposeful, and structured, over a sustained period of time, with the goal of improving teacher practice and student outcomes.</w:t>
      </w:r>
      <w:r w:rsidR="0047041E" w:rsidRPr="0047041E">
        <w:rPr>
          <w:b/>
        </w:rPr>
        <w:t xml:space="preserve">  </w:t>
      </w:r>
    </w:p>
    <w:p w:rsidR="00740F7D" w:rsidRDefault="00740F7D" w:rsidP="009248AB">
      <w:pPr>
        <w:tabs>
          <w:tab w:val="left" w:pos="360"/>
          <w:tab w:val="left" w:pos="720"/>
          <w:tab w:val="left" w:pos="1080"/>
          <w:tab w:val="left" w:pos="1440"/>
          <w:tab w:val="left" w:pos="1800"/>
          <w:tab w:val="left" w:pos="2160"/>
        </w:tabs>
        <w:rPr>
          <w:b/>
          <w:sz w:val="28"/>
          <w:szCs w:val="28"/>
        </w:rPr>
      </w:pPr>
      <w:r w:rsidRPr="00224D0A">
        <w:rPr>
          <w:b/>
          <w:sz w:val="28"/>
          <w:szCs w:val="28"/>
        </w:rPr>
        <w:t>Recommendations</w:t>
      </w:r>
    </w:p>
    <w:p w:rsidR="00740F7D" w:rsidRDefault="00EF02CB" w:rsidP="00EF02CB">
      <w:pPr>
        <w:tabs>
          <w:tab w:val="left" w:pos="360"/>
          <w:tab w:val="left" w:pos="1080"/>
          <w:tab w:val="left" w:pos="1440"/>
        </w:tabs>
        <w:ind w:left="360" w:hanging="360"/>
        <w:rPr>
          <w:b/>
        </w:rPr>
      </w:pPr>
      <w:r>
        <w:rPr>
          <w:b/>
        </w:rPr>
        <w:t xml:space="preserve">1.  </w:t>
      </w:r>
      <w:r w:rsidR="002620E7">
        <w:rPr>
          <w:b/>
        </w:rPr>
        <w:tab/>
      </w:r>
      <w:r w:rsidR="00740F7D" w:rsidRPr="00EF02CB">
        <w:rPr>
          <w:b/>
        </w:rPr>
        <w:t xml:space="preserve">The district should fully and effectively implement all components of the state </w:t>
      </w:r>
      <w:r w:rsidR="00DB3FD1">
        <w:rPr>
          <w:b/>
        </w:rPr>
        <w:t>E</w:t>
      </w:r>
      <w:r w:rsidR="00DB3FD1" w:rsidRPr="00EF02CB">
        <w:rPr>
          <w:b/>
        </w:rPr>
        <w:t xml:space="preserve">ducator </w:t>
      </w:r>
      <w:r w:rsidR="00DB3FD1">
        <w:rPr>
          <w:b/>
        </w:rPr>
        <w:t>E</w:t>
      </w:r>
      <w:r w:rsidR="00DB3FD1" w:rsidRPr="00EF02CB">
        <w:rPr>
          <w:b/>
        </w:rPr>
        <w:t xml:space="preserve">valuation </w:t>
      </w:r>
      <w:r w:rsidR="00DB3FD1">
        <w:rPr>
          <w:b/>
        </w:rPr>
        <w:t>F</w:t>
      </w:r>
      <w:r w:rsidR="00DB3FD1" w:rsidRPr="00EF02CB">
        <w:rPr>
          <w:b/>
        </w:rPr>
        <w:t>ramework</w:t>
      </w:r>
      <w:r w:rsidR="00740F7D" w:rsidRPr="00EF02CB">
        <w:rPr>
          <w:b/>
        </w:rPr>
        <w:t xml:space="preserve">.  </w:t>
      </w:r>
      <w:r w:rsidR="00DB3FD1">
        <w:rPr>
          <w:b/>
        </w:rPr>
        <w:t>Prioritized a</w:t>
      </w:r>
      <w:r w:rsidR="00DB3FD1" w:rsidRPr="00EF02CB">
        <w:rPr>
          <w:b/>
        </w:rPr>
        <w:t xml:space="preserve">ttention </w:t>
      </w:r>
      <w:r w:rsidR="00740F7D" w:rsidRPr="00EF02CB">
        <w:rPr>
          <w:b/>
        </w:rPr>
        <w:t xml:space="preserve">should </w:t>
      </w:r>
      <w:r w:rsidR="00DB3FD1">
        <w:rPr>
          <w:b/>
        </w:rPr>
        <w:t>be given</w:t>
      </w:r>
      <w:r w:rsidR="00740F7D" w:rsidRPr="00EF02CB">
        <w:rPr>
          <w:b/>
        </w:rPr>
        <w:t xml:space="preserve"> to </w:t>
      </w:r>
      <w:r w:rsidR="00DB3FD1" w:rsidRPr="00EF02CB">
        <w:rPr>
          <w:b/>
        </w:rPr>
        <w:t>improv</w:t>
      </w:r>
      <w:r w:rsidR="00DB3FD1">
        <w:rPr>
          <w:b/>
        </w:rPr>
        <w:t>ing</w:t>
      </w:r>
      <w:r w:rsidR="00DB3FD1" w:rsidRPr="00EF02CB">
        <w:rPr>
          <w:b/>
        </w:rPr>
        <w:t xml:space="preserve"> </w:t>
      </w:r>
      <w:r w:rsidR="00740F7D" w:rsidRPr="00EF02CB">
        <w:rPr>
          <w:b/>
        </w:rPr>
        <w:t xml:space="preserve">the overall quality and consistency of </w:t>
      </w:r>
      <w:r w:rsidR="0057129B">
        <w:rPr>
          <w:b/>
        </w:rPr>
        <w:t xml:space="preserve">teachers’ and administrators’ </w:t>
      </w:r>
      <w:r w:rsidR="0057129B" w:rsidRPr="00EF02CB">
        <w:rPr>
          <w:b/>
        </w:rPr>
        <w:t>evaluati</w:t>
      </w:r>
      <w:r w:rsidR="0057129B">
        <w:rPr>
          <w:b/>
        </w:rPr>
        <w:t>ons</w:t>
      </w:r>
      <w:r w:rsidR="00740F7D" w:rsidRPr="00EF02CB">
        <w:rPr>
          <w:b/>
        </w:rPr>
        <w:t xml:space="preserve"> and </w:t>
      </w:r>
      <w:r w:rsidR="00DB3FD1">
        <w:rPr>
          <w:b/>
        </w:rPr>
        <w:t xml:space="preserve">to </w:t>
      </w:r>
      <w:r w:rsidR="00DB3FD1" w:rsidRPr="00EF02CB">
        <w:rPr>
          <w:b/>
        </w:rPr>
        <w:t>develop</w:t>
      </w:r>
      <w:r w:rsidR="00DB3FD1">
        <w:rPr>
          <w:b/>
        </w:rPr>
        <w:t xml:space="preserve">ing </w:t>
      </w:r>
      <w:r w:rsidR="00740F7D" w:rsidRPr="00EF02CB">
        <w:rPr>
          <w:b/>
        </w:rPr>
        <w:t xml:space="preserve">systems for the collection and </w:t>
      </w:r>
      <w:r w:rsidR="00DB3FD1">
        <w:rPr>
          <w:b/>
        </w:rPr>
        <w:t xml:space="preserve">appropriate </w:t>
      </w:r>
      <w:r w:rsidR="00740F7D" w:rsidRPr="00EF02CB">
        <w:rPr>
          <w:b/>
        </w:rPr>
        <w:t>use of multiple sources of evidence to inform educator</w:t>
      </w:r>
      <w:r w:rsidR="00DB3FD1">
        <w:rPr>
          <w:b/>
        </w:rPr>
        <w:t>s’</w:t>
      </w:r>
      <w:r w:rsidR="00740F7D" w:rsidRPr="00EF02CB">
        <w:rPr>
          <w:b/>
        </w:rPr>
        <w:t xml:space="preserve"> evaluation</w:t>
      </w:r>
      <w:r w:rsidR="00DB3FD1">
        <w:rPr>
          <w:b/>
        </w:rPr>
        <w:t>s</w:t>
      </w:r>
      <w:r w:rsidR="00740F7D" w:rsidRPr="00EF02CB">
        <w:rPr>
          <w:b/>
        </w:rPr>
        <w:t xml:space="preserve">. </w:t>
      </w:r>
    </w:p>
    <w:p w:rsidR="00E473CE" w:rsidRPr="00E473CE" w:rsidRDefault="00E473CE" w:rsidP="00E473CE">
      <w:pPr>
        <w:tabs>
          <w:tab w:val="left" w:pos="360"/>
          <w:tab w:val="left" w:pos="720"/>
          <w:tab w:val="left" w:pos="1080"/>
          <w:tab w:val="left" w:pos="1440"/>
        </w:tabs>
        <w:ind w:left="720" w:hanging="720"/>
      </w:pPr>
      <w:r>
        <w:rPr>
          <w:b/>
          <w:i/>
        </w:rPr>
        <w:tab/>
      </w:r>
      <w:r w:rsidR="0047041E" w:rsidRPr="0047041E">
        <w:rPr>
          <w:b/>
        </w:rPr>
        <w:t>A.</w:t>
      </w:r>
      <w:r>
        <w:rPr>
          <w:b/>
        </w:rPr>
        <w:tab/>
      </w:r>
      <w:r w:rsidR="0047041E" w:rsidRPr="0047041E">
        <w:t>The</w:t>
      </w:r>
      <w:r>
        <w:t xml:space="preserve"> district should consider the formation of a joint committee, composed equally of administrators and teacher representatives,</w:t>
      </w:r>
      <w:r w:rsidR="00070B64">
        <w:t xml:space="preserve"> which</w:t>
      </w:r>
      <w:r>
        <w:t xml:space="preserve"> would meet regularly and serve as a formal mechanism to monitor the overall implementation of the educator evaluation system, to identify problems proactively, and to collaboratively develop appropriate and timely solutions. In particular, the joint committee should focus on opportunities to maxim</w:t>
      </w:r>
      <w:r w:rsidR="0081228B">
        <w:t>ize</w:t>
      </w:r>
      <w:r>
        <w:t xml:space="preserve"> the efficiency of </w:t>
      </w:r>
      <w:r>
        <w:lastRenderedPageBreak/>
        <w:t>the educator evaluation system by scrutinizing the amount of evidence the district is requiring of teachers in support of their educator plans.</w:t>
      </w:r>
    </w:p>
    <w:p w:rsidR="00740F7D" w:rsidRDefault="00E473CE" w:rsidP="00EF02CB">
      <w:pPr>
        <w:tabs>
          <w:tab w:val="left" w:pos="360"/>
          <w:tab w:val="left" w:pos="720"/>
          <w:tab w:val="left" w:pos="1080"/>
          <w:tab w:val="left" w:pos="1440"/>
          <w:tab w:val="left" w:pos="1800"/>
          <w:tab w:val="left" w:pos="2160"/>
        </w:tabs>
        <w:ind w:left="720" w:hanging="360"/>
      </w:pPr>
      <w:r>
        <w:rPr>
          <w:b/>
        </w:rPr>
        <w:t>B</w:t>
      </w:r>
      <w:r w:rsidR="00EF02CB" w:rsidRPr="00EF02CB">
        <w:rPr>
          <w:b/>
        </w:rPr>
        <w:t>.</w:t>
      </w:r>
      <w:r w:rsidR="00EF02CB">
        <w:rPr>
          <w:b/>
        </w:rPr>
        <w:tab/>
      </w:r>
      <w:r w:rsidR="00740F7D">
        <w:t xml:space="preserve">The district should </w:t>
      </w:r>
      <w:r w:rsidR="0057129B">
        <w:t>review current supervisory policies, practices, and expectations</w:t>
      </w:r>
      <w:r w:rsidR="00740F7D">
        <w:t xml:space="preserve"> to </w:t>
      </w:r>
      <w:r w:rsidR="003461A8">
        <w:t>improve</w:t>
      </w:r>
      <w:r w:rsidR="0057129B">
        <w:t xml:space="preserve"> the quantity and</w:t>
      </w:r>
      <w:r w:rsidR="00740F7D">
        <w:t xml:space="preserve"> quality </w:t>
      </w:r>
      <w:r w:rsidR="0057129B">
        <w:t>of</w:t>
      </w:r>
      <w:r w:rsidR="00740F7D">
        <w:t xml:space="preserve"> </w:t>
      </w:r>
      <w:r w:rsidR="0057129B">
        <w:t>evaluative feedback</w:t>
      </w:r>
      <w:r w:rsidR="00740F7D" w:rsidRPr="00210D16">
        <w:t xml:space="preserve">. </w:t>
      </w:r>
    </w:p>
    <w:p w:rsidR="00EF02CB" w:rsidRDefault="00EF02CB" w:rsidP="00EF02CB">
      <w:pPr>
        <w:tabs>
          <w:tab w:val="left" w:pos="360"/>
          <w:tab w:val="left" w:pos="720"/>
          <w:tab w:val="left" w:pos="1080"/>
          <w:tab w:val="left" w:pos="1440"/>
          <w:tab w:val="left" w:pos="1800"/>
          <w:tab w:val="left" w:pos="2160"/>
        </w:tabs>
        <w:ind w:left="1080" w:hanging="360"/>
      </w:pPr>
      <w:r>
        <w:t>1.</w:t>
      </w:r>
      <w:r>
        <w:tab/>
      </w:r>
      <w:r w:rsidR="001C5799">
        <w:t>A</w:t>
      </w:r>
      <w:r w:rsidR="00740F7D">
        <w:t xml:space="preserve">dditional </w:t>
      </w:r>
      <w:r w:rsidR="001C5799">
        <w:t xml:space="preserve">and ongoing </w:t>
      </w:r>
      <w:r w:rsidR="00740F7D">
        <w:t xml:space="preserve">training, coaching, and support </w:t>
      </w:r>
      <w:r w:rsidR="001C5799">
        <w:t>should be provided</w:t>
      </w:r>
      <w:r w:rsidR="00740F7D">
        <w:t xml:space="preserve"> to enhance </w:t>
      </w:r>
      <w:r w:rsidR="001C5799">
        <w:t xml:space="preserve">the supervisory practices and </w:t>
      </w:r>
      <w:r w:rsidR="00740F7D">
        <w:t>the</w:t>
      </w:r>
      <w:r w:rsidR="001C5799">
        <w:t xml:space="preserve"> </w:t>
      </w:r>
      <w:r w:rsidR="00740F7D">
        <w:t>evaluative skills</w:t>
      </w:r>
      <w:r w:rsidR="001C5799">
        <w:t xml:space="preserve"> of all administrators and evaluators</w:t>
      </w:r>
      <w:r w:rsidR="00740F7D">
        <w:t>.  Attention should also focus on calibration to improve consistency among all evaluators in the observation, analysis, and written descriptions of classroom instruction and professional practice.</w:t>
      </w:r>
    </w:p>
    <w:p w:rsidR="000867D6" w:rsidRDefault="00381ED8" w:rsidP="00EF02CB">
      <w:pPr>
        <w:tabs>
          <w:tab w:val="left" w:pos="360"/>
          <w:tab w:val="left" w:pos="720"/>
          <w:tab w:val="left" w:pos="1080"/>
          <w:tab w:val="left" w:pos="1440"/>
          <w:tab w:val="left" w:pos="1800"/>
          <w:tab w:val="left" w:pos="2160"/>
        </w:tabs>
        <w:ind w:left="1080" w:hanging="360"/>
      </w:pPr>
      <w:r>
        <w:t>2</w:t>
      </w:r>
      <w:r w:rsidR="000867D6">
        <w:t>.</w:t>
      </w:r>
      <w:r w:rsidR="000867D6">
        <w:tab/>
        <w:t>Evaluators should serves as instructional coaches/mentors to edu</w:t>
      </w:r>
      <w:r w:rsidR="00A61D21">
        <w:t>c</w:t>
      </w:r>
      <w:r w:rsidR="000867D6">
        <w:t>ators, to provide regular feedback that is continuous, frequent, and focused on specific professional practice and skills.</w:t>
      </w:r>
    </w:p>
    <w:p w:rsidR="00A61D21" w:rsidRDefault="00381ED8" w:rsidP="00EF02CB">
      <w:pPr>
        <w:tabs>
          <w:tab w:val="left" w:pos="360"/>
          <w:tab w:val="left" w:pos="720"/>
          <w:tab w:val="left" w:pos="1080"/>
          <w:tab w:val="left" w:pos="1440"/>
          <w:tab w:val="left" w:pos="1800"/>
          <w:tab w:val="left" w:pos="2160"/>
        </w:tabs>
        <w:ind w:left="1080" w:hanging="360"/>
      </w:pPr>
      <w:r>
        <w:t>3</w:t>
      </w:r>
      <w:r w:rsidR="00A61D21">
        <w:t>.</w:t>
      </w:r>
      <w:r w:rsidR="00A61D21">
        <w:tab/>
        <w:t>The district should support and monitor the skills and practices of all evaluators to ensure that they are providing all staff with high-quality instructional feedback that is timely, informative, instructive, and conducive to professional growth and overall effectiveness.</w:t>
      </w:r>
    </w:p>
    <w:p w:rsidR="00A61D21" w:rsidRDefault="00381ED8" w:rsidP="00EF02CB">
      <w:pPr>
        <w:tabs>
          <w:tab w:val="left" w:pos="360"/>
          <w:tab w:val="left" w:pos="720"/>
          <w:tab w:val="left" w:pos="1080"/>
          <w:tab w:val="left" w:pos="1440"/>
          <w:tab w:val="left" w:pos="1800"/>
          <w:tab w:val="left" w:pos="2160"/>
        </w:tabs>
        <w:ind w:left="1080" w:hanging="360"/>
      </w:pPr>
      <w:r>
        <w:t>4</w:t>
      </w:r>
      <w:r w:rsidR="00A61D21">
        <w:t>.</w:t>
      </w:r>
      <w:r w:rsidR="00A61D21">
        <w:tab/>
        <w:t>All administrators should receive ongoing training to observe and to analyze instruction and provide feedback focused directly on practice, growth, and student achievement.</w:t>
      </w:r>
    </w:p>
    <w:p w:rsidR="00740F7D" w:rsidRDefault="00FD60CF" w:rsidP="00EF02CB">
      <w:pPr>
        <w:tabs>
          <w:tab w:val="left" w:pos="360"/>
          <w:tab w:val="left" w:pos="720"/>
          <w:tab w:val="left" w:pos="1080"/>
          <w:tab w:val="left" w:pos="1440"/>
          <w:tab w:val="left" w:pos="1800"/>
          <w:tab w:val="left" w:pos="2160"/>
        </w:tabs>
        <w:ind w:left="720" w:hanging="360"/>
      </w:pPr>
      <w:r>
        <w:rPr>
          <w:b/>
        </w:rPr>
        <w:t>C</w:t>
      </w:r>
      <w:r w:rsidR="00EF02CB" w:rsidRPr="00EF02CB">
        <w:rPr>
          <w:b/>
        </w:rPr>
        <w:t>.</w:t>
      </w:r>
      <w:r>
        <w:t xml:space="preserve">  </w:t>
      </w:r>
      <w:r w:rsidR="006F723A">
        <w:tab/>
      </w:r>
      <w:r w:rsidR="00713F86">
        <w:t xml:space="preserve">In order to implement the requirements of the state educator evaluation regulations, the </w:t>
      </w:r>
      <w:r w:rsidR="00740F7D">
        <w:t>district is urged to take prompt action to</w:t>
      </w:r>
      <w:r w:rsidR="00713F86">
        <w:t>ward</w:t>
      </w:r>
      <w:r w:rsidR="00740F7D">
        <w:t xml:space="preserve"> the </w:t>
      </w:r>
      <w:r w:rsidR="00713F86">
        <w:t>development</w:t>
      </w:r>
      <w:r w:rsidR="00740F7D">
        <w:t xml:space="preserve"> and </w:t>
      </w:r>
      <w:r w:rsidR="00713F86">
        <w:t xml:space="preserve">appropriate </w:t>
      </w:r>
      <w:r w:rsidR="00740F7D">
        <w:t xml:space="preserve">use of multiple </w:t>
      </w:r>
      <w:r w:rsidR="00713F86">
        <w:t>measures of student learning, growth, and achievement</w:t>
      </w:r>
      <w:r w:rsidR="00740F7D" w:rsidRPr="00210D16">
        <w:t>.</w:t>
      </w:r>
    </w:p>
    <w:p w:rsidR="00740F7D" w:rsidRDefault="00740F7D" w:rsidP="009248AB">
      <w:pPr>
        <w:tabs>
          <w:tab w:val="left" w:pos="-90"/>
          <w:tab w:val="left" w:pos="360"/>
          <w:tab w:val="left" w:pos="1080"/>
          <w:tab w:val="left" w:pos="1440"/>
          <w:tab w:val="left" w:pos="1800"/>
          <w:tab w:val="left" w:pos="2160"/>
        </w:tabs>
      </w:pPr>
      <w:r w:rsidRPr="00802336">
        <w:rPr>
          <w:b/>
        </w:rPr>
        <w:t>Benefits</w:t>
      </w:r>
      <w:r>
        <w:t xml:space="preserve">:  </w:t>
      </w:r>
      <w:r w:rsidR="00386849">
        <w:t xml:space="preserve">By </w:t>
      </w:r>
      <w:r w:rsidR="00341484">
        <w:t xml:space="preserve">fully and effectively </w:t>
      </w:r>
      <w:r w:rsidR="00386849">
        <w:t xml:space="preserve">implementing </w:t>
      </w:r>
      <w:r w:rsidR="00341484">
        <w:t xml:space="preserve">all components of </w:t>
      </w:r>
      <w:r w:rsidR="00386849">
        <w:t>t</w:t>
      </w:r>
      <w:r>
        <w:t xml:space="preserve">he state’s </w:t>
      </w:r>
      <w:r w:rsidR="00713F86">
        <w:t>Educator Evaluation Framework</w:t>
      </w:r>
      <w:r w:rsidR="00386849">
        <w:t xml:space="preserve">, the district </w:t>
      </w:r>
      <w:r w:rsidR="00341484">
        <w:t xml:space="preserve">will likely </w:t>
      </w:r>
      <w:r>
        <w:t xml:space="preserve">improve pedagogical practice and expand professional competencies.  </w:t>
      </w:r>
      <w:r w:rsidR="00341484">
        <w:t>Through</w:t>
      </w:r>
      <w:r>
        <w:t xml:space="preserve"> </w:t>
      </w:r>
      <w:r w:rsidR="00341484">
        <w:t xml:space="preserve">the </w:t>
      </w:r>
      <w:r>
        <w:t xml:space="preserve">use of multiple measures of </w:t>
      </w:r>
      <w:r w:rsidR="00341484">
        <w:t>student learning</w:t>
      </w:r>
      <w:r>
        <w:t xml:space="preserve">, the district will </w:t>
      </w:r>
      <w:r w:rsidR="00341484">
        <w:t>likely</w:t>
      </w:r>
      <w:r>
        <w:t xml:space="preserve"> place student learning at the center of all district improvement efforts. </w:t>
      </w:r>
    </w:p>
    <w:p w:rsidR="00740F7D" w:rsidRDefault="00740F7D" w:rsidP="009248AB">
      <w:pPr>
        <w:tabs>
          <w:tab w:val="left" w:pos="360"/>
          <w:tab w:val="left" w:pos="720"/>
          <w:tab w:val="left" w:pos="1080"/>
          <w:tab w:val="left" w:pos="1800"/>
          <w:tab w:val="left" w:pos="2160"/>
        </w:tabs>
        <w:rPr>
          <w:b/>
        </w:rPr>
      </w:pPr>
      <w:r w:rsidRPr="00386849">
        <w:rPr>
          <w:b/>
        </w:rPr>
        <w:t>Recommended resources:</w:t>
      </w:r>
    </w:p>
    <w:p w:rsidR="00AE0E86" w:rsidRPr="00074B4D" w:rsidRDefault="00AE0E86" w:rsidP="00FD60CF">
      <w:pPr>
        <w:pStyle w:val="ListParagraph"/>
        <w:numPr>
          <w:ilvl w:val="0"/>
          <w:numId w:val="55"/>
        </w:numPr>
        <w:tabs>
          <w:tab w:val="left" w:pos="360"/>
          <w:tab w:val="left" w:pos="720"/>
          <w:tab w:val="left" w:pos="1080"/>
          <w:tab w:val="left" w:pos="1800"/>
          <w:tab w:val="left" w:pos="2160"/>
        </w:tabs>
        <w:ind w:left="360"/>
        <w:contextualSpacing w:val="0"/>
      </w:pPr>
      <w:r w:rsidRPr="00FD60CF">
        <w:rPr>
          <w:rFonts w:cs="Calibri"/>
        </w:rPr>
        <w:t>Educator Evaluation Implementation Surveys for Teachers</w:t>
      </w:r>
      <w:r>
        <w:t>: (</w:t>
      </w:r>
      <w:hyperlink r:id="rId31" w:history="1">
        <w:r w:rsidRPr="00872657">
          <w:rPr>
            <w:rStyle w:val="Hyperlink"/>
          </w:rPr>
          <w:t>www.doe.mass.edu/edeval/resources/implementation/TeachersSurvey.pdf</w:t>
        </w:r>
      </w:hyperlink>
      <w:r>
        <w:t xml:space="preserve"> ) and Administrators (</w:t>
      </w:r>
      <w:hyperlink r:id="rId32" w:history="1">
        <w:r w:rsidRPr="00872657">
          <w:rPr>
            <w:rStyle w:val="Hyperlink"/>
          </w:rPr>
          <w:t>www.doe.mass.edu/edeval/resources/implementation/AdministratorsSurvey.pdf</w:t>
        </w:r>
      </w:hyperlink>
      <w:r>
        <w:t>)  are designed to provide schools and districts with feedback about the status of their educator evaluation implementation.  Information from these surveys can be used to target district resources and supports where most needed to strengthen implementation.</w:t>
      </w:r>
    </w:p>
    <w:p w:rsidR="00060EAF" w:rsidRPr="00397A2B" w:rsidRDefault="00FD60CF" w:rsidP="00FD60CF">
      <w:pPr>
        <w:pStyle w:val="ListParagraph"/>
        <w:numPr>
          <w:ilvl w:val="0"/>
          <w:numId w:val="5"/>
        </w:numPr>
        <w:tabs>
          <w:tab w:val="left" w:pos="240"/>
          <w:tab w:val="left" w:pos="270"/>
          <w:tab w:val="left" w:pos="1080"/>
          <w:tab w:val="left" w:pos="1440"/>
          <w:tab w:val="left" w:pos="1800"/>
          <w:tab w:val="left" w:pos="2160"/>
          <w:tab w:val="left" w:pos="2520"/>
          <w:tab w:val="left" w:pos="2880"/>
        </w:tabs>
        <w:ind w:left="360"/>
        <w:contextualSpacing w:val="0"/>
        <w:rPr>
          <w:rFonts w:eastAsia="Times New Roman" w:cs="Times New Roman"/>
          <w:color w:val="000000" w:themeColor="text1"/>
        </w:rPr>
      </w:pPr>
      <w:r>
        <w:t xml:space="preserve">   </w:t>
      </w:r>
      <w:r w:rsidR="00060EAF" w:rsidRPr="00DA326D">
        <w:rPr>
          <w:rFonts w:eastAsia="Times New Roman" w:cs="Calibri"/>
        </w:rPr>
        <w:t xml:space="preserve">ESE’s </w:t>
      </w:r>
      <w:r w:rsidR="00060EAF" w:rsidRPr="00DA326D">
        <w:rPr>
          <w:rFonts w:eastAsia="Times New Roman" w:cs="Calibri"/>
          <w:i/>
        </w:rPr>
        <w:t>"What to Look For" Observation Guides</w:t>
      </w:r>
      <w:r w:rsidR="00060EAF" w:rsidRPr="00DA326D">
        <w:rPr>
          <w:rFonts w:eastAsia="Times New Roman" w:cs="Calibri"/>
        </w:rPr>
        <w:t xml:space="preserve"> (</w:t>
      </w:r>
      <w:hyperlink r:id="rId33" w:history="1">
        <w:r w:rsidR="00060EAF" w:rsidRPr="00DA326D">
          <w:rPr>
            <w:rFonts w:eastAsia="Times New Roman" w:cs="Calibri"/>
            <w:color w:val="0000FF"/>
            <w:u w:val="single"/>
          </w:rPr>
          <w:t>http://www.doe.mass.edu/candi/observation/</w:t>
        </w:r>
      </w:hyperlink>
      <w:r w:rsidR="00060EAF" w:rsidRPr="00DA326D">
        <w:rPr>
          <w:rFonts w:eastAsia="Times New Roman" w:cs="Calibri"/>
        </w:rPr>
        <w:t xml:space="preserve">) describe what observers should expect to see in a classroom at a particular grade level in a specific subject area. This includes the knowledge and skills students should be learning and using (as reflected in state learning standards) and best practices related to classroom curriculum, instruction, </w:t>
      </w:r>
      <w:r w:rsidR="00060EAF" w:rsidRPr="00DA326D">
        <w:rPr>
          <w:rFonts w:eastAsia="Times New Roman" w:cs="Calibri"/>
        </w:rPr>
        <w:lastRenderedPageBreak/>
        <w:t xml:space="preserve">and assessment for each subject area. The guides are not designed to replace any evaluation system or tools districts currently use, but are a resource to help classroom observers efficiently identify what teachers </w:t>
      </w:r>
      <w:r w:rsidR="00060EAF">
        <w:t>and students should be experiencing in specific subjects and grade levels.</w:t>
      </w:r>
    </w:p>
    <w:p w:rsidR="00C45877" w:rsidRPr="00910462" w:rsidRDefault="00397A2B" w:rsidP="00FD60CF">
      <w:pPr>
        <w:pStyle w:val="ListParagraph"/>
        <w:numPr>
          <w:ilvl w:val="0"/>
          <w:numId w:val="5"/>
        </w:numPr>
        <w:tabs>
          <w:tab w:val="left" w:pos="240"/>
          <w:tab w:val="left" w:pos="270"/>
          <w:tab w:val="left" w:pos="1080"/>
          <w:tab w:val="left" w:pos="1440"/>
          <w:tab w:val="left" w:pos="1800"/>
          <w:tab w:val="left" w:pos="2160"/>
          <w:tab w:val="left" w:pos="2520"/>
          <w:tab w:val="left" w:pos="2880"/>
        </w:tabs>
        <w:ind w:left="360"/>
        <w:contextualSpacing w:val="0"/>
        <w:rPr>
          <w:rFonts w:cs="Calibri"/>
        </w:rPr>
      </w:pPr>
      <w:r>
        <w:rPr>
          <w:rFonts w:eastAsia="Times New Roman" w:cs="Times New Roman"/>
          <w:color w:val="000000" w:themeColor="text1"/>
        </w:rPr>
        <w:t xml:space="preserve">   </w:t>
      </w:r>
      <w:r w:rsidR="00C45877" w:rsidRPr="00910462">
        <w:rPr>
          <w:rFonts w:cs="Calibri"/>
        </w:rPr>
        <w:t xml:space="preserve">ESE’s </w:t>
      </w:r>
      <w:r w:rsidR="00C45877" w:rsidRPr="00910462">
        <w:rPr>
          <w:rFonts w:cs="Calibri"/>
          <w:i/>
        </w:rPr>
        <w:t>Online Calibration Training Tool</w:t>
      </w:r>
      <w:r w:rsidR="00C45877" w:rsidRPr="00910462">
        <w:rPr>
          <w:rFonts w:cs="Calibri"/>
        </w:rPr>
        <w:t xml:space="preserve"> (</w:t>
      </w:r>
      <w:hyperlink r:id="rId34" w:tgtFrame="_blank" w:history="1">
        <w:r w:rsidR="00C45877" w:rsidRPr="00910462">
          <w:rPr>
            <w:rStyle w:val="Hyperlink"/>
            <w:rFonts w:cs="Tahoma"/>
          </w:rPr>
          <w:t>http://www.doe.mass.edu/edeval/resources/calibration/tool/</w:t>
        </w:r>
      </w:hyperlink>
      <w:r w:rsidR="00C45877" w:rsidRPr="00910462">
        <w:rPr>
          <w:rFonts w:cs="Calibri"/>
        </w:rPr>
        <w:t>) uses videos of classroom instruction from ESE’s Calibration Video Library to simulate brief, unannounced observations. Groups of educators, such as a district leadership team, watch a video together and then individually assess the educator’s practice related to specific elements from the Model Classroom Teacher Rubric and provide the educator with written feedback. Through real-time data displays, the group members can then see how their conclusions compare to each other, as well educators throughout the state.</w:t>
      </w:r>
    </w:p>
    <w:p w:rsidR="00740F7D" w:rsidRPr="00386849" w:rsidRDefault="00386849" w:rsidP="00386849">
      <w:pPr>
        <w:tabs>
          <w:tab w:val="left" w:pos="0"/>
          <w:tab w:val="left" w:pos="360"/>
          <w:tab w:val="left" w:pos="1080"/>
          <w:tab w:val="left" w:pos="1440"/>
          <w:tab w:val="left" w:pos="1800"/>
          <w:tab w:val="left" w:pos="2160"/>
        </w:tabs>
        <w:ind w:left="360" w:hanging="360"/>
        <w:rPr>
          <w:b/>
        </w:rPr>
      </w:pPr>
      <w:r>
        <w:rPr>
          <w:b/>
        </w:rPr>
        <w:t>2.</w:t>
      </w:r>
      <w:r>
        <w:rPr>
          <w:b/>
        </w:rPr>
        <w:tab/>
      </w:r>
      <w:r w:rsidR="00740F7D" w:rsidRPr="00386849">
        <w:rPr>
          <w:b/>
        </w:rPr>
        <w:t xml:space="preserve">The district should continue to move forward with its efforts to develop a </w:t>
      </w:r>
      <w:r w:rsidR="00701867">
        <w:rPr>
          <w:b/>
        </w:rPr>
        <w:t>high-quality professional development</w:t>
      </w:r>
      <w:r w:rsidR="00701867" w:rsidRPr="00386849">
        <w:rPr>
          <w:b/>
        </w:rPr>
        <w:t xml:space="preserve"> </w:t>
      </w:r>
      <w:r w:rsidR="00740F7D" w:rsidRPr="00386849">
        <w:rPr>
          <w:b/>
        </w:rPr>
        <w:t xml:space="preserve">program, focusing particular attention on </w:t>
      </w:r>
      <w:r w:rsidR="00701867">
        <w:rPr>
          <w:b/>
        </w:rPr>
        <w:t xml:space="preserve">providing </w:t>
      </w:r>
      <w:r w:rsidR="00312A2F">
        <w:rPr>
          <w:b/>
        </w:rPr>
        <w:t>sufficient time</w:t>
      </w:r>
      <w:r w:rsidR="00701867">
        <w:rPr>
          <w:b/>
        </w:rPr>
        <w:t xml:space="preserve"> </w:t>
      </w:r>
      <w:r w:rsidR="00312A2F">
        <w:rPr>
          <w:b/>
        </w:rPr>
        <w:t>for professional development programs</w:t>
      </w:r>
      <w:r w:rsidR="00701867">
        <w:rPr>
          <w:b/>
        </w:rPr>
        <w:t xml:space="preserve"> and enhancing </w:t>
      </w:r>
      <w:r w:rsidR="00312A2F">
        <w:rPr>
          <w:b/>
        </w:rPr>
        <w:t xml:space="preserve">teachers’ </w:t>
      </w:r>
      <w:r w:rsidR="00701867">
        <w:rPr>
          <w:b/>
        </w:rPr>
        <w:t>involvement in professional development programming</w:t>
      </w:r>
      <w:r w:rsidR="00740F7D" w:rsidRPr="00386849">
        <w:rPr>
          <w:b/>
        </w:rPr>
        <w:t xml:space="preserve">. </w:t>
      </w:r>
      <w:r w:rsidR="00740F7D" w:rsidRPr="00386849">
        <w:rPr>
          <w:b/>
        </w:rPr>
        <w:tab/>
      </w:r>
      <w:r w:rsidR="00740F7D" w:rsidRPr="00F06EED">
        <w:t xml:space="preserve"> </w:t>
      </w:r>
    </w:p>
    <w:p w:rsidR="00740F7D" w:rsidRDefault="00740F7D" w:rsidP="00386849">
      <w:pPr>
        <w:pStyle w:val="ListParagraph"/>
        <w:numPr>
          <w:ilvl w:val="0"/>
          <w:numId w:val="37"/>
        </w:numPr>
        <w:tabs>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s>
        <w:contextualSpacing w:val="0"/>
      </w:pPr>
      <w:r>
        <w:t>The district should consider modifying the role and composition of the P</w:t>
      </w:r>
      <w:r w:rsidR="007502E0">
        <w:t xml:space="preserve">rofessional </w:t>
      </w:r>
      <w:r>
        <w:t>D</w:t>
      </w:r>
      <w:r w:rsidR="007502E0">
        <w:t>evelopment (PD)</w:t>
      </w:r>
      <w:r>
        <w:t xml:space="preserve"> council so that it meets regularly, includes more teacher</w:t>
      </w:r>
      <w:r w:rsidR="007502E0">
        <w:t>s</w:t>
      </w:r>
      <w:r>
        <w:t xml:space="preserve">, and </w:t>
      </w:r>
      <w:r w:rsidR="007502E0">
        <w:t>uses systematic and inclusive practices to solicit teachers’ input</w:t>
      </w:r>
      <w:r>
        <w:t xml:space="preserve"> and </w:t>
      </w:r>
      <w:r w:rsidR="007502E0">
        <w:t>involvement in developing, delivering, and evaluating PD</w:t>
      </w:r>
      <w:r>
        <w:t xml:space="preserve">.  </w:t>
      </w:r>
    </w:p>
    <w:p w:rsidR="00BF175B" w:rsidRDefault="00BF175B" w:rsidP="00386849">
      <w:pPr>
        <w:pStyle w:val="ListParagraph"/>
        <w:numPr>
          <w:ilvl w:val="0"/>
          <w:numId w:val="37"/>
        </w:numPr>
        <w:tabs>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s>
        <w:contextualSpacing w:val="0"/>
      </w:pPr>
      <w:r>
        <w:t xml:space="preserve">The district should identify schools in which </w:t>
      </w:r>
      <w:r w:rsidR="00D54856">
        <w:t xml:space="preserve">principals effectively engage </w:t>
      </w:r>
      <w:r>
        <w:t xml:space="preserve">teachers </w:t>
      </w:r>
      <w:r w:rsidR="00D54856">
        <w:t>in planning, delivering, and participating in</w:t>
      </w:r>
      <w:r>
        <w:t xml:space="preserve"> PD, and </w:t>
      </w:r>
      <w:r w:rsidR="00D54856">
        <w:t>provide opportunities for principals from other schools to learn about these practices.</w:t>
      </w:r>
    </w:p>
    <w:p w:rsidR="00740F7D" w:rsidRDefault="00616C00" w:rsidP="00386849">
      <w:pPr>
        <w:pStyle w:val="ListParagraph"/>
        <w:numPr>
          <w:ilvl w:val="0"/>
          <w:numId w:val="37"/>
        </w:numPr>
        <w:tabs>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s>
        <w:contextualSpacing w:val="0"/>
      </w:pPr>
      <w:r>
        <w:t>T</w:t>
      </w:r>
      <w:r w:rsidR="00740F7D">
        <w:t>he district calendar and master schedules of all schools</w:t>
      </w:r>
      <w:r>
        <w:t xml:space="preserve"> should </w:t>
      </w:r>
      <w:r w:rsidR="004478F1">
        <w:t xml:space="preserve">include </w:t>
      </w:r>
      <w:r w:rsidR="007502E0">
        <w:t>sufficient</w:t>
      </w:r>
      <w:r w:rsidR="00386849">
        <w:t xml:space="preserve"> time to </w:t>
      </w:r>
      <w:r w:rsidR="007502E0">
        <w:t xml:space="preserve">support </w:t>
      </w:r>
      <w:r w:rsidR="00386849">
        <w:t>PD programs and activities</w:t>
      </w:r>
      <w:r w:rsidR="00740F7D">
        <w:t xml:space="preserve">.  </w:t>
      </w:r>
    </w:p>
    <w:p w:rsidR="00740F7D" w:rsidRDefault="00740F7D" w:rsidP="009248AB">
      <w:pPr>
        <w:tabs>
          <w:tab w:val="left" w:pos="360"/>
          <w:tab w:val="left" w:pos="720"/>
          <w:tab w:val="left" w:pos="1080"/>
          <w:tab w:val="left" w:pos="1440"/>
          <w:tab w:val="left" w:pos="1800"/>
          <w:tab w:val="left" w:pos="2160"/>
        </w:tabs>
      </w:pPr>
      <w:r w:rsidRPr="00802336">
        <w:rPr>
          <w:b/>
        </w:rPr>
        <w:t>Benefits</w:t>
      </w:r>
      <w:r>
        <w:t xml:space="preserve">:  </w:t>
      </w:r>
      <w:r w:rsidR="00312A2F">
        <w:t xml:space="preserve">Increased </w:t>
      </w:r>
      <w:r>
        <w:t xml:space="preserve">opportunities for teachers to become more actively and formally involved in the </w:t>
      </w:r>
      <w:r w:rsidR="00335E95">
        <w:t>professional development (</w:t>
      </w:r>
      <w:r>
        <w:t>PD</w:t>
      </w:r>
      <w:r w:rsidR="00335E95">
        <w:t>)</w:t>
      </w:r>
      <w:r>
        <w:t xml:space="preserve"> process </w:t>
      </w:r>
      <w:r w:rsidR="00312A2F">
        <w:t xml:space="preserve">will </w:t>
      </w:r>
      <w:r w:rsidR="00892710">
        <w:t xml:space="preserve">likely </w:t>
      </w:r>
      <w:r>
        <w:t>contribute to the creation of a</w:t>
      </w:r>
      <w:r w:rsidR="00916A52">
        <w:t xml:space="preserve"> </w:t>
      </w:r>
      <w:r>
        <w:t xml:space="preserve">professional learning community and promote a model of shared leadership within the district.  Involving teachers more directly in PD governance and decision making, at both the district and school levels, </w:t>
      </w:r>
      <w:r w:rsidR="00335E95">
        <w:t xml:space="preserve">will likely </w:t>
      </w:r>
      <w:r>
        <w:t>enhance their sense of ownership and increase their support and active participation in PD initiatives and programming, as well as promote a culture of professional growth, collaboration, and continuous improvement</w:t>
      </w:r>
      <w:r w:rsidR="00312A2F">
        <w:t>.</w:t>
      </w:r>
    </w:p>
    <w:p w:rsidR="00740F7D" w:rsidRDefault="00740F7D" w:rsidP="009248AB">
      <w:pPr>
        <w:tabs>
          <w:tab w:val="left" w:pos="360"/>
          <w:tab w:val="left" w:pos="720"/>
          <w:tab w:val="left" w:pos="1080"/>
          <w:tab w:val="left" w:pos="1800"/>
          <w:tab w:val="left" w:pos="2160"/>
        </w:tabs>
        <w:rPr>
          <w:b/>
        </w:rPr>
      </w:pPr>
      <w:r w:rsidRPr="001D4EB6">
        <w:rPr>
          <w:b/>
        </w:rPr>
        <w:t>Recommended resources:</w:t>
      </w:r>
    </w:p>
    <w:p w:rsidR="0047041E" w:rsidRDefault="008B0CD3" w:rsidP="0047041E">
      <w:pPr>
        <w:pStyle w:val="ListParagraph"/>
        <w:numPr>
          <w:ilvl w:val="0"/>
          <w:numId w:val="47"/>
        </w:numPr>
        <w:tabs>
          <w:tab w:val="left" w:pos="720"/>
          <w:tab w:val="left" w:pos="1080"/>
          <w:tab w:val="left" w:pos="1800"/>
          <w:tab w:val="left" w:pos="2160"/>
        </w:tabs>
        <w:ind w:left="360"/>
        <w:contextualSpacing w:val="0"/>
      </w:pPr>
      <w:r w:rsidRPr="00910462">
        <w:rPr>
          <w:rFonts w:cs="Calibri"/>
        </w:rPr>
        <w:t>ESE’s</w:t>
      </w:r>
      <w:r w:rsidRPr="00910462">
        <w:rPr>
          <w:rFonts w:cs="Calibri"/>
          <w:i/>
        </w:rPr>
        <w:t xml:space="preserve"> Professional Development Self- Assessment Guidebook</w:t>
      </w:r>
      <w:r w:rsidRPr="00910462">
        <w:t xml:space="preserve"> </w:t>
      </w:r>
      <w:r>
        <w:t>(</w:t>
      </w:r>
      <w:hyperlink r:id="rId35" w:history="1">
        <w:r w:rsidR="00740F7D" w:rsidRPr="00815D33">
          <w:rPr>
            <w:rStyle w:val="Hyperlink"/>
          </w:rPr>
          <w:t>www.mass.gov/edu/docs/ese/accountability/dsac/professional-development-self-assessment-guide.pdf</w:t>
        </w:r>
      </w:hyperlink>
      <w:r>
        <w:t xml:space="preserve">) </w:t>
      </w:r>
      <w:r w:rsidR="00740F7D">
        <w:t xml:space="preserve">provides tools for analyzing </w:t>
      </w:r>
      <w:r>
        <w:t xml:space="preserve">professional development </w:t>
      </w:r>
      <w:r w:rsidR="00740F7D">
        <w:t xml:space="preserve">offerings’ alignment with </w:t>
      </w:r>
      <w:r>
        <w:t>the Massachusetts Standards for Professional Development</w:t>
      </w:r>
      <w:r w:rsidR="00740F7D">
        <w:t>, the Educator Evaluation Framework, and the Standards and Indicators of Effective Practice.</w:t>
      </w:r>
    </w:p>
    <w:p w:rsidR="0047041E" w:rsidRDefault="008B0CD3" w:rsidP="0047041E">
      <w:pPr>
        <w:pStyle w:val="ListParagraph"/>
        <w:numPr>
          <w:ilvl w:val="0"/>
          <w:numId w:val="47"/>
        </w:numPr>
        <w:tabs>
          <w:tab w:val="left" w:pos="720"/>
          <w:tab w:val="left" w:pos="1080"/>
          <w:tab w:val="left" w:pos="1800"/>
          <w:tab w:val="left" w:pos="2160"/>
        </w:tabs>
        <w:ind w:left="360"/>
        <w:contextualSpacing w:val="0"/>
      </w:pPr>
      <w:r w:rsidRPr="00910462">
        <w:rPr>
          <w:i/>
        </w:rPr>
        <w:lastRenderedPageBreak/>
        <w:t>The Massachusetts Standards for Professional Development</w:t>
      </w:r>
      <w:r w:rsidRPr="00910462">
        <w:t xml:space="preserve"> </w:t>
      </w:r>
      <w:r>
        <w:t>(</w:t>
      </w:r>
      <w:hyperlink r:id="rId36" w:history="1">
        <w:r w:rsidR="00740F7D" w:rsidRPr="00815D33">
          <w:rPr>
            <w:rStyle w:val="Hyperlink"/>
          </w:rPr>
          <w:t>www.doe.mass.edu/pd/standards.pdf</w:t>
        </w:r>
      </w:hyperlink>
      <w:r>
        <w:t>)</w:t>
      </w:r>
      <w:r w:rsidR="009C7E15">
        <w:t xml:space="preserve"> </w:t>
      </w:r>
      <w:r w:rsidR="00740F7D">
        <w:t>describe, identify, and characterize what high quality learning experiences for educators should look like.</w:t>
      </w:r>
    </w:p>
    <w:p w:rsidR="0047041E" w:rsidRDefault="008B0CD3" w:rsidP="0047041E">
      <w:pPr>
        <w:pStyle w:val="ListParagraph"/>
        <w:numPr>
          <w:ilvl w:val="0"/>
          <w:numId w:val="47"/>
        </w:numPr>
        <w:tabs>
          <w:tab w:val="left" w:pos="720"/>
          <w:tab w:val="left" w:pos="1080"/>
          <w:tab w:val="left" w:pos="1800"/>
          <w:tab w:val="left" w:pos="2160"/>
        </w:tabs>
        <w:ind w:left="360"/>
        <w:contextualSpacing w:val="0"/>
      </w:pPr>
      <w:r w:rsidRPr="00910462">
        <w:rPr>
          <w:i/>
        </w:rPr>
        <w:t>Identifying Meaningful Professional Development</w:t>
      </w:r>
      <w:r w:rsidRPr="00910462">
        <w:t xml:space="preserve"> </w:t>
      </w:r>
      <w:r>
        <w:t>(</w:t>
      </w:r>
      <w:hyperlink r:id="rId37" w:history="1">
        <w:r w:rsidR="00740F7D" w:rsidRPr="00815D33">
          <w:rPr>
            <w:rStyle w:val="Hyperlink"/>
          </w:rPr>
          <w:t>https://youtube/zhuFio08GbQ</w:t>
        </w:r>
      </w:hyperlink>
      <w:r>
        <w:t>)</w:t>
      </w:r>
      <w:r w:rsidR="00740F7D">
        <w:t xml:space="preserve">  is a video in which educators from three </w:t>
      </w:r>
      <w:r>
        <w:t xml:space="preserve">Massachusetts </w:t>
      </w:r>
      <w:r w:rsidR="00740F7D">
        <w:t xml:space="preserve">districts discuss the importance of targeted, meaningful </w:t>
      </w:r>
      <w:r>
        <w:t>professional development (</w:t>
      </w:r>
      <w:r w:rsidR="00740F7D">
        <w:t>PD</w:t>
      </w:r>
      <w:r>
        <w:t>)</w:t>
      </w:r>
      <w:r w:rsidR="00740F7D">
        <w:t xml:space="preserve"> and the ways districts can use the evaluation process to identify the most effective PD supports for all educators.</w:t>
      </w:r>
    </w:p>
    <w:p w:rsidR="007A19A3" w:rsidRDefault="007A19A3" w:rsidP="007A19A3">
      <w:pPr>
        <w:pStyle w:val="Section"/>
      </w:pPr>
      <w:bookmarkStart w:id="14" w:name="_Toc484611576"/>
      <w:r>
        <w:lastRenderedPageBreak/>
        <w:t>Student Support</w:t>
      </w:r>
      <w:bookmarkEnd w:id="14"/>
    </w:p>
    <w:p w:rsidR="007A19A3" w:rsidRDefault="007A19A3" w:rsidP="007A19A3">
      <w:pPr>
        <w:rPr>
          <w:b/>
          <w:i/>
          <w:sz w:val="28"/>
          <w:szCs w:val="28"/>
        </w:rPr>
      </w:pPr>
      <w:r w:rsidRPr="00C412C4">
        <w:rPr>
          <w:b/>
          <w:i/>
          <w:sz w:val="28"/>
          <w:szCs w:val="28"/>
        </w:rPr>
        <w:t>Contextual Background</w:t>
      </w:r>
    </w:p>
    <w:p w:rsidR="00205E2A" w:rsidRDefault="00205E2A" w:rsidP="00205E2A">
      <w:pPr>
        <w:pStyle w:val="CommentText"/>
        <w:spacing w:line="276" w:lineRule="auto"/>
        <w:rPr>
          <w:sz w:val="22"/>
          <w:szCs w:val="22"/>
        </w:rPr>
      </w:pPr>
      <w:r>
        <w:rPr>
          <w:sz w:val="22"/>
          <w:szCs w:val="22"/>
        </w:rPr>
        <w:t>As is typical of large, urban districts in the Commonwealth, the diversity of the student population in Worcester presents both opportunities and challenges to educators.  In the 2016</w:t>
      </w:r>
      <w:r w:rsidR="00A268B9">
        <w:rPr>
          <w:sz w:val="22"/>
          <w:szCs w:val="22"/>
        </w:rPr>
        <w:t>–</w:t>
      </w:r>
      <w:r>
        <w:rPr>
          <w:sz w:val="22"/>
          <w:szCs w:val="22"/>
        </w:rPr>
        <w:t xml:space="preserve">2017 school year, 76.3 percent of students fall in the high-needs subgroup because they are in one or more of the following groups: </w:t>
      </w:r>
      <w:r w:rsidR="00B14818">
        <w:rPr>
          <w:sz w:val="22"/>
          <w:szCs w:val="22"/>
        </w:rPr>
        <w:t xml:space="preserve">students from </w:t>
      </w:r>
      <w:r>
        <w:rPr>
          <w:sz w:val="22"/>
          <w:szCs w:val="22"/>
        </w:rPr>
        <w:t xml:space="preserve">economically disadvantaged </w:t>
      </w:r>
      <w:r w:rsidR="00B14818">
        <w:rPr>
          <w:sz w:val="22"/>
          <w:szCs w:val="22"/>
        </w:rPr>
        <w:t>families</w:t>
      </w:r>
      <w:r>
        <w:rPr>
          <w:sz w:val="22"/>
          <w:szCs w:val="22"/>
        </w:rPr>
        <w:t xml:space="preserve">, students with disabilities, and English language learners (ELLs) or former ELL students.  </w:t>
      </w:r>
    </w:p>
    <w:p w:rsidR="00205E2A" w:rsidRDefault="00205E2A" w:rsidP="00205E2A">
      <w:pPr>
        <w:rPr>
          <w:rFonts w:ascii="Calibri" w:hAnsi="Calibri"/>
          <w:color w:val="222222"/>
          <w:shd w:val="clear" w:color="auto" w:fill="FFFFFF"/>
        </w:rPr>
      </w:pPr>
      <w:r>
        <w:rPr>
          <w:rFonts w:ascii="Calibri" w:hAnsi="Calibri"/>
          <w:color w:val="222222"/>
          <w:shd w:val="clear" w:color="auto" w:fill="FFFFFF"/>
        </w:rPr>
        <w:t>Many students come to school each day with high programmatic and support needs. For example, students with disabilities in the district represent 18.8 percent of the total student population, compared with 17.4 percent of the state; English language learners make up 34.2 percent of enrollment, compared with 9.5 percent across the state; 53.5 percent of students do not have English as their first language (FLNE), compared with 20.1 percent of the state; and 57.2 percent of students come from economically disadvantaged households, compared with 30.2 percent across the state.</w:t>
      </w:r>
    </w:p>
    <w:p w:rsidR="00F35621" w:rsidRDefault="00205E2A" w:rsidP="00F35621">
      <w:pPr>
        <w:tabs>
          <w:tab w:val="left" w:pos="360"/>
          <w:tab w:val="left" w:pos="1080"/>
          <w:tab w:val="left" w:pos="1440"/>
          <w:tab w:val="left" w:pos="1800"/>
          <w:tab w:val="left" w:pos="2160"/>
        </w:tabs>
        <w:rPr>
          <w:rFonts w:ascii="Calibri" w:hAnsi="Calibri"/>
          <w:color w:val="222222"/>
          <w:shd w:val="clear" w:color="auto" w:fill="FFFFFF"/>
        </w:rPr>
      </w:pPr>
      <w:r>
        <w:t xml:space="preserve">In its current three-year vision, the district has recommitted itself to address students’ diverse academic and social-emotional needs and has affirmed that the schools support students and families and that district services support the schools.  To help meet that goal, </w:t>
      </w:r>
      <w:r w:rsidR="00F35621">
        <w:rPr>
          <w:rFonts w:ascii="Calibri" w:hAnsi="Calibri"/>
          <w:color w:val="222222"/>
          <w:shd w:val="clear" w:color="auto" w:fill="FFFFFF"/>
        </w:rPr>
        <w:t>in the 2016</w:t>
      </w:r>
      <w:r w:rsidR="00A268B9">
        <w:rPr>
          <w:rFonts w:ascii="Calibri" w:hAnsi="Calibri"/>
          <w:color w:val="222222"/>
          <w:shd w:val="clear" w:color="auto" w:fill="FFFFFF"/>
        </w:rPr>
        <w:t>–2017</w:t>
      </w:r>
      <w:r w:rsidR="00F35621">
        <w:rPr>
          <w:rFonts w:ascii="Calibri" w:hAnsi="Calibri"/>
          <w:color w:val="222222"/>
          <w:shd w:val="clear" w:color="auto" w:fill="FFFFFF"/>
        </w:rPr>
        <w:t xml:space="preserve"> school year </w:t>
      </w:r>
      <w:r>
        <w:t xml:space="preserve">the </w:t>
      </w:r>
      <w:r>
        <w:rPr>
          <w:rFonts w:ascii="Calibri" w:hAnsi="Calibri"/>
          <w:color w:val="222222"/>
          <w:shd w:val="clear" w:color="auto" w:fill="FFFFFF"/>
        </w:rPr>
        <w:t xml:space="preserve">district created a position of manager of social emotional learning.  At the time of the site visit in January 2017, the new manager was acclimating to her role and exploring potential program and service provisions for students’ needs.  </w:t>
      </w:r>
      <w:r w:rsidR="00F35621">
        <w:rPr>
          <w:rFonts w:ascii="Calibri" w:hAnsi="Calibri"/>
          <w:color w:val="222222"/>
          <w:shd w:val="clear" w:color="auto" w:fill="FFFFFF"/>
        </w:rPr>
        <w:t>Also in its recent reorganization, the district redefined a district-level position to focus primarily on English language learners</w:t>
      </w:r>
      <w:r w:rsidR="00D7570C">
        <w:rPr>
          <w:rFonts w:ascii="Calibri" w:hAnsi="Calibri"/>
          <w:color w:val="222222"/>
          <w:shd w:val="clear" w:color="auto" w:fill="FFFFFF"/>
        </w:rPr>
        <w:t>,</w:t>
      </w:r>
      <w:r w:rsidR="00F35621">
        <w:rPr>
          <w:rFonts w:ascii="Calibri" w:hAnsi="Calibri"/>
          <w:color w:val="222222"/>
          <w:shd w:val="clear" w:color="auto" w:fill="FFFFFF"/>
        </w:rPr>
        <w:t xml:space="preserve"> and has provided ongoing professional development on Sheltered English Immersion (SEI).  For the first half of the 2016</w:t>
      </w:r>
      <w:r w:rsidR="00A268B9">
        <w:rPr>
          <w:rFonts w:ascii="Calibri" w:hAnsi="Calibri"/>
          <w:color w:val="222222"/>
          <w:shd w:val="clear" w:color="auto" w:fill="FFFFFF"/>
        </w:rPr>
        <w:t>–</w:t>
      </w:r>
      <w:r w:rsidR="00F35621">
        <w:rPr>
          <w:rFonts w:ascii="Calibri" w:hAnsi="Calibri"/>
          <w:color w:val="222222"/>
          <w:shd w:val="clear" w:color="auto" w:fill="FFFFFF"/>
        </w:rPr>
        <w:t xml:space="preserve">2017 academic year, the new manager of English language learners (ELLs) has focused on gathering data to better understand the </w:t>
      </w:r>
      <w:r w:rsidR="008F6067">
        <w:rPr>
          <w:rFonts w:ascii="Calibri" w:hAnsi="Calibri"/>
          <w:color w:val="222222"/>
          <w:shd w:val="clear" w:color="auto" w:fill="FFFFFF"/>
        </w:rPr>
        <w:t>profile</w:t>
      </w:r>
      <w:r w:rsidR="00F35621">
        <w:rPr>
          <w:rFonts w:ascii="Calibri" w:hAnsi="Calibri"/>
          <w:color w:val="222222"/>
          <w:shd w:val="clear" w:color="auto" w:fill="FFFFFF"/>
        </w:rPr>
        <w:t xml:space="preserve"> of ELLs</w:t>
      </w:r>
      <w:r w:rsidR="00F35621">
        <w:rPr>
          <w:rFonts w:ascii="Calibri" w:hAnsi="Calibri"/>
          <w:color w:val="222222"/>
          <w:shd w:val="clear" w:color="auto" w:fill="FFFFFF"/>
        </w:rPr>
        <w:softHyphen/>
      </w:r>
      <w:r w:rsidR="00F35621">
        <w:rPr>
          <w:rFonts w:ascii="Calibri" w:hAnsi="Calibri"/>
          <w:color w:val="222222"/>
          <w:shd w:val="clear" w:color="auto" w:fill="FFFFFF"/>
        </w:rPr>
        <w:softHyphen/>
      </w:r>
      <w:r w:rsidR="00F35621">
        <w:rPr>
          <w:rFonts w:ascii="Calibri" w:hAnsi="Calibri"/>
          <w:color w:val="222222"/>
          <w:shd w:val="clear" w:color="auto" w:fill="FFFFFF"/>
        </w:rPr>
        <w:softHyphen/>
      </w:r>
      <w:r w:rsidR="00F35621">
        <w:rPr>
          <w:rFonts w:ascii="Calibri" w:hAnsi="Calibri"/>
          <w:color w:val="222222"/>
          <w:shd w:val="clear" w:color="auto" w:fill="FFFFFF"/>
        </w:rPr>
        <w:softHyphen/>
      </w:r>
      <w:r w:rsidR="00F35621">
        <w:rPr>
          <w:rFonts w:ascii="Calibri" w:hAnsi="Calibri"/>
          <w:color w:val="222222"/>
          <w:shd w:val="clear" w:color="auto" w:fill="FFFFFF"/>
        </w:rPr>
        <w:softHyphen/>
      </w:r>
      <w:r w:rsidR="00F35621">
        <w:rPr>
          <w:rFonts w:ascii="Calibri" w:hAnsi="Calibri"/>
          <w:color w:val="222222"/>
          <w:shd w:val="clear" w:color="auto" w:fill="FFFFFF"/>
        </w:rPr>
        <w:softHyphen/>
        <w:t>--</w:t>
      </w:r>
      <w:r w:rsidR="00F35621">
        <w:rPr>
          <w:rFonts w:ascii="Calibri" w:hAnsi="Calibri"/>
          <w:color w:val="222222"/>
          <w:shd w:val="clear" w:color="auto" w:fill="FFFFFF"/>
        </w:rPr>
        <w:softHyphen/>
      </w:r>
      <w:r w:rsidR="00D7570C">
        <w:rPr>
          <w:rFonts w:ascii="Calibri" w:hAnsi="Calibri"/>
          <w:color w:val="222222"/>
          <w:shd w:val="clear" w:color="auto" w:fill="FFFFFF"/>
        </w:rPr>
        <w:t>-</w:t>
      </w:r>
      <w:r w:rsidR="00F35621">
        <w:rPr>
          <w:rFonts w:ascii="Calibri" w:hAnsi="Calibri"/>
          <w:color w:val="222222"/>
          <w:shd w:val="clear" w:color="auto" w:fill="FFFFFF"/>
        </w:rPr>
        <w:t>who they are, where they are located, and what their needs are.  The goal is to more accurately defin</w:t>
      </w:r>
      <w:r w:rsidR="0040447F">
        <w:rPr>
          <w:rFonts w:ascii="Calibri" w:hAnsi="Calibri"/>
          <w:color w:val="222222"/>
          <w:shd w:val="clear" w:color="auto" w:fill="FFFFFF"/>
        </w:rPr>
        <w:t>e</w:t>
      </w:r>
      <w:r w:rsidR="00F35621">
        <w:rPr>
          <w:rFonts w:ascii="Calibri" w:hAnsi="Calibri"/>
          <w:color w:val="222222"/>
          <w:shd w:val="clear" w:color="auto" w:fill="FFFFFF"/>
        </w:rPr>
        <w:t xml:space="preserve"> the </w:t>
      </w:r>
      <w:r w:rsidR="008F6067">
        <w:rPr>
          <w:rFonts w:ascii="Calibri" w:hAnsi="Calibri"/>
          <w:color w:val="222222"/>
          <w:shd w:val="clear" w:color="auto" w:fill="FFFFFF"/>
        </w:rPr>
        <w:t>programs and</w:t>
      </w:r>
      <w:r w:rsidR="00F35621">
        <w:rPr>
          <w:rFonts w:ascii="Calibri" w:hAnsi="Calibri"/>
          <w:color w:val="222222"/>
          <w:shd w:val="clear" w:color="auto" w:fill="FFFFFF"/>
        </w:rPr>
        <w:t xml:space="preserve"> initiatives </w:t>
      </w:r>
      <w:r w:rsidR="008F6067">
        <w:rPr>
          <w:rFonts w:ascii="Calibri" w:hAnsi="Calibri"/>
          <w:color w:val="222222"/>
          <w:shd w:val="clear" w:color="auto" w:fill="FFFFFF"/>
        </w:rPr>
        <w:t>that will</w:t>
      </w:r>
      <w:r w:rsidR="00F35621">
        <w:rPr>
          <w:rFonts w:ascii="Calibri" w:hAnsi="Calibri"/>
          <w:color w:val="222222"/>
          <w:shd w:val="clear" w:color="auto" w:fill="FFFFFF"/>
        </w:rPr>
        <w:t xml:space="preserve"> better serve </w:t>
      </w:r>
      <w:r w:rsidR="00042BF5">
        <w:rPr>
          <w:rFonts w:ascii="Calibri" w:hAnsi="Calibri"/>
          <w:color w:val="222222"/>
          <w:shd w:val="clear" w:color="auto" w:fill="FFFFFF"/>
        </w:rPr>
        <w:t>these</w:t>
      </w:r>
      <w:r w:rsidR="00F35621">
        <w:rPr>
          <w:rFonts w:ascii="Calibri" w:hAnsi="Calibri"/>
          <w:color w:val="222222"/>
          <w:shd w:val="clear" w:color="auto" w:fill="FFFFFF"/>
        </w:rPr>
        <w:t xml:space="preserve"> student</w:t>
      </w:r>
      <w:r w:rsidR="00042BF5">
        <w:rPr>
          <w:rFonts w:ascii="Calibri" w:hAnsi="Calibri"/>
          <w:color w:val="222222"/>
          <w:shd w:val="clear" w:color="auto" w:fill="FFFFFF"/>
        </w:rPr>
        <w:t>s</w:t>
      </w:r>
      <w:r w:rsidR="00F35621">
        <w:rPr>
          <w:rFonts w:ascii="Calibri" w:hAnsi="Calibri"/>
          <w:color w:val="222222"/>
          <w:shd w:val="clear" w:color="auto" w:fill="FFFFFF"/>
        </w:rPr>
        <w:t xml:space="preserve">. </w:t>
      </w:r>
    </w:p>
    <w:p w:rsidR="0047041E" w:rsidRDefault="00050852" w:rsidP="0047041E">
      <w:pPr>
        <w:pStyle w:val="CommentText"/>
        <w:spacing w:line="276" w:lineRule="auto"/>
        <w:rPr>
          <w:rFonts w:ascii="Calibri" w:hAnsi="Calibri"/>
          <w:color w:val="222222"/>
          <w:shd w:val="clear" w:color="auto" w:fill="FFFFFF"/>
        </w:rPr>
      </w:pPr>
      <w:r>
        <w:rPr>
          <w:sz w:val="22"/>
          <w:szCs w:val="22"/>
          <w:shd w:val="clear" w:color="auto" w:fill="FFFFFF"/>
        </w:rPr>
        <w:t>I</w:t>
      </w:r>
      <w:r w:rsidR="00205E2A">
        <w:rPr>
          <w:sz w:val="22"/>
          <w:szCs w:val="22"/>
          <w:shd w:val="clear" w:color="auto" w:fill="FFFFFF"/>
        </w:rPr>
        <w:t>n 2015</w:t>
      </w:r>
      <w:r w:rsidR="00CF486A">
        <w:rPr>
          <w:sz w:val="22"/>
          <w:szCs w:val="22"/>
          <w:shd w:val="clear" w:color="auto" w:fill="FFFFFF"/>
        </w:rPr>
        <w:t xml:space="preserve">, under the direction of the chief academic officer, the district began an initiative to develop a more systematic tiered system of support for </w:t>
      </w:r>
      <w:r w:rsidR="0023179D">
        <w:rPr>
          <w:sz w:val="22"/>
          <w:szCs w:val="22"/>
          <w:shd w:val="clear" w:color="auto" w:fill="FFFFFF"/>
        </w:rPr>
        <w:t>all</w:t>
      </w:r>
      <w:r w:rsidR="00CF486A">
        <w:rPr>
          <w:sz w:val="22"/>
          <w:szCs w:val="22"/>
          <w:shd w:val="clear" w:color="auto" w:fill="FFFFFF"/>
        </w:rPr>
        <w:t xml:space="preserve"> students.  Subcommittees comp</w:t>
      </w:r>
      <w:r w:rsidR="00205E2A">
        <w:rPr>
          <w:sz w:val="22"/>
          <w:szCs w:val="22"/>
          <w:shd w:val="clear" w:color="auto" w:fill="FFFFFF"/>
        </w:rPr>
        <w:t>o</w:t>
      </w:r>
      <w:r w:rsidR="00CF486A">
        <w:rPr>
          <w:sz w:val="22"/>
          <w:szCs w:val="22"/>
          <w:shd w:val="clear" w:color="auto" w:fill="FFFFFF"/>
        </w:rPr>
        <w:t xml:space="preserve">sed of representative stakeholders have been working to further develop and improve academic, social-emotional, behavioral, attendance, and family/community supports.  Although several subcommittees have designed draft implementation plans, this initiative is not fully realized. </w:t>
      </w:r>
    </w:p>
    <w:p w:rsidR="00205E2A" w:rsidRDefault="00205E2A" w:rsidP="00205E2A">
      <w:pPr>
        <w:tabs>
          <w:tab w:val="left" w:pos="360"/>
          <w:tab w:val="left" w:pos="1080"/>
          <w:tab w:val="left" w:pos="1440"/>
          <w:tab w:val="left" w:pos="1800"/>
          <w:tab w:val="left" w:pos="2160"/>
        </w:tabs>
        <w:rPr>
          <w:rFonts w:ascii="Calibri" w:hAnsi="Calibri"/>
          <w:color w:val="222222"/>
          <w:shd w:val="clear" w:color="auto" w:fill="FFFFFF"/>
        </w:rPr>
      </w:pPr>
    </w:p>
    <w:p w:rsidR="00847FF6" w:rsidRDefault="00847FF6" w:rsidP="00205E2A">
      <w:pPr>
        <w:tabs>
          <w:tab w:val="left" w:pos="360"/>
          <w:tab w:val="left" w:pos="1080"/>
          <w:tab w:val="left" w:pos="1440"/>
          <w:tab w:val="left" w:pos="1800"/>
          <w:tab w:val="left" w:pos="2160"/>
        </w:tabs>
        <w:rPr>
          <w:rFonts w:ascii="Calibri" w:hAnsi="Calibri"/>
          <w:color w:val="222222"/>
          <w:shd w:val="clear" w:color="auto" w:fill="FFFFFF"/>
        </w:rPr>
      </w:pPr>
    </w:p>
    <w:p w:rsidR="00847FF6" w:rsidRDefault="00847FF6" w:rsidP="00205E2A">
      <w:pPr>
        <w:tabs>
          <w:tab w:val="left" w:pos="360"/>
          <w:tab w:val="left" w:pos="1080"/>
          <w:tab w:val="left" w:pos="1440"/>
          <w:tab w:val="left" w:pos="1800"/>
          <w:tab w:val="left" w:pos="2160"/>
        </w:tabs>
        <w:rPr>
          <w:rFonts w:ascii="Calibri" w:hAnsi="Calibri"/>
          <w:color w:val="222222"/>
          <w:shd w:val="clear" w:color="auto" w:fill="FFFFFF"/>
        </w:rPr>
      </w:pPr>
    </w:p>
    <w:p w:rsidR="00847FF6" w:rsidRDefault="00847FF6" w:rsidP="00205E2A">
      <w:pPr>
        <w:tabs>
          <w:tab w:val="left" w:pos="360"/>
          <w:tab w:val="left" w:pos="1080"/>
          <w:tab w:val="left" w:pos="1440"/>
          <w:tab w:val="left" w:pos="1800"/>
          <w:tab w:val="left" w:pos="2160"/>
        </w:tabs>
        <w:rPr>
          <w:rFonts w:ascii="Calibri" w:hAnsi="Calibri"/>
          <w:color w:val="222222"/>
          <w:shd w:val="clear" w:color="auto" w:fill="FFFFFF"/>
        </w:rPr>
      </w:pPr>
    </w:p>
    <w:p w:rsidR="00E57018" w:rsidRDefault="00E57018" w:rsidP="00205E2A">
      <w:pPr>
        <w:tabs>
          <w:tab w:val="left" w:pos="360"/>
          <w:tab w:val="left" w:pos="1080"/>
          <w:tab w:val="left" w:pos="1440"/>
          <w:tab w:val="left" w:pos="1800"/>
          <w:tab w:val="left" w:pos="2160"/>
        </w:tabs>
        <w:rPr>
          <w:rFonts w:ascii="Calibri" w:hAnsi="Calibri"/>
          <w:color w:val="222222"/>
          <w:shd w:val="clear" w:color="auto" w:fill="FFFFFF"/>
        </w:rPr>
      </w:pPr>
    </w:p>
    <w:p w:rsidR="007A19A3" w:rsidRDefault="0047041E" w:rsidP="007A19A3">
      <w:pPr>
        <w:tabs>
          <w:tab w:val="left" w:pos="360"/>
          <w:tab w:val="left" w:pos="720"/>
          <w:tab w:val="left" w:pos="1080"/>
          <w:tab w:val="left" w:pos="1440"/>
          <w:tab w:val="left" w:pos="1800"/>
          <w:tab w:val="left" w:pos="2160"/>
        </w:tabs>
        <w:rPr>
          <w:rFonts w:ascii="Calibri" w:hAnsi="Calibri"/>
          <w:b/>
          <w:sz w:val="28"/>
          <w:szCs w:val="28"/>
        </w:rPr>
      </w:pPr>
      <w:r w:rsidRPr="0047041E">
        <w:rPr>
          <w:rFonts w:ascii="Calibri" w:hAnsi="Calibri"/>
          <w:b/>
          <w:sz w:val="28"/>
          <w:szCs w:val="28"/>
        </w:rPr>
        <w:lastRenderedPageBreak/>
        <w:t>Strength Finding</w:t>
      </w:r>
      <w:r w:rsidR="0073313C">
        <w:rPr>
          <w:rFonts w:ascii="Calibri" w:hAnsi="Calibri"/>
          <w:b/>
          <w:sz w:val="28"/>
          <w:szCs w:val="28"/>
        </w:rPr>
        <w:t>s</w:t>
      </w:r>
    </w:p>
    <w:p w:rsidR="0073313C" w:rsidRDefault="00651963" w:rsidP="0073313C">
      <w:pPr>
        <w:tabs>
          <w:tab w:val="left" w:pos="360"/>
          <w:tab w:val="left" w:pos="720"/>
          <w:tab w:val="left" w:pos="1080"/>
          <w:tab w:val="left" w:pos="1440"/>
          <w:tab w:val="left" w:pos="1800"/>
          <w:tab w:val="left" w:pos="2160"/>
        </w:tabs>
        <w:ind w:left="360" w:hanging="360"/>
        <w:rPr>
          <w:rFonts w:ascii="Calibri" w:hAnsi="Calibri"/>
          <w:b/>
          <w:color w:val="222222"/>
          <w:shd w:val="clear" w:color="auto" w:fill="FFFFFF"/>
        </w:rPr>
      </w:pPr>
      <w:r w:rsidRPr="00651963">
        <w:rPr>
          <w:rFonts w:ascii="Calibri" w:hAnsi="Calibri"/>
          <w:b/>
        </w:rPr>
        <w:t>1.</w:t>
      </w:r>
      <w:r w:rsidR="0073313C">
        <w:rPr>
          <w:rFonts w:ascii="Calibri" w:hAnsi="Calibri"/>
          <w:b/>
        </w:rPr>
        <w:tab/>
      </w:r>
      <w:r w:rsidR="0073313C" w:rsidRPr="0073313C">
        <w:rPr>
          <w:rFonts w:ascii="Calibri" w:hAnsi="Calibri"/>
          <w:b/>
          <w:color w:val="222222"/>
          <w:shd w:val="clear" w:color="auto" w:fill="FFFFFF"/>
        </w:rPr>
        <w:t>The district offers a wide range of programs and services that address the needs of students with learning and social-emotional and behavioral challenges.</w:t>
      </w:r>
    </w:p>
    <w:p w:rsidR="0073313C" w:rsidRDefault="0073313C" w:rsidP="00E42843">
      <w:pPr>
        <w:pStyle w:val="CommentText"/>
        <w:tabs>
          <w:tab w:val="left" w:pos="360"/>
          <w:tab w:val="left" w:pos="720"/>
        </w:tabs>
        <w:spacing w:line="276" w:lineRule="auto"/>
        <w:ind w:left="720" w:hanging="720"/>
        <w:rPr>
          <w:rFonts w:ascii="Calibri" w:hAnsi="Calibri"/>
          <w:color w:val="222222"/>
          <w:sz w:val="22"/>
          <w:szCs w:val="22"/>
          <w:shd w:val="clear" w:color="auto" w:fill="FFFFFF"/>
        </w:rPr>
      </w:pPr>
      <w:r>
        <w:rPr>
          <w:rFonts w:ascii="Calibri" w:hAnsi="Calibri"/>
          <w:b/>
        </w:rPr>
        <w:tab/>
      </w:r>
      <w:r w:rsidRPr="0073313C">
        <w:rPr>
          <w:rFonts w:ascii="Calibri" w:hAnsi="Calibri"/>
        </w:rPr>
        <w:t>A.</w:t>
      </w:r>
      <w:r>
        <w:rPr>
          <w:rFonts w:ascii="Calibri" w:hAnsi="Calibri"/>
          <w:b/>
        </w:rPr>
        <w:tab/>
      </w:r>
      <w:r>
        <w:rPr>
          <w:rFonts w:ascii="Calibri" w:hAnsi="Calibri"/>
          <w:color w:val="222222"/>
          <w:sz w:val="22"/>
          <w:szCs w:val="22"/>
          <w:shd w:val="clear" w:color="auto" w:fill="FFFFFF"/>
        </w:rPr>
        <w:t xml:space="preserve">The district has inclusion classrooms at every school; bilingual classrooms at one elementary school, one middle school, and one high school; and two levels of life-skills programs.  </w:t>
      </w:r>
    </w:p>
    <w:p w:rsidR="00E42843" w:rsidRDefault="0073313C" w:rsidP="00E42843">
      <w:pPr>
        <w:pStyle w:val="CommentText"/>
        <w:tabs>
          <w:tab w:val="left" w:pos="360"/>
          <w:tab w:val="left" w:pos="720"/>
        </w:tabs>
        <w:spacing w:line="276" w:lineRule="auto"/>
        <w:ind w:left="720" w:hanging="720"/>
        <w:rPr>
          <w:rFonts w:ascii="Calibri" w:hAnsi="Calibri"/>
          <w:color w:val="222222"/>
          <w:sz w:val="22"/>
          <w:szCs w:val="22"/>
          <w:shd w:val="clear" w:color="auto" w:fill="FFFFFF"/>
        </w:rPr>
      </w:pPr>
      <w:r>
        <w:rPr>
          <w:rFonts w:ascii="Calibri" w:hAnsi="Calibri"/>
          <w:color w:val="222222"/>
          <w:sz w:val="22"/>
          <w:szCs w:val="22"/>
          <w:shd w:val="clear" w:color="auto" w:fill="FFFFFF"/>
        </w:rPr>
        <w:tab/>
      </w:r>
      <w:r w:rsidRPr="0073313C">
        <w:rPr>
          <w:rFonts w:ascii="Calibri" w:hAnsi="Calibri"/>
          <w:b/>
          <w:color w:val="222222"/>
          <w:sz w:val="22"/>
          <w:szCs w:val="22"/>
          <w:shd w:val="clear" w:color="auto" w:fill="FFFFFF"/>
        </w:rPr>
        <w:t>B.</w:t>
      </w:r>
      <w:r>
        <w:rPr>
          <w:rFonts w:ascii="Calibri" w:hAnsi="Calibri"/>
          <w:color w:val="222222"/>
          <w:sz w:val="22"/>
          <w:szCs w:val="22"/>
          <w:shd w:val="clear" w:color="auto" w:fill="FFFFFF"/>
        </w:rPr>
        <w:tab/>
        <w:t xml:space="preserve">A Structured Therapeutic Education Program (STEP) provides academic, social-emotional, and behavioral supports in inclusion, partial inclusion, and substantially separate classrooms for nearly 500 K–12 students in 15 schools.  </w:t>
      </w:r>
    </w:p>
    <w:p w:rsidR="0073313C" w:rsidRDefault="00E42843" w:rsidP="00E42843">
      <w:pPr>
        <w:pStyle w:val="CommentText"/>
        <w:tabs>
          <w:tab w:val="left" w:pos="360"/>
          <w:tab w:val="left" w:pos="720"/>
        </w:tabs>
        <w:spacing w:line="276" w:lineRule="auto"/>
        <w:ind w:left="720" w:hanging="720"/>
        <w:rPr>
          <w:rFonts w:ascii="Calibri" w:hAnsi="Calibri"/>
          <w:color w:val="222222"/>
          <w:sz w:val="22"/>
          <w:szCs w:val="22"/>
          <w:shd w:val="clear" w:color="auto" w:fill="FFFFFF"/>
        </w:rPr>
      </w:pPr>
      <w:r>
        <w:rPr>
          <w:rFonts w:ascii="Calibri" w:hAnsi="Calibri"/>
          <w:color w:val="222222"/>
          <w:sz w:val="22"/>
          <w:szCs w:val="22"/>
          <w:shd w:val="clear" w:color="auto" w:fill="FFFFFF"/>
        </w:rPr>
        <w:tab/>
      </w:r>
      <w:r w:rsidRPr="00E42843">
        <w:rPr>
          <w:rFonts w:ascii="Calibri" w:hAnsi="Calibri"/>
          <w:b/>
          <w:color w:val="222222"/>
          <w:sz w:val="22"/>
          <w:szCs w:val="22"/>
          <w:shd w:val="clear" w:color="auto" w:fill="FFFFFF"/>
        </w:rPr>
        <w:t>C.</w:t>
      </w:r>
      <w:r>
        <w:rPr>
          <w:rFonts w:ascii="Calibri" w:hAnsi="Calibri"/>
          <w:color w:val="222222"/>
          <w:sz w:val="22"/>
          <w:szCs w:val="22"/>
          <w:shd w:val="clear" w:color="auto" w:fill="FFFFFF"/>
        </w:rPr>
        <w:tab/>
      </w:r>
      <w:r w:rsidR="0073313C">
        <w:rPr>
          <w:rFonts w:ascii="Calibri" w:hAnsi="Calibri"/>
          <w:color w:val="222222"/>
          <w:sz w:val="22"/>
          <w:szCs w:val="22"/>
          <w:shd w:val="clear" w:color="auto" w:fill="FFFFFF"/>
        </w:rPr>
        <w:t xml:space="preserve">The district also has a complement of Board Certified Behavior Analysts (BCBAs) who use Applied Behavior Analysis (ABA) procedures to support students with autism and other developmental disabilities.  </w:t>
      </w:r>
    </w:p>
    <w:p w:rsidR="00E42843" w:rsidRDefault="00E42843" w:rsidP="00E42843">
      <w:pPr>
        <w:tabs>
          <w:tab w:val="left" w:pos="360"/>
          <w:tab w:val="left" w:pos="720"/>
          <w:tab w:val="left" w:pos="1080"/>
          <w:tab w:val="left" w:pos="1440"/>
          <w:tab w:val="left" w:pos="1800"/>
          <w:tab w:val="left" w:pos="2160"/>
        </w:tabs>
        <w:rPr>
          <w:rFonts w:ascii="Calibri" w:hAnsi="Calibri"/>
          <w:color w:val="222222"/>
          <w:shd w:val="clear" w:color="auto" w:fill="FFFFFF"/>
        </w:rPr>
      </w:pPr>
      <w:r>
        <w:rPr>
          <w:rFonts w:ascii="Calibri" w:hAnsi="Calibri"/>
          <w:color w:val="222222"/>
          <w:shd w:val="clear" w:color="auto" w:fill="FFFFFF"/>
        </w:rPr>
        <w:tab/>
      </w:r>
      <w:r w:rsidRPr="00E42843">
        <w:rPr>
          <w:rFonts w:ascii="Calibri" w:hAnsi="Calibri"/>
          <w:b/>
          <w:color w:val="222222"/>
          <w:shd w:val="clear" w:color="auto" w:fill="FFFFFF"/>
        </w:rPr>
        <w:t>D.</w:t>
      </w:r>
      <w:r>
        <w:rPr>
          <w:rFonts w:ascii="Calibri" w:hAnsi="Calibri"/>
          <w:color w:val="222222"/>
          <w:shd w:val="clear" w:color="auto" w:fill="FFFFFF"/>
        </w:rPr>
        <w:tab/>
      </w:r>
      <w:r w:rsidR="0073313C">
        <w:rPr>
          <w:rFonts w:ascii="Calibri" w:hAnsi="Calibri"/>
          <w:color w:val="222222"/>
          <w:shd w:val="clear" w:color="auto" w:fill="FFFFFF"/>
        </w:rPr>
        <w:t xml:space="preserve">The district has taken a number of steps to improve graduation rates. </w:t>
      </w:r>
    </w:p>
    <w:p w:rsidR="00E42843" w:rsidRDefault="00E42843" w:rsidP="00E42843">
      <w:pPr>
        <w:tabs>
          <w:tab w:val="left" w:pos="360"/>
          <w:tab w:val="left" w:pos="720"/>
          <w:tab w:val="left" w:pos="1080"/>
          <w:tab w:val="left" w:pos="1440"/>
          <w:tab w:val="left" w:pos="1800"/>
          <w:tab w:val="left" w:pos="2160"/>
        </w:tabs>
        <w:ind w:left="1080" w:hanging="1080"/>
        <w:rPr>
          <w:rFonts w:ascii="Calibri" w:hAnsi="Calibri"/>
          <w:color w:val="222222"/>
          <w:shd w:val="clear" w:color="auto" w:fill="FFFFFF"/>
        </w:rPr>
      </w:pPr>
      <w:r>
        <w:rPr>
          <w:rFonts w:ascii="Calibri" w:hAnsi="Calibri"/>
          <w:color w:val="222222"/>
          <w:shd w:val="clear" w:color="auto" w:fill="FFFFFF"/>
        </w:rPr>
        <w:tab/>
      </w:r>
      <w:r>
        <w:rPr>
          <w:rFonts w:ascii="Calibri" w:hAnsi="Calibri"/>
          <w:color w:val="222222"/>
          <w:shd w:val="clear" w:color="auto" w:fill="FFFFFF"/>
        </w:rPr>
        <w:tab/>
        <w:t>1.</w:t>
      </w:r>
      <w:r>
        <w:rPr>
          <w:rFonts w:ascii="Calibri" w:hAnsi="Calibri"/>
          <w:color w:val="222222"/>
          <w:shd w:val="clear" w:color="auto" w:fill="FFFFFF"/>
        </w:rPr>
        <w:tab/>
      </w:r>
      <w:r w:rsidR="0073313C">
        <w:rPr>
          <w:rFonts w:ascii="Calibri" w:hAnsi="Calibri"/>
          <w:color w:val="222222"/>
          <w:shd w:val="clear" w:color="auto" w:fill="FFFFFF"/>
        </w:rPr>
        <w:t xml:space="preserve">All the comprehensive high schools have safety-net courses, after-school tutoring, online standards-based intervention modules, and online credit recovery.  </w:t>
      </w:r>
    </w:p>
    <w:p w:rsidR="00E42843" w:rsidRDefault="00E42843" w:rsidP="00E42843">
      <w:pPr>
        <w:tabs>
          <w:tab w:val="left" w:pos="360"/>
          <w:tab w:val="left" w:pos="720"/>
          <w:tab w:val="left" w:pos="1080"/>
          <w:tab w:val="left" w:pos="1440"/>
          <w:tab w:val="left" w:pos="1800"/>
          <w:tab w:val="left" w:pos="2160"/>
        </w:tabs>
        <w:ind w:left="1080" w:hanging="1080"/>
        <w:rPr>
          <w:rFonts w:ascii="Calibri" w:hAnsi="Calibri"/>
          <w:color w:val="222222"/>
          <w:shd w:val="clear" w:color="auto" w:fill="FFFFFF"/>
        </w:rPr>
      </w:pPr>
      <w:r>
        <w:rPr>
          <w:rFonts w:ascii="Calibri" w:hAnsi="Calibri"/>
          <w:color w:val="222222"/>
          <w:shd w:val="clear" w:color="auto" w:fill="FFFFFF"/>
        </w:rPr>
        <w:tab/>
      </w:r>
      <w:r>
        <w:rPr>
          <w:rFonts w:ascii="Calibri" w:hAnsi="Calibri"/>
          <w:color w:val="222222"/>
          <w:shd w:val="clear" w:color="auto" w:fill="FFFFFF"/>
        </w:rPr>
        <w:tab/>
        <w:t>2.</w:t>
      </w:r>
      <w:r>
        <w:rPr>
          <w:rFonts w:ascii="Calibri" w:hAnsi="Calibri"/>
          <w:color w:val="222222"/>
          <w:shd w:val="clear" w:color="auto" w:fill="FFFFFF"/>
        </w:rPr>
        <w:tab/>
      </w:r>
      <w:r w:rsidR="0073313C">
        <w:rPr>
          <w:rFonts w:ascii="Calibri" w:hAnsi="Calibri"/>
          <w:color w:val="222222"/>
          <w:shd w:val="clear" w:color="auto" w:fill="FFFFFF"/>
        </w:rPr>
        <w:t xml:space="preserve">All three alternative high-school programs also provide online credit recovery, most have online standards-based intervention modules, and two offer competency-based coursework.  </w:t>
      </w:r>
    </w:p>
    <w:p w:rsidR="00E42843" w:rsidRDefault="00E42843" w:rsidP="00E42843">
      <w:pPr>
        <w:tabs>
          <w:tab w:val="left" w:pos="360"/>
          <w:tab w:val="left" w:pos="720"/>
          <w:tab w:val="left" w:pos="1080"/>
          <w:tab w:val="left" w:pos="1440"/>
          <w:tab w:val="left" w:pos="1800"/>
          <w:tab w:val="left" w:pos="2160"/>
        </w:tabs>
        <w:ind w:left="1080" w:hanging="1080"/>
        <w:rPr>
          <w:rFonts w:ascii="Calibri" w:hAnsi="Calibri"/>
          <w:color w:val="222222"/>
          <w:shd w:val="clear" w:color="auto" w:fill="FFFFFF"/>
        </w:rPr>
      </w:pPr>
      <w:r>
        <w:rPr>
          <w:rFonts w:ascii="Calibri" w:hAnsi="Calibri"/>
          <w:color w:val="222222"/>
          <w:shd w:val="clear" w:color="auto" w:fill="FFFFFF"/>
        </w:rPr>
        <w:tab/>
      </w:r>
      <w:r>
        <w:rPr>
          <w:rFonts w:ascii="Calibri" w:hAnsi="Calibri"/>
          <w:color w:val="222222"/>
          <w:shd w:val="clear" w:color="auto" w:fill="FFFFFF"/>
        </w:rPr>
        <w:tab/>
        <w:t>3.</w:t>
      </w:r>
      <w:r>
        <w:rPr>
          <w:rFonts w:ascii="Calibri" w:hAnsi="Calibri"/>
          <w:color w:val="222222"/>
          <w:shd w:val="clear" w:color="auto" w:fill="FFFFFF"/>
        </w:rPr>
        <w:tab/>
      </w:r>
      <w:r w:rsidR="0073313C">
        <w:rPr>
          <w:rFonts w:ascii="Calibri" w:hAnsi="Calibri"/>
          <w:color w:val="222222"/>
          <w:shd w:val="clear" w:color="auto" w:fill="FFFFFF"/>
        </w:rPr>
        <w:t xml:space="preserve">The Burncoat Evening High School has course recovery for students. </w:t>
      </w:r>
    </w:p>
    <w:p w:rsidR="0073313C" w:rsidRDefault="00E42843" w:rsidP="00BC42AD">
      <w:pPr>
        <w:tabs>
          <w:tab w:val="left" w:pos="360"/>
          <w:tab w:val="left" w:pos="720"/>
          <w:tab w:val="left" w:pos="1080"/>
          <w:tab w:val="left" w:pos="1440"/>
          <w:tab w:val="left" w:pos="1800"/>
          <w:tab w:val="left" w:pos="2160"/>
        </w:tabs>
        <w:ind w:left="720" w:hanging="720"/>
        <w:rPr>
          <w:rFonts w:ascii="Calibri" w:hAnsi="Calibri"/>
          <w:color w:val="222222"/>
          <w:shd w:val="clear" w:color="auto" w:fill="FFFFFF"/>
        </w:rPr>
      </w:pPr>
      <w:r>
        <w:rPr>
          <w:rFonts w:ascii="Calibri" w:hAnsi="Calibri"/>
          <w:color w:val="222222"/>
          <w:shd w:val="clear" w:color="auto" w:fill="FFFFFF"/>
        </w:rPr>
        <w:tab/>
      </w:r>
      <w:r w:rsidR="00651963" w:rsidRPr="00651963">
        <w:rPr>
          <w:rFonts w:ascii="Calibri" w:hAnsi="Calibri"/>
          <w:b/>
          <w:color w:val="222222"/>
          <w:shd w:val="clear" w:color="auto" w:fill="FFFFFF"/>
        </w:rPr>
        <w:t>E.</w:t>
      </w:r>
      <w:r>
        <w:rPr>
          <w:rFonts w:ascii="Calibri" w:hAnsi="Calibri"/>
          <w:color w:val="222222"/>
          <w:shd w:val="clear" w:color="auto" w:fill="FFFFFF"/>
        </w:rPr>
        <w:tab/>
      </w:r>
      <w:r w:rsidR="0073313C">
        <w:rPr>
          <w:rFonts w:ascii="Calibri" w:hAnsi="Calibri"/>
          <w:color w:val="222222"/>
          <w:shd w:val="clear" w:color="auto" w:fill="FFFFFF"/>
        </w:rPr>
        <w:t>Four- and five-year graduation rates have improved in recent years, although they remain below state averages.</w:t>
      </w:r>
      <w:r w:rsidR="0073313C">
        <w:rPr>
          <w:rStyle w:val="FootnoteReference"/>
          <w:rFonts w:ascii="Calibri" w:hAnsi="Calibri"/>
          <w:color w:val="222222"/>
          <w:shd w:val="clear" w:color="auto" w:fill="FFFFFF"/>
        </w:rPr>
        <w:footnoteReference w:id="21"/>
      </w:r>
    </w:p>
    <w:p w:rsidR="00E42843" w:rsidRDefault="00E42843" w:rsidP="00BC42AD">
      <w:pPr>
        <w:tabs>
          <w:tab w:val="left" w:pos="360"/>
          <w:tab w:val="left" w:pos="720"/>
          <w:tab w:val="left" w:pos="1080"/>
          <w:tab w:val="left" w:pos="1440"/>
          <w:tab w:val="left" w:pos="1800"/>
          <w:tab w:val="left" w:pos="2160"/>
        </w:tabs>
        <w:ind w:left="720" w:hanging="720"/>
      </w:pPr>
      <w:r>
        <w:tab/>
      </w:r>
      <w:r w:rsidR="00651963" w:rsidRPr="00651963">
        <w:rPr>
          <w:b/>
        </w:rPr>
        <w:t>F.</w:t>
      </w:r>
      <w:r>
        <w:tab/>
      </w:r>
      <w:r w:rsidR="0073313C">
        <w:t>Between 2013 and 2016, t</w:t>
      </w:r>
      <w:r w:rsidR="0073313C" w:rsidRPr="001476C3">
        <w:t xml:space="preserve">he district cut its rate of out-of-school suspension in half for all students and for each high needs </w:t>
      </w:r>
      <w:r w:rsidR="0073313C">
        <w:t>subgroup</w:t>
      </w:r>
      <w:r w:rsidR="0073313C" w:rsidRPr="001476C3">
        <w:t xml:space="preserve">.  </w:t>
      </w:r>
      <w:r w:rsidR="0073313C">
        <w:t xml:space="preserve">In 2016, </w:t>
      </w:r>
      <w:r w:rsidR="0073313C" w:rsidRPr="001476C3">
        <w:t>Worcester’s rates of in-school and out-of school suspensions were high</w:t>
      </w:r>
      <w:r w:rsidR="0073313C">
        <w:t>er</w:t>
      </w:r>
      <w:r w:rsidR="0073313C" w:rsidRPr="001476C3">
        <w:t xml:space="preserve"> than the state rate</w:t>
      </w:r>
      <w:r w:rsidR="0073313C">
        <w:t>s</w:t>
      </w:r>
      <w:r w:rsidR="0073313C" w:rsidRPr="001476C3">
        <w:t xml:space="preserve"> for all students and for each </w:t>
      </w:r>
      <w:r w:rsidR="0073313C">
        <w:t>high needs sub</w:t>
      </w:r>
      <w:r w:rsidR="0073313C" w:rsidRPr="001476C3">
        <w:t>group.</w:t>
      </w:r>
      <w:r w:rsidR="0073313C">
        <w:t xml:space="preserve"> </w:t>
      </w:r>
    </w:p>
    <w:p w:rsidR="0073313C" w:rsidRDefault="00E42843" w:rsidP="00BC42AD">
      <w:pPr>
        <w:tabs>
          <w:tab w:val="left" w:pos="360"/>
          <w:tab w:val="left" w:pos="720"/>
          <w:tab w:val="left" w:pos="1080"/>
          <w:tab w:val="left" w:pos="1440"/>
          <w:tab w:val="left" w:pos="1800"/>
          <w:tab w:val="left" w:pos="2160"/>
        </w:tabs>
        <w:ind w:left="720" w:hanging="720"/>
        <w:rPr>
          <w:rFonts w:eastAsia="Times New Roman" w:cs="Times New Roman"/>
        </w:rPr>
      </w:pPr>
      <w:r>
        <w:tab/>
      </w:r>
      <w:r w:rsidR="00651963" w:rsidRPr="00651963">
        <w:rPr>
          <w:b/>
        </w:rPr>
        <w:t>G.</w:t>
      </w:r>
      <w:r>
        <w:tab/>
      </w:r>
      <w:r w:rsidR="0073313C">
        <w:t xml:space="preserve">Between 2012 and 2015, </w:t>
      </w:r>
      <w:r w:rsidR="0073313C">
        <w:rPr>
          <w:rFonts w:eastAsia="Times New Roman" w:cs="Times New Roman"/>
        </w:rPr>
        <w:t>the district</w:t>
      </w:r>
      <w:r w:rsidR="0073313C" w:rsidRPr="001476C3">
        <w:rPr>
          <w:rFonts w:eastAsia="Times New Roman" w:cs="Times New Roman"/>
        </w:rPr>
        <w:t xml:space="preserve">’s drop-out rate declined for the district as a whole and for each </w:t>
      </w:r>
      <w:r w:rsidR="0073313C">
        <w:rPr>
          <w:rFonts w:eastAsia="Times New Roman" w:cs="Times New Roman"/>
        </w:rPr>
        <w:t xml:space="preserve">high needs </w:t>
      </w:r>
      <w:r w:rsidR="0073313C" w:rsidRPr="001476C3">
        <w:rPr>
          <w:rFonts w:eastAsia="Times New Roman" w:cs="Times New Roman"/>
        </w:rPr>
        <w:t>subgroup.  In 2015, the district’s drop-out rate</w:t>
      </w:r>
      <w:r w:rsidR="0073313C">
        <w:rPr>
          <w:rFonts w:eastAsia="Times New Roman" w:cs="Times New Roman"/>
        </w:rPr>
        <w:t>s</w:t>
      </w:r>
      <w:r w:rsidR="0073313C" w:rsidRPr="001476C3">
        <w:rPr>
          <w:rFonts w:eastAsia="Times New Roman" w:cs="Times New Roman"/>
        </w:rPr>
        <w:t xml:space="preserve"> for all students and for each </w:t>
      </w:r>
      <w:r w:rsidR="0073313C">
        <w:rPr>
          <w:rFonts w:eastAsia="Times New Roman" w:cs="Times New Roman"/>
        </w:rPr>
        <w:t>high needs sub</w:t>
      </w:r>
      <w:r w:rsidR="0073313C" w:rsidRPr="001476C3">
        <w:rPr>
          <w:rFonts w:eastAsia="Times New Roman" w:cs="Times New Roman"/>
        </w:rPr>
        <w:t>group were below the state rate</w:t>
      </w:r>
      <w:r w:rsidR="0073313C">
        <w:rPr>
          <w:rFonts w:eastAsia="Times New Roman" w:cs="Times New Roman"/>
        </w:rPr>
        <w:t>s (see Tables 5 and 8 in the Student Performance section above)</w:t>
      </w:r>
      <w:r w:rsidR="0073313C" w:rsidRPr="001476C3">
        <w:rPr>
          <w:rFonts w:eastAsia="Times New Roman" w:cs="Times New Roman"/>
        </w:rPr>
        <w:t>.</w:t>
      </w:r>
    </w:p>
    <w:p w:rsidR="00134A37" w:rsidRDefault="00BC42AD">
      <w:pPr>
        <w:tabs>
          <w:tab w:val="left" w:pos="360"/>
          <w:tab w:val="left" w:pos="720"/>
          <w:tab w:val="left" w:pos="1080"/>
          <w:tab w:val="left" w:pos="1440"/>
          <w:tab w:val="left" w:pos="1800"/>
          <w:tab w:val="left" w:pos="2160"/>
        </w:tabs>
        <w:rPr>
          <w:rFonts w:ascii="Calibri" w:hAnsi="Calibri"/>
          <w:b/>
        </w:rPr>
      </w:pPr>
      <w:r>
        <w:rPr>
          <w:rFonts w:ascii="Calibri" w:hAnsi="Calibri"/>
          <w:b/>
        </w:rPr>
        <w:t xml:space="preserve">Impact: </w:t>
      </w:r>
      <w:r w:rsidR="00651963" w:rsidRPr="00651963">
        <w:rPr>
          <w:rFonts w:ascii="Calibri" w:hAnsi="Calibri"/>
        </w:rPr>
        <w:t>An effe</w:t>
      </w:r>
      <w:r w:rsidR="001B5CF9">
        <w:rPr>
          <w:rFonts w:ascii="Calibri" w:hAnsi="Calibri"/>
        </w:rPr>
        <w:t>c</w:t>
      </w:r>
      <w:r w:rsidR="00651963" w:rsidRPr="00651963">
        <w:rPr>
          <w:rFonts w:ascii="Calibri" w:hAnsi="Calibri"/>
        </w:rPr>
        <w:t>tive</w:t>
      </w:r>
      <w:r w:rsidR="001B5CF9">
        <w:rPr>
          <w:rFonts w:ascii="Calibri" w:hAnsi="Calibri"/>
        </w:rPr>
        <w:t xml:space="preserve"> system of supports enables the district to provide for students’ academic and social-emotional well</w:t>
      </w:r>
      <w:r w:rsidR="003C7B01">
        <w:rPr>
          <w:rFonts w:ascii="Calibri" w:hAnsi="Calibri"/>
        </w:rPr>
        <w:t>-</w:t>
      </w:r>
      <w:r w:rsidR="001B5CF9">
        <w:rPr>
          <w:rFonts w:ascii="Calibri" w:hAnsi="Calibri"/>
        </w:rPr>
        <w:t xml:space="preserve">being and </w:t>
      </w:r>
      <w:r w:rsidR="003C7B01">
        <w:rPr>
          <w:rFonts w:ascii="Calibri" w:hAnsi="Calibri"/>
        </w:rPr>
        <w:t>can promote</w:t>
      </w:r>
      <w:r w:rsidR="001B5CF9">
        <w:rPr>
          <w:rFonts w:ascii="Calibri" w:hAnsi="Calibri"/>
        </w:rPr>
        <w:t xml:space="preserve"> </w:t>
      </w:r>
      <w:r w:rsidR="003C7B01">
        <w:rPr>
          <w:rFonts w:ascii="Calibri" w:hAnsi="Calibri"/>
        </w:rPr>
        <w:t>stronger academic achievement</w:t>
      </w:r>
      <w:r w:rsidR="001B5CF9">
        <w:rPr>
          <w:rFonts w:ascii="Calibri" w:hAnsi="Calibri"/>
        </w:rPr>
        <w:t>.</w:t>
      </w:r>
    </w:p>
    <w:p w:rsidR="007A19A3" w:rsidRPr="009E2F3B" w:rsidRDefault="00E42843" w:rsidP="009D3AE8">
      <w:pPr>
        <w:tabs>
          <w:tab w:val="left" w:pos="360"/>
          <w:tab w:val="left" w:pos="720"/>
          <w:tab w:val="left" w:pos="1080"/>
          <w:tab w:val="left" w:pos="1440"/>
          <w:tab w:val="left" w:pos="1800"/>
          <w:tab w:val="left" w:pos="2160"/>
        </w:tabs>
        <w:ind w:left="360" w:hanging="360"/>
        <w:rPr>
          <w:rFonts w:ascii="Calibri" w:hAnsi="Calibri"/>
          <w:b/>
        </w:rPr>
      </w:pPr>
      <w:r>
        <w:rPr>
          <w:rFonts w:ascii="Calibri" w:hAnsi="Calibri"/>
          <w:b/>
          <w:bCs/>
        </w:rPr>
        <w:lastRenderedPageBreak/>
        <w:t>2</w:t>
      </w:r>
      <w:r w:rsidR="009D3AE8">
        <w:rPr>
          <w:rFonts w:ascii="Calibri" w:hAnsi="Calibri"/>
          <w:b/>
          <w:bCs/>
        </w:rPr>
        <w:t xml:space="preserve">. </w:t>
      </w:r>
      <w:r w:rsidR="009D3AE8">
        <w:rPr>
          <w:rFonts w:ascii="Calibri" w:hAnsi="Calibri"/>
          <w:b/>
          <w:bCs/>
        </w:rPr>
        <w:tab/>
      </w:r>
      <w:r w:rsidR="0084609C">
        <w:rPr>
          <w:rFonts w:ascii="Calibri" w:hAnsi="Calibri"/>
          <w:b/>
          <w:bCs/>
        </w:rPr>
        <w:t xml:space="preserve">The </w:t>
      </w:r>
      <w:r w:rsidR="00E61082">
        <w:rPr>
          <w:rFonts w:ascii="Calibri" w:hAnsi="Calibri"/>
          <w:b/>
          <w:bCs/>
        </w:rPr>
        <w:t>district</w:t>
      </w:r>
      <w:r w:rsidR="007A19A3" w:rsidRPr="009E2F3B">
        <w:rPr>
          <w:rFonts w:ascii="Calibri" w:hAnsi="Calibri"/>
          <w:b/>
          <w:bCs/>
        </w:rPr>
        <w:t xml:space="preserve"> has </w:t>
      </w:r>
      <w:r w:rsidR="00107F90">
        <w:rPr>
          <w:rFonts w:ascii="Calibri" w:hAnsi="Calibri"/>
          <w:b/>
          <w:bCs/>
        </w:rPr>
        <w:t>in place</w:t>
      </w:r>
      <w:r w:rsidR="00107F90" w:rsidRPr="009E2F3B">
        <w:rPr>
          <w:rFonts w:ascii="Calibri" w:hAnsi="Calibri"/>
          <w:b/>
          <w:bCs/>
        </w:rPr>
        <w:t xml:space="preserve"> </w:t>
      </w:r>
      <w:r w:rsidR="007A19A3" w:rsidRPr="009E2F3B">
        <w:rPr>
          <w:rFonts w:ascii="Calibri" w:hAnsi="Calibri"/>
          <w:b/>
          <w:bCs/>
        </w:rPr>
        <w:t xml:space="preserve">a network of wraparound coordinators working to remove barriers to learning that often </w:t>
      </w:r>
      <w:r w:rsidR="00E61082">
        <w:rPr>
          <w:rFonts w:ascii="Calibri" w:hAnsi="Calibri"/>
          <w:b/>
          <w:bCs/>
        </w:rPr>
        <w:t>take place</w:t>
      </w:r>
      <w:r w:rsidR="00E61082" w:rsidRPr="009E2F3B">
        <w:rPr>
          <w:rFonts w:ascii="Calibri" w:hAnsi="Calibri"/>
          <w:b/>
          <w:bCs/>
        </w:rPr>
        <w:t xml:space="preserve"> </w:t>
      </w:r>
      <w:r w:rsidR="007A19A3" w:rsidRPr="009E2F3B">
        <w:rPr>
          <w:rFonts w:ascii="Calibri" w:hAnsi="Calibri"/>
          <w:b/>
          <w:bCs/>
        </w:rPr>
        <w:t>outside school walls.</w:t>
      </w:r>
    </w:p>
    <w:p w:rsidR="007A19A3" w:rsidRPr="009E2F3B" w:rsidRDefault="00E61082" w:rsidP="00386849">
      <w:pPr>
        <w:numPr>
          <w:ilvl w:val="2"/>
          <w:numId w:val="33"/>
        </w:numPr>
        <w:tabs>
          <w:tab w:val="clear" w:pos="900"/>
          <w:tab w:val="left" w:pos="360"/>
          <w:tab w:val="num" w:pos="720"/>
          <w:tab w:val="left" w:pos="1080"/>
          <w:tab w:val="left" w:pos="1440"/>
          <w:tab w:val="left" w:pos="1800"/>
        </w:tabs>
        <w:ind w:left="720"/>
        <w:rPr>
          <w:rFonts w:ascii="Calibri" w:hAnsi="Calibri"/>
        </w:rPr>
      </w:pPr>
      <w:r>
        <w:rPr>
          <w:rFonts w:ascii="Calibri" w:hAnsi="Calibri"/>
        </w:rPr>
        <w:t>Interviews and a document review indicated that the district</w:t>
      </w:r>
      <w:r w:rsidR="007A19A3" w:rsidRPr="009E2F3B">
        <w:rPr>
          <w:rFonts w:ascii="Calibri" w:hAnsi="Calibri"/>
        </w:rPr>
        <w:t xml:space="preserve"> has prioritized the </w:t>
      </w:r>
      <w:r w:rsidR="00107F90">
        <w:rPr>
          <w:rFonts w:ascii="Calibri" w:hAnsi="Calibri"/>
        </w:rPr>
        <w:t>work</w:t>
      </w:r>
      <w:r w:rsidR="00107F90" w:rsidRPr="009E2F3B">
        <w:rPr>
          <w:rFonts w:ascii="Calibri" w:hAnsi="Calibri"/>
        </w:rPr>
        <w:t xml:space="preserve"> </w:t>
      </w:r>
      <w:r w:rsidR="007A19A3" w:rsidRPr="009E2F3B">
        <w:rPr>
          <w:rFonts w:ascii="Calibri" w:hAnsi="Calibri"/>
        </w:rPr>
        <w:t xml:space="preserve">and continued funding for </w:t>
      </w:r>
      <w:r w:rsidR="00107F90">
        <w:rPr>
          <w:rFonts w:ascii="Calibri" w:hAnsi="Calibri"/>
        </w:rPr>
        <w:t xml:space="preserve">the services of </w:t>
      </w:r>
      <w:r w:rsidR="007A19A3" w:rsidRPr="009E2F3B">
        <w:rPr>
          <w:rFonts w:ascii="Calibri" w:hAnsi="Calibri"/>
        </w:rPr>
        <w:t>w</w:t>
      </w:r>
      <w:r w:rsidR="0084609C">
        <w:rPr>
          <w:rFonts w:ascii="Calibri" w:hAnsi="Calibri"/>
        </w:rPr>
        <w:t>raparound coordinators in the</w:t>
      </w:r>
      <w:r w:rsidR="007A19A3" w:rsidRPr="009E2F3B">
        <w:rPr>
          <w:rFonts w:ascii="Calibri" w:hAnsi="Calibri"/>
        </w:rPr>
        <w:t xml:space="preserve"> district. </w:t>
      </w:r>
    </w:p>
    <w:p w:rsidR="007A19A3" w:rsidRPr="009E2F3B" w:rsidRDefault="007A19A3" w:rsidP="00386849">
      <w:pPr>
        <w:numPr>
          <w:ilvl w:val="1"/>
          <w:numId w:val="34"/>
        </w:numPr>
        <w:tabs>
          <w:tab w:val="left" w:pos="360"/>
          <w:tab w:val="left" w:pos="720"/>
          <w:tab w:val="left" w:pos="1080"/>
          <w:tab w:val="left" w:pos="1440"/>
          <w:tab w:val="left" w:pos="1800"/>
        </w:tabs>
        <w:ind w:left="1080"/>
        <w:rPr>
          <w:rFonts w:ascii="Calibri" w:hAnsi="Calibri"/>
        </w:rPr>
      </w:pPr>
      <w:r w:rsidRPr="009E2F3B">
        <w:rPr>
          <w:rFonts w:ascii="Calibri" w:hAnsi="Calibri"/>
        </w:rPr>
        <w:t>Efforts to develop wraparound coordinator positions b</w:t>
      </w:r>
      <w:r w:rsidR="00623D22">
        <w:rPr>
          <w:rFonts w:ascii="Calibri" w:hAnsi="Calibri"/>
        </w:rPr>
        <w:t xml:space="preserve">egan in 2011 and continue to be </w:t>
      </w:r>
      <w:r w:rsidRPr="009E2F3B">
        <w:rPr>
          <w:rFonts w:ascii="Calibri" w:hAnsi="Calibri"/>
        </w:rPr>
        <w:t>funded today.</w:t>
      </w:r>
    </w:p>
    <w:p w:rsidR="00623D22" w:rsidRDefault="007A19A3" w:rsidP="00386849">
      <w:pPr>
        <w:numPr>
          <w:ilvl w:val="3"/>
          <w:numId w:val="34"/>
        </w:numPr>
        <w:tabs>
          <w:tab w:val="clear" w:pos="1620"/>
          <w:tab w:val="left" w:pos="360"/>
          <w:tab w:val="left" w:pos="720"/>
          <w:tab w:val="left" w:pos="1080"/>
          <w:tab w:val="num" w:pos="1440"/>
          <w:tab w:val="left" w:pos="1800"/>
        </w:tabs>
        <w:ind w:left="1440"/>
        <w:rPr>
          <w:rFonts w:ascii="Calibri" w:hAnsi="Calibri"/>
        </w:rPr>
      </w:pPr>
      <w:r w:rsidRPr="009E2F3B">
        <w:rPr>
          <w:rFonts w:ascii="Calibri" w:hAnsi="Calibri"/>
        </w:rPr>
        <w:t>A 2011 article</w:t>
      </w:r>
      <w:r w:rsidR="0084609C">
        <w:rPr>
          <w:rFonts w:ascii="Calibri" w:hAnsi="Calibri"/>
        </w:rPr>
        <w:t xml:space="preserve"> from a local newspaper indicated</w:t>
      </w:r>
      <w:r w:rsidRPr="009E2F3B">
        <w:rPr>
          <w:rFonts w:ascii="Calibri" w:hAnsi="Calibri"/>
        </w:rPr>
        <w:t xml:space="preserve"> that</w:t>
      </w:r>
      <w:r w:rsidR="0084609C">
        <w:rPr>
          <w:rFonts w:ascii="Calibri" w:hAnsi="Calibri"/>
        </w:rPr>
        <w:t xml:space="preserve"> the district</w:t>
      </w:r>
      <w:r w:rsidRPr="009E2F3B">
        <w:rPr>
          <w:rFonts w:ascii="Calibri" w:hAnsi="Calibri"/>
        </w:rPr>
        <w:t xml:space="preserve"> </w:t>
      </w:r>
      <w:r w:rsidR="00E61082">
        <w:rPr>
          <w:rFonts w:ascii="Calibri" w:hAnsi="Calibri"/>
        </w:rPr>
        <w:t xml:space="preserve">had </w:t>
      </w:r>
      <w:r w:rsidR="0084609C">
        <w:rPr>
          <w:rFonts w:ascii="Calibri" w:hAnsi="Calibri"/>
        </w:rPr>
        <w:t xml:space="preserve">created </w:t>
      </w:r>
      <w:r w:rsidR="00E61082">
        <w:rPr>
          <w:rFonts w:ascii="Calibri" w:hAnsi="Calibri"/>
        </w:rPr>
        <w:t xml:space="preserve">the positions </w:t>
      </w:r>
      <w:r w:rsidR="0084609C">
        <w:rPr>
          <w:rFonts w:ascii="Calibri" w:hAnsi="Calibri"/>
        </w:rPr>
        <w:t>and hired its first cadre of seven</w:t>
      </w:r>
      <w:r w:rsidRPr="009E2F3B">
        <w:rPr>
          <w:rFonts w:ascii="Calibri" w:hAnsi="Calibri"/>
        </w:rPr>
        <w:t xml:space="preserve"> wraparound coordinators, paid from </w:t>
      </w:r>
      <w:r w:rsidR="00E61082">
        <w:rPr>
          <w:rFonts w:ascii="Calibri" w:hAnsi="Calibri"/>
        </w:rPr>
        <w:t>a</w:t>
      </w:r>
      <w:r w:rsidR="00E61082" w:rsidRPr="009E2F3B">
        <w:rPr>
          <w:rFonts w:ascii="Calibri" w:hAnsi="Calibri"/>
        </w:rPr>
        <w:t xml:space="preserve"> </w:t>
      </w:r>
      <w:r w:rsidRPr="009E2F3B">
        <w:rPr>
          <w:rFonts w:ascii="Calibri" w:hAnsi="Calibri"/>
        </w:rPr>
        <w:t xml:space="preserve">federal Race to the Top </w:t>
      </w:r>
      <w:r w:rsidR="00E61082">
        <w:rPr>
          <w:rFonts w:ascii="Calibri" w:hAnsi="Calibri"/>
        </w:rPr>
        <w:t>(RTTT) g</w:t>
      </w:r>
      <w:r w:rsidR="00E61082" w:rsidRPr="009E2F3B">
        <w:rPr>
          <w:rFonts w:ascii="Calibri" w:hAnsi="Calibri"/>
        </w:rPr>
        <w:t>rant</w:t>
      </w:r>
      <w:r w:rsidRPr="009E2F3B">
        <w:rPr>
          <w:rFonts w:ascii="Calibri" w:hAnsi="Calibri"/>
        </w:rPr>
        <w:t xml:space="preserve">. The article </w:t>
      </w:r>
      <w:r w:rsidR="00042BF5">
        <w:rPr>
          <w:rFonts w:ascii="Calibri" w:hAnsi="Calibri"/>
        </w:rPr>
        <w:t>stated</w:t>
      </w:r>
      <w:r w:rsidRPr="009E2F3B">
        <w:rPr>
          <w:rFonts w:ascii="Calibri" w:hAnsi="Calibri"/>
        </w:rPr>
        <w:t>, “If the wraparound coordinators are successful, it will be up to the district to figure out how to</w:t>
      </w:r>
      <w:r w:rsidR="00381ED8">
        <w:rPr>
          <w:rFonts w:ascii="Calibri" w:hAnsi="Calibri"/>
        </w:rPr>
        <w:t xml:space="preserve"> pay for them in the long run.”</w:t>
      </w:r>
    </w:p>
    <w:p w:rsidR="007A19A3" w:rsidRDefault="00E61082" w:rsidP="00386849">
      <w:pPr>
        <w:numPr>
          <w:ilvl w:val="3"/>
          <w:numId w:val="34"/>
        </w:numPr>
        <w:tabs>
          <w:tab w:val="clear" w:pos="1620"/>
          <w:tab w:val="left" w:pos="360"/>
          <w:tab w:val="left" w:pos="720"/>
          <w:tab w:val="left" w:pos="1080"/>
          <w:tab w:val="num" w:pos="1440"/>
          <w:tab w:val="left" w:pos="1800"/>
        </w:tabs>
        <w:ind w:left="1440"/>
        <w:rPr>
          <w:rFonts w:ascii="Calibri" w:hAnsi="Calibri"/>
        </w:rPr>
      </w:pPr>
      <w:r>
        <w:rPr>
          <w:rFonts w:ascii="Calibri" w:hAnsi="Calibri"/>
        </w:rPr>
        <w:t>C</w:t>
      </w:r>
      <w:r w:rsidR="007A19A3" w:rsidRPr="00623D22">
        <w:rPr>
          <w:rFonts w:ascii="Calibri" w:hAnsi="Calibri"/>
        </w:rPr>
        <w:t xml:space="preserve">entral office </w:t>
      </w:r>
      <w:r w:rsidRPr="00623D22">
        <w:rPr>
          <w:rFonts w:ascii="Calibri" w:hAnsi="Calibri"/>
        </w:rPr>
        <w:t>administrat</w:t>
      </w:r>
      <w:r>
        <w:rPr>
          <w:rFonts w:ascii="Calibri" w:hAnsi="Calibri"/>
        </w:rPr>
        <w:t>ors told the review team that</w:t>
      </w:r>
      <w:r w:rsidR="007A19A3" w:rsidRPr="00623D22">
        <w:rPr>
          <w:rFonts w:ascii="Calibri" w:hAnsi="Calibri"/>
        </w:rPr>
        <w:t xml:space="preserve"> the wraparound coordinator positions were originally funded through RTTT funds and now the positions are supported through Title I</w:t>
      </w:r>
      <w:r w:rsidR="00FC6E7B">
        <w:rPr>
          <w:rFonts w:ascii="Calibri" w:hAnsi="Calibri"/>
        </w:rPr>
        <w:t>.</w:t>
      </w:r>
    </w:p>
    <w:p w:rsidR="00E61082" w:rsidRPr="00E61082" w:rsidRDefault="00E61082" w:rsidP="00E61082">
      <w:pPr>
        <w:pStyle w:val="ListParagraph"/>
        <w:numPr>
          <w:ilvl w:val="3"/>
          <w:numId w:val="34"/>
        </w:numPr>
        <w:tabs>
          <w:tab w:val="left" w:pos="360"/>
          <w:tab w:val="left" w:pos="720"/>
          <w:tab w:val="left" w:pos="1080"/>
          <w:tab w:val="left" w:pos="1800"/>
        </w:tabs>
        <w:ind w:left="1440"/>
        <w:contextualSpacing w:val="0"/>
        <w:rPr>
          <w:rFonts w:ascii="Calibri" w:hAnsi="Calibri"/>
        </w:rPr>
      </w:pPr>
      <w:r w:rsidRPr="00E61082">
        <w:rPr>
          <w:rFonts w:ascii="Calibri" w:hAnsi="Calibri"/>
        </w:rPr>
        <w:t>Currently, there are nine wraparound coordinators in the district.</w:t>
      </w:r>
    </w:p>
    <w:p w:rsidR="007A19A3" w:rsidRPr="009E2F3B" w:rsidRDefault="007A19A3" w:rsidP="00386849">
      <w:pPr>
        <w:numPr>
          <w:ilvl w:val="0"/>
          <w:numId w:val="34"/>
        </w:numPr>
        <w:tabs>
          <w:tab w:val="left" w:pos="360"/>
          <w:tab w:val="left" w:pos="720"/>
          <w:tab w:val="left" w:pos="1080"/>
          <w:tab w:val="left" w:pos="1440"/>
          <w:tab w:val="left" w:pos="1800"/>
        </w:tabs>
        <w:rPr>
          <w:rFonts w:ascii="Calibri" w:hAnsi="Calibri"/>
        </w:rPr>
      </w:pPr>
      <w:r w:rsidRPr="009E2F3B">
        <w:rPr>
          <w:rFonts w:ascii="Calibri" w:hAnsi="Calibri"/>
        </w:rPr>
        <w:t>Staff and paren</w:t>
      </w:r>
      <w:r w:rsidR="0008050A">
        <w:rPr>
          <w:rFonts w:ascii="Calibri" w:hAnsi="Calibri"/>
        </w:rPr>
        <w:t xml:space="preserve">ts </w:t>
      </w:r>
      <w:r w:rsidR="00E61082">
        <w:rPr>
          <w:rFonts w:ascii="Calibri" w:hAnsi="Calibri"/>
        </w:rPr>
        <w:t>spoke</w:t>
      </w:r>
      <w:r w:rsidRPr="009E2F3B">
        <w:rPr>
          <w:rFonts w:ascii="Calibri" w:hAnsi="Calibri"/>
        </w:rPr>
        <w:t xml:space="preserve"> of the </w:t>
      </w:r>
      <w:r w:rsidR="00064F5E">
        <w:rPr>
          <w:rFonts w:ascii="Calibri" w:hAnsi="Calibri"/>
        </w:rPr>
        <w:t xml:space="preserve">contributions that </w:t>
      </w:r>
      <w:r w:rsidR="00FC6E7B">
        <w:rPr>
          <w:rFonts w:ascii="Calibri" w:hAnsi="Calibri"/>
        </w:rPr>
        <w:t xml:space="preserve">these coordinators have </w:t>
      </w:r>
      <w:r w:rsidR="00064F5E">
        <w:rPr>
          <w:rFonts w:ascii="Calibri" w:hAnsi="Calibri"/>
        </w:rPr>
        <w:t>made</w:t>
      </w:r>
      <w:r w:rsidRPr="009E2F3B">
        <w:rPr>
          <w:rFonts w:ascii="Calibri" w:hAnsi="Calibri"/>
        </w:rPr>
        <w:t xml:space="preserve"> </w:t>
      </w:r>
      <w:r w:rsidR="00064F5E">
        <w:rPr>
          <w:rFonts w:ascii="Calibri" w:hAnsi="Calibri"/>
        </w:rPr>
        <w:t xml:space="preserve">in </w:t>
      </w:r>
      <w:r w:rsidRPr="009E2F3B">
        <w:rPr>
          <w:rFonts w:ascii="Calibri" w:hAnsi="Calibri"/>
        </w:rPr>
        <w:t xml:space="preserve">the </w:t>
      </w:r>
      <w:r w:rsidR="00064F5E">
        <w:rPr>
          <w:rFonts w:ascii="Calibri" w:hAnsi="Calibri"/>
        </w:rPr>
        <w:t>lives</w:t>
      </w:r>
      <w:r w:rsidR="00064F5E" w:rsidRPr="009E2F3B">
        <w:rPr>
          <w:rFonts w:ascii="Calibri" w:hAnsi="Calibri"/>
        </w:rPr>
        <w:t xml:space="preserve"> </w:t>
      </w:r>
      <w:r w:rsidRPr="009E2F3B">
        <w:rPr>
          <w:rFonts w:ascii="Calibri" w:hAnsi="Calibri"/>
        </w:rPr>
        <w:t>of students and their families</w:t>
      </w:r>
      <w:r w:rsidR="00FC6E7B">
        <w:rPr>
          <w:rFonts w:ascii="Calibri" w:hAnsi="Calibri"/>
        </w:rPr>
        <w:t xml:space="preserve"> </w:t>
      </w:r>
      <w:r w:rsidR="00BA7D5C">
        <w:rPr>
          <w:rFonts w:ascii="Calibri" w:hAnsi="Calibri"/>
        </w:rPr>
        <w:t>by</w:t>
      </w:r>
      <w:r w:rsidR="00A97C7E">
        <w:rPr>
          <w:rFonts w:ascii="Calibri" w:hAnsi="Calibri"/>
        </w:rPr>
        <w:t>, for example</w:t>
      </w:r>
      <w:r w:rsidR="00381ED8">
        <w:rPr>
          <w:rFonts w:ascii="Calibri" w:hAnsi="Calibri"/>
        </w:rPr>
        <w:t>,</w:t>
      </w:r>
      <w:r w:rsidRPr="009E2F3B">
        <w:rPr>
          <w:rFonts w:ascii="Calibri" w:hAnsi="Calibri"/>
        </w:rPr>
        <w:t xml:space="preserve"> </w:t>
      </w:r>
      <w:r w:rsidR="00BA7D5C">
        <w:rPr>
          <w:rFonts w:ascii="Calibri" w:hAnsi="Calibri"/>
        </w:rPr>
        <w:t>helping to connect students and families with agencies to provide</w:t>
      </w:r>
      <w:r w:rsidR="00064F5E">
        <w:rPr>
          <w:rFonts w:ascii="Calibri" w:hAnsi="Calibri"/>
        </w:rPr>
        <w:t xml:space="preserve"> food</w:t>
      </w:r>
      <w:r w:rsidRPr="009E2F3B">
        <w:rPr>
          <w:rFonts w:ascii="Calibri" w:hAnsi="Calibri"/>
        </w:rPr>
        <w:t>, healthcare</w:t>
      </w:r>
      <w:r w:rsidR="00BA7D5C">
        <w:rPr>
          <w:rFonts w:ascii="Calibri" w:hAnsi="Calibri"/>
        </w:rPr>
        <w:t>,</w:t>
      </w:r>
      <w:r w:rsidRPr="009E2F3B">
        <w:rPr>
          <w:rFonts w:ascii="Calibri" w:hAnsi="Calibri"/>
        </w:rPr>
        <w:t xml:space="preserve"> </w:t>
      </w:r>
      <w:r w:rsidR="00BA7D5C">
        <w:rPr>
          <w:rFonts w:ascii="Calibri" w:hAnsi="Calibri"/>
        </w:rPr>
        <w:t>and counseling services</w:t>
      </w:r>
      <w:r w:rsidRPr="009E2F3B">
        <w:rPr>
          <w:rFonts w:ascii="Calibri" w:hAnsi="Calibri"/>
        </w:rPr>
        <w:t xml:space="preserve">. </w:t>
      </w:r>
    </w:p>
    <w:p w:rsidR="00FC6E7B" w:rsidRDefault="00064F5E" w:rsidP="00386849">
      <w:pPr>
        <w:numPr>
          <w:ilvl w:val="0"/>
          <w:numId w:val="35"/>
        </w:numPr>
        <w:tabs>
          <w:tab w:val="left" w:pos="360"/>
          <w:tab w:val="left" w:pos="1080"/>
          <w:tab w:val="left" w:pos="1440"/>
          <w:tab w:val="left" w:pos="1800"/>
        </w:tabs>
        <w:rPr>
          <w:rFonts w:ascii="Calibri" w:hAnsi="Calibri"/>
        </w:rPr>
      </w:pPr>
      <w:r>
        <w:rPr>
          <w:rFonts w:ascii="Calibri" w:hAnsi="Calibri"/>
        </w:rPr>
        <w:t>A</w:t>
      </w:r>
      <w:r w:rsidR="007A19A3" w:rsidRPr="009E2F3B">
        <w:rPr>
          <w:rFonts w:ascii="Calibri" w:hAnsi="Calibri"/>
        </w:rPr>
        <w:t>dministrators noted that the wraparound coordinator “works with</w:t>
      </w:r>
      <w:r w:rsidR="00FC6E7B">
        <w:rPr>
          <w:rFonts w:ascii="Calibri" w:hAnsi="Calibri"/>
        </w:rPr>
        <w:t xml:space="preserve"> families and helps them adjust” by helping with</w:t>
      </w:r>
      <w:r w:rsidR="007A19A3" w:rsidRPr="009E2F3B">
        <w:rPr>
          <w:rFonts w:ascii="Calibri" w:hAnsi="Calibri"/>
        </w:rPr>
        <w:t xml:space="preserve"> </w:t>
      </w:r>
      <w:r w:rsidR="00FC6E7B">
        <w:rPr>
          <w:rFonts w:ascii="Calibri" w:hAnsi="Calibri"/>
        </w:rPr>
        <w:t>“</w:t>
      </w:r>
      <w:r w:rsidR="007A19A3" w:rsidRPr="009E2F3B">
        <w:rPr>
          <w:rFonts w:ascii="Calibri" w:hAnsi="Calibri"/>
        </w:rPr>
        <w:t xml:space="preserve">clothes drives, housing, </w:t>
      </w:r>
      <w:r w:rsidR="00BA7D5C">
        <w:rPr>
          <w:rFonts w:ascii="Calibri" w:hAnsi="Calibri"/>
        </w:rPr>
        <w:t xml:space="preserve">and </w:t>
      </w:r>
      <w:r w:rsidR="007A19A3" w:rsidRPr="009E2F3B">
        <w:rPr>
          <w:rFonts w:ascii="Calibri" w:hAnsi="Calibri"/>
        </w:rPr>
        <w:t xml:space="preserve">health </w:t>
      </w:r>
      <w:r w:rsidR="00FC6E7B">
        <w:rPr>
          <w:rFonts w:ascii="Calibri" w:hAnsi="Calibri"/>
        </w:rPr>
        <w:t xml:space="preserve">and </w:t>
      </w:r>
      <w:r w:rsidR="007A19A3" w:rsidRPr="009E2F3B">
        <w:rPr>
          <w:rFonts w:ascii="Calibri" w:hAnsi="Calibri"/>
        </w:rPr>
        <w:t>dental</w:t>
      </w:r>
      <w:r>
        <w:rPr>
          <w:rFonts w:ascii="Calibri" w:hAnsi="Calibri"/>
        </w:rPr>
        <w:t xml:space="preserve"> </w:t>
      </w:r>
      <w:r w:rsidR="00FC6E7B">
        <w:rPr>
          <w:rFonts w:ascii="Calibri" w:hAnsi="Calibri"/>
        </w:rPr>
        <w:t>care.</w:t>
      </w:r>
      <w:r>
        <w:rPr>
          <w:rFonts w:ascii="Calibri" w:hAnsi="Calibri"/>
        </w:rPr>
        <w:t>”</w:t>
      </w:r>
      <w:r w:rsidR="00FC6E7B">
        <w:rPr>
          <w:rFonts w:ascii="Calibri" w:hAnsi="Calibri"/>
        </w:rPr>
        <w:t xml:space="preserve"> </w:t>
      </w:r>
    </w:p>
    <w:p w:rsidR="007A19A3" w:rsidRPr="009E2F3B" w:rsidRDefault="00FC6E7B" w:rsidP="00386849">
      <w:pPr>
        <w:numPr>
          <w:ilvl w:val="0"/>
          <w:numId w:val="35"/>
        </w:numPr>
        <w:tabs>
          <w:tab w:val="left" w:pos="360"/>
          <w:tab w:val="left" w:pos="1080"/>
          <w:tab w:val="left" w:pos="1440"/>
          <w:tab w:val="left" w:pos="1800"/>
        </w:tabs>
        <w:rPr>
          <w:rFonts w:ascii="Calibri" w:hAnsi="Calibri"/>
        </w:rPr>
      </w:pPr>
      <w:r>
        <w:rPr>
          <w:rFonts w:ascii="Calibri" w:hAnsi="Calibri"/>
        </w:rPr>
        <w:t>One staff member of a Level 4 school said that the wraparound services were</w:t>
      </w:r>
      <w:r w:rsidR="007A19A3" w:rsidRPr="009E2F3B">
        <w:rPr>
          <w:rFonts w:ascii="Calibri" w:hAnsi="Calibri"/>
        </w:rPr>
        <w:t xml:space="preserve"> “life</w:t>
      </w:r>
      <w:r>
        <w:rPr>
          <w:rFonts w:ascii="Calibri" w:hAnsi="Calibri"/>
        </w:rPr>
        <w:t xml:space="preserve"> changing for me” and </w:t>
      </w:r>
      <w:r w:rsidR="00BA7D5C">
        <w:rPr>
          <w:rFonts w:ascii="Calibri" w:hAnsi="Calibri"/>
        </w:rPr>
        <w:t xml:space="preserve">noted </w:t>
      </w:r>
      <w:r>
        <w:rPr>
          <w:rFonts w:ascii="Calibri" w:hAnsi="Calibri"/>
        </w:rPr>
        <w:t xml:space="preserve">that </w:t>
      </w:r>
      <w:r w:rsidR="00A97C7E">
        <w:rPr>
          <w:rFonts w:ascii="Calibri" w:hAnsi="Calibri"/>
        </w:rPr>
        <w:t>the wraparound</w:t>
      </w:r>
      <w:r w:rsidR="007A19A3" w:rsidRPr="009E2F3B">
        <w:rPr>
          <w:rFonts w:ascii="Calibri" w:hAnsi="Calibri"/>
        </w:rPr>
        <w:t xml:space="preserve"> </w:t>
      </w:r>
      <w:r w:rsidR="00A97C7E">
        <w:rPr>
          <w:rFonts w:ascii="Calibri" w:hAnsi="Calibri"/>
        </w:rPr>
        <w:t>coordinators touch “</w:t>
      </w:r>
      <w:r w:rsidR="007A19A3" w:rsidRPr="009E2F3B">
        <w:rPr>
          <w:rFonts w:ascii="Calibri" w:hAnsi="Calibri"/>
        </w:rPr>
        <w:t>every realm</w:t>
      </w:r>
      <w:r>
        <w:rPr>
          <w:rFonts w:ascii="Calibri" w:hAnsi="Calibri"/>
        </w:rPr>
        <w:t xml:space="preserve"> [of students’ lives</w:t>
      </w:r>
      <w:r w:rsidR="00A97C7E">
        <w:rPr>
          <w:rFonts w:ascii="Calibri" w:hAnsi="Calibri"/>
        </w:rPr>
        <w:t>]</w:t>
      </w:r>
      <w:r>
        <w:rPr>
          <w:rFonts w:ascii="Calibri" w:hAnsi="Calibri"/>
        </w:rPr>
        <w:t>,</w:t>
      </w:r>
      <w:r w:rsidR="00A97C7E">
        <w:rPr>
          <w:rFonts w:ascii="Calibri" w:hAnsi="Calibri"/>
        </w:rPr>
        <w:t>”</w:t>
      </w:r>
      <w:r>
        <w:rPr>
          <w:rFonts w:ascii="Calibri" w:hAnsi="Calibri"/>
        </w:rPr>
        <w:t xml:space="preserve"> </w:t>
      </w:r>
      <w:r w:rsidR="00A97C7E">
        <w:rPr>
          <w:rFonts w:ascii="Calibri" w:hAnsi="Calibri"/>
        </w:rPr>
        <w:t>by their work with “</w:t>
      </w:r>
      <w:r>
        <w:rPr>
          <w:rFonts w:ascii="Calibri" w:hAnsi="Calibri"/>
        </w:rPr>
        <w:t>s</w:t>
      </w:r>
      <w:r w:rsidR="007A19A3" w:rsidRPr="009E2F3B">
        <w:rPr>
          <w:rFonts w:ascii="Calibri" w:hAnsi="Calibri"/>
        </w:rPr>
        <w:t>ocial services</w:t>
      </w:r>
      <w:r w:rsidR="00433870">
        <w:rPr>
          <w:rFonts w:ascii="Calibri" w:hAnsi="Calibri"/>
        </w:rPr>
        <w:t xml:space="preserve"> </w:t>
      </w:r>
      <w:r w:rsidR="00B80029">
        <w:rPr>
          <w:rFonts w:ascii="Calibri" w:hAnsi="Calibri"/>
        </w:rPr>
        <w:t xml:space="preserve">that provide, for example, assistance </w:t>
      </w:r>
      <w:r w:rsidR="00696596">
        <w:rPr>
          <w:rFonts w:ascii="Calibri" w:hAnsi="Calibri"/>
        </w:rPr>
        <w:t xml:space="preserve">to families </w:t>
      </w:r>
      <w:r w:rsidR="007A19A3" w:rsidRPr="009E2F3B">
        <w:rPr>
          <w:rFonts w:ascii="Calibri" w:hAnsi="Calibri"/>
        </w:rPr>
        <w:t>without heat</w:t>
      </w:r>
      <w:r>
        <w:rPr>
          <w:rFonts w:ascii="Calibri" w:hAnsi="Calibri"/>
        </w:rPr>
        <w:t>.</w:t>
      </w:r>
      <w:r w:rsidR="007A19A3" w:rsidRPr="009E2F3B">
        <w:rPr>
          <w:rFonts w:ascii="Calibri" w:hAnsi="Calibri"/>
        </w:rPr>
        <w:t xml:space="preserve">” This group also described wraparound services as a “system of support” for students. </w:t>
      </w:r>
    </w:p>
    <w:p w:rsidR="007A19A3" w:rsidRPr="009E2F3B" w:rsidRDefault="00BA7D5C" w:rsidP="00386849">
      <w:pPr>
        <w:numPr>
          <w:ilvl w:val="0"/>
          <w:numId w:val="35"/>
        </w:numPr>
        <w:tabs>
          <w:tab w:val="left" w:pos="360"/>
          <w:tab w:val="left" w:pos="1080"/>
          <w:tab w:val="left" w:pos="1440"/>
          <w:tab w:val="left" w:pos="1800"/>
        </w:tabs>
        <w:rPr>
          <w:rFonts w:ascii="Calibri" w:hAnsi="Calibri"/>
        </w:rPr>
      </w:pPr>
      <w:r>
        <w:rPr>
          <w:rFonts w:ascii="Calibri" w:hAnsi="Calibri"/>
        </w:rPr>
        <w:t>Parents</w:t>
      </w:r>
      <w:r w:rsidR="007A19A3" w:rsidRPr="009E2F3B">
        <w:rPr>
          <w:rFonts w:ascii="Calibri" w:hAnsi="Calibri"/>
        </w:rPr>
        <w:t xml:space="preserve"> noted that not all schools in the district have the services of the wraparou</w:t>
      </w:r>
      <w:r w:rsidR="00FC6E7B">
        <w:rPr>
          <w:rFonts w:ascii="Calibri" w:hAnsi="Calibri"/>
        </w:rPr>
        <w:t xml:space="preserve">nd coordinators </w:t>
      </w:r>
      <w:r w:rsidR="00A97C7E">
        <w:rPr>
          <w:rFonts w:ascii="Calibri" w:hAnsi="Calibri"/>
        </w:rPr>
        <w:t xml:space="preserve">and said </w:t>
      </w:r>
      <w:r w:rsidR="00FC6E7B">
        <w:rPr>
          <w:rFonts w:ascii="Calibri" w:hAnsi="Calibri"/>
        </w:rPr>
        <w:t>if there were</w:t>
      </w:r>
      <w:r w:rsidR="007A19A3" w:rsidRPr="009E2F3B">
        <w:rPr>
          <w:rFonts w:ascii="Calibri" w:hAnsi="Calibri"/>
        </w:rPr>
        <w:t xml:space="preserve"> more funding</w:t>
      </w:r>
      <w:r w:rsidR="00FC6E7B">
        <w:rPr>
          <w:rFonts w:ascii="Calibri" w:hAnsi="Calibri"/>
        </w:rPr>
        <w:t>,</w:t>
      </w:r>
      <w:r w:rsidR="007A19A3" w:rsidRPr="009E2F3B">
        <w:rPr>
          <w:rFonts w:ascii="Calibri" w:hAnsi="Calibri"/>
        </w:rPr>
        <w:t xml:space="preserve"> more coordinators could benefit even more students</w:t>
      </w:r>
      <w:r w:rsidR="00FC6E7B">
        <w:rPr>
          <w:rFonts w:ascii="Calibri" w:hAnsi="Calibri"/>
        </w:rPr>
        <w:t xml:space="preserve"> in need of support</w:t>
      </w:r>
      <w:r w:rsidR="007A19A3" w:rsidRPr="009E2F3B">
        <w:rPr>
          <w:rFonts w:ascii="Calibri" w:hAnsi="Calibri"/>
        </w:rPr>
        <w:t xml:space="preserve">. </w:t>
      </w:r>
    </w:p>
    <w:p w:rsidR="00042BF5" w:rsidRDefault="007A19A3" w:rsidP="007A19A3">
      <w:pPr>
        <w:tabs>
          <w:tab w:val="left" w:pos="360"/>
          <w:tab w:val="left" w:pos="1080"/>
          <w:tab w:val="left" w:pos="1440"/>
          <w:tab w:val="left" w:pos="1800"/>
        </w:tabs>
        <w:rPr>
          <w:rFonts w:ascii="Calibri" w:hAnsi="Calibri"/>
        </w:rPr>
      </w:pPr>
      <w:r w:rsidRPr="009E2F3B">
        <w:rPr>
          <w:rFonts w:ascii="Calibri" w:hAnsi="Calibri"/>
          <w:b/>
        </w:rPr>
        <w:t>Impact:</w:t>
      </w:r>
      <w:r w:rsidR="00FC6E7B">
        <w:rPr>
          <w:rFonts w:ascii="Calibri" w:hAnsi="Calibri"/>
        </w:rPr>
        <w:t xml:space="preserve"> </w:t>
      </w:r>
      <w:r w:rsidR="00AC1886">
        <w:rPr>
          <w:rFonts w:ascii="Calibri" w:hAnsi="Calibri"/>
        </w:rPr>
        <w:t xml:space="preserve">By </w:t>
      </w:r>
      <w:r w:rsidR="003B445A">
        <w:rPr>
          <w:rFonts w:ascii="Calibri" w:hAnsi="Calibri"/>
        </w:rPr>
        <w:t>helping students and families secure basic necessities such as food, clothing, housing</w:t>
      </w:r>
      <w:r w:rsidR="00AC1886">
        <w:rPr>
          <w:rFonts w:ascii="Calibri" w:hAnsi="Calibri"/>
        </w:rPr>
        <w:t>,</w:t>
      </w:r>
      <w:r w:rsidR="003B445A">
        <w:rPr>
          <w:rFonts w:ascii="Calibri" w:hAnsi="Calibri"/>
        </w:rPr>
        <w:t xml:space="preserve"> and healthcare</w:t>
      </w:r>
      <w:r w:rsidR="00696596">
        <w:rPr>
          <w:rFonts w:ascii="Calibri" w:hAnsi="Calibri"/>
        </w:rPr>
        <w:t>,</w:t>
      </w:r>
      <w:r w:rsidR="00AC1886">
        <w:rPr>
          <w:rFonts w:ascii="Calibri" w:hAnsi="Calibri"/>
        </w:rPr>
        <w:t xml:space="preserve"> w</w:t>
      </w:r>
      <w:r w:rsidR="00AC1886" w:rsidRPr="009E2F3B">
        <w:rPr>
          <w:rFonts w:ascii="Calibri" w:hAnsi="Calibri"/>
        </w:rPr>
        <w:t xml:space="preserve">raparound </w:t>
      </w:r>
      <w:r w:rsidR="003B445A">
        <w:rPr>
          <w:rFonts w:ascii="Calibri" w:hAnsi="Calibri"/>
        </w:rPr>
        <w:t xml:space="preserve">coordinators </w:t>
      </w:r>
      <w:r w:rsidRPr="009E2F3B">
        <w:rPr>
          <w:rFonts w:ascii="Calibri" w:hAnsi="Calibri"/>
        </w:rPr>
        <w:t xml:space="preserve">support </w:t>
      </w:r>
      <w:r w:rsidR="003B445A">
        <w:rPr>
          <w:rFonts w:ascii="Calibri" w:hAnsi="Calibri"/>
        </w:rPr>
        <w:t xml:space="preserve">the </w:t>
      </w:r>
      <w:r w:rsidR="00F51908">
        <w:rPr>
          <w:rFonts w:ascii="Calibri" w:hAnsi="Calibri"/>
        </w:rPr>
        <w:t>learning, social</w:t>
      </w:r>
      <w:r w:rsidR="00433870">
        <w:rPr>
          <w:rFonts w:ascii="Calibri" w:hAnsi="Calibri"/>
        </w:rPr>
        <w:t>-emotional</w:t>
      </w:r>
      <w:r w:rsidRPr="009E2F3B">
        <w:rPr>
          <w:rFonts w:ascii="Calibri" w:hAnsi="Calibri"/>
        </w:rPr>
        <w:t xml:space="preserve"> </w:t>
      </w:r>
      <w:r w:rsidR="00433870">
        <w:rPr>
          <w:rFonts w:ascii="Calibri" w:hAnsi="Calibri"/>
        </w:rPr>
        <w:t xml:space="preserve">development, and the health and well-being of </w:t>
      </w:r>
      <w:r w:rsidRPr="009E2F3B">
        <w:rPr>
          <w:rFonts w:ascii="Calibri" w:hAnsi="Calibri"/>
        </w:rPr>
        <w:t xml:space="preserve">the </w:t>
      </w:r>
      <w:r w:rsidR="00433870">
        <w:rPr>
          <w:rFonts w:ascii="Calibri" w:hAnsi="Calibri"/>
        </w:rPr>
        <w:t xml:space="preserve">district’s </w:t>
      </w:r>
      <w:r w:rsidRPr="009E2F3B">
        <w:rPr>
          <w:rFonts w:ascii="Calibri" w:hAnsi="Calibri"/>
        </w:rPr>
        <w:t xml:space="preserve">most vulnerable students.  </w:t>
      </w:r>
    </w:p>
    <w:p w:rsidR="007A19A3" w:rsidRDefault="007A19A3" w:rsidP="007A19A3">
      <w:pPr>
        <w:tabs>
          <w:tab w:val="left" w:pos="360"/>
          <w:tab w:val="left" w:pos="1080"/>
          <w:tab w:val="left" w:pos="1440"/>
          <w:tab w:val="left" w:pos="1800"/>
        </w:tabs>
        <w:rPr>
          <w:rFonts w:ascii="Calibri" w:hAnsi="Calibri"/>
        </w:rPr>
      </w:pPr>
    </w:p>
    <w:p w:rsidR="00847FF6" w:rsidRDefault="00847FF6" w:rsidP="007A19A3">
      <w:pPr>
        <w:tabs>
          <w:tab w:val="left" w:pos="360"/>
          <w:tab w:val="left" w:pos="1080"/>
          <w:tab w:val="left" w:pos="1440"/>
          <w:tab w:val="left" w:pos="1800"/>
        </w:tabs>
        <w:rPr>
          <w:rFonts w:ascii="Calibri" w:hAnsi="Calibri"/>
        </w:rPr>
      </w:pPr>
    </w:p>
    <w:p w:rsidR="00847FF6" w:rsidRPr="009E2F3B" w:rsidRDefault="00847FF6" w:rsidP="007A19A3">
      <w:pPr>
        <w:tabs>
          <w:tab w:val="left" w:pos="360"/>
          <w:tab w:val="left" w:pos="1080"/>
          <w:tab w:val="left" w:pos="1440"/>
          <w:tab w:val="left" w:pos="1800"/>
        </w:tabs>
        <w:rPr>
          <w:rFonts w:ascii="Calibri" w:hAnsi="Calibri"/>
        </w:rPr>
      </w:pPr>
    </w:p>
    <w:p w:rsidR="007A19A3" w:rsidRPr="00DB3FD1" w:rsidRDefault="0047041E" w:rsidP="007A19A3">
      <w:pPr>
        <w:tabs>
          <w:tab w:val="left" w:pos="360"/>
          <w:tab w:val="left" w:pos="720"/>
          <w:tab w:val="left" w:pos="1080"/>
          <w:tab w:val="left" w:pos="1440"/>
          <w:tab w:val="left" w:pos="1800"/>
          <w:tab w:val="left" w:pos="2160"/>
        </w:tabs>
        <w:rPr>
          <w:rFonts w:ascii="Calibri" w:hAnsi="Calibri"/>
          <w:b/>
          <w:sz w:val="28"/>
          <w:szCs w:val="28"/>
        </w:rPr>
      </w:pPr>
      <w:r w:rsidRPr="0047041E">
        <w:rPr>
          <w:rFonts w:ascii="Calibri" w:hAnsi="Calibri"/>
          <w:b/>
          <w:sz w:val="28"/>
          <w:szCs w:val="28"/>
        </w:rPr>
        <w:lastRenderedPageBreak/>
        <w:t>Challenges and Area</w:t>
      </w:r>
      <w:r w:rsidR="003D7216">
        <w:rPr>
          <w:rFonts w:ascii="Calibri" w:hAnsi="Calibri"/>
          <w:b/>
          <w:sz w:val="28"/>
          <w:szCs w:val="28"/>
        </w:rPr>
        <w:t>s</w:t>
      </w:r>
      <w:r w:rsidRPr="0047041E">
        <w:rPr>
          <w:rFonts w:ascii="Calibri" w:hAnsi="Calibri"/>
          <w:b/>
          <w:sz w:val="28"/>
          <w:szCs w:val="28"/>
        </w:rPr>
        <w:t xml:space="preserve"> for Growth</w:t>
      </w:r>
    </w:p>
    <w:p w:rsidR="007A19A3" w:rsidRPr="009E2F3B" w:rsidRDefault="00E42843" w:rsidP="00623D22">
      <w:pPr>
        <w:tabs>
          <w:tab w:val="left" w:pos="360"/>
          <w:tab w:val="left" w:pos="720"/>
          <w:tab w:val="left" w:pos="1080"/>
          <w:tab w:val="left" w:pos="1440"/>
          <w:tab w:val="left" w:pos="1800"/>
          <w:tab w:val="left" w:pos="2160"/>
        </w:tabs>
        <w:ind w:left="360" w:hanging="360"/>
        <w:rPr>
          <w:rFonts w:ascii="Calibri" w:hAnsi="Calibri"/>
          <w:color w:val="222222"/>
          <w:shd w:val="clear" w:color="auto" w:fill="FFFFFF"/>
        </w:rPr>
      </w:pPr>
      <w:r>
        <w:rPr>
          <w:rFonts w:ascii="Calibri" w:hAnsi="Calibri"/>
          <w:b/>
        </w:rPr>
        <w:t>3</w:t>
      </w:r>
      <w:r w:rsidR="007A19A3" w:rsidRPr="009E2F3B">
        <w:rPr>
          <w:rFonts w:ascii="Calibri" w:hAnsi="Calibri"/>
          <w:b/>
        </w:rPr>
        <w:t xml:space="preserve">. </w:t>
      </w:r>
      <w:r w:rsidR="00623D22">
        <w:rPr>
          <w:rFonts w:ascii="Calibri" w:hAnsi="Calibri"/>
          <w:b/>
        </w:rPr>
        <w:tab/>
      </w:r>
      <w:r w:rsidR="007A19A3" w:rsidRPr="009E2F3B">
        <w:rPr>
          <w:rFonts w:ascii="Calibri" w:hAnsi="Calibri"/>
          <w:b/>
          <w:color w:val="222222"/>
          <w:shd w:val="clear" w:color="auto" w:fill="FFFFFF"/>
        </w:rPr>
        <w:t xml:space="preserve">The district has not </w:t>
      </w:r>
      <w:r w:rsidR="007267A3">
        <w:rPr>
          <w:rFonts w:ascii="Calibri" w:hAnsi="Calibri"/>
          <w:b/>
          <w:color w:val="222222"/>
          <w:shd w:val="clear" w:color="auto" w:fill="FFFFFF"/>
        </w:rPr>
        <w:t xml:space="preserve">put in place a process to </w:t>
      </w:r>
      <w:r w:rsidR="007A19A3" w:rsidRPr="009E2F3B">
        <w:rPr>
          <w:rFonts w:ascii="Calibri" w:hAnsi="Calibri"/>
          <w:b/>
          <w:color w:val="222222"/>
          <w:shd w:val="clear" w:color="auto" w:fill="FFFFFF"/>
        </w:rPr>
        <w:t xml:space="preserve">implement a multi-tiered system of support. </w:t>
      </w:r>
    </w:p>
    <w:p w:rsidR="00FC6E7B" w:rsidRDefault="007A19A3" w:rsidP="00623D22">
      <w:pPr>
        <w:tabs>
          <w:tab w:val="left" w:pos="270"/>
        </w:tabs>
        <w:ind w:left="720" w:hanging="360"/>
        <w:rPr>
          <w:rFonts w:ascii="Calibri" w:hAnsi="Calibri"/>
          <w:bCs/>
        </w:rPr>
      </w:pPr>
      <w:r w:rsidRPr="00623D22">
        <w:rPr>
          <w:rFonts w:ascii="Calibri" w:hAnsi="Calibri"/>
          <w:b/>
          <w:bCs/>
        </w:rPr>
        <w:t>A.</w:t>
      </w:r>
      <w:r w:rsidRPr="009E2F3B">
        <w:rPr>
          <w:rFonts w:ascii="Calibri" w:hAnsi="Calibri"/>
          <w:bCs/>
        </w:rPr>
        <w:t xml:space="preserve">    In 2011, the Department of Elementary and Secondary Education published a blueprint outlining the components of the Massachusetts Tiered Sy</w:t>
      </w:r>
      <w:r w:rsidR="00FC6E7B">
        <w:rPr>
          <w:rFonts w:ascii="Calibri" w:hAnsi="Calibri"/>
          <w:bCs/>
        </w:rPr>
        <w:t xml:space="preserve">stem of Support (MTSS) as </w:t>
      </w:r>
      <w:r w:rsidRPr="009E2F3B">
        <w:rPr>
          <w:rFonts w:ascii="Calibri" w:hAnsi="Calibri"/>
          <w:bCs/>
        </w:rPr>
        <w:t>a three-tiered mod</w:t>
      </w:r>
      <w:r w:rsidR="00FC6E7B">
        <w:rPr>
          <w:rFonts w:ascii="Calibri" w:hAnsi="Calibri"/>
          <w:bCs/>
        </w:rPr>
        <w:t xml:space="preserve">el </w:t>
      </w:r>
      <w:r w:rsidRPr="009E2F3B">
        <w:rPr>
          <w:rFonts w:ascii="Calibri" w:hAnsi="Calibri"/>
          <w:bCs/>
        </w:rPr>
        <w:t>represent</w:t>
      </w:r>
      <w:r w:rsidR="00FC6E7B">
        <w:rPr>
          <w:rFonts w:ascii="Calibri" w:hAnsi="Calibri"/>
          <w:bCs/>
        </w:rPr>
        <w:t>ing</w:t>
      </w:r>
      <w:r w:rsidRPr="009E2F3B">
        <w:rPr>
          <w:rFonts w:ascii="Calibri" w:hAnsi="Calibri"/>
          <w:bCs/>
        </w:rPr>
        <w:t xml:space="preserve"> increasing intensity of support and intervention</w:t>
      </w:r>
      <w:r w:rsidR="00FC6E7B">
        <w:rPr>
          <w:rFonts w:ascii="Calibri" w:hAnsi="Calibri"/>
          <w:bCs/>
        </w:rPr>
        <w:t xml:space="preserve">. </w:t>
      </w:r>
    </w:p>
    <w:p w:rsidR="00FC6E7B" w:rsidRDefault="00FC6E7B" w:rsidP="00FC6E7B">
      <w:pPr>
        <w:tabs>
          <w:tab w:val="left" w:pos="270"/>
        </w:tabs>
        <w:ind w:left="1080" w:hanging="360"/>
        <w:rPr>
          <w:rFonts w:ascii="Calibri" w:hAnsi="Calibri"/>
          <w:bCs/>
        </w:rPr>
      </w:pPr>
      <w:r>
        <w:rPr>
          <w:rFonts w:ascii="Calibri" w:hAnsi="Calibri"/>
          <w:bCs/>
        </w:rPr>
        <w:t>1.</w:t>
      </w:r>
      <w:r>
        <w:rPr>
          <w:rFonts w:ascii="Calibri" w:hAnsi="Calibri"/>
          <w:bCs/>
        </w:rPr>
        <w:tab/>
        <w:t xml:space="preserve">Tier I is the universal tier for </w:t>
      </w:r>
      <w:r w:rsidR="007A19A3" w:rsidRPr="009E2F3B">
        <w:rPr>
          <w:rFonts w:ascii="Calibri" w:hAnsi="Calibri"/>
          <w:bCs/>
        </w:rPr>
        <w:t xml:space="preserve">academic as well as behavioral instruction and supports designed and differentiated </w:t>
      </w:r>
      <w:r w:rsidR="00F6738D">
        <w:rPr>
          <w:rFonts w:ascii="Calibri" w:hAnsi="Calibri"/>
          <w:bCs/>
        </w:rPr>
        <w:t xml:space="preserve">instruction </w:t>
      </w:r>
      <w:r w:rsidR="007A19A3" w:rsidRPr="009E2F3B">
        <w:rPr>
          <w:rFonts w:ascii="Calibri" w:hAnsi="Calibri"/>
          <w:bCs/>
        </w:rPr>
        <w:t xml:space="preserve">for all students across all settings.  </w:t>
      </w:r>
    </w:p>
    <w:p w:rsidR="00FC6E7B" w:rsidRDefault="00FC6E7B" w:rsidP="00FC6E7B">
      <w:pPr>
        <w:tabs>
          <w:tab w:val="left" w:pos="270"/>
        </w:tabs>
        <w:ind w:left="1080" w:hanging="360"/>
        <w:rPr>
          <w:rFonts w:ascii="Calibri" w:hAnsi="Calibri"/>
          <w:bCs/>
        </w:rPr>
      </w:pPr>
      <w:r>
        <w:rPr>
          <w:rFonts w:ascii="Calibri" w:hAnsi="Calibri"/>
          <w:bCs/>
        </w:rPr>
        <w:t>2.</w:t>
      </w:r>
      <w:r>
        <w:rPr>
          <w:rFonts w:ascii="Calibri" w:hAnsi="Calibri"/>
          <w:bCs/>
        </w:rPr>
        <w:tab/>
      </w:r>
      <w:r w:rsidR="007A19A3" w:rsidRPr="009E2F3B">
        <w:rPr>
          <w:rFonts w:ascii="Calibri" w:hAnsi="Calibri"/>
          <w:bCs/>
        </w:rPr>
        <w:t xml:space="preserve">In addition to what students receive in Tier I, Tier II offers interventions or supports to students who need it (such as </w:t>
      </w:r>
      <w:r w:rsidR="00F6738D" w:rsidRPr="009E2F3B">
        <w:rPr>
          <w:rFonts w:ascii="Calibri" w:hAnsi="Calibri"/>
          <w:bCs/>
        </w:rPr>
        <w:t>small</w:t>
      </w:r>
      <w:r w:rsidR="00F6738D">
        <w:rPr>
          <w:rFonts w:ascii="Calibri" w:hAnsi="Calibri"/>
          <w:bCs/>
        </w:rPr>
        <w:t>-</w:t>
      </w:r>
      <w:r w:rsidR="007A19A3" w:rsidRPr="009E2F3B">
        <w:rPr>
          <w:rFonts w:ascii="Calibri" w:hAnsi="Calibri"/>
          <w:bCs/>
        </w:rPr>
        <w:t>group intervention</w:t>
      </w:r>
      <w:r w:rsidR="00F6738D">
        <w:rPr>
          <w:rFonts w:ascii="Calibri" w:hAnsi="Calibri"/>
          <w:bCs/>
        </w:rPr>
        <w:t>s</w:t>
      </w:r>
      <w:r w:rsidR="007A19A3" w:rsidRPr="009E2F3B">
        <w:rPr>
          <w:rFonts w:ascii="Calibri" w:hAnsi="Calibri"/>
          <w:bCs/>
        </w:rPr>
        <w:t xml:space="preserve">). </w:t>
      </w:r>
    </w:p>
    <w:p w:rsidR="007A19A3" w:rsidRPr="009E2F3B" w:rsidRDefault="00FC6E7B" w:rsidP="00FC6E7B">
      <w:pPr>
        <w:tabs>
          <w:tab w:val="left" w:pos="270"/>
        </w:tabs>
        <w:ind w:left="1080" w:hanging="360"/>
        <w:rPr>
          <w:rFonts w:ascii="Calibri" w:hAnsi="Calibri"/>
          <w:bCs/>
        </w:rPr>
      </w:pPr>
      <w:r>
        <w:rPr>
          <w:rFonts w:ascii="Calibri" w:hAnsi="Calibri"/>
          <w:bCs/>
        </w:rPr>
        <w:t>3.</w:t>
      </w:r>
      <w:r>
        <w:rPr>
          <w:rFonts w:ascii="Calibri" w:hAnsi="Calibri"/>
          <w:bCs/>
        </w:rPr>
        <w:tab/>
      </w:r>
      <w:r w:rsidR="007A19A3" w:rsidRPr="009E2F3B">
        <w:rPr>
          <w:rFonts w:ascii="Calibri" w:hAnsi="Calibri"/>
          <w:bCs/>
        </w:rPr>
        <w:t>Tier III</w:t>
      </w:r>
      <w:r w:rsidR="00F6738D">
        <w:rPr>
          <w:rFonts w:ascii="Calibri" w:hAnsi="Calibri"/>
          <w:bCs/>
        </w:rPr>
        <w:t>,</w:t>
      </w:r>
      <w:r w:rsidR="007A19A3" w:rsidRPr="009E2F3B">
        <w:rPr>
          <w:rFonts w:ascii="Calibri" w:hAnsi="Calibri"/>
          <w:bCs/>
        </w:rPr>
        <w:t xml:space="preserve"> the most intensive intervention</w:t>
      </w:r>
      <w:r w:rsidR="00F6738D">
        <w:rPr>
          <w:rFonts w:ascii="Calibri" w:hAnsi="Calibri"/>
          <w:bCs/>
        </w:rPr>
        <w:t>,</w:t>
      </w:r>
      <w:r w:rsidR="007A19A3" w:rsidRPr="009E2F3B">
        <w:rPr>
          <w:rFonts w:ascii="Calibri" w:hAnsi="Calibri"/>
          <w:bCs/>
        </w:rPr>
        <w:t xml:space="preserve"> </w:t>
      </w:r>
      <w:r>
        <w:rPr>
          <w:rFonts w:ascii="Calibri" w:hAnsi="Calibri"/>
          <w:bCs/>
        </w:rPr>
        <w:t>provides varied</w:t>
      </w:r>
      <w:r w:rsidR="007A19A3" w:rsidRPr="009E2F3B">
        <w:rPr>
          <w:rFonts w:ascii="Calibri" w:hAnsi="Calibri"/>
          <w:bCs/>
        </w:rPr>
        <w:t xml:space="preserve"> support</w:t>
      </w:r>
      <w:r>
        <w:rPr>
          <w:rFonts w:ascii="Calibri" w:hAnsi="Calibri"/>
          <w:bCs/>
        </w:rPr>
        <w:t>s</w:t>
      </w:r>
      <w:r w:rsidR="007A19A3" w:rsidRPr="009E2F3B">
        <w:rPr>
          <w:rFonts w:ascii="Calibri" w:hAnsi="Calibri"/>
          <w:bCs/>
        </w:rPr>
        <w:t xml:space="preserve"> to students</w:t>
      </w:r>
      <w:r>
        <w:rPr>
          <w:rFonts w:ascii="Calibri" w:hAnsi="Calibri"/>
          <w:bCs/>
        </w:rPr>
        <w:t xml:space="preserve"> in need.  This</w:t>
      </w:r>
      <w:r w:rsidR="007A19A3" w:rsidRPr="009E2F3B">
        <w:rPr>
          <w:rFonts w:ascii="Calibri" w:hAnsi="Calibri"/>
          <w:bCs/>
        </w:rPr>
        <w:t xml:space="preserve"> ma</w:t>
      </w:r>
      <w:r>
        <w:rPr>
          <w:rFonts w:ascii="Calibri" w:hAnsi="Calibri"/>
          <w:bCs/>
        </w:rPr>
        <w:t>y include special</w:t>
      </w:r>
      <w:r w:rsidR="007A19A3" w:rsidRPr="009E2F3B">
        <w:rPr>
          <w:rFonts w:ascii="Calibri" w:hAnsi="Calibri"/>
          <w:bCs/>
        </w:rPr>
        <w:t xml:space="preserve"> programming, increased time, or smaller intervention groups. </w:t>
      </w:r>
    </w:p>
    <w:p w:rsidR="007A19A3" w:rsidRPr="009E2F3B" w:rsidRDefault="00FC6E7B" w:rsidP="00631891">
      <w:pPr>
        <w:ind w:left="720" w:hanging="360"/>
        <w:rPr>
          <w:rFonts w:ascii="Calibri" w:hAnsi="Calibri"/>
          <w:bCs/>
        </w:rPr>
      </w:pPr>
      <w:r w:rsidRPr="00FC6E7B">
        <w:rPr>
          <w:rFonts w:ascii="Calibri" w:hAnsi="Calibri"/>
          <w:b/>
          <w:bCs/>
        </w:rPr>
        <w:t>B</w:t>
      </w:r>
      <w:r w:rsidR="007A19A3" w:rsidRPr="00FC6E7B">
        <w:rPr>
          <w:rFonts w:ascii="Calibri" w:hAnsi="Calibri"/>
          <w:b/>
          <w:bCs/>
        </w:rPr>
        <w:t>.</w:t>
      </w:r>
      <w:r w:rsidR="007A19A3" w:rsidRPr="009E2F3B">
        <w:rPr>
          <w:rFonts w:ascii="Calibri" w:hAnsi="Calibri"/>
          <w:bCs/>
        </w:rPr>
        <w:t xml:space="preserve">   </w:t>
      </w:r>
      <w:r w:rsidR="006A1D30">
        <w:rPr>
          <w:rFonts w:ascii="Calibri" w:hAnsi="Calibri"/>
          <w:bCs/>
        </w:rPr>
        <w:tab/>
      </w:r>
      <w:r w:rsidR="00F329D4">
        <w:rPr>
          <w:rFonts w:ascii="Calibri" w:hAnsi="Calibri"/>
          <w:bCs/>
        </w:rPr>
        <w:t>In 2015, t</w:t>
      </w:r>
      <w:r w:rsidR="00F329D4" w:rsidRPr="009E2F3B">
        <w:rPr>
          <w:rFonts w:ascii="Calibri" w:hAnsi="Calibri"/>
          <w:bCs/>
        </w:rPr>
        <w:t xml:space="preserve">he </w:t>
      </w:r>
      <w:r w:rsidR="0056318E">
        <w:rPr>
          <w:rFonts w:ascii="Calibri" w:hAnsi="Calibri"/>
          <w:bCs/>
        </w:rPr>
        <w:t>district</w:t>
      </w:r>
      <w:r w:rsidR="007A19A3" w:rsidRPr="009E2F3B">
        <w:rPr>
          <w:rFonts w:ascii="Calibri" w:hAnsi="Calibri"/>
          <w:bCs/>
        </w:rPr>
        <w:t xml:space="preserve"> formed an MTSS committee</w:t>
      </w:r>
      <w:r w:rsidR="00FC7E10">
        <w:rPr>
          <w:rFonts w:ascii="Calibri" w:hAnsi="Calibri"/>
          <w:bCs/>
        </w:rPr>
        <w:t>. The vast majority of the committee’s</w:t>
      </w:r>
      <w:r w:rsidR="007A19A3" w:rsidRPr="009E2F3B">
        <w:rPr>
          <w:rFonts w:ascii="Calibri" w:hAnsi="Calibri"/>
          <w:bCs/>
        </w:rPr>
        <w:t xml:space="preserve"> work is </w:t>
      </w:r>
      <w:r w:rsidR="00FC7E10">
        <w:rPr>
          <w:rFonts w:ascii="Calibri" w:hAnsi="Calibri"/>
          <w:bCs/>
        </w:rPr>
        <w:t xml:space="preserve">still </w:t>
      </w:r>
      <w:r w:rsidR="007A19A3" w:rsidRPr="009E2F3B">
        <w:rPr>
          <w:rFonts w:ascii="Calibri" w:hAnsi="Calibri"/>
          <w:bCs/>
        </w:rPr>
        <w:t>in draft form and has not</w:t>
      </w:r>
      <w:r>
        <w:rPr>
          <w:rFonts w:ascii="Calibri" w:hAnsi="Calibri"/>
          <w:bCs/>
        </w:rPr>
        <w:t xml:space="preserve"> </w:t>
      </w:r>
      <w:r w:rsidR="007A19A3" w:rsidRPr="009E2F3B">
        <w:rPr>
          <w:rFonts w:ascii="Calibri" w:hAnsi="Calibri"/>
          <w:bCs/>
        </w:rPr>
        <w:t xml:space="preserve">been implemented. </w:t>
      </w:r>
    </w:p>
    <w:p w:rsidR="00FC6E7B" w:rsidRDefault="00FC6E7B" w:rsidP="00FC6E7B">
      <w:pPr>
        <w:tabs>
          <w:tab w:val="left" w:pos="360"/>
          <w:tab w:val="left" w:pos="1800"/>
          <w:tab w:val="left" w:pos="2160"/>
        </w:tabs>
        <w:ind w:left="1080" w:hanging="360"/>
        <w:rPr>
          <w:rFonts w:ascii="Calibri" w:hAnsi="Calibri"/>
        </w:rPr>
      </w:pPr>
      <w:r>
        <w:rPr>
          <w:rFonts w:ascii="Calibri" w:hAnsi="Calibri"/>
        </w:rPr>
        <w:t xml:space="preserve">1. </w:t>
      </w:r>
      <w:r w:rsidR="007A19A3" w:rsidRPr="009E2F3B">
        <w:rPr>
          <w:rFonts w:ascii="Calibri" w:hAnsi="Calibri"/>
        </w:rPr>
        <w:t xml:space="preserve">   </w:t>
      </w:r>
      <w:r w:rsidR="00F6738D">
        <w:rPr>
          <w:rFonts w:ascii="Calibri" w:hAnsi="Calibri"/>
        </w:rPr>
        <w:t>Interviewees</w:t>
      </w:r>
      <w:r w:rsidR="007A19A3" w:rsidRPr="009E2F3B">
        <w:rPr>
          <w:rFonts w:ascii="Calibri" w:hAnsi="Calibri"/>
        </w:rPr>
        <w:t xml:space="preserve"> </w:t>
      </w:r>
      <w:r w:rsidR="00F6738D">
        <w:rPr>
          <w:rFonts w:ascii="Calibri" w:hAnsi="Calibri"/>
        </w:rPr>
        <w:t xml:space="preserve">stated </w:t>
      </w:r>
      <w:r w:rsidR="007A19A3" w:rsidRPr="009E2F3B">
        <w:rPr>
          <w:rFonts w:ascii="Calibri" w:hAnsi="Calibri"/>
        </w:rPr>
        <w:t xml:space="preserve">that the </w:t>
      </w:r>
      <w:r w:rsidR="00F6738D">
        <w:rPr>
          <w:rFonts w:ascii="Calibri" w:hAnsi="Calibri"/>
        </w:rPr>
        <w:t>district’s multi-tiered</w:t>
      </w:r>
      <w:r w:rsidR="00F6738D" w:rsidRPr="009E2F3B">
        <w:rPr>
          <w:rFonts w:ascii="Calibri" w:hAnsi="Calibri"/>
        </w:rPr>
        <w:t xml:space="preserve"> </w:t>
      </w:r>
      <w:r w:rsidR="00F6738D">
        <w:rPr>
          <w:rFonts w:ascii="Calibri" w:hAnsi="Calibri"/>
        </w:rPr>
        <w:t>model</w:t>
      </w:r>
      <w:r w:rsidR="00F6738D" w:rsidRPr="009E2F3B">
        <w:rPr>
          <w:rFonts w:ascii="Calibri" w:hAnsi="Calibri"/>
        </w:rPr>
        <w:t xml:space="preserve"> </w:t>
      </w:r>
      <w:r w:rsidR="007A19A3" w:rsidRPr="009E2F3B">
        <w:rPr>
          <w:rFonts w:ascii="Calibri" w:hAnsi="Calibri"/>
        </w:rPr>
        <w:t>is “not yet shared.” </w:t>
      </w:r>
      <w:r w:rsidR="00FC7E10">
        <w:rPr>
          <w:rFonts w:ascii="Calibri" w:hAnsi="Calibri"/>
        </w:rPr>
        <w:t> They indicated that they are “s</w:t>
      </w:r>
      <w:r w:rsidR="007A19A3" w:rsidRPr="009E2F3B">
        <w:rPr>
          <w:rFonts w:ascii="Calibri" w:hAnsi="Calibri"/>
        </w:rPr>
        <w:t xml:space="preserve">till in the planning stages.” </w:t>
      </w:r>
    </w:p>
    <w:p w:rsidR="0047041E" w:rsidRDefault="00FC6E7B" w:rsidP="0047041E">
      <w:pPr>
        <w:tabs>
          <w:tab w:val="left" w:pos="360"/>
          <w:tab w:val="left" w:pos="720"/>
          <w:tab w:val="left" w:pos="1800"/>
          <w:tab w:val="left" w:pos="2160"/>
        </w:tabs>
        <w:ind w:left="1080" w:hanging="360"/>
        <w:rPr>
          <w:rFonts w:ascii="Calibri" w:hAnsi="Calibri"/>
        </w:rPr>
      </w:pPr>
      <w:r>
        <w:rPr>
          <w:rFonts w:ascii="Calibri" w:hAnsi="Calibri"/>
        </w:rPr>
        <w:t>2.</w:t>
      </w:r>
      <w:r>
        <w:rPr>
          <w:rFonts w:ascii="Calibri" w:hAnsi="Calibri"/>
        </w:rPr>
        <w:tab/>
      </w:r>
      <w:r w:rsidR="00FC7E10">
        <w:rPr>
          <w:rFonts w:ascii="Calibri" w:hAnsi="Calibri"/>
        </w:rPr>
        <w:t xml:space="preserve"> </w:t>
      </w:r>
      <w:r w:rsidR="0056318E">
        <w:rPr>
          <w:rFonts w:ascii="Calibri" w:hAnsi="Calibri"/>
        </w:rPr>
        <w:t>S</w:t>
      </w:r>
      <w:r w:rsidR="007A19A3" w:rsidRPr="009E2F3B">
        <w:rPr>
          <w:rFonts w:ascii="Calibri" w:hAnsi="Calibri"/>
        </w:rPr>
        <w:t xml:space="preserve">taff indicated that </w:t>
      </w:r>
      <w:r w:rsidR="00091719">
        <w:rPr>
          <w:rFonts w:ascii="Calibri" w:hAnsi="Calibri"/>
        </w:rPr>
        <w:t xml:space="preserve">the </w:t>
      </w:r>
      <w:r w:rsidR="00F6738D">
        <w:rPr>
          <w:rFonts w:ascii="Calibri" w:hAnsi="Calibri"/>
        </w:rPr>
        <w:t xml:space="preserve">district’s </w:t>
      </w:r>
      <w:r w:rsidR="007A19A3" w:rsidRPr="009E2F3B">
        <w:rPr>
          <w:rFonts w:ascii="Calibri" w:hAnsi="Calibri"/>
        </w:rPr>
        <w:t xml:space="preserve">MTSS </w:t>
      </w:r>
      <w:r w:rsidR="00F6738D">
        <w:rPr>
          <w:rFonts w:ascii="Calibri" w:hAnsi="Calibri"/>
        </w:rPr>
        <w:t>model</w:t>
      </w:r>
      <w:r w:rsidR="00091719">
        <w:rPr>
          <w:rFonts w:ascii="Calibri" w:hAnsi="Calibri"/>
        </w:rPr>
        <w:t xml:space="preserve"> </w:t>
      </w:r>
      <w:r w:rsidR="007A19A3" w:rsidRPr="009E2F3B">
        <w:rPr>
          <w:rFonts w:ascii="Calibri" w:hAnsi="Calibri"/>
        </w:rPr>
        <w:t>is not finalized so</w:t>
      </w:r>
      <w:r w:rsidR="00FC7E10">
        <w:rPr>
          <w:rFonts w:ascii="Calibri" w:hAnsi="Calibri"/>
        </w:rPr>
        <w:t xml:space="preserve"> </w:t>
      </w:r>
      <w:r w:rsidR="007A19A3" w:rsidRPr="009E2F3B">
        <w:rPr>
          <w:rFonts w:ascii="Calibri" w:hAnsi="Calibri"/>
        </w:rPr>
        <w:t xml:space="preserve">professional development </w:t>
      </w:r>
      <w:r w:rsidR="00091719">
        <w:rPr>
          <w:rFonts w:ascii="Calibri" w:hAnsi="Calibri"/>
        </w:rPr>
        <w:t>has not been</w:t>
      </w:r>
      <w:r w:rsidR="00091719" w:rsidRPr="009E2F3B">
        <w:rPr>
          <w:rFonts w:ascii="Calibri" w:hAnsi="Calibri"/>
        </w:rPr>
        <w:t xml:space="preserve"> </w:t>
      </w:r>
      <w:r w:rsidR="00FC7E10">
        <w:rPr>
          <w:rFonts w:ascii="Calibri" w:hAnsi="Calibri"/>
        </w:rPr>
        <w:t>tied to it</w:t>
      </w:r>
      <w:r w:rsidR="007A19A3" w:rsidRPr="009E2F3B">
        <w:rPr>
          <w:rFonts w:ascii="Calibri" w:hAnsi="Calibri"/>
        </w:rPr>
        <w:t xml:space="preserve">. </w:t>
      </w:r>
    </w:p>
    <w:p w:rsidR="007A19A3" w:rsidRPr="009E2F3B" w:rsidRDefault="00FC7E10" w:rsidP="00FC7E10">
      <w:pPr>
        <w:tabs>
          <w:tab w:val="left" w:pos="360"/>
          <w:tab w:val="left" w:pos="1800"/>
          <w:tab w:val="left" w:pos="2160"/>
        </w:tabs>
        <w:ind w:left="1080" w:hanging="360"/>
        <w:rPr>
          <w:rFonts w:ascii="Calibri" w:hAnsi="Calibri"/>
        </w:rPr>
      </w:pPr>
      <w:r>
        <w:rPr>
          <w:rFonts w:ascii="Calibri" w:hAnsi="Calibri"/>
        </w:rPr>
        <w:t>3.</w:t>
      </w:r>
      <w:r>
        <w:rPr>
          <w:rFonts w:ascii="Calibri" w:hAnsi="Calibri"/>
        </w:rPr>
        <w:tab/>
      </w:r>
      <w:r w:rsidR="007A19A3" w:rsidRPr="009E2F3B">
        <w:rPr>
          <w:rFonts w:ascii="Calibri" w:hAnsi="Calibri"/>
        </w:rPr>
        <w:t xml:space="preserve">A </w:t>
      </w:r>
      <w:r w:rsidR="0056318E">
        <w:rPr>
          <w:rFonts w:ascii="Calibri" w:hAnsi="Calibri"/>
        </w:rPr>
        <w:t xml:space="preserve">document </w:t>
      </w:r>
      <w:r w:rsidR="007A19A3" w:rsidRPr="009E2F3B">
        <w:rPr>
          <w:rFonts w:ascii="Calibri" w:hAnsi="Calibri"/>
        </w:rPr>
        <w:t xml:space="preserve">review </w:t>
      </w:r>
      <w:r w:rsidR="0056318E">
        <w:rPr>
          <w:rFonts w:ascii="Calibri" w:hAnsi="Calibri"/>
        </w:rPr>
        <w:t>indicated</w:t>
      </w:r>
      <w:r w:rsidR="0056318E" w:rsidRPr="009E2F3B">
        <w:rPr>
          <w:rFonts w:ascii="Calibri" w:hAnsi="Calibri"/>
        </w:rPr>
        <w:t xml:space="preserve"> </w:t>
      </w:r>
      <w:r w:rsidR="007A19A3" w:rsidRPr="009E2F3B">
        <w:rPr>
          <w:rFonts w:ascii="Calibri" w:hAnsi="Calibri"/>
        </w:rPr>
        <w:t xml:space="preserve">that the MTSS </w:t>
      </w:r>
      <w:r w:rsidR="0056318E">
        <w:rPr>
          <w:rFonts w:ascii="Calibri" w:hAnsi="Calibri"/>
        </w:rPr>
        <w:t>committee</w:t>
      </w:r>
      <w:r w:rsidR="0056318E" w:rsidRPr="009E2F3B">
        <w:rPr>
          <w:rFonts w:ascii="Calibri" w:hAnsi="Calibri"/>
        </w:rPr>
        <w:t xml:space="preserve">’s </w:t>
      </w:r>
      <w:r w:rsidR="007A19A3" w:rsidRPr="009E2F3B">
        <w:rPr>
          <w:rFonts w:ascii="Calibri" w:hAnsi="Calibri"/>
        </w:rPr>
        <w:t>four subcommittees (</w:t>
      </w:r>
      <w:r w:rsidR="0056318E">
        <w:rPr>
          <w:rFonts w:ascii="Calibri" w:hAnsi="Calibri"/>
        </w:rPr>
        <w:t>a</w:t>
      </w:r>
      <w:r w:rsidR="0056318E" w:rsidRPr="009E2F3B">
        <w:rPr>
          <w:rFonts w:ascii="Calibri" w:hAnsi="Calibri"/>
        </w:rPr>
        <w:t xml:space="preserve">cademic </w:t>
      </w:r>
      <w:r w:rsidR="0056318E">
        <w:rPr>
          <w:rFonts w:ascii="Calibri" w:hAnsi="Calibri"/>
        </w:rPr>
        <w:t>s</w:t>
      </w:r>
      <w:r w:rsidR="0056318E" w:rsidRPr="009E2F3B">
        <w:rPr>
          <w:rFonts w:ascii="Calibri" w:hAnsi="Calibri"/>
        </w:rPr>
        <w:t>upports</w:t>
      </w:r>
      <w:r>
        <w:rPr>
          <w:rFonts w:ascii="Calibri" w:hAnsi="Calibri"/>
        </w:rPr>
        <w:t>;</w:t>
      </w:r>
      <w:r w:rsidR="007A19A3" w:rsidRPr="009E2F3B">
        <w:rPr>
          <w:rFonts w:ascii="Calibri" w:hAnsi="Calibri"/>
        </w:rPr>
        <w:t xml:space="preserve"> </w:t>
      </w:r>
      <w:r w:rsidR="0056318E">
        <w:rPr>
          <w:rFonts w:ascii="Calibri" w:hAnsi="Calibri"/>
        </w:rPr>
        <w:t>s</w:t>
      </w:r>
      <w:r w:rsidR="0056318E" w:rsidRPr="009E2F3B">
        <w:rPr>
          <w:rFonts w:ascii="Calibri" w:hAnsi="Calibri"/>
        </w:rPr>
        <w:t>ocial</w:t>
      </w:r>
      <w:r w:rsidR="007A19A3" w:rsidRPr="009E2F3B">
        <w:rPr>
          <w:rFonts w:ascii="Calibri" w:hAnsi="Calibri"/>
        </w:rPr>
        <w:t xml:space="preserve">, </w:t>
      </w:r>
      <w:r w:rsidR="0056318E">
        <w:rPr>
          <w:rFonts w:ascii="Calibri" w:hAnsi="Calibri"/>
        </w:rPr>
        <w:t>e</w:t>
      </w:r>
      <w:r w:rsidR="0056318E" w:rsidRPr="009E2F3B">
        <w:rPr>
          <w:rFonts w:ascii="Calibri" w:hAnsi="Calibri"/>
        </w:rPr>
        <w:t>mo</w:t>
      </w:r>
      <w:r w:rsidR="0056318E">
        <w:rPr>
          <w:rFonts w:ascii="Calibri" w:hAnsi="Calibri"/>
        </w:rPr>
        <w:t>tional</w:t>
      </w:r>
      <w:r>
        <w:rPr>
          <w:rFonts w:ascii="Calibri" w:hAnsi="Calibri"/>
        </w:rPr>
        <w:t xml:space="preserve">, and </w:t>
      </w:r>
      <w:r w:rsidR="0056318E">
        <w:rPr>
          <w:rFonts w:ascii="Calibri" w:hAnsi="Calibri"/>
        </w:rPr>
        <w:t>behavioral supports</w:t>
      </w:r>
      <w:r>
        <w:rPr>
          <w:rFonts w:ascii="Calibri" w:hAnsi="Calibri"/>
        </w:rPr>
        <w:t xml:space="preserve">; </w:t>
      </w:r>
      <w:r w:rsidR="0056318E">
        <w:rPr>
          <w:rFonts w:ascii="Calibri" w:hAnsi="Calibri"/>
        </w:rPr>
        <w:t>attendance supports</w:t>
      </w:r>
      <w:r>
        <w:rPr>
          <w:rFonts w:ascii="Calibri" w:hAnsi="Calibri"/>
        </w:rPr>
        <w:t>;</w:t>
      </w:r>
      <w:r w:rsidR="007A19A3" w:rsidRPr="009E2F3B">
        <w:rPr>
          <w:rFonts w:ascii="Calibri" w:hAnsi="Calibri"/>
        </w:rPr>
        <w:t xml:space="preserve"> and </w:t>
      </w:r>
      <w:r w:rsidR="0056318E">
        <w:rPr>
          <w:rFonts w:ascii="Calibri" w:hAnsi="Calibri"/>
        </w:rPr>
        <w:t>f</w:t>
      </w:r>
      <w:r w:rsidR="0056318E" w:rsidRPr="009E2F3B">
        <w:rPr>
          <w:rFonts w:ascii="Calibri" w:hAnsi="Calibri"/>
        </w:rPr>
        <w:t xml:space="preserve">amily </w:t>
      </w:r>
      <w:r w:rsidR="007A19A3" w:rsidRPr="009E2F3B">
        <w:rPr>
          <w:rFonts w:ascii="Calibri" w:hAnsi="Calibri"/>
        </w:rPr>
        <w:t xml:space="preserve">and </w:t>
      </w:r>
      <w:r w:rsidR="0056318E">
        <w:rPr>
          <w:rFonts w:ascii="Calibri" w:hAnsi="Calibri"/>
        </w:rPr>
        <w:t>c</w:t>
      </w:r>
      <w:r w:rsidR="0056318E" w:rsidRPr="009E2F3B">
        <w:rPr>
          <w:rFonts w:ascii="Calibri" w:hAnsi="Calibri"/>
        </w:rPr>
        <w:t>ommunity</w:t>
      </w:r>
      <w:r w:rsidR="007A19A3" w:rsidRPr="009E2F3B">
        <w:rPr>
          <w:rFonts w:ascii="Calibri" w:hAnsi="Calibri"/>
        </w:rPr>
        <w:t xml:space="preserve">) </w:t>
      </w:r>
      <w:r w:rsidR="007A19A3" w:rsidRPr="000B242B">
        <w:rPr>
          <w:rFonts w:ascii="Calibri" w:hAnsi="Calibri"/>
        </w:rPr>
        <w:t xml:space="preserve">are at various stages </w:t>
      </w:r>
      <w:r w:rsidR="003F5B9B">
        <w:rPr>
          <w:rFonts w:ascii="Calibri" w:hAnsi="Calibri"/>
        </w:rPr>
        <w:t>in their work</w:t>
      </w:r>
      <w:r w:rsidR="007A19A3" w:rsidRPr="009E2F3B">
        <w:rPr>
          <w:rFonts w:ascii="Calibri" w:hAnsi="Calibri"/>
        </w:rPr>
        <w:t>.</w:t>
      </w:r>
    </w:p>
    <w:p w:rsidR="00623D22" w:rsidRDefault="007A19A3" w:rsidP="00386849">
      <w:pPr>
        <w:numPr>
          <w:ilvl w:val="3"/>
          <w:numId w:val="34"/>
        </w:numPr>
        <w:tabs>
          <w:tab w:val="clear" w:pos="1620"/>
          <w:tab w:val="left" w:pos="360"/>
          <w:tab w:val="left" w:pos="720"/>
          <w:tab w:val="left" w:pos="1080"/>
          <w:tab w:val="num" w:pos="1440"/>
          <w:tab w:val="left" w:pos="1800"/>
          <w:tab w:val="left" w:pos="2160"/>
        </w:tabs>
        <w:ind w:left="1440"/>
        <w:rPr>
          <w:rFonts w:ascii="Calibri" w:hAnsi="Calibri"/>
        </w:rPr>
      </w:pPr>
      <w:r w:rsidRPr="009E2F3B">
        <w:rPr>
          <w:rFonts w:ascii="Calibri" w:hAnsi="Calibri"/>
        </w:rPr>
        <w:t xml:space="preserve">For example, the </w:t>
      </w:r>
      <w:r w:rsidR="00091719">
        <w:rPr>
          <w:rFonts w:ascii="Calibri" w:hAnsi="Calibri"/>
        </w:rPr>
        <w:t>f</w:t>
      </w:r>
      <w:r w:rsidR="00091719" w:rsidRPr="009E2F3B">
        <w:rPr>
          <w:rFonts w:ascii="Calibri" w:hAnsi="Calibri"/>
        </w:rPr>
        <w:t>amily</w:t>
      </w:r>
      <w:r w:rsidR="00091719">
        <w:rPr>
          <w:rFonts w:ascii="Calibri" w:hAnsi="Calibri"/>
        </w:rPr>
        <w:t xml:space="preserve"> and </w:t>
      </w:r>
      <w:r w:rsidRPr="009E2F3B">
        <w:rPr>
          <w:rFonts w:ascii="Calibri" w:hAnsi="Calibri"/>
        </w:rPr>
        <w:t xml:space="preserve">community </w:t>
      </w:r>
      <w:r w:rsidR="00091719" w:rsidRPr="009E2F3B">
        <w:rPr>
          <w:rFonts w:ascii="Calibri" w:hAnsi="Calibri"/>
        </w:rPr>
        <w:t>sub</w:t>
      </w:r>
      <w:r w:rsidR="00091719">
        <w:rPr>
          <w:rFonts w:ascii="Calibri" w:hAnsi="Calibri"/>
        </w:rPr>
        <w:t>committee</w:t>
      </w:r>
      <w:r w:rsidR="00091719" w:rsidRPr="009E2F3B">
        <w:rPr>
          <w:rFonts w:ascii="Calibri" w:hAnsi="Calibri"/>
        </w:rPr>
        <w:t xml:space="preserve"> </w:t>
      </w:r>
      <w:r w:rsidRPr="009E2F3B">
        <w:rPr>
          <w:rFonts w:ascii="Calibri" w:hAnsi="Calibri"/>
        </w:rPr>
        <w:t xml:space="preserve">does not have an articulated three-tier model </w:t>
      </w:r>
      <w:r w:rsidR="00091719">
        <w:rPr>
          <w:rFonts w:ascii="Calibri" w:hAnsi="Calibri"/>
        </w:rPr>
        <w:t>as do</w:t>
      </w:r>
      <w:r w:rsidRPr="009E2F3B">
        <w:rPr>
          <w:rFonts w:ascii="Calibri" w:hAnsi="Calibri"/>
        </w:rPr>
        <w:t xml:space="preserve"> the other three </w:t>
      </w:r>
      <w:r w:rsidR="00091719" w:rsidRPr="009E2F3B">
        <w:rPr>
          <w:rFonts w:ascii="Calibri" w:hAnsi="Calibri"/>
        </w:rPr>
        <w:t>sub</w:t>
      </w:r>
      <w:r w:rsidR="00091719">
        <w:rPr>
          <w:rFonts w:ascii="Calibri" w:hAnsi="Calibri"/>
        </w:rPr>
        <w:t>committee</w:t>
      </w:r>
      <w:r w:rsidR="00091719" w:rsidRPr="009E2F3B">
        <w:rPr>
          <w:rFonts w:ascii="Calibri" w:hAnsi="Calibri"/>
        </w:rPr>
        <w:t>s</w:t>
      </w:r>
      <w:r w:rsidRPr="009E2F3B">
        <w:rPr>
          <w:rFonts w:ascii="Calibri" w:hAnsi="Calibri"/>
        </w:rPr>
        <w:t xml:space="preserve">. </w:t>
      </w:r>
    </w:p>
    <w:p w:rsidR="007A19A3" w:rsidRPr="00623D22" w:rsidRDefault="007A19A3" w:rsidP="00386849">
      <w:pPr>
        <w:numPr>
          <w:ilvl w:val="3"/>
          <w:numId w:val="34"/>
        </w:numPr>
        <w:tabs>
          <w:tab w:val="clear" w:pos="1620"/>
          <w:tab w:val="left" w:pos="360"/>
          <w:tab w:val="left" w:pos="720"/>
          <w:tab w:val="left" w:pos="1080"/>
          <w:tab w:val="num" w:pos="1440"/>
          <w:tab w:val="left" w:pos="1800"/>
          <w:tab w:val="left" w:pos="2160"/>
        </w:tabs>
        <w:ind w:left="1440"/>
        <w:rPr>
          <w:rFonts w:ascii="Calibri" w:hAnsi="Calibri"/>
        </w:rPr>
      </w:pPr>
      <w:r w:rsidRPr="00623D22">
        <w:rPr>
          <w:rFonts w:ascii="Calibri" w:hAnsi="Calibri"/>
        </w:rPr>
        <w:t>While all four</w:t>
      </w:r>
      <w:r w:rsidR="00FC7E10">
        <w:rPr>
          <w:rFonts w:ascii="Calibri" w:hAnsi="Calibri"/>
        </w:rPr>
        <w:t xml:space="preserve"> subcommittees </w:t>
      </w:r>
      <w:r w:rsidR="00091719">
        <w:rPr>
          <w:rFonts w:ascii="Calibri" w:hAnsi="Calibri"/>
        </w:rPr>
        <w:t xml:space="preserve">have </w:t>
      </w:r>
      <w:r w:rsidRPr="00623D22">
        <w:rPr>
          <w:rFonts w:ascii="Calibri" w:hAnsi="Calibri"/>
        </w:rPr>
        <w:t xml:space="preserve">drafted action plans, some </w:t>
      </w:r>
      <w:r w:rsidR="00091719">
        <w:rPr>
          <w:rFonts w:ascii="Calibri" w:hAnsi="Calibri"/>
        </w:rPr>
        <w:t>are</w:t>
      </w:r>
      <w:r w:rsidR="00091719" w:rsidRPr="00623D22">
        <w:rPr>
          <w:rFonts w:ascii="Calibri" w:hAnsi="Calibri"/>
        </w:rPr>
        <w:t xml:space="preserve"> </w:t>
      </w:r>
      <w:r w:rsidRPr="00623D22">
        <w:rPr>
          <w:rFonts w:ascii="Calibri" w:hAnsi="Calibri"/>
        </w:rPr>
        <w:t xml:space="preserve">completed more than others. For example, the </w:t>
      </w:r>
      <w:r w:rsidR="00354AB4">
        <w:rPr>
          <w:rFonts w:ascii="Calibri" w:hAnsi="Calibri"/>
        </w:rPr>
        <w:t>s</w:t>
      </w:r>
      <w:r w:rsidR="00354AB4" w:rsidRPr="00623D22">
        <w:rPr>
          <w:rFonts w:ascii="Calibri" w:hAnsi="Calibri"/>
        </w:rPr>
        <w:t>ocial</w:t>
      </w:r>
      <w:r w:rsidRPr="00623D22">
        <w:rPr>
          <w:rFonts w:ascii="Calibri" w:hAnsi="Calibri"/>
        </w:rPr>
        <w:t xml:space="preserve">, </w:t>
      </w:r>
      <w:r w:rsidR="00354AB4">
        <w:rPr>
          <w:rFonts w:ascii="Calibri" w:hAnsi="Calibri"/>
        </w:rPr>
        <w:t>e</w:t>
      </w:r>
      <w:r w:rsidR="00354AB4" w:rsidRPr="00623D22">
        <w:rPr>
          <w:rFonts w:ascii="Calibri" w:hAnsi="Calibri"/>
        </w:rPr>
        <w:t>motional</w:t>
      </w:r>
      <w:r w:rsidRPr="00623D22">
        <w:rPr>
          <w:rFonts w:ascii="Calibri" w:hAnsi="Calibri"/>
        </w:rPr>
        <w:t xml:space="preserve">, and </w:t>
      </w:r>
      <w:r w:rsidR="00354AB4">
        <w:rPr>
          <w:rFonts w:ascii="Calibri" w:hAnsi="Calibri"/>
        </w:rPr>
        <w:t>b</w:t>
      </w:r>
      <w:r w:rsidR="00354AB4" w:rsidRPr="00623D22">
        <w:rPr>
          <w:rFonts w:ascii="Calibri" w:hAnsi="Calibri"/>
        </w:rPr>
        <w:t xml:space="preserve">ehavioral </w:t>
      </w:r>
      <w:r w:rsidRPr="00623D22">
        <w:rPr>
          <w:rFonts w:ascii="Calibri" w:hAnsi="Calibri"/>
        </w:rPr>
        <w:t xml:space="preserve">Supports </w:t>
      </w:r>
      <w:r w:rsidR="00091719">
        <w:rPr>
          <w:rFonts w:ascii="Calibri" w:hAnsi="Calibri"/>
        </w:rPr>
        <w:t>subcommittee</w:t>
      </w:r>
      <w:r w:rsidR="00091719" w:rsidRPr="00623D22">
        <w:rPr>
          <w:rFonts w:ascii="Calibri" w:hAnsi="Calibri"/>
        </w:rPr>
        <w:t xml:space="preserve"> </w:t>
      </w:r>
      <w:r w:rsidRPr="00623D22">
        <w:rPr>
          <w:rFonts w:ascii="Calibri" w:hAnsi="Calibri"/>
        </w:rPr>
        <w:t>ha</w:t>
      </w:r>
      <w:r w:rsidR="00FC7E10">
        <w:rPr>
          <w:rFonts w:ascii="Calibri" w:hAnsi="Calibri"/>
        </w:rPr>
        <w:t>s only one action step listed as of</w:t>
      </w:r>
      <w:r w:rsidRPr="00623D22">
        <w:rPr>
          <w:rFonts w:ascii="Calibri" w:hAnsi="Calibri"/>
        </w:rPr>
        <w:t xml:space="preserve"> 2016</w:t>
      </w:r>
      <w:r w:rsidR="00A268B9">
        <w:rPr>
          <w:rFonts w:ascii="Calibri" w:hAnsi="Calibri"/>
        </w:rPr>
        <w:t>–</w:t>
      </w:r>
      <w:r w:rsidR="00FC7E10">
        <w:rPr>
          <w:rFonts w:ascii="Calibri" w:hAnsi="Calibri"/>
        </w:rPr>
        <w:t xml:space="preserve">2017.  </w:t>
      </w:r>
      <w:r w:rsidR="00091719">
        <w:rPr>
          <w:rFonts w:ascii="Calibri" w:hAnsi="Calibri"/>
        </w:rPr>
        <w:t>T</w:t>
      </w:r>
      <w:r w:rsidR="00FC7E10">
        <w:rPr>
          <w:rFonts w:ascii="Calibri" w:hAnsi="Calibri"/>
        </w:rPr>
        <w:t xml:space="preserve">he review team </w:t>
      </w:r>
      <w:r w:rsidR="00091719">
        <w:rPr>
          <w:rFonts w:ascii="Calibri" w:hAnsi="Calibri"/>
        </w:rPr>
        <w:t xml:space="preserve">was told </w:t>
      </w:r>
      <w:r w:rsidRPr="00623D22">
        <w:rPr>
          <w:rFonts w:ascii="Calibri" w:hAnsi="Calibri"/>
        </w:rPr>
        <w:t xml:space="preserve">that </w:t>
      </w:r>
      <w:r w:rsidR="00FC7E10">
        <w:rPr>
          <w:rFonts w:ascii="Calibri" w:hAnsi="Calibri"/>
        </w:rPr>
        <w:t>“the social-emotional group [was] lagging behind some</w:t>
      </w:r>
      <w:r w:rsidRPr="00623D22">
        <w:rPr>
          <w:rFonts w:ascii="Calibri" w:hAnsi="Calibri"/>
        </w:rPr>
        <w:t>.”</w:t>
      </w:r>
    </w:p>
    <w:p w:rsidR="007A19A3" w:rsidRDefault="007A19A3" w:rsidP="007A19A3">
      <w:pPr>
        <w:tabs>
          <w:tab w:val="left" w:pos="360"/>
          <w:tab w:val="left" w:pos="720"/>
          <w:tab w:val="left" w:pos="1080"/>
          <w:tab w:val="left" w:pos="1440"/>
          <w:tab w:val="left" w:pos="1800"/>
          <w:tab w:val="left" w:pos="2160"/>
        </w:tabs>
        <w:rPr>
          <w:rFonts w:ascii="Calibri" w:hAnsi="Calibri"/>
        </w:rPr>
      </w:pPr>
      <w:r w:rsidRPr="009E2F3B">
        <w:rPr>
          <w:rFonts w:ascii="Calibri" w:hAnsi="Calibri"/>
          <w:b/>
          <w:bCs/>
        </w:rPr>
        <w:t>Impact:</w:t>
      </w:r>
      <w:r w:rsidRPr="009E2F3B">
        <w:rPr>
          <w:rFonts w:ascii="Calibri" w:hAnsi="Calibri"/>
          <w:bCs/>
        </w:rPr>
        <w:t xml:space="preserve"> </w:t>
      </w:r>
      <w:r w:rsidRPr="009E2F3B">
        <w:rPr>
          <w:rFonts w:ascii="Calibri" w:hAnsi="Calibri"/>
        </w:rPr>
        <w:t>Without the implementation of a comprehensive tiered instructional model and the consis</w:t>
      </w:r>
      <w:r w:rsidR="00623D22">
        <w:rPr>
          <w:rFonts w:ascii="Calibri" w:hAnsi="Calibri"/>
        </w:rPr>
        <w:t>tent implementation of research-</w:t>
      </w:r>
      <w:r w:rsidRPr="009E2F3B">
        <w:rPr>
          <w:rFonts w:ascii="Calibri" w:hAnsi="Calibri"/>
        </w:rPr>
        <w:t>bas</w:t>
      </w:r>
      <w:r w:rsidR="00623D22">
        <w:rPr>
          <w:rFonts w:ascii="Calibri" w:hAnsi="Calibri"/>
        </w:rPr>
        <w:t xml:space="preserve">ed instructional strategies, </w:t>
      </w:r>
      <w:r w:rsidR="0041512F">
        <w:rPr>
          <w:rFonts w:ascii="Calibri" w:hAnsi="Calibri"/>
        </w:rPr>
        <w:t>all</w:t>
      </w:r>
      <w:r w:rsidR="00091719">
        <w:rPr>
          <w:rFonts w:ascii="Calibri" w:hAnsi="Calibri"/>
        </w:rPr>
        <w:t xml:space="preserve"> students</w:t>
      </w:r>
      <w:r w:rsidRPr="009E2F3B">
        <w:rPr>
          <w:rFonts w:ascii="Calibri" w:hAnsi="Calibri"/>
        </w:rPr>
        <w:t xml:space="preserve"> </w:t>
      </w:r>
      <w:r w:rsidR="00091719">
        <w:rPr>
          <w:rFonts w:ascii="Calibri" w:hAnsi="Calibri"/>
        </w:rPr>
        <w:t xml:space="preserve">do </w:t>
      </w:r>
      <w:r w:rsidR="002F2737">
        <w:rPr>
          <w:rFonts w:ascii="Calibri" w:hAnsi="Calibri"/>
        </w:rPr>
        <w:t xml:space="preserve">not have access to a </w:t>
      </w:r>
      <w:r w:rsidR="00091719">
        <w:rPr>
          <w:rFonts w:ascii="Calibri" w:hAnsi="Calibri"/>
        </w:rPr>
        <w:t>high-</w:t>
      </w:r>
      <w:r w:rsidR="002F2737">
        <w:rPr>
          <w:rFonts w:ascii="Calibri" w:hAnsi="Calibri"/>
        </w:rPr>
        <w:t xml:space="preserve">quality </w:t>
      </w:r>
      <w:r w:rsidR="00BD48BF">
        <w:rPr>
          <w:rFonts w:ascii="Calibri" w:hAnsi="Calibri"/>
        </w:rPr>
        <w:t xml:space="preserve">education </w:t>
      </w:r>
      <w:r w:rsidR="002C590E">
        <w:rPr>
          <w:rFonts w:ascii="Calibri" w:hAnsi="Calibri"/>
        </w:rPr>
        <w:t>that meets their individual needs</w:t>
      </w:r>
      <w:r w:rsidRPr="009E2F3B">
        <w:rPr>
          <w:rFonts w:ascii="Calibri" w:hAnsi="Calibri"/>
        </w:rPr>
        <w:t xml:space="preserve">. </w:t>
      </w:r>
    </w:p>
    <w:p w:rsidR="00042BF5" w:rsidRDefault="00042BF5" w:rsidP="007A19A3">
      <w:pPr>
        <w:tabs>
          <w:tab w:val="left" w:pos="360"/>
          <w:tab w:val="left" w:pos="720"/>
          <w:tab w:val="left" w:pos="1080"/>
          <w:tab w:val="left" w:pos="1440"/>
          <w:tab w:val="left" w:pos="1800"/>
          <w:tab w:val="left" w:pos="2160"/>
        </w:tabs>
        <w:rPr>
          <w:rFonts w:ascii="Calibri" w:hAnsi="Calibri"/>
        </w:rPr>
      </w:pPr>
    </w:p>
    <w:p w:rsidR="00847FF6" w:rsidRDefault="00847FF6" w:rsidP="007A19A3">
      <w:pPr>
        <w:tabs>
          <w:tab w:val="left" w:pos="360"/>
          <w:tab w:val="left" w:pos="720"/>
          <w:tab w:val="left" w:pos="1080"/>
          <w:tab w:val="left" w:pos="1440"/>
          <w:tab w:val="left" w:pos="1800"/>
          <w:tab w:val="left" w:pos="2160"/>
        </w:tabs>
        <w:rPr>
          <w:rFonts w:ascii="Calibri" w:hAnsi="Calibri"/>
        </w:rPr>
      </w:pPr>
    </w:p>
    <w:p w:rsidR="007A19A3" w:rsidRPr="00DB3FD1" w:rsidRDefault="007A19A3" w:rsidP="007A19A3">
      <w:pPr>
        <w:tabs>
          <w:tab w:val="left" w:pos="360"/>
          <w:tab w:val="left" w:pos="720"/>
          <w:tab w:val="left" w:pos="1080"/>
          <w:tab w:val="left" w:pos="1440"/>
          <w:tab w:val="left" w:pos="1800"/>
          <w:tab w:val="left" w:pos="2160"/>
        </w:tabs>
        <w:rPr>
          <w:rFonts w:ascii="Calibri" w:hAnsi="Calibri"/>
          <w:b/>
          <w:sz w:val="28"/>
          <w:szCs w:val="28"/>
        </w:rPr>
      </w:pPr>
      <w:r w:rsidRPr="00DB3FD1">
        <w:rPr>
          <w:rFonts w:ascii="Calibri" w:hAnsi="Calibri"/>
          <w:b/>
          <w:sz w:val="28"/>
          <w:szCs w:val="28"/>
        </w:rPr>
        <w:lastRenderedPageBreak/>
        <w:t>Recommendation</w:t>
      </w:r>
    </w:p>
    <w:p w:rsidR="007A19A3" w:rsidRPr="009E2F3B" w:rsidRDefault="007A19A3" w:rsidP="007A19A3">
      <w:pPr>
        <w:tabs>
          <w:tab w:val="left" w:pos="360"/>
          <w:tab w:val="left" w:pos="1080"/>
          <w:tab w:val="left" w:pos="1440"/>
          <w:tab w:val="left" w:pos="1800"/>
          <w:tab w:val="left" w:pos="2160"/>
        </w:tabs>
        <w:ind w:left="360" w:hanging="360"/>
        <w:rPr>
          <w:rFonts w:ascii="Calibri" w:hAnsi="Calibri"/>
          <w:b/>
        </w:rPr>
      </w:pPr>
      <w:r w:rsidRPr="00A0473C">
        <w:rPr>
          <w:rFonts w:ascii="Calibri" w:hAnsi="Calibri"/>
          <w:b/>
        </w:rPr>
        <w:t xml:space="preserve">1.   The </w:t>
      </w:r>
      <w:r w:rsidR="00F329D4">
        <w:rPr>
          <w:rFonts w:ascii="Calibri" w:hAnsi="Calibri"/>
          <w:b/>
        </w:rPr>
        <w:t>district</w:t>
      </w:r>
      <w:r w:rsidRPr="00A0473C">
        <w:rPr>
          <w:rFonts w:ascii="Calibri" w:hAnsi="Calibri"/>
          <w:b/>
        </w:rPr>
        <w:t xml:space="preserve"> should complete </w:t>
      </w:r>
      <w:r w:rsidR="00F329D4">
        <w:rPr>
          <w:rFonts w:ascii="Calibri" w:hAnsi="Calibri"/>
          <w:b/>
        </w:rPr>
        <w:t xml:space="preserve">the development of a systematic tiered system of support </w:t>
      </w:r>
      <w:r w:rsidRPr="00A0473C">
        <w:rPr>
          <w:rFonts w:ascii="Calibri" w:hAnsi="Calibri"/>
          <w:b/>
        </w:rPr>
        <w:t xml:space="preserve">and implement </w:t>
      </w:r>
      <w:r w:rsidR="00F329D4">
        <w:rPr>
          <w:rFonts w:ascii="Calibri" w:hAnsi="Calibri"/>
          <w:b/>
        </w:rPr>
        <w:t xml:space="preserve">it </w:t>
      </w:r>
      <w:r w:rsidRPr="00A0473C">
        <w:rPr>
          <w:rFonts w:ascii="Calibri" w:hAnsi="Calibri"/>
          <w:b/>
        </w:rPr>
        <w:t>with fid</w:t>
      </w:r>
      <w:r w:rsidR="002F2737" w:rsidRPr="00A0473C">
        <w:rPr>
          <w:rFonts w:ascii="Calibri" w:hAnsi="Calibri"/>
          <w:b/>
        </w:rPr>
        <w:t xml:space="preserve">elity across the district. </w:t>
      </w:r>
    </w:p>
    <w:p w:rsidR="007A19A3" w:rsidRPr="009E2F3B" w:rsidRDefault="007A19A3" w:rsidP="00623D22">
      <w:pPr>
        <w:tabs>
          <w:tab w:val="left" w:pos="720"/>
          <w:tab w:val="left" w:pos="1080"/>
          <w:tab w:val="left" w:pos="1440"/>
          <w:tab w:val="left" w:pos="1800"/>
          <w:tab w:val="left" w:pos="2160"/>
        </w:tabs>
        <w:ind w:left="720" w:hanging="360"/>
        <w:rPr>
          <w:rFonts w:ascii="Calibri" w:hAnsi="Calibri"/>
          <w:bCs/>
        </w:rPr>
      </w:pPr>
      <w:r w:rsidRPr="00623D22">
        <w:rPr>
          <w:rFonts w:ascii="Calibri" w:hAnsi="Calibri"/>
          <w:b/>
          <w:bCs/>
        </w:rPr>
        <w:t>A.</w:t>
      </w:r>
      <w:r w:rsidRPr="009E2F3B">
        <w:rPr>
          <w:rFonts w:ascii="Calibri" w:hAnsi="Calibri"/>
          <w:bCs/>
        </w:rPr>
        <w:t xml:space="preserve">  </w:t>
      </w:r>
      <w:r w:rsidR="00623D22">
        <w:rPr>
          <w:rFonts w:ascii="Calibri" w:hAnsi="Calibri"/>
          <w:bCs/>
        </w:rPr>
        <w:tab/>
      </w:r>
      <w:r w:rsidRPr="009E2F3B">
        <w:rPr>
          <w:rFonts w:ascii="Calibri" w:hAnsi="Calibri"/>
          <w:bCs/>
        </w:rPr>
        <w:t xml:space="preserve">The district should </w:t>
      </w:r>
      <w:r w:rsidR="00B1757D">
        <w:rPr>
          <w:rFonts w:ascii="Calibri" w:hAnsi="Calibri"/>
          <w:bCs/>
        </w:rPr>
        <w:t>further develop and improve its academic, social-emotional, behavioral, attendance, and family/community supports, with the goal of full integration and continuity of support services</w:t>
      </w:r>
      <w:r w:rsidRPr="009E2F3B">
        <w:rPr>
          <w:rFonts w:ascii="Calibri" w:hAnsi="Calibri"/>
          <w:bCs/>
        </w:rPr>
        <w:t xml:space="preserve">.  </w:t>
      </w:r>
    </w:p>
    <w:p w:rsidR="007A19A3" w:rsidRDefault="00B1757D" w:rsidP="00623D22">
      <w:pPr>
        <w:tabs>
          <w:tab w:val="left" w:pos="720"/>
          <w:tab w:val="left" w:pos="1080"/>
          <w:tab w:val="left" w:pos="1440"/>
          <w:tab w:val="left" w:pos="1800"/>
          <w:tab w:val="left" w:pos="2160"/>
        </w:tabs>
        <w:ind w:left="720" w:hanging="360"/>
        <w:rPr>
          <w:rFonts w:ascii="Calibri" w:hAnsi="Calibri"/>
        </w:rPr>
      </w:pPr>
      <w:r>
        <w:rPr>
          <w:rFonts w:ascii="Calibri" w:hAnsi="Calibri"/>
          <w:b/>
        </w:rPr>
        <w:t>B</w:t>
      </w:r>
      <w:r w:rsidR="007A19A3" w:rsidRPr="00623D22">
        <w:rPr>
          <w:rFonts w:ascii="Calibri" w:hAnsi="Calibri"/>
          <w:b/>
        </w:rPr>
        <w:t>.</w:t>
      </w:r>
      <w:r w:rsidR="007A19A3" w:rsidRPr="009E2F3B">
        <w:rPr>
          <w:rFonts w:ascii="Calibri" w:hAnsi="Calibri"/>
        </w:rPr>
        <w:t xml:space="preserve"> </w:t>
      </w:r>
      <w:r w:rsidR="00623D22">
        <w:rPr>
          <w:rFonts w:ascii="Calibri" w:hAnsi="Calibri"/>
        </w:rPr>
        <w:tab/>
      </w:r>
      <w:r w:rsidR="007A19A3" w:rsidRPr="009E2F3B">
        <w:rPr>
          <w:rFonts w:ascii="Calibri" w:hAnsi="Calibri"/>
        </w:rPr>
        <w:t xml:space="preserve">The district should </w:t>
      </w:r>
      <w:r>
        <w:rPr>
          <w:rFonts w:ascii="Calibri" w:hAnsi="Calibri"/>
        </w:rPr>
        <w:t>provide all</w:t>
      </w:r>
      <w:r w:rsidR="00A0473C">
        <w:rPr>
          <w:rFonts w:ascii="Calibri" w:hAnsi="Calibri"/>
        </w:rPr>
        <w:t xml:space="preserve"> staff </w:t>
      </w:r>
      <w:r>
        <w:rPr>
          <w:rFonts w:ascii="Calibri" w:hAnsi="Calibri"/>
        </w:rPr>
        <w:t>with</w:t>
      </w:r>
      <w:r w:rsidR="00A0473C">
        <w:rPr>
          <w:rFonts w:ascii="Calibri" w:hAnsi="Calibri"/>
        </w:rPr>
        <w:t xml:space="preserve"> </w:t>
      </w:r>
      <w:r>
        <w:rPr>
          <w:rFonts w:ascii="Calibri" w:hAnsi="Calibri"/>
        </w:rPr>
        <w:t xml:space="preserve">focused </w:t>
      </w:r>
      <w:r w:rsidR="00A0473C">
        <w:rPr>
          <w:rFonts w:ascii="Calibri" w:hAnsi="Calibri"/>
        </w:rPr>
        <w:t>professional development</w:t>
      </w:r>
      <w:r w:rsidR="007A19A3" w:rsidRPr="009E2F3B">
        <w:rPr>
          <w:rFonts w:ascii="Calibri" w:hAnsi="Calibri"/>
        </w:rPr>
        <w:t xml:space="preserve"> </w:t>
      </w:r>
      <w:r>
        <w:rPr>
          <w:rFonts w:ascii="Calibri" w:hAnsi="Calibri"/>
        </w:rPr>
        <w:t xml:space="preserve">in effectively using differentiation and </w:t>
      </w:r>
      <w:r w:rsidR="0041512F">
        <w:rPr>
          <w:rFonts w:ascii="Calibri" w:hAnsi="Calibri"/>
        </w:rPr>
        <w:t>intervention</w:t>
      </w:r>
      <w:r>
        <w:rPr>
          <w:rFonts w:ascii="Calibri" w:hAnsi="Calibri"/>
        </w:rPr>
        <w:t>s</w:t>
      </w:r>
      <w:r w:rsidR="007A19A3" w:rsidRPr="009E2F3B">
        <w:rPr>
          <w:rFonts w:ascii="Calibri" w:hAnsi="Calibri"/>
        </w:rPr>
        <w:t xml:space="preserve">. </w:t>
      </w:r>
    </w:p>
    <w:p w:rsidR="00B1757D" w:rsidRPr="00B1757D" w:rsidRDefault="0047041E" w:rsidP="00623D22">
      <w:pPr>
        <w:tabs>
          <w:tab w:val="left" w:pos="720"/>
          <w:tab w:val="left" w:pos="1080"/>
          <w:tab w:val="left" w:pos="1440"/>
          <w:tab w:val="left" w:pos="1800"/>
          <w:tab w:val="left" w:pos="2160"/>
        </w:tabs>
        <w:ind w:left="720" w:hanging="360"/>
        <w:rPr>
          <w:rFonts w:ascii="Calibri" w:hAnsi="Calibri"/>
          <w:b/>
        </w:rPr>
      </w:pPr>
      <w:r w:rsidRPr="0047041E">
        <w:rPr>
          <w:rFonts w:ascii="Calibri" w:hAnsi="Calibri"/>
          <w:b/>
        </w:rPr>
        <w:t>C.</w:t>
      </w:r>
      <w:r w:rsidR="00B1757D">
        <w:rPr>
          <w:rFonts w:ascii="Calibri" w:hAnsi="Calibri"/>
          <w:b/>
        </w:rPr>
        <w:tab/>
      </w:r>
      <w:r w:rsidRPr="0047041E">
        <w:rPr>
          <w:rFonts w:ascii="Calibri" w:hAnsi="Calibri"/>
        </w:rPr>
        <w:t>All</w:t>
      </w:r>
      <w:r w:rsidR="00B1757D">
        <w:rPr>
          <w:rFonts w:ascii="Calibri" w:hAnsi="Calibri"/>
        </w:rPr>
        <w:t xml:space="preserve"> interventions provided in the district should be documented and communicated districtwide to ensure coordination and consistency.</w:t>
      </w:r>
    </w:p>
    <w:p w:rsidR="006A1D30" w:rsidRDefault="007A19A3" w:rsidP="007A19A3">
      <w:pPr>
        <w:tabs>
          <w:tab w:val="left" w:pos="360"/>
          <w:tab w:val="left" w:pos="720"/>
          <w:tab w:val="left" w:pos="1080"/>
          <w:tab w:val="left" w:pos="1440"/>
          <w:tab w:val="left" w:pos="1800"/>
          <w:tab w:val="left" w:pos="2160"/>
        </w:tabs>
        <w:rPr>
          <w:rFonts w:ascii="Calibri" w:hAnsi="Calibri"/>
        </w:rPr>
      </w:pPr>
      <w:r w:rsidRPr="009E2F3B">
        <w:rPr>
          <w:rFonts w:ascii="Calibri" w:hAnsi="Calibri"/>
          <w:b/>
        </w:rPr>
        <w:t>Benefit:</w:t>
      </w:r>
      <w:r w:rsidRPr="009E2F3B">
        <w:rPr>
          <w:rFonts w:ascii="Calibri" w:hAnsi="Calibri"/>
        </w:rPr>
        <w:t xml:space="preserve">  </w:t>
      </w:r>
      <w:r w:rsidR="002C590E">
        <w:rPr>
          <w:rFonts w:ascii="Calibri" w:hAnsi="Calibri"/>
        </w:rPr>
        <w:t>By i</w:t>
      </w:r>
      <w:r w:rsidR="002C590E" w:rsidRPr="009E2F3B">
        <w:rPr>
          <w:rFonts w:ascii="Calibri" w:hAnsi="Calibri"/>
        </w:rPr>
        <w:t>mplement</w:t>
      </w:r>
      <w:r w:rsidR="002C590E">
        <w:rPr>
          <w:rFonts w:ascii="Calibri" w:hAnsi="Calibri"/>
        </w:rPr>
        <w:t>ing</w:t>
      </w:r>
      <w:r w:rsidR="002C590E" w:rsidRPr="009E2F3B">
        <w:rPr>
          <w:rFonts w:ascii="Calibri" w:hAnsi="Calibri"/>
        </w:rPr>
        <w:t xml:space="preserve"> </w:t>
      </w:r>
      <w:r w:rsidR="002C590E">
        <w:rPr>
          <w:rFonts w:ascii="Calibri" w:hAnsi="Calibri"/>
        </w:rPr>
        <w:t>this recommendation the district likely will be able to improve programs and practices so that all students have access to</w:t>
      </w:r>
      <w:r w:rsidR="002C590E" w:rsidRPr="009E2F3B">
        <w:rPr>
          <w:rFonts w:ascii="Calibri" w:hAnsi="Calibri"/>
        </w:rPr>
        <w:t xml:space="preserve"> high</w:t>
      </w:r>
      <w:r w:rsidR="002C590E">
        <w:rPr>
          <w:rFonts w:ascii="Calibri" w:hAnsi="Calibri"/>
        </w:rPr>
        <w:t>-</w:t>
      </w:r>
      <w:r w:rsidRPr="009E2F3B">
        <w:rPr>
          <w:rFonts w:ascii="Calibri" w:hAnsi="Calibri"/>
        </w:rPr>
        <w:t xml:space="preserve">quality teaching and </w:t>
      </w:r>
      <w:r w:rsidR="00A0473C">
        <w:rPr>
          <w:rFonts w:ascii="Calibri" w:hAnsi="Calibri"/>
        </w:rPr>
        <w:t xml:space="preserve">learning </w:t>
      </w:r>
      <w:r w:rsidR="002C590E">
        <w:rPr>
          <w:rFonts w:ascii="Calibri" w:hAnsi="Calibri"/>
        </w:rPr>
        <w:t xml:space="preserve">that meets their individual needs </w:t>
      </w:r>
      <w:r w:rsidR="00A0473C">
        <w:rPr>
          <w:rFonts w:ascii="Calibri" w:hAnsi="Calibri"/>
        </w:rPr>
        <w:t>in a safe and supportive</w:t>
      </w:r>
      <w:r w:rsidRPr="009E2F3B">
        <w:rPr>
          <w:rFonts w:ascii="Calibri" w:hAnsi="Calibri"/>
        </w:rPr>
        <w:t xml:space="preserve"> school environment. </w:t>
      </w:r>
    </w:p>
    <w:p w:rsidR="007A19A3" w:rsidRPr="009E2F3B" w:rsidRDefault="007A19A3" w:rsidP="007A19A3">
      <w:pPr>
        <w:tabs>
          <w:tab w:val="left" w:pos="360"/>
          <w:tab w:val="left" w:pos="720"/>
          <w:tab w:val="left" w:pos="1080"/>
          <w:tab w:val="left" w:pos="1440"/>
          <w:tab w:val="left" w:pos="1800"/>
          <w:tab w:val="left" w:pos="2160"/>
        </w:tabs>
        <w:rPr>
          <w:rFonts w:ascii="Calibri" w:hAnsi="Calibri"/>
        </w:rPr>
      </w:pPr>
      <w:r w:rsidRPr="009E2F3B">
        <w:rPr>
          <w:rFonts w:ascii="Calibri" w:hAnsi="Calibri"/>
          <w:b/>
        </w:rPr>
        <w:t>Recommended resource:</w:t>
      </w:r>
    </w:p>
    <w:p w:rsidR="0047041E" w:rsidRDefault="007A19A3" w:rsidP="0047041E">
      <w:pPr>
        <w:pStyle w:val="ListParagraph"/>
        <w:numPr>
          <w:ilvl w:val="0"/>
          <w:numId w:val="36"/>
        </w:numPr>
        <w:ind w:left="360"/>
        <w:contextualSpacing w:val="0"/>
        <w:rPr>
          <w:rFonts w:ascii="Calibri" w:hAnsi="Calibri" w:cs="Calibri"/>
        </w:rPr>
      </w:pPr>
      <w:r w:rsidRPr="009E2F3B">
        <w:rPr>
          <w:rFonts w:ascii="Calibri" w:hAnsi="Calibri" w:cs="Calibri"/>
        </w:rPr>
        <w:t xml:space="preserve">The </w:t>
      </w:r>
      <w:r w:rsidRPr="009E2F3B">
        <w:rPr>
          <w:rFonts w:ascii="Calibri" w:hAnsi="Calibri" w:cs="Calibri"/>
          <w:i/>
        </w:rPr>
        <w:t>Massachusetts Tiered System of Support (MTSS)</w:t>
      </w:r>
      <w:r w:rsidRPr="009E2F3B">
        <w:rPr>
          <w:rFonts w:ascii="Calibri" w:hAnsi="Calibri" w:cs="Calibri"/>
        </w:rPr>
        <w:t xml:space="preserve"> (</w:t>
      </w:r>
      <w:hyperlink r:id="rId38" w:history="1">
        <w:r w:rsidRPr="009E2F3B">
          <w:rPr>
            <w:rStyle w:val="Hyperlink"/>
            <w:rFonts w:ascii="Calibri" w:hAnsi="Calibri"/>
          </w:rPr>
          <w:t>www.mass.gov/ese/mtss</w:t>
        </w:r>
      </w:hyperlink>
      <w:r w:rsidRPr="009E2F3B">
        <w:rPr>
          <w:rFonts w:ascii="Calibri" w:hAnsi="Calibri" w:cs="Calibri"/>
        </w:rPr>
        <w:t>) is a blueprint for school improvement that focuses on systems, structures and supports across the district, school, and classroom to meet the academic and non-academic needs of all students. The MTSS website includes links to a self-assessment and a variety of helpful resources.</w:t>
      </w:r>
    </w:p>
    <w:p w:rsidR="0023695F" w:rsidRPr="00BA0701" w:rsidRDefault="00342350" w:rsidP="0023695F">
      <w:pPr>
        <w:pStyle w:val="Section"/>
        <w:rPr>
          <w:szCs w:val="36"/>
        </w:rPr>
      </w:pPr>
      <w:bookmarkStart w:id="15" w:name="_Toc484611577"/>
      <w:r w:rsidRPr="00BA0701">
        <w:rPr>
          <w:szCs w:val="36"/>
        </w:rPr>
        <w:lastRenderedPageBreak/>
        <w:t>Financial and Asset Management</w:t>
      </w:r>
      <w:bookmarkEnd w:id="15"/>
    </w:p>
    <w:p w:rsidR="00050C2F" w:rsidRDefault="00050C2F" w:rsidP="00050C2F">
      <w:pPr>
        <w:tabs>
          <w:tab w:val="left" w:pos="360"/>
          <w:tab w:val="left" w:pos="720"/>
          <w:tab w:val="left" w:pos="1080"/>
          <w:tab w:val="left" w:pos="1440"/>
          <w:tab w:val="left" w:pos="1800"/>
          <w:tab w:val="left" w:pos="2160"/>
        </w:tabs>
        <w:rPr>
          <w:b/>
          <w:sz w:val="28"/>
          <w:szCs w:val="28"/>
        </w:rPr>
      </w:pPr>
      <w:r w:rsidRPr="00484242">
        <w:rPr>
          <w:b/>
          <w:sz w:val="28"/>
          <w:szCs w:val="28"/>
        </w:rPr>
        <w:t>Contextual Background</w:t>
      </w:r>
    </w:p>
    <w:p w:rsidR="00050C2F" w:rsidRDefault="00050C2F" w:rsidP="00050C2F">
      <w:pPr>
        <w:pStyle w:val="CommentText"/>
        <w:spacing w:line="276" w:lineRule="auto"/>
        <w:rPr>
          <w:sz w:val="22"/>
          <w:szCs w:val="22"/>
        </w:rPr>
      </w:pPr>
      <w:r>
        <w:rPr>
          <w:sz w:val="22"/>
          <w:szCs w:val="22"/>
        </w:rPr>
        <w:t>The school committee has primary responsibility for the district</w:t>
      </w:r>
      <w:r w:rsidR="009E1021">
        <w:rPr>
          <w:sz w:val="22"/>
          <w:szCs w:val="22"/>
        </w:rPr>
        <w:t>’s</w:t>
      </w:r>
      <w:r>
        <w:rPr>
          <w:sz w:val="22"/>
          <w:szCs w:val="22"/>
        </w:rPr>
        <w:t xml:space="preserve"> budget, finances, and capital assets, and uses a standing committee for finance and operations to work with the superintendent and chief financial and operations officer to review details of budget and capital asset proposals and management.  The chief financial and operat</w:t>
      </w:r>
      <w:r w:rsidR="009C7E15">
        <w:rPr>
          <w:sz w:val="22"/>
          <w:szCs w:val="22"/>
        </w:rPr>
        <w:t>ions officer supervises the day-to-</w:t>
      </w:r>
      <w:r>
        <w:rPr>
          <w:sz w:val="22"/>
          <w:szCs w:val="22"/>
        </w:rPr>
        <w:t xml:space="preserve">day management of finances and assets.  He is assisted by </w:t>
      </w:r>
      <w:r w:rsidR="00005DD4">
        <w:rPr>
          <w:sz w:val="22"/>
          <w:szCs w:val="22"/>
        </w:rPr>
        <w:t xml:space="preserve">the </w:t>
      </w:r>
      <w:r>
        <w:rPr>
          <w:sz w:val="22"/>
          <w:szCs w:val="22"/>
        </w:rPr>
        <w:t xml:space="preserve">budget director, </w:t>
      </w:r>
      <w:r w:rsidR="00005DD4">
        <w:rPr>
          <w:sz w:val="22"/>
          <w:szCs w:val="22"/>
        </w:rPr>
        <w:t xml:space="preserve">the </w:t>
      </w:r>
      <w:r>
        <w:rPr>
          <w:sz w:val="22"/>
          <w:szCs w:val="22"/>
        </w:rPr>
        <w:t xml:space="preserve">director of payroll, </w:t>
      </w:r>
      <w:r w:rsidR="00005DD4">
        <w:rPr>
          <w:sz w:val="22"/>
          <w:szCs w:val="22"/>
        </w:rPr>
        <w:t xml:space="preserve">the </w:t>
      </w:r>
      <w:r>
        <w:rPr>
          <w:sz w:val="22"/>
          <w:szCs w:val="22"/>
        </w:rPr>
        <w:t xml:space="preserve">manager of grant resources, </w:t>
      </w:r>
      <w:r w:rsidR="00005DD4">
        <w:rPr>
          <w:sz w:val="22"/>
          <w:szCs w:val="22"/>
        </w:rPr>
        <w:t xml:space="preserve">the </w:t>
      </w:r>
      <w:r>
        <w:rPr>
          <w:sz w:val="22"/>
          <w:szCs w:val="22"/>
        </w:rPr>
        <w:t xml:space="preserve">facilities director, </w:t>
      </w:r>
      <w:r w:rsidR="00005DD4">
        <w:rPr>
          <w:sz w:val="22"/>
          <w:szCs w:val="22"/>
        </w:rPr>
        <w:t xml:space="preserve">the </w:t>
      </w:r>
      <w:r w:rsidR="006E01AD">
        <w:rPr>
          <w:sz w:val="22"/>
          <w:szCs w:val="22"/>
        </w:rPr>
        <w:t xml:space="preserve">director of transportation, </w:t>
      </w:r>
      <w:r w:rsidR="00005DD4">
        <w:rPr>
          <w:sz w:val="22"/>
          <w:szCs w:val="22"/>
        </w:rPr>
        <w:t>the</w:t>
      </w:r>
      <w:r w:rsidR="009E1021">
        <w:rPr>
          <w:sz w:val="22"/>
          <w:szCs w:val="22"/>
        </w:rPr>
        <w:t xml:space="preserve"> </w:t>
      </w:r>
      <w:r>
        <w:rPr>
          <w:sz w:val="22"/>
          <w:szCs w:val="22"/>
        </w:rPr>
        <w:t xml:space="preserve">information technology officer, </w:t>
      </w:r>
      <w:r w:rsidR="00005DD4">
        <w:rPr>
          <w:sz w:val="22"/>
          <w:szCs w:val="22"/>
        </w:rPr>
        <w:t>the</w:t>
      </w:r>
      <w:r w:rsidR="00273C75">
        <w:rPr>
          <w:sz w:val="22"/>
          <w:szCs w:val="22"/>
        </w:rPr>
        <w:t xml:space="preserve"> </w:t>
      </w:r>
      <w:r>
        <w:rPr>
          <w:sz w:val="22"/>
          <w:szCs w:val="22"/>
        </w:rPr>
        <w:t xml:space="preserve">director of nutrition, and </w:t>
      </w:r>
      <w:r w:rsidR="00005DD4">
        <w:rPr>
          <w:sz w:val="22"/>
          <w:szCs w:val="22"/>
        </w:rPr>
        <w:t>the</w:t>
      </w:r>
      <w:r w:rsidR="00216AD2">
        <w:rPr>
          <w:sz w:val="22"/>
          <w:szCs w:val="22"/>
        </w:rPr>
        <w:t xml:space="preserve"> </w:t>
      </w:r>
      <w:r>
        <w:rPr>
          <w:sz w:val="22"/>
          <w:szCs w:val="22"/>
        </w:rPr>
        <w:t xml:space="preserve">director of materials management and their staffs.  </w:t>
      </w:r>
      <w:r w:rsidR="00005DD4">
        <w:rPr>
          <w:sz w:val="22"/>
          <w:szCs w:val="22"/>
        </w:rPr>
        <w:t xml:space="preserve">The chief financial and operations officer </w:t>
      </w:r>
      <w:r>
        <w:rPr>
          <w:sz w:val="22"/>
          <w:szCs w:val="22"/>
        </w:rPr>
        <w:t>reports to the superintendent and provides her and the school committee with reports on the district’s financial status and recommendations for its budget and capital investments</w:t>
      </w:r>
      <w:r w:rsidR="00243684">
        <w:rPr>
          <w:sz w:val="22"/>
          <w:szCs w:val="22"/>
        </w:rPr>
        <w:t xml:space="preserve">.  In addition, </w:t>
      </w:r>
      <w:r w:rsidR="00005DD4">
        <w:rPr>
          <w:sz w:val="22"/>
          <w:szCs w:val="22"/>
        </w:rPr>
        <w:t>t</w:t>
      </w:r>
      <w:r>
        <w:rPr>
          <w:sz w:val="22"/>
          <w:szCs w:val="22"/>
        </w:rPr>
        <w:t>he</w:t>
      </w:r>
      <w:r w:rsidR="00005DD4">
        <w:rPr>
          <w:sz w:val="22"/>
          <w:szCs w:val="22"/>
        </w:rPr>
        <w:t xml:space="preserve"> chief financial and operations officer</w:t>
      </w:r>
      <w:r>
        <w:rPr>
          <w:sz w:val="22"/>
          <w:szCs w:val="22"/>
        </w:rPr>
        <w:t>, the superintendent, and the budget director work closely with the city financial officer, the city manager, the city auditor, and the city procurement office on the district</w:t>
      </w:r>
      <w:r w:rsidR="00005DD4">
        <w:rPr>
          <w:sz w:val="22"/>
          <w:szCs w:val="22"/>
        </w:rPr>
        <w:t>’s</w:t>
      </w:r>
      <w:r>
        <w:rPr>
          <w:sz w:val="22"/>
          <w:szCs w:val="22"/>
        </w:rPr>
        <w:t xml:space="preserve"> budget and management of its finances.  </w:t>
      </w:r>
    </w:p>
    <w:p w:rsidR="00050C2F" w:rsidRDefault="00050C2F" w:rsidP="00050C2F">
      <w:pPr>
        <w:pStyle w:val="CommentText"/>
        <w:spacing w:line="276" w:lineRule="auto"/>
        <w:rPr>
          <w:sz w:val="22"/>
          <w:szCs w:val="22"/>
        </w:rPr>
      </w:pPr>
      <w:r>
        <w:rPr>
          <w:sz w:val="22"/>
          <w:szCs w:val="22"/>
        </w:rPr>
        <w:t xml:space="preserve">The district’s proposed budget for </w:t>
      </w:r>
      <w:r w:rsidR="00273C75">
        <w:rPr>
          <w:sz w:val="22"/>
          <w:szCs w:val="22"/>
        </w:rPr>
        <w:t xml:space="preserve">fiscal year 2017 </w:t>
      </w:r>
      <w:r>
        <w:rPr>
          <w:sz w:val="22"/>
          <w:szCs w:val="22"/>
        </w:rPr>
        <w:t>was $377,118,333, a 1.7</w:t>
      </w:r>
      <w:r w:rsidR="00273C75">
        <w:rPr>
          <w:sz w:val="22"/>
          <w:szCs w:val="22"/>
        </w:rPr>
        <w:t xml:space="preserve"> percent</w:t>
      </w:r>
      <w:r>
        <w:rPr>
          <w:sz w:val="22"/>
          <w:szCs w:val="22"/>
        </w:rPr>
        <w:t xml:space="preserve"> increase over </w:t>
      </w:r>
      <w:r w:rsidR="00273C75">
        <w:rPr>
          <w:sz w:val="22"/>
          <w:szCs w:val="22"/>
        </w:rPr>
        <w:t>fiscal year 2016</w:t>
      </w:r>
      <w:r>
        <w:rPr>
          <w:sz w:val="22"/>
          <w:szCs w:val="22"/>
        </w:rPr>
        <w:t xml:space="preserve">.  It includes all grants and funds as well as $322,895,803 appropriated by the city.  </w:t>
      </w:r>
      <w:r w:rsidR="00273C75">
        <w:rPr>
          <w:sz w:val="22"/>
          <w:szCs w:val="22"/>
        </w:rPr>
        <w:t xml:space="preserve">For the past six years the </w:t>
      </w:r>
      <w:r>
        <w:rPr>
          <w:sz w:val="22"/>
          <w:szCs w:val="22"/>
        </w:rPr>
        <w:t>city</w:t>
      </w:r>
      <w:r w:rsidR="00273C75">
        <w:rPr>
          <w:sz w:val="22"/>
          <w:szCs w:val="22"/>
        </w:rPr>
        <w:t>’s</w:t>
      </w:r>
      <w:r>
        <w:rPr>
          <w:sz w:val="22"/>
          <w:szCs w:val="22"/>
        </w:rPr>
        <w:t xml:space="preserve"> contribution has been less than that required to meet the state net school spending requirement, but </w:t>
      </w:r>
      <w:r w:rsidR="00273C75">
        <w:rPr>
          <w:sz w:val="22"/>
          <w:szCs w:val="22"/>
        </w:rPr>
        <w:t xml:space="preserve">the city’s contribution </w:t>
      </w:r>
      <w:r>
        <w:rPr>
          <w:sz w:val="22"/>
          <w:szCs w:val="22"/>
        </w:rPr>
        <w:t xml:space="preserve">is expected to exceed the requirement for </w:t>
      </w:r>
      <w:r w:rsidR="00273C75">
        <w:rPr>
          <w:sz w:val="22"/>
          <w:szCs w:val="22"/>
        </w:rPr>
        <w:t>fiscal year 2017</w:t>
      </w:r>
      <w:r>
        <w:rPr>
          <w:sz w:val="22"/>
          <w:szCs w:val="22"/>
        </w:rPr>
        <w:t xml:space="preserve">.  The budget </w:t>
      </w:r>
      <w:r w:rsidR="00273C75">
        <w:rPr>
          <w:sz w:val="22"/>
          <w:szCs w:val="22"/>
        </w:rPr>
        <w:t xml:space="preserve">development </w:t>
      </w:r>
      <w:r>
        <w:rPr>
          <w:sz w:val="22"/>
          <w:szCs w:val="22"/>
        </w:rPr>
        <w:t>process is inclusive, transparent, and driven by school and student needs as well as budget limits.</w:t>
      </w:r>
    </w:p>
    <w:p w:rsidR="00050C2F" w:rsidRDefault="00050C2F" w:rsidP="00050C2F">
      <w:pPr>
        <w:pStyle w:val="CommentText"/>
        <w:spacing w:line="276" w:lineRule="auto"/>
        <w:rPr>
          <w:sz w:val="22"/>
          <w:szCs w:val="22"/>
        </w:rPr>
      </w:pPr>
      <w:r>
        <w:rPr>
          <w:sz w:val="22"/>
          <w:szCs w:val="22"/>
        </w:rPr>
        <w:t xml:space="preserve">Financial management practices are done in close collaboration with the city’s auditor and procurement offices.  Payrolls and purchase orders are approved by the city before being sent out and paid, and the city issues and receives bids; the school committee awards contracts.  The chief financial </w:t>
      </w:r>
      <w:r w:rsidR="00273C75">
        <w:rPr>
          <w:sz w:val="22"/>
          <w:szCs w:val="22"/>
        </w:rPr>
        <w:t xml:space="preserve">and operations </w:t>
      </w:r>
      <w:r>
        <w:rPr>
          <w:sz w:val="22"/>
          <w:szCs w:val="22"/>
        </w:rPr>
        <w:t xml:space="preserve">officer and </w:t>
      </w:r>
      <w:r w:rsidR="00273C75">
        <w:rPr>
          <w:sz w:val="22"/>
          <w:szCs w:val="22"/>
        </w:rPr>
        <w:t xml:space="preserve">the </w:t>
      </w:r>
      <w:r>
        <w:rPr>
          <w:sz w:val="22"/>
          <w:szCs w:val="22"/>
        </w:rPr>
        <w:t>budget director submit quarterly financial reports to the superintendent, administrators</w:t>
      </w:r>
      <w:r w:rsidR="00273C75">
        <w:rPr>
          <w:sz w:val="22"/>
          <w:szCs w:val="22"/>
        </w:rPr>
        <w:t>,</w:t>
      </w:r>
      <w:r>
        <w:rPr>
          <w:sz w:val="22"/>
          <w:szCs w:val="22"/>
        </w:rPr>
        <w:t xml:space="preserve"> and </w:t>
      </w:r>
      <w:r w:rsidR="00273C75">
        <w:rPr>
          <w:sz w:val="22"/>
          <w:szCs w:val="22"/>
        </w:rPr>
        <w:t xml:space="preserve">the </w:t>
      </w:r>
      <w:r>
        <w:rPr>
          <w:sz w:val="22"/>
          <w:szCs w:val="22"/>
        </w:rPr>
        <w:t>school committee along with recommendations for transfers as needed, and the school committee also accepts all gifts and grants.</w:t>
      </w:r>
    </w:p>
    <w:p w:rsidR="00050C2F" w:rsidRDefault="00273C75" w:rsidP="00050C2F">
      <w:pPr>
        <w:pStyle w:val="CommentText"/>
        <w:spacing w:line="276" w:lineRule="auto"/>
        <w:rPr>
          <w:sz w:val="22"/>
          <w:szCs w:val="22"/>
        </w:rPr>
      </w:pPr>
      <w:r>
        <w:rPr>
          <w:sz w:val="22"/>
          <w:szCs w:val="22"/>
        </w:rPr>
        <w:t>Of the</w:t>
      </w:r>
      <w:r w:rsidR="00050C2F">
        <w:rPr>
          <w:sz w:val="22"/>
          <w:szCs w:val="22"/>
        </w:rPr>
        <w:t xml:space="preserve"> </w:t>
      </w:r>
      <w:r w:rsidR="002D56EB">
        <w:rPr>
          <w:sz w:val="22"/>
          <w:szCs w:val="22"/>
        </w:rPr>
        <w:t xml:space="preserve">44 </w:t>
      </w:r>
      <w:r w:rsidR="00050C2F">
        <w:rPr>
          <w:sz w:val="22"/>
          <w:szCs w:val="22"/>
        </w:rPr>
        <w:t>schools in the district, some are over 100 years old.  The</w:t>
      </w:r>
      <w:r w:rsidR="007D7421">
        <w:rPr>
          <w:sz w:val="22"/>
          <w:szCs w:val="22"/>
        </w:rPr>
        <w:t xml:space="preserve"> district cleans and maintains all school buildings</w:t>
      </w:r>
      <w:r w:rsidR="00050C2F">
        <w:rPr>
          <w:sz w:val="22"/>
          <w:szCs w:val="22"/>
        </w:rPr>
        <w:t xml:space="preserve"> and</w:t>
      </w:r>
      <w:r w:rsidR="002B34A5">
        <w:rPr>
          <w:sz w:val="22"/>
          <w:szCs w:val="22"/>
        </w:rPr>
        <w:t xml:space="preserve"> the city and the M</w:t>
      </w:r>
      <w:r w:rsidR="00A72D75">
        <w:rPr>
          <w:sz w:val="22"/>
          <w:szCs w:val="22"/>
        </w:rPr>
        <w:t xml:space="preserve">assachusetts </w:t>
      </w:r>
      <w:r w:rsidR="002B34A5">
        <w:rPr>
          <w:sz w:val="22"/>
          <w:szCs w:val="22"/>
        </w:rPr>
        <w:t>S</w:t>
      </w:r>
      <w:r w:rsidR="00A72D75">
        <w:rPr>
          <w:sz w:val="22"/>
          <w:szCs w:val="22"/>
        </w:rPr>
        <w:t xml:space="preserve">chool </w:t>
      </w:r>
      <w:r w:rsidR="002B34A5">
        <w:rPr>
          <w:sz w:val="22"/>
          <w:szCs w:val="22"/>
        </w:rPr>
        <w:t>B</w:t>
      </w:r>
      <w:r w:rsidR="00A72D75">
        <w:rPr>
          <w:sz w:val="22"/>
          <w:szCs w:val="22"/>
        </w:rPr>
        <w:t xml:space="preserve">uilding </w:t>
      </w:r>
      <w:r w:rsidR="00243684">
        <w:rPr>
          <w:sz w:val="22"/>
          <w:szCs w:val="22"/>
        </w:rPr>
        <w:t>A</w:t>
      </w:r>
      <w:r w:rsidR="00A72D75">
        <w:rPr>
          <w:sz w:val="22"/>
          <w:szCs w:val="22"/>
        </w:rPr>
        <w:t>uthority</w:t>
      </w:r>
      <w:r w:rsidR="00243684">
        <w:rPr>
          <w:sz w:val="22"/>
          <w:szCs w:val="22"/>
        </w:rPr>
        <w:t xml:space="preserve"> </w:t>
      </w:r>
      <w:r w:rsidR="00A72D75">
        <w:rPr>
          <w:sz w:val="22"/>
          <w:szCs w:val="22"/>
        </w:rPr>
        <w:t xml:space="preserve">(MSBA) </w:t>
      </w:r>
      <w:r w:rsidR="00243684">
        <w:rPr>
          <w:sz w:val="22"/>
          <w:szCs w:val="22"/>
        </w:rPr>
        <w:t>Accelerated Repair program</w:t>
      </w:r>
      <w:r w:rsidR="007D7421">
        <w:rPr>
          <w:sz w:val="22"/>
          <w:szCs w:val="22"/>
        </w:rPr>
        <w:t xml:space="preserve"> have</w:t>
      </w:r>
      <w:r w:rsidR="00243684">
        <w:rPr>
          <w:sz w:val="22"/>
          <w:szCs w:val="22"/>
        </w:rPr>
        <w:t xml:space="preserve"> fund</w:t>
      </w:r>
      <w:r w:rsidR="007D7421">
        <w:rPr>
          <w:sz w:val="22"/>
          <w:szCs w:val="22"/>
        </w:rPr>
        <w:t>ed</w:t>
      </w:r>
      <w:r w:rsidR="00050C2F">
        <w:rPr>
          <w:sz w:val="22"/>
          <w:szCs w:val="22"/>
        </w:rPr>
        <w:t xml:space="preserve"> annual projects for major repairs.  In addition, MSBA has assisted the city with fi</w:t>
      </w:r>
      <w:r w:rsidR="007D7421">
        <w:rPr>
          <w:sz w:val="22"/>
          <w:szCs w:val="22"/>
        </w:rPr>
        <w:t xml:space="preserve">nancing five new and renovated </w:t>
      </w:r>
      <w:r w:rsidR="00050C2F">
        <w:rPr>
          <w:sz w:val="22"/>
          <w:szCs w:val="22"/>
        </w:rPr>
        <w:t>schools since 2000. E-Rate funding of approximately $3.5 million per year in addition to district funds</w:t>
      </w:r>
      <w:r w:rsidR="007D7421">
        <w:rPr>
          <w:sz w:val="22"/>
          <w:szCs w:val="22"/>
        </w:rPr>
        <w:t xml:space="preserve"> have supported technology infrastructure and equipment</w:t>
      </w:r>
      <w:r w:rsidR="00050C2F">
        <w:rPr>
          <w:sz w:val="22"/>
          <w:szCs w:val="22"/>
        </w:rPr>
        <w:t xml:space="preserve">. </w:t>
      </w:r>
    </w:p>
    <w:p w:rsidR="00273C75" w:rsidRDefault="00273C75" w:rsidP="00050C2F">
      <w:pPr>
        <w:pStyle w:val="CommentText"/>
        <w:spacing w:line="276" w:lineRule="auto"/>
        <w:rPr>
          <w:sz w:val="22"/>
          <w:szCs w:val="22"/>
        </w:rPr>
      </w:pPr>
    </w:p>
    <w:p w:rsidR="00274F77" w:rsidRDefault="00274F77" w:rsidP="00050C2F">
      <w:pPr>
        <w:pStyle w:val="CommentText"/>
        <w:spacing w:line="276" w:lineRule="auto"/>
        <w:rPr>
          <w:sz w:val="22"/>
          <w:szCs w:val="22"/>
        </w:rPr>
      </w:pPr>
    </w:p>
    <w:p w:rsidR="00274F77" w:rsidRDefault="00274F77" w:rsidP="00050C2F">
      <w:pPr>
        <w:pStyle w:val="CommentText"/>
        <w:spacing w:line="276" w:lineRule="auto"/>
        <w:rPr>
          <w:sz w:val="22"/>
          <w:szCs w:val="22"/>
        </w:rPr>
      </w:pPr>
    </w:p>
    <w:p w:rsidR="00274F77" w:rsidRPr="00484242" w:rsidRDefault="00274F77" w:rsidP="00050C2F">
      <w:pPr>
        <w:pStyle w:val="CommentText"/>
        <w:spacing w:line="276" w:lineRule="auto"/>
        <w:rPr>
          <w:sz w:val="22"/>
          <w:szCs w:val="22"/>
        </w:rPr>
      </w:pPr>
    </w:p>
    <w:p w:rsidR="00050C2F" w:rsidRDefault="00050C2F" w:rsidP="00050C2F">
      <w:pPr>
        <w:tabs>
          <w:tab w:val="left" w:pos="360"/>
          <w:tab w:val="left" w:pos="720"/>
          <w:tab w:val="left" w:pos="1080"/>
          <w:tab w:val="left" w:pos="1440"/>
          <w:tab w:val="left" w:pos="1800"/>
          <w:tab w:val="left" w:pos="2160"/>
        </w:tabs>
        <w:rPr>
          <w:b/>
          <w:sz w:val="28"/>
          <w:szCs w:val="28"/>
        </w:rPr>
      </w:pPr>
      <w:r w:rsidRPr="002428C7">
        <w:rPr>
          <w:b/>
          <w:sz w:val="28"/>
          <w:szCs w:val="28"/>
        </w:rPr>
        <w:lastRenderedPageBreak/>
        <w:t>Strength</w:t>
      </w:r>
      <w:r>
        <w:rPr>
          <w:b/>
          <w:sz w:val="28"/>
          <w:szCs w:val="28"/>
        </w:rPr>
        <w:t xml:space="preserve"> Finding</w:t>
      </w:r>
      <w:r w:rsidRPr="002428C7">
        <w:rPr>
          <w:b/>
          <w:sz w:val="28"/>
          <w:szCs w:val="28"/>
        </w:rPr>
        <w:t>s</w:t>
      </w:r>
      <w:r>
        <w:rPr>
          <w:b/>
          <w:sz w:val="28"/>
          <w:szCs w:val="28"/>
        </w:rPr>
        <w:t xml:space="preserve"> </w:t>
      </w:r>
    </w:p>
    <w:p w:rsidR="00050C2F" w:rsidRPr="00D34770" w:rsidRDefault="00050C2F" w:rsidP="00050C2F">
      <w:pPr>
        <w:tabs>
          <w:tab w:val="left" w:pos="360"/>
          <w:tab w:val="left" w:pos="720"/>
          <w:tab w:val="left" w:pos="1080"/>
          <w:tab w:val="left" w:pos="1440"/>
          <w:tab w:val="left" w:pos="1800"/>
          <w:tab w:val="left" w:pos="2160"/>
        </w:tabs>
        <w:ind w:left="360" w:hanging="360"/>
        <w:rPr>
          <w:b/>
          <w:i/>
        </w:rPr>
      </w:pPr>
      <w:r>
        <w:rPr>
          <w:b/>
        </w:rPr>
        <w:t xml:space="preserve">1. </w:t>
      </w:r>
      <w:r>
        <w:rPr>
          <w:b/>
        </w:rPr>
        <w:tab/>
        <w:t xml:space="preserve">The district uses a </w:t>
      </w:r>
      <w:r w:rsidR="00273C75">
        <w:rPr>
          <w:b/>
        </w:rPr>
        <w:t>zero-</w:t>
      </w:r>
      <w:r>
        <w:rPr>
          <w:b/>
        </w:rPr>
        <w:t xml:space="preserve">based budget </w:t>
      </w:r>
      <w:r w:rsidR="00273C75">
        <w:rPr>
          <w:b/>
        </w:rPr>
        <w:t xml:space="preserve">development </w:t>
      </w:r>
      <w:r>
        <w:rPr>
          <w:b/>
        </w:rPr>
        <w:t>process and input from many stakeholders to allocate resources and develop a budget based on district priorities and student</w:t>
      </w:r>
      <w:r w:rsidR="00273C75">
        <w:rPr>
          <w:b/>
        </w:rPr>
        <w:t>s’</w:t>
      </w:r>
      <w:r>
        <w:rPr>
          <w:b/>
        </w:rPr>
        <w:t xml:space="preserve"> needs.  </w:t>
      </w:r>
    </w:p>
    <w:p w:rsidR="00050C2F" w:rsidRPr="00050C2F" w:rsidRDefault="00050C2F" w:rsidP="00050C2F">
      <w:pPr>
        <w:tabs>
          <w:tab w:val="left" w:pos="360"/>
          <w:tab w:val="left" w:pos="720"/>
          <w:tab w:val="left" w:pos="1080"/>
          <w:tab w:val="left" w:pos="1440"/>
          <w:tab w:val="left" w:pos="1800"/>
          <w:tab w:val="left" w:pos="2160"/>
        </w:tabs>
        <w:ind w:left="720" w:hanging="360"/>
        <w:rPr>
          <w:b/>
          <w:i/>
        </w:rPr>
      </w:pPr>
      <w:r w:rsidRPr="00050C2F">
        <w:rPr>
          <w:b/>
        </w:rPr>
        <w:t>A.</w:t>
      </w:r>
      <w:r>
        <w:t xml:space="preserve">  </w:t>
      </w:r>
      <w:r w:rsidR="00273C75">
        <w:tab/>
      </w:r>
      <w:r>
        <w:t xml:space="preserve">The district uses a </w:t>
      </w:r>
      <w:r w:rsidR="00273C75">
        <w:t>zero-</w:t>
      </w:r>
      <w:r>
        <w:t>based budget development process including consideration of all grants and funds, and allocates resources on the basis of needs and priorities</w:t>
      </w:r>
      <w:r w:rsidRPr="0023504E">
        <w:t xml:space="preserve">. </w:t>
      </w:r>
    </w:p>
    <w:p w:rsidR="00050C2F" w:rsidRPr="00B67CBD" w:rsidRDefault="00B67CBD" w:rsidP="00B67CBD">
      <w:pPr>
        <w:tabs>
          <w:tab w:val="left" w:pos="1080"/>
          <w:tab w:val="left" w:pos="1440"/>
          <w:tab w:val="left" w:pos="1800"/>
          <w:tab w:val="left" w:pos="2160"/>
        </w:tabs>
        <w:ind w:left="1080" w:hanging="360"/>
        <w:rPr>
          <w:b/>
          <w:i/>
        </w:rPr>
      </w:pPr>
      <w:r>
        <w:t>1.</w:t>
      </w:r>
      <w:r>
        <w:tab/>
      </w:r>
      <w:r w:rsidR="00050C2F">
        <w:t xml:space="preserve">District administrators reported that they use a </w:t>
      </w:r>
      <w:r w:rsidR="00273C75">
        <w:t>zero-</w:t>
      </w:r>
      <w:r w:rsidR="00050C2F">
        <w:t xml:space="preserve">based budget </w:t>
      </w:r>
      <w:r w:rsidR="00273C75">
        <w:t xml:space="preserve">development </w:t>
      </w:r>
      <w:r w:rsidR="00050C2F">
        <w:t>process to review all staffing, services, and materials for each school and cost center, including all funds and grants.  The process starts with each school and cost center at zero, adding essential services and prioritizing all others up to a funding limit</w:t>
      </w:r>
      <w:r>
        <w:t>.</w:t>
      </w:r>
    </w:p>
    <w:p w:rsidR="00050C2F" w:rsidRPr="003F6076" w:rsidRDefault="00047299" w:rsidP="00B7194B">
      <w:pPr>
        <w:pStyle w:val="ListParagraph"/>
        <w:numPr>
          <w:ilvl w:val="3"/>
          <w:numId w:val="68"/>
        </w:numPr>
        <w:tabs>
          <w:tab w:val="left" w:pos="360"/>
          <w:tab w:val="left" w:pos="720"/>
          <w:tab w:val="left" w:pos="1080"/>
          <w:tab w:val="left" w:pos="1440"/>
          <w:tab w:val="left" w:pos="1800"/>
          <w:tab w:val="left" w:pos="2160"/>
        </w:tabs>
        <w:ind w:left="1440"/>
        <w:contextualSpacing w:val="0"/>
        <w:rPr>
          <w:b/>
          <w:i/>
        </w:rPr>
      </w:pPr>
      <w:r>
        <w:t>Interviews with</w:t>
      </w:r>
      <w:r w:rsidR="00050C2F">
        <w:t xml:space="preserve"> administrators </w:t>
      </w:r>
      <w:r>
        <w:t xml:space="preserve">and a review of the budget document indicated </w:t>
      </w:r>
      <w:r w:rsidR="00050C2F">
        <w:t xml:space="preserve">a </w:t>
      </w:r>
      <w:r>
        <w:t>seven-</w:t>
      </w:r>
      <w:r w:rsidR="00050C2F">
        <w:t xml:space="preserve">point plan for budgeting including </w:t>
      </w:r>
      <w:r>
        <w:t xml:space="preserve">a </w:t>
      </w:r>
      <w:r w:rsidR="00050C2F">
        <w:t xml:space="preserve">zero-based budget development process, a cap of 1.5 </w:t>
      </w:r>
      <w:r>
        <w:t xml:space="preserve">percent </w:t>
      </w:r>
      <w:r w:rsidR="00050C2F">
        <w:t>on administrative costs, the inclusion of all funding sources, and targeting new revenues to high priority needs such as student services and safety</w:t>
      </w:r>
      <w:r w:rsidR="00B67CBD">
        <w:t>.</w:t>
      </w:r>
    </w:p>
    <w:p w:rsidR="00050C2F" w:rsidRPr="00744BE4" w:rsidRDefault="00050C2F" w:rsidP="00B7194B">
      <w:pPr>
        <w:pStyle w:val="ListParagraph"/>
        <w:numPr>
          <w:ilvl w:val="3"/>
          <w:numId w:val="68"/>
        </w:numPr>
        <w:tabs>
          <w:tab w:val="left" w:pos="360"/>
          <w:tab w:val="left" w:pos="720"/>
          <w:tab w:val="left" w:pos="1080"/>
          <w:tab w:val="left" w:pos="1440"/>
          <w:tab w:val="left" w:pos="1800"/>
          <w:tab w:val="left" w:pos="2160"/>
        </w:tabs>
        <w:ind w:left="1440"/>
        <w:contextualSpacing w:val="0"/>
        <w:rPr>
          <w:b/>
          <w:i/>
        </w:rPr>
      </w:pPr>
      <w:r>
        <w:t>In budget meetings administrators discuss needs, reconfigurations, and budget guidelines such as class size and staffing with principals and other administrators</w:t>
      </w:r>
      <w:r w:rsidR="00B67CBD">
        <w:t>.</w:t>
      </w:r>
    </w:p>
    <w:p w:rsidR="00050C2F" w:rsidRPr="00B67CBD" w:rsidRDefault="00B67CBD" w:rsidP="00B67CBD">
      <w:pPr>
        <w:tabs>
          <w:tab w:val="left" w:pos="1080"/>
          <w:tab w:val="left" w:pos="1440"/>
          <w:tab w:val="left" w:pos="1800"/>
          <w:tab w:val="left" w:pos="2160"/>
        </w:tabs>
        <w:ind w:left="1080" w:hanging="360"/>
        <w:rPr>
          <w:b/>
          <w:i/>
        </w:rPr>
      </w:pPr>
      <w:r>
        <w:t xml:space="preserve">2.   </w:t>
      </w:r>
      <w:r w:rsidR="00BA725E">
        <w:tab/>
      </w:r>
      <w:r w:rsidR="00047299">
        <w:t xml:space="preserve">District administrators </w:t>
      </w:r>
      <w:r w:rsidR="00050C2F">
        <w:t xml:space="preserve">and school committee members described budget and grant needs and priorities </w:t>
      </w:r>
      <w:r w:rsidR="00FB5E32">
        <w:t>including a manager for social</w:t>
      </w:r>
      <w:r w:rsidR="00D90587">
        <w:t xml:space="preserve"> </w:t>
      </w:r>
      <w:r w:rsidR="00050C2F">
        <w:t xml:space="preserve">emotional learning, ELL services, and resources for </w:t>
      </w:r>
      <w:r w:rsidR="00FB5E32">
        <w:t xml:space="preserve">the </w:t>
      </w:r>
      <w:r w:rsidR="005E25BB">
        <w:t xml:space="preserve">district’s </w:t>
      </w:r>
      <w:r w:rsidR="00FB5E32">
        <w:t xml:space="preserve">lowest </w:t>
      </w:r>
      <w:r w:rsidR="00050C2F">
        <w:t>performing schools</w:t>
      </w:r>
      <w:r>
        <w:t>.</w:t>
      </w:r>
    </w:p>
    <w:p w:rsidR="00050C2F" w:rsidRDefault="007D7421" w:rsidP="00B7194B">
      <w:pPr>
        <w:pStyle w:val="ListParagraph"/>
        <w:numPr>
          <w:ilvl w:val="1"/>
          <w:numId w:val="68"/>
        </w:numPr>
        <w:tabs>
          <w:tab w:val="left" w:pos="0"/>
          <w:tab w:val="left" w:pos="360"/>
          <w:tab w:val="left" w:pos="1080"/>
          <w:tab w:val="left" w:pos="1800"/>
          <w:tab w:val="left" w:pos="2160"/>
        </w:tabs>
        <w:ind w:left="720"/>
        <w:contextualSpacing w:val="0"/>
      </w:pPr>
      <w:r>
        <w:t xml:space="preserve">The budget </w:t>
      </w:r>
      <w:r w:rsidR="00FB5E32">
        <w:t xml:space="preserve">development </w:t>
      </w:r>
      <w:r>
        <w:t>process gives many stakeholders</w:t>
      </w:r>
      <w:r w:rsidR="00050C2F">
        <w:t xml:space="preserve"> opportunities to provide input into the proposed budget</w:t>
      </w:r>
      <w:r w:rsidR="00050C2F" w:rsidRPr="0023504E">
        <w:t xml:space="preserve">. </w:t>
      </w:r>
    </w:p>
    <w:p w:rsidR="00050C2F" w:rsidRPr="00BF4D27" w:rsidRDefault="00050C2F" w:rsidP="00B7194B">
      <w:pPr>
        <w:pStyle w:val="ListParagraph"/>
        <w:numPr>
          <w:ilvl w:val="2"/>
          <w:numId w:val="68"/>
        </w:numPr>
        <w:tabs>
          <w:tab w:val="left" w:pos="0"/>
          <w:tab w:val="left" w:pos="360"/>
          <w:tab w:val="left" w:pos="1080"/>
          <w:tab w:val="left" w:pos="1800"/>
          <w:tab w:val="left" w:pos="2160"/>
        </w:tabs>
        <w:ind w:left="1080"/>
        <w:contextualSpacing w:val="0"/>
      </w:pPr>
      <w:r>
        <w:t>Administrators described meetings with school and district administrators, school committee and city council members, local business and college leaders, and the city manager to discuss district needs, priorities, and available funding</w:t>
      </w:r>
      <w:r w:rsidR="00B67CBD">
        <w:t>.</w:t>
      </w:r>
    </w:p>
    <w:p w:rsidR="00050C2F" w:rsidRDefault="00FB5E32" w:rsidP="00B7194B">
      <w:pPr>
        <w:pStyle w:val="ListParagraph"/>
        <w:numPr>
          <w:ilvl w:val="2"/>
          <w:numId w:val="68"/>
        </w:numPr>
        <w:tabs>
          <w:tab w:val="left" w:pos="0"/>
          <w:tab w:val="left" w:pos="360"/>
          <w:tab w:val="left" w:pos="1080"/>
          <w:tab w:val="left" w:pos="1440"/>
          <w:tab w:val="left" w:pos="1800"/>
          <w:tab w:val="left" w:pos="2160"/>
        </w:tabs>
        <w:ind w:left="1080"/>
        <w:contextualSpacing w:val="0"/>
      </w:pPr>
      <w:r>
        <w:t xml:space="preserve">A review of school committee minutes </w:t>
      </w:r>
      <w:r w:rsidR="00050C2F">
        <w:t xml:space="preserve">and the budget calendar </w:t>
      </w:r>
      <w:r>
        <w:t xml:space="preserve">indicated </w:t>
      </w:r>
      <w:r w:rsidR="00050C2F">
        <w:t xml:space="preserve">public school committee and city council hearings about the proposed budget, meetings of the school committee’s </w:t>
      </w:r>
      <w:r>
        <w:t xml:space="preserve">standing committee </w:t>
      </w:r>
      <w:r w:rsidR="00050C2F">
        <w:t xml:space="preserve">on </w:t>
      </w:r>
      <w:r>
        <w:t xml:space="preserve">finance </w:t>
      </w:r>
      <w:r w:rsidR="00050C2F">
        <w:t xml:space="preserve">and </w:t>
      </w:r>
      <w:r>
        <w:t xml:space="preserve">operations </w:t>
      </w:r>
      <w:r w:rsidR="00050C2F">
        <w:t xml:space="preserve">and joint meetings with the city council’s </w:t>
      </w:r>
      <w:r>
        <w:t>education committee</w:t>
      </w:r>
      <w:r w:rsidR="00050C2F">
        <w:t xml:space="preserve">, and presentations to local business and college organizations, the </w:t>
      </w:r>
      <w:r>
        <w:t xml:space="preserve">parent planning advisory committee </w:t>
      </w:r>
      <w:r w:rsidR="00050C2F">
        <w:t>and student advisory group</w:t>
      </w:r>
      <w:r w:rsidR="00B67CBD">
        <w:t>.</w:t>
      </w:r>
    </w:p>
    <w:p w:rsidR="0047041E" w:rsidRDefault="002C3D25" w:rsidP="0047041E">
      <w:pPr>
        <w:tabs>
          <w:tab w:val="left" w:pos="360"/>
          <w:tab w:val="left" w:pos="720"/>
          <w:tab w:val="left" w:pos="1080"/>
          <w:tab w:val="left" w:pos="1440"/>
          <w:tab w:val="left" w:pos="1800"/>
          <w:tab w:val="left" w:pos="2160"/>
        </w:tabs>
        <w:ind w:left="1080" w:hanging="360"/>
      </w:pPr>
      <w:r>
        <w:t>3.</w:t>
      </w:r>
      <w:r>
        <w:tab/>
      </w:r>
      <w:r w:rsidR="00697966">
        <w:t>School committee members reported they get a lot of budget information, which helps them and the city manager know how they need to develop and adjust the budget.</w:t>
      </w:r>
    </w:p>
    <w:p w:rsidR="0047041E" w:rsidRDefault="002C3D25" w:rsidP="0047041E">
      <w:pPr>
        <w:tabs>
          <w:tab w:val="left" w:pos="0"/>
          <w:tab w:val="left" w:pos="360"/>
          <w:tab w:val="left" w:pos="720"/>
          <w:tab w:val="left" w:pos="1080"/>
          <w:tab w:val="left" w:pos="1440"/>
          <w:tab w:val="left" w:pos="1800"/>
          <w:tab w:val="left" w:pos="2160"/>
        </w:tabs>
        <w:ind w:left="1080" w:hanging="1080"/>
      </w:pPr>
      <w:r>
        <w:tab/>
      </w:r>
      <w:r>
        <w:tab/>
        <w:t>4.</w:t>
      </w:r>
      <w:r>
        <w:tab/>
      </w:r>
      <w:r w:rsidR="00050C2F">
        <w:t>The superintendent works closely with the city manager on budget and other district issues.</w:t>
      </w:r>
    </w:p>
    <w:p w:rsidR="0047041E" w:rsidRDefault="006A1D30" w:rsidP="0047041E">
      <w:pPr>
        <w:tabs>
          <w:tab w:val="left" w:pos="360"/>
          <w:tab w:val="left" w:pos="720"/>
          <w:tab w:val="left" w:pos="1080"/>
          <w:tab w:val="left" w:pos="1800"/>
          <w:tab w:val="left" w:pos="2160"/>
        </w:tabs>
        <w:ind w:left="720" w:hanging="1079"/>
      </w:pPr>
      <w:r>
        <w:rPr>
          <w:b/>
        </w:rPr>
        <w:tab/>
      </w:r>
      <w:r w:rsidR="0047041E" w:rsidRPr="0047041E">
        <w:rPr>
          <w:b/>
        </w:rPr>
        <w:t>C.</w:t>
      </w:r>
      <w:r w:rsidR="00D90587">
        <w:rPr>
          <w:b/>
        </w:rPr>
        <w:tab/>
      </w:r>
      <w:r w:rsidR="00050C2F">
        <w:t>The district sets budget guidelines for an equitable distribution of resources based on both needs and priorities, and leverages its resources by efficiencies and partnerships</w:t>
      </w:r>
      <w:r w:rsidR="00050C2F" w:rsidRPr="0083754A">
        <w:t xml:space="preserve">. </w:t>
      </w:r>
    </w:p>
    <w:p w:rsidR="0047041E" w:rsidRDefault="006A1D30" w:rsidP="0047041E">
      <w:pPr>
        <w:tabs>
          <w:tab w:val="left" w:pos="360"/>
          <w:tab w:val="left" w:pos="720"/>
          <w:tab w:val="left" w:pos="1080"/>
          <w:tab w:val="left" w:pos="1440"/>
          <w:tab w:val="left" w:pos="1800"/>
          <w:tab w:val="left" w:pos="2160"/>
        </w:tabs>
        <w:ind w:left="1080" w:hanging="719"/>
      </w:pPr>
      <w:r>
        <w:lastRenderedPageBreak/>
        <w:tab/>
      </w:r>
      <w:r w:rsidR="00D90587">
        <w:t>1.</w:t>
      </w:r>
      <w:r w:rsidR="00D90587">
        <w:tab/>
      </w:r>
      <w:r w:rsidR="00050C2F">
        <w:t xml:space="preserve">Administrators have set clear and comprehensive guidelines for school and administrative staffing and support services such as a 1.5 </w:t>
      </w:r>
      <w:r w:rsidR="00DC57D3">
        <w:t xml:space="preserve">percent </w:t>
      </w:r>
      <w:r w:rsidR="00050C2F">
        <w:t>limit on administrative costs, class size, assistant principals, and coaches</w:t>
      </w:r>
      <w:r w:rsidR="00DC57D3">
        <w:t xml:space="preserve">. </w:t>
      </w:r>
    </w:p>
    <w:p w:rsidR="0047041E" w:rsidRDefault="006A1D30" w:rsidP="0047041E">
      <w:pPr>
        <w:tabs>
          <w:tab w:val="left" w:pos="360"/>
          <w:tab w:val="left" w:pos="720"/>
          <w:tab w:val="left" w:pos="1080"/>
          <w:tab w:val="left" w:pos="1440"/>
          <w:tab w:val="left" w:pos="1800"/>
          <w:tab w:val="left" w:pos="2160"/>
        </w:tabs>
        <w:ind w:left="1080" w:hanging="719"/>
      </w:pPr>
      <w:r>
        <w:tab/>
      </w:r>
      <w:r w:rsidR="00D90587">
        <w:t>2.</w:t>
      </w:r>
      <w:r w:rsidR="00D90587">
        <w:tab/>
      </w:r>
      <w:r w:rsidR="00DC57D3">
        <w:t>Interviews with administrators</w:t>
      </w:r>
      <w:r w:rsidR="00050C2F">
        <w:t xml:space="preserve"> and </w:t>
      </w:r>
      <w:r w:rsidR="00DC57D3">
        <w:t xml:space="preserve">a review of </w:t>
      </w:r>
      <w:r w:rsidR="00050C2F">
        <w:t xml:space="preserve">budget documents </w:t>
      </w:r>
      <w:r w:rsidR="00DC57D3">
        <w:t xml:space="preserve">indicated an emphasis on </w:t>
      </w:r>
      <w:r w:rsidR="00050C2F">
        <w:t xml:space="preserve">efficiencies such as </w:t>
      </w:r>
      <w:r w:rsidR="00DC57D3">
        <w:t>energy-</w:t>
      </w:r>
      <w:r w:rsidR="00050C2F">
        <w:t>saving programs and bringing special education services in-house</w:t>
      </w:r>
      <w:r w:rsidR="00DC57D3">
        <w:t xml:space="preserve">. </w:t>
      </w:r>
    </w:p>
    <w:p w:rsidR="00050C2F" w:rsidRPr="006C6ECD" w:rsidRDefault="00DC57D3" w:rsidP="00DC57D3">
      <w:pPr>
        <w:tabs>
          <w:tab w:val="left" w:pos="360"/>
          <w:tab w:val="left" w:pos="720"/>
          <w:tab w:val="left" w:pos="1080"/>
          <w:tab w:val="left" w:pos="1440"/>
          <w:tab w:val="left" w:pos="1800"/>
          <w:tab w:val="left" w:pos="2160"/>
        </w:tabs>
        <w:ind w:left="1440" w:hanging="720"/>
      </w:pPr>
      <w:r>
        <w:tab/>
        <w:t>a.</w:t>
      </w:r>
      <w:r>
        <w:tab/>
        <w:t xml:space="preserve">Administrators told the team that </w:t>
      </w:r>
      <w:r w:rsidR="00050C2F">
        <w:t>they are exploring savings in transportation by bringing it in house</w:t>
      </w:r>
      <w:r>
        <w:t>.</w:t>
      </w:r>
      <w:r w:rsidR="00050C2F" w:rsidRPr="00CA1EA9">
        <w:tab/>
        <w:t xml:space="preserve"> </w:t>
      </w:r>
    </w:p>
    <w:p w:rsidR="0047041E" w:rsidRDefault="006A1D30" w:rsidP="0047041E">
      <w:pPr>
        <w:tabs>
          <w:tab w:val="left" w:pos="360"/>
          <w:tab w:val="left" w:pos="720"/>
          <w:tab w:val="left" w:pos="1080"/>
          <w:tab w:val="left" w:pos="1440"/>
          <w:tab w:val="left" w:pos="1800"/>
          <w:tab w:val="left" w:pos="2160"/>
        </w:tabs>
        <w:ind w:left="1080" w:hanging="719"/>
      </w:pPr>
      <w:r>
        <w:tab/>
      </w:r>
      <w:r w:rsidR="00D90587">
        <w:t>3.</w:t>
      </w:r>
      <w:r w:rsidR="00D90587">
        <w:tab/>
      </w:r>
      <w:r w:rsidR="00DC57D3">
        <w:t xml:space="preserve">Interviews </w:t>
      </w:r>
      <w:r w:rsidR="00050C2F">
        <w:t xml:space="preserve">and </w:t>
      </w:r>
      <w:r w:rsidR="00DC57D3">
        <w:t xml:space="preserve">a </w:t>
      </w:r>
      <w:r w:rsidR="00050C2F">
        <w:t xml:space="preserve">document </w:t>
      </w:r>
      <w:r w:rsidR="00DC57D3">
        <w:t xml:space="preserve">review indicated </w:t>
      </w:r>
      <w:r w:rsidR="00050C2F">
        <w:t>district partnerships with local businesses and agencies, such as public libraries, HEARS</w:t>
      </w:r>
      <w:r w:rsidR="00DC57D3">
        <w:t>,</w:t>
      </w:r>
      <w:r w:rsidR="00DC57D3">
        <w:rPr>
          <w:rStyle w:val="FootnoteReference"/>
        </w:rPr>
        <w:footnoteReference w:id="22"/>
      </w:r>
      <w:r w:rsidR="00050C2F">
        <w:t xml:space="preserve"> Recreation Worcester, and the Latino Education Institute of Worcester State University</w:t>
      </w:r>
      <w:r w:rsidR="00DC57D3">
        <w:t>.</w:t>
      </w:r>
      <w:r w:rsidR="00050C2F">
        <w:t xml:space="preserve">  Each school has a supporting business partner</w:t>
      </w:r>
      <w:r w:rsidR="00DC57D3">
        <w:t>.</w:t>
      </w:r>
    </w:p>
    <w:p w:rsidR="00050C2F" w:rsidRDefault="00050C2F" w:rsidP="00386849">
      <w:pPr>
        <w:pStyle w:val="ListParagraph"/>
        <w:numPr>
          <w:ilvl w:val="1"/>
          <w:numId w:val="10"/>
        </w:numPr>
        <w:tabs>
          <w:tab w:val="left" w:pos="360"/>
          <w:tab w:val="left" w:pos="720"/>
          <w:tab w:val="left" w:pos="1080"/>
          <w:tab w:val="left" w:pos="1440"/>
          <w:tab w:val="left" w:pos="1800"/>
          <w:tab w:val="left" w:pos="2160"/>
        </w:tabs>
        <w:ind w:left="720"/>
        <w:contextualSpacing w:val="0"/>
      </w:pPr>
      <w:r>
        <w:t xml:space="preserve">The budget </w:t>
      </w:r>
      <w:r w:rsidR="00DC57D3">
        <w:t xml:space="preserve">development </w:t>
      </w:r>
      <w:r>
        <w:t>process takes into account priorities for schools and programs with high needs and allocates all funding resources to help fund them.</w:t>
      </w:r>
    </w:p>
    <w:p w:rsidR="00050C2F" w:rsidRDefault="00050C2F" w:rsidP="00386849">
      <w:pPr>
        <w:pStyle w:val="ListParagraph"/>
        <w:numPr>
          <w:ilvl w:val="2"/>
          <w:numId w:val="10"/>
        </w:numPr>
        <w:tabs>
          <w:tab w:val="left" w:pos="360"/>
          <w:tab w:val="left" w:pos="720"/>
          <w:tab w:val="left" w:pos="1080"/>
          <w:tab w:val="left" w:pos="1440"/>
          <w:tab w:val="left" w:pos="1800"/>
          <w:tab w:val="left" w:pos="2160"/>
        </w:tabs>
        <w:ind w:left="1080"/>
        <w:contextualSpacing w:val="0"/>
      </w:pPr>
      <w:r>
        <w:t xml:space="preserve">Central office administrators reported that in budget meetings with principals and other administrators they review student and school needs, accountability plan goals and priorities, and compliance issues, </w:t>
      </w:r>
      <w:r w:rsidR="00B80875">
        <w:t xml:space="preserve">noting that </w:t>
      </w:r>
      <w:r>
        <w:t xml:space="preserve">they emphasize allocations of staff and other resources to meet </w:t>
      </w:r>
      <w:r w:rsidR="00B80875">
        <w:t>high-</w:t>
      </w:r>
      <w:r>
        <w:t>priority needs</w:t>
      </w:r>
      <w:r w:rsidR="00B80875">
        <w:t>.</w:t>
      </w:r>
    </w:p>
    <w:p w:rsidR="00050C2F" w:rsidRDefault="00050C2F" w:rsidP="00386849">
      <w:pPr>
        <w:pStyle w:val="ListParagraph"/>
        <w:numPr>
          <w:ilvl w:val="2"/>
          <w:numId w:val="10"/>
        </w:numPr>
        <w:tabs>
          <w:tab w:val="left" w:pos="360"/>
          <w:tab w:val="left" w:pos="720"/>
          <w:tab w:val="left" w:pos="1080"/>
          <w:tab w:val="left" w:pos="1440"/>
          <w:tab w:val="left" w:pos="1800"/>
          <w:tab w:val="left" w:pos="2160"/>
        </w:tabs>
        <w:ind w:left="1080"/>
        <w:contextualSpacing w:val="0"/>
      </w:pPr>
      <w:r>
        <w:t xml:space="preserve">In creating and reporting on the proposed budget </w:t>
      </w:r>
      <w:r w:rsidR="000B2352">
        <w:t xml:space="preserve">central office administrators </w:t>
      </w:r>
      <w:r>
        <w:t xml:space="preserve">review all funding sources, including grants, and allocate </w:t>
      </w:r>
      <w:r w:rsidR="000B2352">
        <w:t xml:space="preserve">resources </w:t>
      </w:r>
      <w:r>
        <w:t xml:space="preserve">as needed to meet district priorities and needs such as </w:t>
      </w:r>
      <w:r w:rsidR="000B2352">
        <w:t>after-</w:t>
      </w:r>
      <w:r>
        <w:t xml:space="preserve">school programs, kindergarten assistants, and </w:t>
      </w:r>
      <w:r w:rsidR="000B2352">
        <w:t>adjustment counselors</w:t>
      </w:r>
      <w:r w:rsidR="000B2352" w:rsidDel="000B2352">
        <w:t xml:space="preserve"> </w:t>
      </w:r>
      <w:r w:rsidR="000B2352">
        <w:t xml:space="preserve">for </w:t>
      </w:r>
      <w:r>
        <w:t>the lowest performing schools</w:t>
      </w:r>
      <w:r w:rsidR="000B2352">
        <w:t>.</w:t>
      </w:r>
    </w:p>
    <w:p w:rsidR="0047041E" w:rsidRDefault="00B87A5E" w:rsidP="0047041E">
      <w:pPr>
        <w:tabs>
          <w:tab w:val="left" w:pos="360"/>
          <w:tab w:val="left" w:pos="720"/>
          <w:tab w:val="left" w:pos="1080"/>
          <w:tab w:val="left" w:pos="1440"/>
          <w:tab w:val="left" w:pos="1800"/>
          <w:tab w:val="left" w:pos="2160"/>
        </w:tabs>
        <w:ind w:left="720" w:hanging="720"/>
      </w:pPr>
      <w:r>
        <w:rPr>
          <w:b/>
        </w:rPr>
        <w:tab/>
      </w:r>
      <w:r w:rsidR="00357AF2" w:rsidRPr="00357AF2">
        <w:rPr>
          <w:b/>
        </w:rPr>
        <w:t>E.</w:t>
      </w:r>
      <w:r w:rsidR="00357AF2">
        <w:rPr>
          <w:b/>
        </w:rPr>
        <w:tab/>
      </w:r>
      <w:r w:rsidR="001211CA">
        <w:t xml:space="preserve">In the </w:t>
      </w:r>
      <w:r w:rsidR="00357AF2">
        <w:t xml:space="preserve">district’s </w:t>
      </w:r>
      <w:r w:rsidR="001211CA">
        <w:t>most recent budget</w:t>
      </w:r>
      <w:r w:rsidR="00357AF2">
        <w:t>,</w:t>
      </w:r>
      <w:r w:rsidR="001211CA">
        <w:t xml:space="preserve"> </w:t>
      </w:r>
      <w:r w:rsidR="00050C2F">
        <w:t xml:space="preserve">examples of high priorities based on needs </w:t>
      </w:r>
      <w:r w:rsidR="001211CA">
        <w:t xml:space="preserve">include </w:t>
      </w:r>
      <w:r w:rsidR="00050C2F">
        <w:t xml:space="preserve">the turnaround plan for the district’s </w:t>
      </w:r>
      <w:r w:rsidR="000B2352">
        <w:t xml:space="preserve">Level </w:t>
      </w:r>
      <w:r w:rsidR="00050C2F">
        <w:t xml:space="preserve">4 school and Research for Better Teaching (RBT) training to improve teaching in the six </w:t>
      </w:r>
      <w:r w:rsidR="000B2352">
        <w:t xml:space="preserve">lowest </w:t>
      </w:r>
      <w:r w:rsidR="00050C2F">
        <w:t>performing schools</w:t>
      </w:r>
      <w:r w:rsidR="000B2352">
        <w:t>.</w:t>
      </w:r>
      <w:r w:rsidR="00050C2F" w:rsidRPr="00CA1EA9">
        <w:tab/>
      </w:r>
      <w:r w:rsidR="00050C2F" w:rsidRPr="00CA1EA9">
        <w:tab/>
        <w:t xml:space="preserve"> </w:t>
      </w:r>
    </w:p>
    <w:p w:rsidR="0047041E" w:rsidRDefault="00B87A5E" w:rsidP="0047041E">
      <w:pPr>
        <w:tabs>
          <w:tab w:val="left" w:pos="360"/>
          <w:tab w:val="left" w:pos="720"/>
          <w:tab w:val="left" w:pos="1080"/>
          <w:tab w:val="left" w:pos="1440"/>
          <w:tab w:val="left" w:pos="1800"/>
          <w:tab w:val="left" w:pos="2160"/>
        </w:tabs>
        <w:ind w:left="1080" w:hanging="720"/>
      </w:pPr>
      <w:r>
        <w:tab/>
      </w:r>
      <w:r w:rsidR="00357AF2">
        <w:t>a.</w:t>
      </w:r>
      <w:r w:rsidR="00357AF2">
        <w:tab/>
        <w:t>Also, c</w:t>
      </w:r>
      <w:r w:rsidR="000B2352">
        <w:t xml:space="preserve">entral office administrators </w:t>
      </w:r>
      <w:r w:rsidR="00050C2F">
        <w:t>reallocated resources by restructuring the central office administration to meet needs for elementary and secondary managers and for curriculum and social</w:t>
      </w:r>
      <w:r w:rsidR="00727256">
        <w:t>-</w:t>
      </w:r>
      <w:r w:rsidR="00050C2F">
        <w:t>emotional learning managers</w:t>
      </w:r>
      <w:r w:rsidR="000B2352">
        <w:t>.</w:t>
      </w:r>
    </w:p>
    <w:p w:rsidR="0047041E" w:rsidRDefault="00B87A5E" w:rsidP="0047041E">
      <w:pPr>
        <w:tabs>
          <w:tab w:val="left" w:pos="360"/>
          <w:tab w:val="left" w:pos="720"/>
          <w:tab w:val="left" w:pos="1080"/>
          <w:tab w:val="left" w:pos="1440"/>
          <w:tab w:val="left" w:pos="1800"/>
          <w:tab w:val="left" w:pos="2160"/>
        </w:tabs>
        <w:ind w:left="1080" w:hanging="720"/>
      </w:pPr>
      <w:r>
        <w:tab/>
      </w:r>
      <w:r w:rsidR="00357AF2">
        <w:t>b.</w:t>
      </w:r>
      <w:r w:rsidR="00357AF2">
        <w:tab/>
      </w:r>
      <w:r w:rsidR="00050C2F">
        <w:t>In order to present a balanced budget many of the requests put forth by principals and administrators had to be deferred</w:t>
      </w:r>
      <w:r w:rsidR="00D90587">
        <w:t>.</w:t>
      </w:r>
    </w:p>
    <w:p w:rsidR="0047041E" w:rsidRDefault="00B87A5E" w:rsidP="0047041E">
      <w:pPr>
        <w:tabs>
          <w:tab w:val="left" w:pos="360"/>
          <w:tab w:val="left" w:pos="720"/>
          <w:tab w:val="left" w:pos="1080"/>
          <w:tab w:val="left" w:pos="1440"/>
          <w:tab w:val="left" w:pos="1800"/>
          <w:tab w:val="left" w:pos="2160"/>
        </w:tabs>
        <w:ind w:left="720" w:hanging="720"/>
      </w:pPr>
      <w:r>
        <w:rPr>
          <w:b/>
        </w:rPr>
        <w:tab/>
      </w:r>
      <w:r w:rsidR="0047041E" w:rsidRPr="0047041E">
        <w:rPr>
          <w:b/>
        </w:rPr>
        <w:t>F.</w:t>
      </w:r>
      <w:r w:rsidR="00357AF2">
        <w:rPr>
          <w:b/>
        </w:rPr>
        <w:tab/>
      </w:r>
      <w:r w:rsidR="00050C2F">
        <w:t>District officials communicate frequently and effectively with city officials to advocate for funding to meet district and school needs.</w:t>
      </w:r>
    </w:p>
    <w:p w:rsidR="00050C2F" w:rsidRDefault="00B67CBD" w:rsidP="00B67CBD">
      <w:pPr>
        <w:tabs>
          <w:tab w:val="left" w:pos="720"/>
          <w:tab w:val="left" w:pos="1080"/>
          <w:tab w:val="left" w:pos="1440"/>
          <w:tab w:val="left" w:pos="1800"/>
          <w:tab w:val="left" w:pos="2160"/>
        </w:tabs>
        <w:ind w:left="1080" w:hanging="360"/>
      </w:pPr>
      <w:r>
        <w:lastRenderedPageBreak/>
        <w:t xml:space="preserve">1.   </w:t>
      </w:r>
      <w:r w:rsidR="007A16E1">
        <w:tab/>
      </w:r>
      <w:r w:rsidR="00050C2F">
        <w:t xml:space="preserve">Interviewees reported that the school committee’s standing committee on finance and the city council’s subcommittee on education meet jointly with administrators to </w:t>
      </w:r>
      <w:r w:rsidR="007A16E1">
        <w:t>clarify</w:t>
      </w:r>
      <w:r w:rsidR="00050C2F">
        <w:t xml:space="preserve"> information, to review district needs, and to discuss anticipated state aid and the net school spending requirement</w:t>
      </w:r>
      <w:r w:rsidR="007A16E1">
        <w:t>.</w:t>
      </w:r>
      <w:r w:rsidR="00050C2F" w:rsidRPr="00DF3A87">
        <w:t xml:space="preserve"> </w:t>
      </w:r>
    </w:p>
    <w:p w:rsidR="0047041E" w:rsidRDefault="006A1D30" w:rsidP="0047041E">
      <w:pPr>
        <w:tabs>
          <w:tab w:val="left" w:pos="720"/>
          <w:tab w:val="left" w:pos="1080"/>
          <w:tab w:val="left" w:pos="1440"/>
          <w:tab w:val="left" w:pos="1800"/>
          <w:tab w:val="left" w:pos="2160"/>
        </w:tabs>
        <w:ind w:left="1080" w:hanging="1077"/>
      </w:pPr>
      <w:r>
        <w:tab/>
      </w:r>
      <w:r w:rsidR="00D90587">
        <w:t>2.</w:t>
      </w:r>
      <w:r w:rsidR="00D90587">
        <w:tab/>
      </w:r>
      <w:r w:rsidR="00050C2F">
        <w:t xml:space="preserve">City administrators described a trusting, cooperative, and collaborative relationship between school administrators and the mayor, </w:t>
      </w:r>
      <w:r w:rsidR="007A16E1">
        <w:t xml:space="preserve">the </w:t>
      </w:r>
      <w:r w:rsidR="00050C2F">
        <w:t xml:space="preserve">city manager, and </w:t>
      </w:r>
      <w:r w:rsidR="007A16E1">
        <w:t xml:space="preserve">the </w:t>
      </w:r>
      <w:r w:rsidR="00050C2F">
        <w:t xml:space="preserve">city auditor </w:t>
      </w:r>
      <w:r w:rsidR="004B45BE">
        <w:t xml:space="preserve">related to </w:t>
      </w:r>
      <w:r w:rsidR="00050C2F">
        <w:t xml:space="preserve">funding for the schools and on city </w:t>
      </w:r>
      <w:r w:rsidR="003D323C">
        <w:t>“</w:t>
      </w:r>
      <w:r w:rsidR="00050C2F">
        <w:t>chargebacks</w:t>
      </w:r>
      <w:r w:rsidR="003D323C">
        <w:t>”</w:t>
      </w:r>
      <w:r w:rsidR="00050C2F">
        <w:t xml:space="preserve"> for education.</w:t>
      </w:r>
    </w:p>
    <w:p w:rsidR="00050C2F" w:rsidRPr="00002B1C" w:rsidRDefault="00050C2F" w:rsidP="00697966">
      <w:pPr>
        <w:pStyle w:val="ListParagraph"/>
        <w:numPr>
          <w:ilvl w:val="2"/>
          <w:numId w:val="12"/>
        </w:numPr>
        <w:tabs>
          <w:tab w:val="left" w:pos="360"/>
          <w:tab w:val="left" w:pos="720"/>
          <w:tab w:val="left" w:pos="1080"/>
          <w:tab w:val="left" w:pos="1440"/>
          <w:tab w:val="left" w:pos="1800"/>
          <w:tab w:val="left" w:pos="2160"/>
        </w:tabs>
        <w:ind w:left="1080"/>
        <w:contextualSpacing w:val="0"/>
      </w:pPr>
      <w:r>
        <w:t xml:space="preserve">The superintendent and </w:t>
      </w:r>
      <w:r w:rsidR="007A16E1">
        <w:t xml:space="preserve">the chief </w:t>
      </w:r>
      <w:r>
        <w:t xml:space="preserve">financial </w:t>
      </w:r>
      <w:r w:rsidR="007A16E1">
        <w:t xml:space="preserve">and operations </w:t>
      </w:r>
      <w:r>
        <w:t>officer meet regularly with the mayor (who chairs the school committee), the city manager, and the city</w:t>
      </w:r>
      <w:r w:rsidR="007A16E1">
        <w:t>’s</w:t>
      </w:r>
      <w:r>
        <w:t xml:space="preserve"> chief financial officer.  They discuss state aid and required spending for education and city appropriations for the district budget and capital projects.  The </w:t>
      </w:r>
      <w:r w:rsidR="00434C38">
        <w:t xml:space="preserve">district and the city </w:t>
      </w:r>
      <w:r>
        <w:t xml:space="preserve">have an agreement for city </w:t>
      </w:r>
      <w:r w:rsidR="00BA725E">
        <w:t>“</w:t>
      </w:r>
      <w:r>
        <w:t>chargebacks</w:t>
      </w:r>
      <w:r w:rsidR="00BA725E">
        <w:t>”</w:t>
      </w:r>
      <w:r>
        <w:t xml:space="preserve"> for education and review it regularly</w:t>
      </w:r>
      <w:r w:rsidR="007A16E1">
        <w:t>.</w:t>
      </w:r>
      <w:r w:rsidRPr="00292A47">
        <w:tab/>
      </w:r>
      <w:r w:rsidRPr="00292A47">
        <w:tab/>
      </w:r>
      <w:r w:rsidRPr="00292A47">
        <w:tab/>
        <w:t xml:space="preserve"> </w:t>
      </w:r>
    </w:p>
    <w:p w:rsidR="00050C2F" w:rsidRDefault="003279F5" w:rsidP="00B67CBD">
      <w:pPr>
        <w:tabs>
          <w:tab w:val="left" w:pos="360"/>
          <w:tab w:val="left" w:pos="720"/>
          <w:tab w:val="left" w:pos="1080"/>
          <w:tab w:val="left" w:pos="1440"/>
          <w:tab w:val="left" w:pos="1800"/>
          <w:tab w:val="left" w:pos="2160"/>
        </w:tabs>
        <w:ind w:left="720" w:hanging="360"/>
      </w:pPr>
      <w:r>
        <w:rPr>
          <w:b/>
        </w:rPr>
        <w:t>G</w:t>
      </w:r>
      <w:r w:rsidR="00B67CBD" w:rsidRPr="00B67CBD">
        <w:rPr>
          <w:b/>
        </w:rPr>
        <w:t>.</w:t>
      </w:r>
      <w:r w:rsidR="00B67CBD">
        <w:t xml:space="preserve">   </w:t>
      </w:r>
      <w:r w:rsidR="007A16E1">
        <w:tab/>
      </w:r>
      <w:r w:rsidR="00050C2F">
        <w:t>After not meeting the state net school spending requirement for six years</w:t>
      </w:r>
      <w:r w:rsidR="007A16E1">
        <w:t>,</w:t>
      </w:r>
      <w:r w:rsidR="00050C2F">
        <w:t xml:space="preserve"> city appropriations for education in </w:t>
      </w:r>
      <w:r w:rsidR="007A16E1">
        <w:t xml:space="preserve">fiscal year 2017 </w:t>
      </w:r>
      <w:r w:rsidR="00050C2F">
        <w:t>are expected to exceed the requirement</w:t>
      </w:r>
      <w:r w:rsidR="00B67CBD">
        <w:t>.</w:t>
      </w:r>
    </w:p>
    <w:p w:rsidR="00050C2F" w:rsidRDefault="00050C2F" w:rsidP="00386849">
      <w:pPr>
        <w:pStyle w:val="ListParagraph"/>
        <w:numPr>
          <w:ilvl w:val="0"/>
          <w:numId w:val="25"/>
        </w:numPr>
        <w:tabs>
          <w:tab w:val="left" w:pos="360"/>
          <w:tab w:val="left" w:pos="720"/>
          <w:tab w:val="left" w:pos="1080"/>
          <w:tab w:val="left" w:pos="1440"/>
          <w:tab w:val="left" w:pos="1800"/>
          <w:tab w:val="left" w:pos="2160"/>
        </w:tabs>
        <w:ind w:left="1080"/>
        <w:contextualSpacing w:val="0"/>
      </w:pPr>
      <w:r>
        <w:t xml:space="preserve">Administrators reported and </w:t>
      </w:r>
      <w:r w:rsidR="007A16E1">
        <w:t xml:space="preserve">a review of </w:t>
      </w:r>
      <w:r>
        <w:t>the budget document confirmed that the city manager recommended and the city appropriated an additional $1.5</w:t>
      </w:r>
      <w:r w:rsidR="007A16E1">
        <w:t>–</w:t>
      </w:r>
      <w:r>
        <w:t xml:space="preserve">1.8 million for the schools and reduced city charges to grants.  The </w:t>
      </w:r>
      <w:r w:rsidR="007A16E1">
        <w:t xml:space="preserve">city </w:t>
      </w:r>
      <w:r>
        <w:t xml:space="preserve">approved additional funding for a health clinic and </w:t>
      </w:r>
      <w:r w:rsidR="00357AF2">
        <w:t xml:space="preserve">approved additional money for kindergarten </w:t>
      </w:r>
      <w:r>
        <w:t>to make up for a lost state grant</w:t>
      </w:r>
      <w:r w:rsidR="007A16E1">
        <w:t>.</w:t>
      </w:r>
      <w:r w:rsidRPr="00292A47">
        <w:t xml:space="preserve"> </w:t>
      </w:r>
    </w:p>
    <w:p w:rsidR="0047041E" w:rsidRDefault="003279F5" w:rsidP="003279F5">
      <w:pPr>
        <w:tabs>
          <w:tab w:val="left" w:pos="360"/>
          <w:tab w:val="left" w:pos="720"/>
          <w:tab w:val="left" w:pos="1080"/>
          <w:tab w:val="left" w:pos="1440"/>
          <w:tab w:val="left" w:pos="1800"/>
          <w:tab w:val="left" w:pos="2160"/>
        </w:tabs>
        <w:ind w:left="720" w:hanging="720"/>
      </w:pPr>
      <w:r>
        <w:rPr>
          <w:b/>
        </w:rPr>
        <w:tab/>
        <w:t>H</w:t>
      </w:r>
      <w:r w:rsidR="0047041E" w:rsidRPr="0047041E">
        <w:rPr>
          <w:b/>
        </w:rPr>
        <w:t>.</w:t>
      </w:r>
      <w:r w:rsidR="00357AF2">
        <w:rPr>
          <w:b/>
        </w:rPr>
        <w:tab/>
      </w:r>
      <w:r w:rsidR="00050C2F" w:rsidRPr="002A261A">
        <w:t>In</w:t>
      </w:r>
      <w:r w:rsidR="00050C2F">
        <w:t xml:space="preserve"> addition to funding for school and district operations the city has supported capital improvements for the schools by approximately $3 million annually for building projects and $500 million for equipment such as buses and technology</w:t>
      </w:r>
      <w:r w:rsidR="00D90587">
        <w:t>.</w:t>
      </w:r>
    </w:p>
    <w:p w:rsidR="00050C2F" w:rsidRPr="004E594D" w:rsidRDefault="00050C2F" w:rsidP="00050C2F">
      <w:pPr>
        <w:tabs>
          <w:tab w:val="left" w:pos="360"/>
          <w:tab w:val="left" w:pos="1080"/>
          <w:tab w:val="left" w:pos="1440"/>
          <w:tab w:val="left" w:pos="1800"/>
          <w:tab w:val="left" w:pos="2160"/>
        </w:tabs>
      </w:pPr>
      <w:r w:rsidRPr="004E594D">
        <w:rPr>
          <w:b/>
        </w:rPr>
        <w:t>Impact</w:t>
      </w:r>
      <w:r>
        <w:t xml:space="preserve">: The district’s inclusive, transparent, and strategic budget </w:t>
      </w:r>
      <w:r w:rsidR="007A16E1">
        <w:t xml:space="preserve">development </w:t>
      </w:r>
      <w:r>
        <w:t xml:space="preserve">process has contributed to </w:t>
      </w:r>
      <w:r w:rsidR="007A16E1">
        <w:t xml:space="preserve">collaborative </w:t>
      </w:r>
      <w:r>
        <w:t xml:space="preserve">relationships and an atmosphere of trust with city officials and to a clear understanding by </w:t>
      </w:r>
      <w:r w:rsidR="007A16E1">
        <w:t xml:space="preserve">the </w:t>
      </w:r>
      <w:r>
        <w:t>school committee and other decision makers of what is needed to improve education and learning</w:t>
      </w:r>
      <w:r w:rsidRPr="004E594D">
        <w:t>.</w:t>
      </w:r>
      <w:r>
        <w:t xml:space="preserve">  The </w:t>
      </w:r>
      <w:r w:rsidR="007A16E1">
        <w:t xml:space="preserve">district’s </w:t>
      </w:r>
      <w:r>
        <w:t xml:space="preserve">use </w:t>
      </w:r>
      <w:r w:rsidR="007A16E1">
        <w:t xml:space="preserve">of </w:t>
      </w:r>
      <w:r>
        <w:t>reallocations and efficiencies help</w:t>
      </w:r>
      <w:r w:rsidR="000211FA">
        <w:t>s</w:t>
      </w:r>
      <w:r>
        <w:t xml:space="preserve"> the district </w:t>
      </w:r>
      <w:r w:rsidR="007A16E1">
        <w:t xml:space="preserve">leverage </w:t>
      </w:r>
      <w:r>
        <w:t xml:space="preserve">its </w:t>
      </w:r>
      <w:r w:rsidR="007A16E1">
        <w:t>resources</w:t>
      </w:r>
      <w:r>
        <w:t xml:space="preserve"> effectively.</w:t>
      </w:r>
    </w:p>
    <w:p w:rsidR="00050C2F" w:rsidRPr="00B67CBD" w:rsidRDefault="00B67CBD" w:rsidP="00B67CBD">
      <w:pPr>
        <w:tabs>
          <w:tab w:val="left" w:pos="360"/>
          <w:tab w:val="left" w:pos="1080"/>
          <w:tab w:val="left" w:pos="1440"/>
          <w:tab w:val="left" w:pos="1800"/>
          <w:tab w:val="left" w:pos="2160"/>
        </w:tabs>
        <w:ind w:left="360" w:hanging="360"/>
        <w:rPr>
          <w:b/>
        </w:rPr>
      </w:pPr>
      <w:r>
        <w:rPr>
          <w:b/>
        </w:rPr>
        <w:t xml:space="preserve">2.  </w:t>
      </w:r>
      <w:r w:rsidR="007D7421">
        <w:rPr>
          <w:b/>
        </w:rPr>
        <w:tab/>
      </w:r>
      <w:r w:rsidR="00050C2F" w:rsidRPr="00B67CBD">
        <w:rPr>
          <w:b/>
        </w:rPr>
        <w:t>The district’s budget documentation</w:t>
      </w:r>
      <w:r w:rsidR="007D7421">
        <w:rPr>
          <w:b/>
        </w:rPr>
        <w:t>, which has won national awards, is comprehensive and</w:t>
      </w:r>
      <w:r w:rsidR="00050C2F" w:rsidRPr="00B67CBD">
        <w:rPr>
          <w:b/>
        </w:rPr>
        <w:t xml:space="preserve"> inc</w:t>
      </w:r>
      <w:r w:rsidR="007D7421">
        <w:rPr>
          <w:b/>
        </w:rPr>
        <w:t>ludes</w:t>
      </w:r>
      <w:r w:rsidR="00050C2F" w:rsidRPr="00B67CBD">
        <w:rPr>
          <w:b/>
        </w:rPr>
        <w:t xml:space="preserve"> summaries and detail for all funds</w:t>
      </w:r>
      <w:r w:rsidR="007D7421">
        <w:rPr>
          <w:b/>
        </w:rPr>
        <w:t xml:space="preserve"> as well as</w:t>
      </w:r>
      <w:r w:rsidR="00050C2F" w:rsidRPr="00B67CBD">
        <w:rPr>
          <w:b/>
        </w:rPr>
        <w:t xml:space="preserve"> narratives describing the net school spending requirement and school and district priorities</w:t>
      </w:r>
      <w:r w:rsidR="007D7421">
        <w:rPr>
          <w:b/>
        </w:rPr>
        <w:t xml:space="preserve">. </w:t>
      </w:r>
      <w:r w:rsidR="00050C2F" w:rsidRPr="00B67CBD">
        <w:rPr>
          <w:b/>
        </w:rPr>
        <w:t>Quarterly budget status reports to the school committee include expenditures, projected balances, and narratives for all funds with recommendations for transfers.</w:t>
      </w:r>
    </w:p>
    <w:p w:rsidR="00050C2F" w:rsidRDefault="00B67CBD" w:rsidP="00B67CBD">
      <w:pPr>
        <w:tabs>
          <w:tab w:val="left" w:pos="360"/>
          <w:tab w:val="left" w:pos="720"/>
          <w:tab w:val="left" w:pos="1080"/>
          <w:tab w:val="left" w:pos="1440"/>
          <w:tab w:val="left" w:pos="1800"/>
          <w:tab w:val="left" w:pos="2160"/>
        </w:tabs>
        <w:ind w:left="720" w:hanging="360"/>
      </w:pPr>
      <w:r w:rsidRPr="00B67CBD">
        <w:rPr>
          <w:b/>
        </w:rPr>
        <w:t>A.</w:t>
      </w:r>
      <w:r>
        <w:t xml:space="preserve">   </w:t>
      </w:r>
      <w:r w:rsidR="00050C2F">
        <w:t>The district’s proposed budget document includes full detail and trends for all budget lines and all funds along with narratives explaining required and available funding and proposed initiatives</w:t>
      </w:r>
      <w:r w:rsidR="00050C2F" w:rsidRPr="00C175C3">
        <w:t xml:space="preserve">. </w:t>
      </w:r>
    </w:p>
    <w:p w:rsidR="00050C2F" w:rsidRDefault="00050C2F" w:rsidP="00386849">
      <w:pPr>
        <w:pStyle w:val="ListParagraph"/>
        <w:numPr>
          <w:ilvl w:val="6"/>
          <w:numId w:val="26"/>
        </w:numPr>
        <w:tabs>
          <w:tab w:val="left" w:pos="360"/>
          <w:tab w:val="left" w:pos="720"/>
          <w:tab w:val="left" w:pos="1080"/>
          <w:tab w:val="left" w:pos="1440"/>
          <w:tab w:val="left" w:pos="1800"/>
          <w:tab w:val="left" w:pos="2160"/>
        </w:tabs>
        <w:ind w:left="1080"/>
        <w:contextualSpacing w:val="0"/>
      </w:pPr>
      <w:r>
        <w:lastRenderedPageBreak/>
        <w:t>Detail for each budget line includes the current and recommended staffing as well as the current and proposed budget.  Budgets for grants and other funds are included for each line, and there is a section explaining grants and outside funds.</w:t>
      </w:r>
    </w:p>
    <w:p w:rsidR="00050C2F" w:rsidRDefault="00050C2F" w:rsidP="00386849">
      <w:pPr>
        <w:pStyle w:val="ListParagraph"/>
        <w:numPr>
          <w:ilvl w:val="6"/>
          <w:numId w:val="26"/>
        </w:numPr>
        <w:tabs>
          <w:tab w:val="left" w:pos="360"/>
          <w:tab w:val="left" w:pos="720"/>
          <w:tab w:val="left" w:pos="1080"/>
          <w:tab w:val="left" w:pos="1440"/>
          <w:tab w:val="left" w:pos="1800"/>
          <w:tab w:val="left" w:pos="2160"/>
        </w:tabs>
        <w:ind w:left="1080"/>
        <w:contextualSpacing w:val="0"/>
      </w:pPr>
      <w:r>
        <w:t>Narratives for each school and cost center include a description of the school/program such as demographics and achievement results along with school accountability plan goals.</w:t>
      </w:r>
      <w:r w:rsidRPr="00C175C3">
        <w:t xml:space="preserve"> </w:t>
      </w:r>
    </w:p>
    <w:p w:rsidR="00050C2F" w:rsidRDefault="00050C2F" w:rsidP="00386849">
      <w:pPr>
        <w:pStyle w:val="ListParagraph"/>
        <w:numPr>
          <w:ilvl w:val="6"/>
          <w:numId w:val="26"/>
        </w:numPr>
        <w:tabs>
          <w:tab w:val="left" w:pos="360"/>
          <w:tab w:val="left" w:pos="720"/>
          <w:tab w:val="left" w:pos="1080"/>
          <w:tab w:val="left" w:pos="1440"/>
          <w:tab w:val="left" w:pos="1800"/>
          <w:tab w:val="left" w:pos="2160"/>
        </w:tabs>
        <w:ind w:left="1080"/>
        <w:contextualSpacing w:val="0"/>
      </w:pPr>
      <w:r>
        <w:t xml:space="preserve">The opening narrative and summary pages highlight the funding </w:t>
      </w:r>
      <w:r w:rsidR="007A626A">
        <w:t xml:space="preserve">necessary </w:t>
      </w:r>
      <w:r>
        <w:t xml:space="preserve">to meet </w:t>
      </w:r>
      <w:r w:rsidR="00022A02">
        <w:t xml:space="preserve">required </w:t>
      </w:r>
      <w:r>
        <w:t>net school spending and how it is calculated, appropriations to be recommended by the city manager for schools, and the district</w:t>
      </w:r>
      <w:r w:rsidR="00022A02">
        <w:t>’s</w:t>
      </w:r>
      <w:r>
        <w:t xml:space="preserve"> </w:t>
      </w:r>
      <w:r w:rsidR="00022A02">
        <w:t>seven-</w:t>
      </w:r>
      <w:r>
        <w:t>point financial plan for budgeting and planning</w:t>
      </w:r>
      <w:r w:rsidR="00022A02">
        <w:t>.</w:t>
      </w:r>
    </w:p>
    <w:p w:rsidR="00050C2F" w:rsidRDefault="00050C2F" w:rsidP="00386849">
      <w:pPr>
        <w:pStyle w:val="ListParagraph"/>
        <w:numPr>
          <w:ilvl w:val="6"/>
          <w:numId w:val="26"/>
        </w:numPr>
        <w:tabs>
          <w:tab w:val="left" w:pos="360"/>
          <w:tab w:val="left" w:pos="720"/>
          <w:tab w:val="left" w:pos="1080"/>
          <w:tab w:val="left" w:pos="1440"/>
          <w:tab w:val="left" w:pos="1800"/>
          <w:tab w:val="left" w:pos="2160"/>
        </w:tabs>
        <w:ind w:left="1080"/>
        <w:contextualSpacing w:val="0"/>
      </w:pPr>
      <w:r>
        <w:t>The executive summary describes the increases and changes in revenues from city appropriations, grants, an</w:t>
      </w:r>
      <w:r w:rsidR="007D7421">
        <w:t>d outside funds such as the 1.4 percent</w:t>
      </w:r>
      <w:r>
        <w:t xml:space="preserve"> increase recommended by the city manager.  Estimated changes in grant funding, such as a new school redesign grant and loss of kindergarten grant funds, are also included.</w:t>
      </w:r>
    </w:p>
    <w:p w:rsidR="00050C2F" w:rsidRDefault="00050C2F" w:rsidP="00386849">
      <w:pPr>
        <w:pStyle w:val="ListParagraph"/>
        <w:numPr>
          <w:ilvl w:val="6"/>
          <w:numId w:val="26"/>
        </w:numPr>
        <w:tabs>
          <w:tab w:val="left" w:pos="360"/>
          <w:tab w:val="left" w:pos="720"/>
          <w:tab w:val="left" w:pos="1080"/>
          <w:tab w:val="left" w:pos="1440"/>
          <w:tab w:val="left" w:pos="1800"/>
          <w:tab w:val="left" w:pos="2160"/>
        </w:tabs>
        <w:ind w:left="1080"/>
        <w:contextualSpacing w:val="0"/>
      </w:pPr>
      <w:r>
        <w:t>Narratives also stress district goals and priorities and proposed program changes such as the restructuring of administrative positions, class size, and technology initiatives.</w:t>
      </w:r>
    </w:p>
    <w:p w:rsidR="00050C2F" w:rsidRPr="0003552A" w:rsidRDefault="00A118A3" w:rsidP="00386849">
      <w:pPr>
        <w:pStyle w:val="ListParagraph"/>
        <w:numPr>
          <w:ilvl w:val="0"/>
          <w:numId w:val="27"/>
        </w:numPr>
        <w:tabs>
          <w:tab w:val="left" w:pos="720"/>
          <w:tab w:val="left" w:pos="1080"/>
          <w:tab w:val="left" w:pos="1440"/>
          <w:tab w:val="left" w:pos="1800"/>
          <w:tab w:val="left" w:pos="2160"/>
        </w:tabs>
        <w:ind w:left="720"/>
        <w:contextualSpacing w:val="0"/>
      </w:pPr>
      <w:r>
        <w:t xml:space="preserve">A document review indicated that the </w:t>
      </w:r>
      <w:r w:rsidR="00050C2F">
        <w:t>district’s budget documentation has earned meritorious awards from the national Association of School Business Officials (ASBO) for 2014, 2015, and 2016</w:t>
      </w:r>
      <w:r w:rsidR="000D1181">
        <w:t>.</w:t>
      </w:r>
      <w:r w:rsidR="00050C2F" w:rsidRPr="00C5110A">
        <w:t xml:space="preserve"> </w:t>
      </w:r>
    </w:p>
    <w:p w:rsidR="00050C2F" w:rsidRDefault="00050C2F" w:rsidP="00386849">
      <w:pPr>
        <w:pStyle w:val="ListParagraph"/>
        <w:numPr>
          <w:ilvl w:val="0"/>
          <w:numId w:val="28"/>
        </w:numPr>
        <w:tabs>
          <w:tab w:val="left" w:pos="360"/>
          <w:tab w:val="left" w:pos="720"/>
          <w:tab w:val="left" w:pos="1440"/>
          <w:tab w:val="left" w:pos="1800"/>
          <w:tab w:val="left" w:pos="2160"/>
        </w:tabs>
        <w:ind w:left="720"/>
        <w:contextualSpacing w:val="0"/>
      </w:pPr>
      <w:r>
        <w:t xml:space="preserve">Administrators prepare summary </w:t>
      </w:r>
      <w:r w:rsidR="00B000B1">
        <w:t>PowerPoint</w:t>
      </w:r>
      <w:r>
        <w:t xml:space="preserve"> </w:t>
      </w:r>
      <w:r w:rsidR="000D1181">
        <w:t xml:space="preserve">presentations </w:t>
      </w:r>
      <w:r>
        <w:t>and handouts</w:t>
      </w:r>
      <w:r w:rsidRPr="00842FF1">
        <w:t xml:space="preserve"> </w:t>
      </w:r>
      <w:r>
        <w:t>for presentations to the school committee and the public</w:t>
      </w:r>
      <w:r w:rsidRPr="009C47DA">
        <w:t xml:space="preserve">. </w:t>
      </w:r>
    </w:p>
    <w:p w:rsidR="00050C2F" w:rsidRDefault="000D1181" w:rsidP="00386849">
      <w:pPr>
        <w:pStyle w:val="ListParagraph"/>
        <w:numPr>
          <w:ilvl w:val="6"/>
          <w:numId w:val="29"/>
        </w:numPr>
        <w:tabs>
          <w:tab w:val="left" w:pos="360"/>
          <w:tab w:val="left" w:pos="720"/>
          <w:tab w:val="left" w:pos="1080"/>
          <w:tab w:val="left" w:pos="1440"/>
          <w:tab w:val="left" w:pos="1800"/>
          <w:tab w:val="left" w:pos="2160"/>
        </w:tabs>
        <w:ind w:left="1080"/>
        <w:contextualSpacing w:val="0"/>
      </w:pPr>
      <w:r>
        <w:t xml:space="preserve">Interviews with administrators </w:t>
      </w:r>
      <w:r w:rsidR="00050C2F">
        <w:t xml:space="preserve">and </w:t>
      </w:r>
      <w:r>
        <w:t xml:space="preserve">a review of school committee meeting </w:t>
      </w:r>
      <w:r w:rsidR="00050C2F">
        <w:t>minutes indicate</w:t>
      </w:r>
      <w:r>
        <w:t>d</w:t>
      </w:r>
      <w:r w:rsidR="00050C2F">
        <w:t xml:space="preserve"> that</w:t>
      </w:r>
      <w:r w:rsidR="007D7421">
        <w:t xml:space="preserve"> administrators have </w:t>
      </w:r>
      <w:r>
        <w:t xml:space="preserve">made </w:t>
      </w:r>
      <w:r w:rsidR="00B000B1">
        <w:t>PowerPoint</w:t>
      </w:r>
      <w:r w:rsidR="00050C2F">
        <w:t xml:space="preserve"> </w:t>
      </w:r>
      <w:r>
        <w:t xml:space="preserve">presentations </w:t>
      </w:r>
      <w:r w:rsidR="00050C2F">
        <w:t xml:space="preserve">to the school committee and the public </w:t>
      </w:r>
      <w:r w:rsidR="003C441E">
        <w:t xml:space="preserve">early in the year </w:t>
      </w:r>
      <w:r w:rsidR="00050C2F">
        <w:t>on anticipated revenues for the schools, especially Chapter 70 and city contributions</w:t>
      </w:r>
      <w:r w:rsidR="003C441E">
        <w:t>,</w:t>
      </w:r>
      <w:r w:rsidR="00050C2F">
        <w:t xml:space="preserve"> and in the spring summaries of the proposed budget</w:t>
      </w:r>
      <w:r w:rsidR="00050C2F" w:rsidRPr="009C47DA">
        <w:t>.</w:t>
      </w:r>
    </w:p>
    <w:p w:rsidR="0047041E" w:rsidRDefault="007D7421" w:rsidP="0047041E">
      <w:pPr>
        <w:pStyle w:val="ListParagraph"/>
        <w:numPr>
          <w:ilvl w:val="7"/>
          <w:numId w:val="29"/>
        </w:numPr>
        <w:tabs>
          <w:tab w:val="left" w:pos="360"/>
          <w:tab w:val="left" w:pos="720"/>
          <w:tab w:val="left" w:pos="1080"/>
          <w:tab w:val="left" w:pos="1440"/>
          <w:tab w:val="left" w:pos="1800"/>
          <w:tab w:val="left" w:pos="2160"/>
        </w:tabs>
        <w:ind w:left="1440"/>
        <w:contextualSpacing w:val="0"/>
      </w:pPr>
      <w:r>
        <w:t xml:space="preserve">Administrators </w:t>
      </w:r>
      <w:r w:rsidR="00AD35E9">
        <w:t xml:space="preserve">make </w:t>
      </w:r>
      <w:r w:rsidR="00B000B1">
        <w:t>PowerPoint</w:t>
      </w:r>
      <w:r w:rsidR="00050C2F">
        <w:t xml:space="preserve"> budget presentations on particular programs such as instructional leadership, special education, ELL, and other support services.</w:t>
      </w:r>
    </w:p>
    <w:p w:rsidR="00050C2F" w:rsidRPr="00883F9B" w:rsidRDefault="00B67CBD" w:rsidP="00386849">
      <w:pPr>
        <w:pStyle w:val="ListParagraph"/>
        <w:numPr>
          <w:ilvl w:val="6"/>
          <w:numId w:val="29"/>
        </w:numPr>
        <w:tabs>
          <w:tab w:val="left" w:pos="360"/>
          <w:tab w:val="left" w:pos="720"/>
          <w:tab w:val="left" w:pos="1080"/>
          <w:tab w:val="left" w:pos="1440"/>
          <w:tab w:val="left" w:pos="1800"/>
          <w:tab w:val="left" w:pos="2160"/>
        </w:tabs>
        <w:ind w:left="1080"/>
        <w:contextualSpacing w:val="0"/>
      </w:pPr>
      <w:r>
        <w:t>A short two-</w:t>
      </w:r>
      <w:r w:rsidR="00050C2F">
        <w:t>page document is also available to stakeholders.</w:t>
      </w:r>
    </w:p>
    <w:p w:rsidR="0047041E" w:rsidRDefault="00A118A3" w:rsidP="0047041E">
      <w:pPr>
        <w:tabs>
          <w:tab w:val="left" w:pos="360"/>
          <w:tab w:val="left" w:pos="720"/>
          <w:tab w:val="left" w:pos="1080"/>
          <w:tab w:val="left" w:pos="1440"/>
          <w:tab w:val="left" w:pos="1800"/>
          <w:tab w:val="left" w:pos="2160"/>
        </w:tabs>
        <w:ind w:left="720" w:hanging="720"/>
      </w:pPr>
      <w:r>
        <w:rPr>
          <w:b/>
        </w:rPr>
        <w:tab/>
      </w:r>
      <w:r w:rsidR="0047041E" w:rsidRPr="0047041E">
        <w:rPr>
          <w:b/>
        </w:rPr>
        <w:t>D.</w:t>
      </w:r>
      <w:r w:rsidR="00AD35E9">
        <w:rPr>
          <w:b/>
        </w:rPr>
        <w:tab/>
      </w:r>
      <w:r w:rsidR="00050C2F">
        <w:t>Quarterly budget status reports to the school committee are transparent and comprehensive, and they include recommendations for transfers</w:t>
      </w:r>
      <w:r w:rsidR="00050C2F" w:rsidRPr="001E7B55">
        <w:t xml:space="preserve">. </w:t>
      </w:r>
    </w:p>
    <w:p w:rsidR="00050C2F" w:rsidRDefault="00050C2F" w:rsidP="00386849">
      <w:pPr>
        <w:pStyle w:val="ListParagraph"/>
        <w:numPr>
          <w:ilvl w:val="6"/>
          <w:numId w:val="30"/>
        </w:numPr>
        <w:tabs>
          <w:tab w:val="left" w:pos="360"/>
          <w:tab w:val="left" w:pos="720"/>
          <w:tab w:val="left" w:pos="1080"/>
          <w:tab w:val="left" w:pos="1440"/>
          <w:tab w:val="left" w:pos="1800"/>
          <w:tab w:val="left" w:pos="2160"/>
        </w:tabs>
        <w:ind w:left="1080"/>
        <w:contextualSpacing w:val="0"/>
      </w:pPr>
      <w:r>
        <w:t>Administrators repor</w:t>
      </w:r>
      <w:r w:rsidR="007D7421">
        <w:t>ted that quarterly reports are</w:t>
      </w:r>
      <w:r>
        <w:t xml:space="preserve"> major co</w:t>
      </w:r>
      <w:r w:rsidR="007D7421">
        <w:t>mponents of the district’s seven-</w:t>
      </w:r>
      <w:r>
        <w:t>point financia</w:t>
      </w:r>
      <w:r w:rsidR="00A05E0B">
        <w:t>l plan</w:t>
      </w:r>
      <w:r w:rsidR="00162C13">
        <w:t xml:space="preserve">; </w:t>
      </w:r>
      <w:r w:rsidR="00A05E0B">
        <w:t>the school committee’s standing committee on finance and o</w:t>
      </w:r>
      <w:r>
        <w:t>perations</w:t>
      </w:r>
      <w:r w:rsidR="007D7421">
        <w:t xml:space="preserve"> reviews them in detail.</w:t>
      </w:r>
    </w:p>
    <w:p w:rsidR="0047041E" w:rsidRDefault="00162C13" w:rsidP="0047041E">
      <w:pPr>
        <w:tabs>
          <w:tab w:val="left" w:pos="360"/>
          <w:tab w:val="left" w:pos="720"/>
          <w:tab w:val="left" w:pos="1080"/>
          <w:tab w:val="left" w:pos="1440"/>
          <w:tab w:val="left" w:pos="1800"/>
          <w:tab w:val="left" w:pos="2160"/>
        </w:tabs>
        <w:ind w:left="1440" w:hanging="360"/>
      </w:pPr>
      <w:r>
        <w:t>a.</w:t>
      </w:r>
      <w:r>
        <w:tab/>
      </w:r>
      <w:r w:rsidR="00050C2F">
        <w:t xml:space="preserve">The reports include the budget for each budget line, expenditures to date, and projected ending balances.   A brief narrative describes the reasons for projected </w:t>
      </w:r>
      <w:r w:rsidR="00050C2F">
        <w:lastRenderedPageBreak/>
        <w:t xml:space="preserve">surpluses and deficits such as savings in utilities and overruns in special education tuitions.  Recommendations </w:t>
      </w:r>
      <w:r>
        <w:t xml:space="preserve">are made </w:t>
      </w:r>
      <w:r w:rsidR="00050C2F">
        <w:t>for transfers to cover projected deficits.</w:t>
      </w:r>
    </w:p>
    <w:p w:rsidR="00050C2F" w:rsidRDefault="00050C2F" w:rsidP="00A05E0B">
      <w:pPr>
        <w:tabs>
          <w:tab w:val="left" w:pos="360"/>
          <w:tab w:val="left" w:pos="720"/>
          <w:tab w:val="left" w:pos="1080"/>
          <w:tab w:val="left" w:pos="1440"/>
          <w:tab w:val="left" w:pos="1800"/>
          <w:tab w:val="left" w:pos="2160"/>
        </w:tabs>
      </w:pPr>
      <w:r w:rsidRPr="00F731AA">
        <w:rPr>
          <w:b/>
        </w:rPr>
        <w:t>Impact</w:t>
      </w:r>
      <w:r>
        <w:t xml:space="preserve">: </w:t>
      </w:r>
      <w:r w:rsidR="00162C13">
        <w:t>T</w:t>
      </w:r>
      <w:r>
        <w:t xml:space="preserve">ransparent and comprehensive </w:t>
      </w:r>
      <w:r w:rsidR="00162C13">
        <w:t xml:space="preserve">budget </w:t>
      </w:r>
      <w:r>
        <w:t xml:space="preserve">documentation </w:t>
      </w:r>
      <w:r w:rsidR="00162C13">
        <w:t xml:space="preserve">has </w:t>
      </w:r>
      <w:r>
        <w:t xml:space="preserve">contributed to an atmosphere of trust, collaboration, and support by city officials and the community for the schools.  </w:t>
      </w:r>
      <w:r w:rsidR="00162C13">
        <w:t xml:space="preserve">It </w:t>
      </w:r>
      <w:r>
        <w:t>also enable</w:t>
      </w:r>
      <w:r w:rsidR="00162C13">
        <w:t>s</w:t>
      </w:r>
      <w:r>
        <w:t xml:space="preserve"> the school committee to monitor and manage district finances efficient</w:t>
      </w:r>
      <w:r w:rsidR="00162C13">
        <w:t>ly</w:t>
      </w:r>
      <w:r>
        <w:t xml:space="preserve"> and effective</w:t>
      </w:r>
      <w:r w:rsidR="00162C13">
        <w:t>ly</w:t>
      </w:r>
      <w:r w:rsidRPr="00BA3A76">
        <w:t>.</w:t>
      </w:r>
      <w:r>
        <w:tab/>
      </w:r>
    </w:p>
    <w:p w:rsidR="00914692" w:rsidRDefault="00914692" w:rsidP="00A05E0B">
      <w:pPr>
        <w:tabs>
          <w:tab w:val="left" w:pos="360"/>
          <w:tab w:val="left" w:pos="720"/>
          <w:tab w:val="left" w:pos="1080"/>
          <w:tab w:val="left" w:pos="1440"/>
          <w:tab w:val="left" w:pos="1800"/>
          <w:tab w:val="left" w:pos="2160"/>
        </w:tabs>
      </w:pPr>
    </w:p>
    <w:p w:rsidR="00050C2F" w:rsidRDefault="00050C2F" w:rsidP="00050C2F">
      <w:pPr>
        <w:tabs>
          <w:tab w:val="left" w:pos="360"/>
          <w:tab w:val="left" w:pos="720"/>
          <w:tab w:val="left" w:pos="1080"/>
          <w:tab w:val="left" w:pos="1440"/>
          <w:tab w:val="left" w:pos="1800"/>
          <w:tab w:val="left" w:pos="2160"/>
        </w:tabs>
        <w:rPr>
          <w:b/>
          <w:sz w:val="28"/>
          <w:szCs w:val="28"/>
        </w:rPr>
      </w:pPr>
      <w:r>
        <w:rPr>
          <w:b/>
          <w:sz w:val="28"/>
          <w:szCs w:val="28"/>
        </w:rPr>
        <w:t>C</w:t>
      </w:r>
      <w:r w:rsidRPr="00895204">
        <w:rPr>
          <w:b/>
          <w:sz w:val="28"/>
          <w:szCs w:val="28"/>
        </w:rPr>
        <w:t>hallenges and Areas for Growth</w:t>
      </w:r>
    </w:p>
    <w:p w:rsidR="00050C2F" w:rsidRPr="00B67CBD" w:rsidRDefault="00B67CBD" w:rsidP="00B67CBD">
      <w:pPr>
        <w:tabs>
          <w:tab w:val="left" w:pos="450"/>
        </w:tabs>
        <w:ind w:left="450" w:hanging="450"/>
        <w:rPr>
          <w:b/>
          <w:i/>
        </w:rPr>
      </w:pPr>
      <w:r>
        <w:rPr>
          <w:b/>
        </w:rPr>
        <w:t xml:space="preserve">3.  </w:t>
      </w:r>
      <w:r>
        <w:rPr>
          <w:b/>
        </w:rPr>
        <w:tab/>
      </w:r>
      <w:r w:rsidR="00050C2F" w:rsidRPr="00B67CBD">
        <w:rPr>
          <w:b/>
        </w:rPr>
        <w:t>Many</w:t>
      </w:r>
      <w:r w:rsidR="008B7FB1">
        <w:rPr>
          <w:b/>
        </w:rPr>
        <w:t xml:space="preserve"> of the district’s </w:t>
      </w:r>
      <w:r w:rsidR="00050C2F" w:rsidRPr="00B67CBD">
        <w:rPr>
          <w:b/>
        </w:rPr>
        <w:t>schools are old, outdated</w:t>
      </w:r>
      <w:r w:rsidR="00E0787C">
        <w:rPr>
          <w:b/>
        </w:rPr>
        <w:t>,</w:t>
      </w:r>
      <w:r w:rsidR="00050C2F" w:rsidRPr="00B67CBD">
        <w:rPr>
          <w:b/>
        </w:rPr>
        <w:t xml:space="preserve"> and overcrowded.  Some buildings are in need of maintenance, major repairs, and upgrades.  Planning and resources have so far been inadequate to keep up with school building needs. </w:t>
      </w:r>
    </w:p>
    <w:p w:rsidR="00050C2F" w:rsidRDefault="00B67CBD" w:rsidP="00B67CBD">
      <w:pPr>
        <w:tabs>
          <w:tab w:val="left" w:pos="360"/>
          <w:tab w:val="left" w:pos="720"/>
          <w:tab w:val="left" w:pos="1080"/>
          <w:tab w:val="left" w:pos="1440"/>
          <w:tab w:val="left" w:pos="1800"/>
          <w:tab w:val="left" w:pos="2160"/>
        </w:tabs>
        <w:ind w:left="720" w:hanging="360"/>
      </w:pPr>
      <w:r w:rsidRPr="00B67CBD">
        <w:rPr>
          <w:b/>
        </w:rPr>
        <w:t>A.</w:t>
      </w:r>
      <w:r>
        <w:t xml:space="preserve">   </w:t>
      </w:r>
      <w:r w:rsidR="007928CD">
        <w:tab/>
      </w:r>
      <w:r w:rsidR="00A72D75">
        <w:t xml:space="preserve">Of the district’s </w:t>
      </w:r>
      <w:r w:rsidR="002D56EB">
        <w:t xml:space="preserve">44 </w:t>
      </w:r>
      <w:r w:rsidR="00A72D75">
        <w:t>schools, 23</w:t>
      </w:r>
      <w:r w:rsidR="00050C2F">
        <w:t xml:space="preserve"> have not been replaced or undergone a major renovation in the past 50 years, the lifespan expected by the M</w:t>
      </w:r>
      <w:r w:rsidR="00A72D75">
        <w:t xml:space="preserve">assachusetts </w:t>
      </w:r>
      <w:r w:rsidR="00050C2F">
        <w:t>S</w:t>
      </w:r>
      <w:r w:rsidR="00A72D75">
        <w:t xml:space="preserve">chool </w:t>
      </w:r>
      <w:r w:rsidR="00050C2F">
        <w:t>B</w:t>
      </w:r>
      <w:r w:rsidR="00A72D75">
        <w:t xml:space="preserve">uilding </w:t>
      </w:r>
      <w:r w:rsidR="00050C2F">
        <w:t>A</w:t>
      </w:r>
      <w:r w:rsidR="00A72D75">
        <w:t>uthority (MSBA</w:t>
      </w:r>
      <w:r w:rsidR="00B0561D">
        <w:t>)---</w:t>
      </w:r>
      <w:r w:rsidR="00050C2F">
        <w:t xml:space="preserve">including </w:t>
      </w:r>
      <w:r w:rsidR="00A72D75">
        <w:t xml:space="preserve">4 </w:t>
      </w:r>
      <w:r w:rsidR="00050C2F">
        <w:t xml:space="preserve">buildings over </w:t>
      </w:r>
      <w:r w:rsidR="00A72D75">
        <w:t>100</w:t>
      </w:r>
      <w:r w:rsidR="00050C2F">
        <w:t xml:space="preserve"> years old</w:t>
      </w:r>
      <w:r w:rsidR="00A05E0B">
        <w:t>.</w:t>
      </w:r>
      <w:r w:rsidR="00050C2F">
        <w:t xml:space="preserve"> Facility problems include overcrowding, outdated learning spaces, and </w:t>
      </w:r>
      <w:r w:rsidR="00A479CA">
        <w:t xml:space="preserve">large </w:t>
      </w:r>
      <w:r w:rsidR="00050C2F">
        <w:t>maintenance needs</w:t>
      </w:r>
      <w:r w:rsidR="00050C2F" w:rsidRPr="00177DC9">
        <w:t>.</w:t>
      </w:r>
    </w:p>
    <w:p w:rsidR="00B67CBD" w:rsidRDefault="00B67CBD" w:rsidP="00B67CBD">
      <w:pPr>
        <w:tabs>
          <w:tab w:val="left" w:pos="360"/>
          <w:tab w:val="left" w:pos="1080"/>
          <w:tab w:val="left" w:pos="1440"/>
          <w:tab w:val="left" w:pos="1800"/>
          <w:tab w:val="left" w:pos="2160"/>
        </w:tabs>
        <w:ind w:left="1080" w:hanging="360"/>
      </w:pPr>
      <w:r>
        <w:t xml:space="preserve">1.   </w:t>
      </w:r>
      <w:r w:rsidR="00B0561D">
        <w:tab/>
      </w:r>
      <w:r w:rsidR="00050C2F">
        <w:t xml:space="preserve">In </w:t>
      </w:r>
      <w:r w:rsidR="00A72D75">
        <w:t xml:space="preserve">its </w:t>
      </w:r>
      <w:r w:rsidR="00050C2F">
        <w:t>self-assessment</w:t>
      </w:r>
      <w:r w:rsidR="00A72D75">
        <w:t xml:space="preserve"> submitted in advance of the onsite</w:t>
      </w:r>
      <w:r w:rsidR="00A05E0B">
        <w:t>,</w:t>
      </w:r>
      <w:r w:rsidR="00050C2F">
        <w:t xml:space="preserve"> </w:t>
      </w:r>
      <w:r w:rsidR="007928CD">
        <w:t xml:space="preserve">the </w:t>
      </w:r>
      <w:r w:rsidR="00050C2F">
        <w:t xml:space="preserve">district identified the condition of buildings as </w:t>
      </w:r>
      <w:r w:rsidR="00797939">
        <w:t xml:space="preserve">“Somewhat </w:t>
      </w:r>
      <w:r w:rsidR="00050C2F">
        <w:t>well</w:t>
      </w:r>
      <w:r w:rsidR="00797939">
        <w:t>”</w:t>
      </w:r>
      <w:r w:rsidR="00050C2F">
        <w:t xml:space="preserve"> described by </w:t>
      </w:r>
      <w:r w:rsidR="00797939">
        <w:t>the indicator “Buildings are generally in good condition and the district maintains its buildings well</w:t>
      </w:r>
      <w:r w:rsidR="00050C2F">
        <w:t>,</w:t>
      </w:r>
      <w:r w:rsidR="00797939">
        <w:t>”</w:t>
      </w:r>
      <w:r w:rsidR="00050C2F">
        <w:t xml:space="preserve"> and </w:t>
      </w:r>
      <w:r w:rsidR="00797939">
        <w:t xml:space="preserve"> the use of space as “Not at all well” described by the indicator “Buildings are neither overcrowded nor underused</w:t>
      </w:r>
      <w:r w:rsidR="00050C2F">
        <w:t>.</w:t>
      </w:r>
      <w:r w:rsidR="00B0561D">
        <w:t>”</w:t>
      </w:r>
      <w:r w:rsidR="00797939">
        <w:t xml:space="preserve"> (Possible responses were Not at all well, Somewhat well, Well, and Very well.)</w:t>
      </w:r>
    </w:p>
    <w:p w:rsidR="00B67CBD" w:rsidRDefault="00B67CBD" w:rsidP="00B67CBD">
      <w:pPr>
        <w:tabs>
          <w:tab w:val="left" w:pos="360"/>
          <w:tab w:val="left" w:pos="1080"/>
          <w:tab w:val="left" w:pos="1440"/>
          <w:tab w:val="left" w:pos="1800"/>
          <w:tab w:val="left" w:pos="2160"/>
        </w:tabs>
        <w:ind w:left="1080" w:hanging="360"/>
      </w:pPr>
      <w:r>
        <w:t>2.</w:t>
      </w:r>
      <w:r>
        <w:tab/>
      </w:r>
      <w:r w:rsidR="00050C2F">
        <w:t xml:space="preserve">Administrators reported that overcrowding is a problem in at least five schools, </w:t>
      </w:r>
      <w:r w:rsidR="00B0561D">
        <w:t xml:space="preserve">noting that </w:t>
      </w:r>
      <w:r w:rsidR="00050C2F">
        <w:t>some schools have to rent space in neighboring buildings and use portable classrooms</w:t>
      </w:r>
      <w:r w:rsidR="00EC70B2">
        <w:t>.</w:t>
      </w:r>
    </w:p>
    <w:p w:rsidR="00050C2F" w:rsidRDefault="00B67CBD" w:rsidP="00B67CBD">
      <w:pPr>
        <w:tabs>
          <w:tab w:val="left" w:pos="360"/>
          <w:tab w:val="left" w:pos="1080"/>
          <w:tab w:val="left" w:pos="1440"/>
          <w:tab w:val="left" w:pos="1800"/>
          <w:tab w:val="left" w:pos="2160"/>
        </w:tabs>
        <w:ind w:left="1080" w:hanging="360"/>
      </w:pPr>
      <w:r>
        <w:t>3.</w:t>
      </w:r>
      <w:r>
        <w:tab/>
      </w:r>
      <w:r w:rsidR="00050C2F">
        <w:t>The</w:t>
      </w:r>
      <w:r w:rsidR="00B0561D">
        <w:t xml:space="preserve"> district</w:t>
      </w:r>
      <w:r w:rsidR="00050C2F">
        <w:t xml:space="preserve"> </w:t>
      </w:r>
      <w:r w:rsidR="00B0561D">
        <w:t xml:space="preserve">is </w:t>
      </w:r>
      <w:r w:rsidR="00050C2F">
        <w:t xml:space="preserve">in </w:t>
      </w:r>
      <w:r w:rsidR="00B0561D">
        <w:t xml:space="preserve">the </w:t>
      </w:r>
      <w:r w:rsidR="00050C2F">
        <w:t>process of replacing roofs and windows, upgrading security systems, replacing outdated light fixtures and door hardware, upgrading science labs, and replacing boilers as funding allows.</w:t>
      </w:r>
    </w:p>
    <w:p w:rsidR="0047041E" w:rsidRDefault="00CC045C" w:rsidP="0047041E">
      <w:pPr>
        <w:tabs>
          <w:tab w:val="left" w:pos="360"/>
          <w:tab w:val="left" w:pos="720"/>
          <w:tab w:val="left" w:pos="1080"/>
          <w:tab w:val="left" w:pos="1440"/>
          <w:tab w:val="left" w:pos="1800"/>
          <w:tab w:val="left" w:pos="2160"/>
        </w:tabs>
        <w:ind w:left="1080" w:hanging="1080"/>
      </w:pPr>
      <w:r>
        <w:tab/>
      </w:r>
      <w:r>
        <w:tab/>
        <w:t>4.</w:t>
      </w:r>
      <w:r>
        <w:tab/>
      </w:r>
      <w:r w:rsidR="00B0561D">
        <w:t xml:space="preserve">Administrators </w:t>
      </w:r>
      <w:r w:rsidR="00050C2F">
        <w:t xml:space="preserve">noted environmental and health issues </w:t>
      </w:r>
      <w:r w:rsidR="00B0561D">
        <w:t xml:space="preserve">such as PCBs and mold </w:t>
      </w:r>
      <w:r w:rsidR="00050C2F">
        <w:t>in some buildings</w:t>
      </w:r>
      <w:r w:rsidR="00EC70B2">
        <w:t>.</w:t>
      </w:r>
    </w:p>
    <w:p w:rsidR="0047041E" w:rsidRDefault="00CC045C" w:rsidP="0047041E">
      <w:pPr>
        <w:tabs>
          <w:tab w:val="left" w:pos="360"/>
          <w:tab w:val="left" w:pos="720"/>
          <w:tab w:val="left" w:pos="1080"/>
          <w:tab w:val="left" w:pos="1440"/>
          <w:tab w:val="left" w:pos="1800"/>
          <w:tab w:val="left" w:pos="2160"/>
        </w:tabs>
        <w:ind w:left="1080" w:hanging="1080"/>
      </w:pPr>
      <w:r>
        <w:tab/>
      </w:r>
      <w:r>
        <w:tab/>
        <w:t>5.</w:t>
      </w:r>
      <w:r>
        <w:tab/>
      </w:r>
      <w:r w:rsidR="00050C2F">
        <w:t xml:space="preserve">They reported that the district spends only 69 cents per square foot on maintenance, and </w:t>
      </w:r>
      <w:r w:rsidR="00B0561D">
        <w:t xml:space="preserve">said that </w:t>
      </w:r>
      <w:r w:rsidR="00050C2F">
        <w:t xml:space="preserve">the maintenance staff of 28 is not sufficient to keep up with work orders and building needs. </w:t>
      </w:r>
    </w:p>
    <w:p w:rsidR="0047041E" w:rsidRDefault="00CC045C" w:rsidP="0047041E">
      <w:pPr>
        <w:tabs>
          <w:tab w:val="left" w:pos="360"/>
          <w:tab w:val="left" w:pos="720"/>
          <w:tab w:val="left" w:pos="1080"/>
          <w:tab w:val="left" w:pos="1440"/>
          <w:tab w:val="left" w:pos="1800"/>
          <w:tab w:val="left" w:pos="2160"/>
        </w:tabs>
        <w:ind w:left="1440" w:hanging="720"/>
      </w:pPr>
      <w:r>
        <w:tab/>
      </w:r>
      <w:r w:rsidR="00651F68">
        <w:t>a.</w:t>
      </w:r>
      <w:r w:rsidR="00651F68">
        <w:tab/>
      </w:r>
      <w:r w:rsidR="00B0561D">
        <w:t xml:space="preserve">According to </w:t>
      </w:r>
      <w:r w:rsidR="00050C2F">
        <w:t>ESE data</w:t>
      </w:r>
      <w:r w:rsidR="00B0561D">
        <w:t>,</w:t>
      </w:r>
      <w:r w:rsidR="00050C2F">
        <w:t xml:space="preserve"> the district’s expenditures on maintenance in 2015 were $201 per pupil compared </w:t>
      </w:r>
      <w:r w:rsidR="00B0561D">
        <w:t xml:space="preserve">with </w:t>
      </w:r>
      <w:r w:rsidR="00050C2F">
        <w:t>$259 for the state</w:t>
      </w:r>
      <w:r w:rsidR="00EC70B2">
        <w:t>,</w:t>
      </w:r>
      <w:r w:rsidR="00050C2F" w:rsidRPr="00CC6ECE">
        <w:t xml:space="preserve"> </w:t>
      </w:r>
      <w:r w:rsidR="00EC70B2">
        <w:t>less than the 2</w:t>
      </w:r>
      <w:r w:rsidR="00B0561D">
        <w:t>–</w:t>
      </w:r>
      <w:r w:rsidR="00EC70B2">
        <w:t>4 percent</w:t>
      </w:r>
      <w:r w:rsidR="00050C2F">
        <w:t xml:space="preserve"> of </w:t>
      </w:r>
      <w:r w:rsidR="00B0561D">
        <w:t xml:space="preserve">the </w:t>
      </w:r>
      <w:r w:rsidR="00050C2F">
        <w:t>operating budget recommended by the MSBA and professional agencies</w:t>
      </w:r>
      <w:r w:rsidR="00EC70B2">
        <w:t>.</w:t>
      </w:r>
    </w:p>
    <w:p w:rsidR="0047041E" w:rsidRDefault="00CC045C" w:rsidP="0047041E">
      <w:pPr>
        <w:tabs>
          <w:tab w:val="left" w:pos="360"/>
          <w:tab w:val="left" w:pos="720"/>
          <w:tab w:val="left" w:pos="1080"/>
          <w:tab w:val="left" w:pos="1440"/>
          <w:tab w:val="left" w:pos="1800"/>
          <w:tab w:val="left" w:pos="2160"/>
        </w:tabs>
        <w:ind w:left="1080" w:hanging="1080"/>
      </w:pPr>
      <w:r>
        <w:tab/>
      </w:r>
      <w:r>
        <w:tab/>
        <w:t>6.</w:t>
      </w:r>
      <w:r>
        <w:tab/>
      </w:r>
      <w:r w:rsidR="00050C2F">
        <w:t xml:space="preserve">Issues identified in the district’s 2015 school renovation proposals </w:t>
      </w:r>
      <w:r w:rsidR="00B0561D">
        <w:t xml:space="preserve">on its website </w:t>
      </w:r>
      <w:r w:rsidR="00050C2F">
        <w:t xml:space="preserve">included inadequate performing arts facilities, ADA noncompliance, nonfunctional and inadequate </w:t>
      </w:r>
      <w:r w:rsidR="00050C2F">
        <w:lastRenderedPageBreak/>
        <w:t>classroom spaces, environmental issues, outdated mechanical systems, insufficient science labs and libraries, and outdated security systems.</w:t>
      </w:r>
    </w:p>
    <w:p w:rsidR="0047041E" w:rsidRDefault="00CC045C" w:rsidP="0047041E">
      <w:pPr>
        <w:tabs>
          <w:tab w:val="left" w:pos="360"/>
          <w:tab w:val="left" w:pos="720"/>
          <w:tab w:val="left" w:pos="1080"/>
          <w:tab w:val="left" w:pos="1440"/>
          <w:tab w:val="left" w:pos="1800"/>
          <w:tab w:val="left" w:pos="2160"/>
        </w:tabs>
        <w:ind w:left="1080" w:hanging="1080"/>
      </w:pPr>
      <w:r>
        <w:tab/>
      </w:r>
      <w:r>
        <w:tab/>
        <w:t>7.</w:t>
      </w:r>
      <w:r>
        <w:tab/>
      </w:r>
      <w:r w:rsidR="00050C2F">
        <w:t>Students cited buildings as one of the district’s major needs for improvement</w:t>
      </w:r>
      <w:r w:rsidR="00B0561D">
        <w:t>,</w:t>
      </w:r>
      <w:r w:rsidR="00050C2F">
        <w:t xml:space="preserve"> and teachers spoke of uneven resources in technology.</w:t>
      </w:r>
    </w:p>
    <w:p w:rsidR="0047041E" w:rsidRDefault="00CC045C" w:rsidP="0047041E">
      <w:pPr>
        <w:tabs>
          <w:tab w:val="left" w:pos="360"/>
          <w:tab w:val="left" w:pos="720"/>
          <w:tab w:val="left" w:pos="1080"/>
          <w:tab w:val="left" w:pos="1440"/>
          <w:tab w:val="left" w:pos="1800"/>
          <w:tab w:val="left" w:pos="2160"/>
        </w:tabs>
        <w:ind w:left="1080" w:hanging="1080"/>
      </w:pPr>
      <w:r>
        <w:tab/>
      </w:r>
      <w:r>
        <w:tab/>
        <w:t>8.</w:t>
      </w:r>
      <w:r>
        <w:tab/>
      </w:r>
      <w:r w:rsidR="00EC70B2">
        <w:t>Reviewers visited 33</w:t>
      </w:r>
      <w:r w:rsidR="00050C2F">
        <w:t xml:space="preserve"> of the </w:t>
      </w:r>
      <w:r w:rsidR="002D56EB">
        <w:t xml:space="preserve">44 </w:t>
      </w:r>
      <w:r w:rsidR="00050C2F">
        <w:t xml:space="preserve">schools and noted that they are generally clean, but that some are old and </w:t>
      </w:r>
      <w:r w:rsidR="00B0561D">
        <w:t xml:space="preserve">have </w:t>
      </w:r>
      <w:r w:rsidR="00050C2F">
        <w:t>peeling paint</w:t>
      </w:r>
      <w:r w:rsidR="00D229BE">
        <w:t xml:space="preserve"> and</w:t>
      </w:r>
      <w:r w:rsidR="00050C2F">
        <w:t xml:space="preserve"> worn floors and stair treads with instances of </w:t>
      </w:r>
      <w:r w:rsidR="00B0561D">
        <w:t xml:space="preserve">inadequate </w:t>
      </w:r>
      <w:r w:rsidR="00050C2F">
        <w:t xml:space="preserve">ventilation and water damage.    </w:t>
      </w:r>
    </w:p>
    <w:p w:rsidR="00CC045C" w:rsidRDefault="00CC045C" w:rsidP="00CC045C">
      <w:pPr>
        <w:tabs>
          <w:tab w:val="left" w:pos="360"/>
          <w:tab w:val="left" w:pos="720"/>
          <w:tab w:val="left" w:pos="1080"/>
          <w:tab w:val="left" w:pos="1440"/>
          <w:tab w:val="left" w:pos="1800"/>
          <w:tab w:val="left" w:pos="2160"/>
        </w:tabs>
        <w:ind w:left="1440" w:hanging="720"/>
      </w:pPr>
      <w:r>
        <w:tab/>
        <w:t>a.</w:t>
      </w:r>
      <w:r>
        <w:tab/>
      </w:r>
      <w:r w:rsidR="00050C2F">
        <w:t xml:space="preserve">Some classrooms are subject to noise from </w:t>
      </w:r>
      <w:r w:rsidR="00B0561D">
        <w:t xml:space="preserve">neighboring </w:t>
      </w:r>
      <w:r w:rsidR="00050C2F">
        <w:t>rooms, and in order to reach some classrooms students have to pass through other classrooms in session.</w:t>
      </w:r>
      <w:r>
        <w:t xml:space="preserve"> </w:t>
      </w:r>
    </w:p>
    <w:p w:rsidR="00050C2F" w:rsidRPr="00F96F70" w:rsidRDefault="00CC045C" w:rsidP="00CC045C">
      <w:pPr>
        <w:tabs>
          <w:tab w:val="left" w:pos="360"/>
          <w:tab w:val="left" w:pos="720"/>
          <w:tab w:val="left" w:pos="1080"/>
          <w:tab w:val="left" w:pos="1440"/>
          <w:tab w:val="left" w:pos="1800"/>
          <w:tab w:val="left" w:pos="2160"/>
        </w:tabs>
        <w:ind w:left="1440" w:hanging="720"/>
      </w:pPr>
      <w:r>
        <w:tab/>
        <w:t>b.</w:t>
      </w:r>
      <w:r>
        <w:tab/>
      </w:r>
      <w:r w:rsidR="004F72B3">
        <w:t xml:space="preserve">Review team members </w:t>
      </w:r>
      <w:r>
        <w:t xml:space="preserve">observed teachers working with students in corridors because small </w:t>
      </w:r>
      <w:r w:rsidR="00BB6030">
        <w:t xml:space="preserve">instructional </w:t>
      </w:r>
      <w:r>
        <w:t>spaces are not available</w:t>
      </w:r>
      <w:r w:rsidR="00BB6030">
        <w:t>, especially in the older schools</w:t>
      </w:r>
      <w:r>
        <w:t xml:space="preserve">.  </w:t>
      </w:r>
    </w:p>
    <w:p w:rsidR="0047041E" w:rsidRDefault="00CC045C" w:rsidP="0047041E">
      <w:pPr>
        <w:tabs>
          <w:tab w:val="left" w:pos="360"/>
          <w:tab w:val="left" w:pos="720"/>
          <w:tab w:val="left" w:pos="1080"/>
          <w:tab w:val="left" w:pos="1440"/>
          <w:tab w:val="left" w:pos="1800"/>
          <w:tab w:val="left" w:pos="2160"/>
        </w:tabs>
        <w:ind w:left="720" w:hanging="1080"/>
      </w:pPr>
      <w:r>
        <w:rPr>
          <w:b/>
        </w:rPr>
        <w:tab/>
      </w:r>
      <w:r w:rsidR="0047041E" w:rsidRPr="0047041E">
        <w:rPr>
          <w:b/>
        </w:rPr>
        <w:t>B.</w:t>
      </w:r>
      <w:r>
        <w:rPr>
          <w:b/>
        </w:rPr>
        <w:tab/>
      </w:r>
      <w:r w:rsidR="00050C2F">
        <w:t>The city has supported some capital projects for the schools, supplemented by MSBA support, but additional new schools and renovations are needed</w:t>
      </w:r>
      <w:r w:rsidR="00050C2F" w:rsidRPr="00C900C6">
        <w:t xml:space="preserve">. </w:t>
      </w:r>
    </w:p>
    <w:p w:rsidR="0047041E" w:rsidRDefault="00CC045C" w:rsidP="0047041E">
      <w:pPr>
        <w:tabs>
          <w:tab w:val="left" w:pos="360"/>
          <w:tab w:val="left" w:pos="720"/>
          <w:tab w:val="left" w:pos="1080"/>
          <w:tab w:val="left" w:pos="1440"/>
          <w:tab w:val="left" w:pos="1800"/>
        </w:tabs>
        <w:ind w:left="1080" w:hanging="720"/>
      </w:pPr>
      <w:r>
        <w:tab/>
      </w:r>
      <w:r w:rsidR="00B0561D">
        <w:t>1.</w:t>
      </w:r>
      <w:r w:rsidR="00B0561D">
        <w:tab/>
      </w:r>
      <w:r w:rsidR="00050C2F">
        <w:t>Administrators and city officials reported that the city appropriates approximately $3 million each year for school capital projects and $500,000 for other capital expenditures such as buses, technology infrastructure, and security upgrades</w:t>
      </w:r>
      <w:r w:rsidR="00EC70B2">
        <w:t>.</w:t>
      </w:r>
    </w:p>
    <w:p w:rsidR="0047041E" w:rsidRDefault="00B0561D" w:rsidP="0047041E">
      <w:pPr>
        <w:tabs>
          <w:tab w:val="left" w:pos="360"/>
          <w:tab w:val="left" w:pos="720"/>
          <w:tab w:val="left" w:pos="1080"/>
          <w:tab w:val="left" w:pos="1440"/>
          <w:tab w:val="left" w:pos="1800"/>
        </w:tabs>
        <w:ind w:left="1080" w:hanging="1080"/>
      </w:pPr>
      <w:r>
        <w:tab/>
      </w:r>
      <w:r w:rsidR="00CC045C">
        <w:tab/>
      </w:r>
      <w:r>
        <w:t>2.</w:t>
      </w:r>
      <w:r>
        <w:tab/>
      </w:r>
      <w:r w:rsidR="00050C2F">
        <w:t xml:space="preserve">To the extent possible </w:t>
      </w:r>
      <w:r w:rsidR="00C25E2C">
        <w:t xml:space="preserve">administrators </w:t>
      </w:r>
      <w:r w:rsidR="00050C2F">
        <w:t>leverage the city</w:t>
      </w:r>
      <w:r w:rsidR="00C25E2C">
        <w:t>’s</w:t>
      </w:r>
      <w:r w:rsidR="00050C2F">
        <w:t xml:space="preserve"> allocation by applying for MSBA accelerated repair reimbursements of approximately 80</w:t>
      </w:r>
      <w:r w:rsidR="00C25E2C">
        <w:t xml:space="preserve"> percent</w:t>
      </w:r>
      <w:r w:rsidR="00050C2F">
        <w:t xml:space="preserve"> so that up to $15 million can be leveraged for school building projects.</w:t>
      </w:r>
      <w:r w:rsidR="00050C2F" w:rsidRPr="00C900C6">
        <w:t xml:space="preserve"> </w:t>
      </w:r>
    </w:p>
    <w:p w:rsidR="00C25E2C" w:rsidRDefault="00050C2F" w:rsidP="00386849">
      <w:pPr>
        <w:pStyle w:val="ListParagraph"/>
        <w:numPr>
          <w:ilvl w:val="7"/>
          <w:numId w:val="31"/>
        </w:numPr>
        <w:tabs>
          <w:tab w:val="left" w:pos="360"/>
          <w:tab w:val="left" w:pos="720"/>
          <w:tab w:val="left" w:pos="1080"/>
          <w:tab w:val="left" w:pos="1440"/>
          <w:tab w:val="left" w:pos="1800"/>
          <w:tab w:val="left" w:pos="2160"/>
        </w:tabs>
        <w:ind w:left="1440"/>
        <w:contextualSpacing w:val="0"/>
      </w:pPr>
      <w:r>
        <w:t>Recent repair projects have included roof and window replacements, gas boilers, and science labs</w:t>
      </w:r>
      <w:r w:rsidR="00E419BA">
        <w:t>.</w:t>
      </w:r>
    </w:p>
    <w:p w:rsidR="00050C2F" w:rsidRPr="00F96F70" w:rsidRDefault="00C25E2C" w:rsidP="00386849">
      <w:pPr>
        <w:pStyle w:val="ListParagraph"/>
        <w:numPr>
          <w:ilvl w:val="7"/>
          <w:numId w:val="31"/>
        </w:numPr>
        <w:tabs>
          <w:tab w:val="left" w:pos="360"/>
          <w:tab w:val="left" w:pos="720"/>
          <w:tab w:val="left" w:pos="1080"/>
          <w:tab w:val="left" w:pos="1440"/>
          <w:tab w:val="left" w:pos="1800"/>
          <w:tab w:val="left" w:pos="2160"/>
        </w:tabs>
        <w:ind w:left="1440"/>
        <w:contextualSpacing w:val="0"/>
      </w:pPr>
      <w:r>
        <w:t xml:space="preserve">At the time of the onsite, </w:t>
      </w:r>
      <w:r w:rsidR="00050C2F">
        <w:t xml:space="preserve">the Nelson Place School </w:t>
      </w:r>
      <w:r>
        <w:t xml:space="preserve">was </w:t>
      </w:r>
      <w:r w:rsidR="00050C2F">
        <w:t>being renovated</w:t>
      </w:r>
      <w:r w:rsidR="00EC70B2">
        <w:t>.</w:t>
      </w:r>
    </w:p>
    <w:p w:rsidR="0047041E" w:rsidRDefault="00B0561D" w:rsidP="0047041E">
      <w:pPr>
        <w:tabs>
          <w:tab w:val="left" w:pos="360"/>
          <w:tab w:val="left" w:pos="720"/>
          <w:tab w:val="left" w:pos="1080"/>
          <w:tab w:val="left" w:pos="1440"/>
          <w:tab w:val="left" w:pos="1800"/>
        </w:tabs>
        <w:ind w:left="1080" w:hanging="1080"/>
      </w:pPr>
      <w:r>
        <w:tab/>
      </w:r>
      <w:r w:rsidR="00CC045C">
        <w:tab/>
      </w:r>
      <w:r>
        <w:t>3.</w:t>
      </w:r>
      <w:r>
        <w:tab/>
      </w:r>
      <w:r w:rsidR="00C25E2C">
        <w:t>Administrators</w:t>
      </w:r>
      <w:r w:rsidR="00050C2F">
        <w:t xml:space="preserve"> pointed out that based on the MSBA expectation that a new building should last 50 years the district would have to build a new school every year to keep up</w:t>
      </w:r>
      <w:r w:rsidR="00C25E2C">
        <w:t>.</w:t>
      </w:r>
      <w:r w:rsidR="00050C2F">
        <w:t xml:space="preserve">  Yet the facilities report lists only four schools renovated or newly built since 2000, and another (Nelson Park) under construction</w:t>
      </w:r>
      <w:r w:rsidR="00197BAC">
        <w:t>.</w:t>
      </w:r>
    </w:p>
    <w:p w:rsidR="00E62C3E" w:rsidRDefault="00B0561D">
      <w:pPr>
        <w:tabs>
          <w:tab w:val="left" w:pos="360"/>
          <w:tab w:val="left" w:pos="720"/>
          <w:tab w:val="left" w:pos="1080"/>
          <w:tab w:val="left" w:pos="1440"/>
          <w:tab w:val="left" w:pos="1800"/>
        </w:tabs>
        <w:ind w:left="1080" w:hanging="1080"/>
      </w:pPr>
      <w:r>
        <w:tab/>
      </w:r>
      <w:r w:rsidR="00CC045C">
        <w:tab/>
      </w:r>
      <w:r>
        <w:t>4.</w:t>
      </w:r>
      <w:r>
        <w:tab/>
      </w:r>
      <w:r w:rsidR="00050C2F">
        <w:t xml:space="preserve">According to the DOR At A Glance report for </w:t>
      </w:r>
      <w:r w:rsidR="00C25E2C">
        <w:t xml:space="preserve">Worcester, </w:t>
      </w:r>
      <w:r w:rsidR="00050C2F">
        <w:t>the city has approximately $23 million in excess and override capacity</w:t>
      </w:r>
      <w:r w:rsidR="00EC70B2">
        <w:t>.</w:t>
      </w:r>
      <w:r w:rsidR="00050C2F">
        <w:t xml:space="preserve"> Administrators pointed out that the city is eligible for approximately 80</w:t>
      </w:r>
      <w:r w:rsidR="00C25E2C">
        <w:t xml:space="preserve"> percent</w:t>
      </w:r>
      <w:r w:rsidR="00050C2F">
        <w:t xml:space="preserve"> reimbursement from the MSBA for building projects</w:t>
      </w:r>
      <w:r w:rsidR="00C25E2C">
        <w:t>,</w:t>
      </w:r>
      <w:r w:rsidR="00050C2F">
        <w:t xml:space="preserve"> so it would require only $10 million to build a $50 million school.</w:t>
      </w:r>
    </w:p>
    <w:p w:rsidR="0047041E" w:rsidRDefault="00AC4A16" w:rsidP="0047041E">
      <w:pPr>
        <w:tabs>
          <w:tab w:val="left" w:pos="360"/>
          <w:tab w:val="left" w:pos="720"/>
          <w:tab w:val="left" w:pos="1080"/>
          <w:tab w:val="left" w:pos="1440"/>
          <w:tab w:val="left" w:pos="1800"/>
          <w:tab w:val="left" w:pos="2160"/>
        </w:tabs>
        <w:ind w:left="720" w:hanging="1080"/>
      </w:pPr>
      <w:r>
        <w:rPr>
          <w:b/>
        </w:rPr>
        <w:tab/>
      </w:r>
      <w:r w:rsidR="0047041E" w:rsidRPr="0047041E">
        <w:rPr>
          <w:b/>
        </w:rPr>
        <w:t>C.</w:t>
      </w:r>
      <w:r w:rsidR="00EE3F47">
        <w:rPr>
          <w:b/>
        </w:rPr>
        <w:tab/>
      </w:r>
      <w:r w:rsidR="00050C2F">
        <w:t xml:space="preserve">The district submits its proposed capital projects for inclusion in the city’s capital plan, and does its own </w:t>
      </w:r>
      <w:r w:rsidR="00C25E2C">
        <w:t>long-</w:t>
      </w:r>
      <w:r w:rsidR="00050C2F">
        <w:t>range plans for building renovations</w:t>
      </w:r>
      <w:r w:rsidR="00050C2F" w:rsidRPr="00412451">
        <w:t xml:space="preserve">. </w:t>
      </w:r>
    </w:p>
    <w:p w:rsidR="0047041E" w:rsidRDefault="00EE3F47" w:rsidP="0047041E">
      <w:pPr>
        <w:tabs>
          <w:tab w:val="left" w:pos="360"/>
          <w:tab w:val="left" w:pos="720"/>
          <w:tab w:val="left" w:pos="1080"/>
          <w:tab w:val="left" w:pos="1440"/>
          <w:tab w:val="left" w:pos="1800"/>
        </w:tabs>
        <w:ind w:left="1080" w:hanging="1080"/>
      </w:pPr>
      <w:r>
        <w:lastRenderedPageBreak/>
        <w:tab/>
      </w:r>
      <w:r w:rsidR="00AC4A16">
        <w:tab/>
      </w:r>
      <w:r>
        <w:t>1.</w:t>
      </w:r>
      <w:r>
        <w:tab/>
      </w:r>
      <w:r w:rsidR="00050C2F">
        <w:t>Administrators reported that they prepare a capital improvement plan consisting of facility, transportation, and technology needs for submission to the city annually for inclusion in the city</w:t>
      </w:r>
      <w:r w:rsidR="00C25E2C">
        <w:t>’s</w:t>
      </w:r>
      <w:r w:rsidR="00050C2F">
        <w:t xml:space="preserve"> capital plan.  These major repairs typically are limited to the $3 million annual allocation by the city but may include additional projects such as security upgrades</w:t>
      </w:r>
      <w:r w:rsidR="00C25E2C">
        <w:t>.</w:t>
      </w:r>
      <w:r w:rsidR="00050C2F" w:rsidRPr="00412451">
        <w:t xml:space="preserve"> </w:t>
      </w:r>
    </w:p>
    <w:p w:rsidR="0047041E" w:rsidRDefault="00EE3F47" w:rsidP="0047041E">
      <w:pPr>
        <w:tabs>
          <w:tab w:val="left" w:pos="360"/>
          <w:tab w:val="left" w:pos="720"/>
          <w:tab w:val="left" w:pos="1080"/>
          <w:tab w:val="left" w:pos="1440"/>
          <w:tab w:val="left" w:pos="1800"/>
        </w:tabs>
        <w:ind w:left="1080" w:hanging="1080"/>
      </w:pPr>
      <w:r>
        <w:tab/>
      </w:r>
      <w:r w:rsidR="00AC4A16">
        <w:tab/>
      </w:r>
      <w:r>
        <w:t>2.</w:t>
      </w:r>
      <w:r>
        <w:tab/>
      </w:r>
      <w:r w:rsidR="00050C2F">
        <w:t xml:space="preserve">In 2015 the district prepared an inventory of school facilities and proposed MSBA replacement/renovation projects </w:t>
      </w:r>
      <w:r w:rsidR="00742CC5">
        <w:t xml:space="preserve">in three </w:t>
      </w:r>
      <w:r w:rsidR="00050C2F">
        <w:t xml:space="preserve">schools, and accelerated repair projects </w:t>
      </w:r>
      <w:r w:rsidR="00742CC5">
        <w:t xml:space="preserve">in four </w:t>
      </w:r>
      <w:r w:rsidR="00050C2F">
        <w:t>schools</w:t>
      </w:r>
      <w:r w:rsidR="00C25E2C">
        <w:t>.</w:t>
      </w:r>
    </w:p>
    <w:p w:rsidR="0047041E" w:rsidRDefault="00EE3F47" w:rsidP="0047041E">
      <w:pPr>
        <w:tabs>
          <w:tab w:val="left" w:pos="360"/>
          <w:tab w:val="left" w:pos="720"/>
          <w:tab w:val="left" w:pos="1080"/>
          <w:tab w:val="left" w:pos="1440"/>
          <w:tab w:val="left" w:pos="1800"/>
        </w:tabs>
        <w:ind w:left="1080" w:hanging="1080"/>
      </w:pPr>
      <w:r>
        <w:tab/>
      </w:r>
      <w:r w:rsidR="00AC4A16">
        <w:tab/>
      </w:r>
      <w:r>
        <w:t>3.</w:t>
      </w:r>
      <w:r>
        <w:tab/>
      </w:r>
      <w:r w:rsidR="00050C2F">
        <w:t>The district has contracted with an architectural firm to prepare a facilities master plan for the district to prioritize school renovations and deferred maintenance projects as requested by MSBA</w:t>
      </w:r>
      <w:r w:rsidR="00C25E2C">
        <w:t>.</w:t>
      </w:r>
    </w:p>
    <w:p w:rsidR="00050C2F" w:rsidRDefault="00050C2F" w:rsidP="00EC70B2">
      <w:pPr>
        <w:tabs>
          <w:tab w:val="left" w:pos="0"/>
          <w:tab w:val="left" w:pos="720"/>
          <w:tab w:val="left" w:pos="1080"/>
          <w:tab w:val="left" w:pos="1440"/>
          <w:tab w:val="left" w:pos="1800"/>
          <w:tab w:val="left" w:pos="2160"/>
        </w:tabs>
      </w:pPr>
      <w:r w:rsidRPr="00F731AA">
        <w:rPr>
          <w:b/>
        </w:rPr>
        <w:t>Impact</w:t>
      </w:r>
      <w:r>
        <w:t xml:space="preserve">:  </w:t>
      </w:r>
      <w:r w:rsidR="00D229BE">
        <w:t>Inadequate</w:t>
      </w:r>
      <w:r w:rsidR="00C25E2C">
        <w:t xml:space="preserve"> </w:t>
      </w:r>
      <w:r>
        <w:t xml:space="preserve">buildings and overcrowded and outdated classrooms </w:t>
      </w:r>
      <w:r w:rsidR="00D229BE">
        <w:t>are not conducive to student</w:t>
      </w:r>
      <w:r>
        <w:t xml:space="preserve"> learning</w:t>
      </w:r>
      <w:r w:rsidRPr="00BA3A76">
        <w:t>.</w:t>
      </w:r>
      <w:r>
        <w:t xml:space="preserve">  Limited accessibility, distracting movement and noise in classrooms, walking </w:t>
      </w:r>
      <w:r w:rsidR="00D229BE">
        <w:t xml:space="preserve">to and </w:t>
      </w:r>
      <w:r>
        <w:t xml:space="preserve">from rented classrooms in the neighborhood, and limited technology also affect learning.  And the slow pace of new and renovated schools </w:t>
      </w:r>
      <w:r w:rsidR="00197BAC">
        <w:t xml:space="preserve">compromises appropriate </w:t>
      </w:r>
      <w:r>
        <w:t xml:space="preserve">updating </w:t>
      </w:r>
      <w:r w:rsidR="00197BAC">
        <w:t xml:space="preserve">of </w:t>
      </w:r>
      <w:r>
        <w:t>facilities.</w:t>
      </w:r>
    </w:p>
    <w:p w:rsidR="006F4D8A" w:rsidRPr="007B40D3" w:rsidRDefault="006F4D8A" w:rsidP="00EC70B2">
      <w:pPr>
        <w:tabs>
          <w:tab w:val="left" w:pos="0"/>
          <w:tab w:val="left" w:pos="720"/>
          <w:tab w:val="left" w:pos="1080"/>
          <w:tab w:val="left" w:pos="1440"/>
          <w:tab w:val="left" w:pos="1800"/>
          <w:tab w:val="left" w:pos="2160"/>
        </w:tabs>
      </w:pPr>
    </w:p>
    <w:p w:rsidR="00050C2F" w:rsidRPr="007B40D3" w:rsidRDefault="00050C2F" w:rsidP="00050C2F">
      <w:pPr>
        <w:tabs>
          <w:tab w:val="left" w:pos="360"/>
          <w:tab w:val="left" w:pos="720"/>
          <w:tab w:val="left" w:pos="1080"/>
          <w:tab w:val="left" w:pos="1440"/>
          <w:tab w:val="left" w:pos="1800"/>
          <w:tab w:val="left" w:pos="2160"/>
        </w:tabs>
        <w:rPr>
          <w:b/>
          <w:sz w:val="28"/>
          <w:szCs w:val="28"/>
        </w:rPr>
      </w:pPr>
      <w:r w:rsidRPr="00224D0A">
        <w:rPr>
          <w:b/>
          <w:sz w:val="28"/>
          <w:szCs w:val="28"/>
        </w:rPr>
        <w:t>Recommendation</w:t>
      </w:r>
    </w:p>
    <w:p w:rsidR="00050C2F" w:rsidRPr="00210D16" w:rsidRDefault="00050C2F" w:rsidP="00386849">
      <w:pPr>
        <w:pStyle w:val="ListParagraph"/>
        <w:numPr>
          <w:ilvl w:val="6"/>
          <w:numId w:val="12"/>
        </w:numPr>
        <w:tabs>
          <w:tab w:val="left" w:pos="360"/>
          <w:tab w:val="left" w:pos="720"/>
          <w:tab w:val="left" w:pos="1080"/>
          <w:tab w:val="left" w:pos="1440"/>
          <w:tab w:val="left" w:pos="1800"/>
        </w:tabs>
        <w:ind w:left="360"/>
        <w:contextualSpacing w:val="0"/>
        <w:rPr>
          <w:b/>
          <w:i/>
        </w:rPr>
      </w:pPr>
      <w:r>
        <w:rPr>
          <w:b/>
        </w:rPr>
        <w:t>The district</w:t>
      </w:r>
      <w:r w:rsidR="007527C0">
        <w:rPr>
          <w:b/>
        </w:rPr>
        <w:t>,</w:t>
      </w:r>
      <w:r>
        <w:rPr>
          <w:b/>
        </w:rPr>
        <w:t xml:space="preserve"> </w:t>
      </w:r>
      <w:r w:rsidR="007527C0">
        <w:rPr>
          <w:b/>
        </w:rPr>
        <w:t xml:space="preserve">in collaboration </w:t>
      </w:r>
      <w:r>
        <w:rPr>
          <w:b/>
        </w:rPr>
        <w:t>with</w:t>
      </w:r>
      <w:r w:rsidR="00EC70B2">
        <w:rPr>
          <w:b/>
        </w:rPr>
        <w:t xml:space="preserve"> the city</w:t>
      </w:r>
      <w:r w:rsidR="007527C0">
        <w:rPr>
          <w:b/>
        </w:rPr>
        <w:t>,</w:t>
      </w:r>
      <w:r w:rsidR="00EC70B2">
        <w:rPr>
          <w:b/>
        </w:rPr>
        <w:t xml:space="preserve"> should prepare a long-</w:t>
      </w:r>
      <w:r>
        <w:rPr>
          <w:b/>
        </w:rPr>
        <w:t>range plan for upgrading and renovating its schools and a plan for funding the projects</w:t>
      </w:r>
      <w:r w:rsidRPr="00210D16">
        <w:rPr>
          <w:b/>
        </w:rPr>
        <w:t xml:space="preserve">. </w:t>
      </w:r>
    </w:p>
    <w:p w:rsidR="00050C2F" w:rsidRDefault="00B67CBD" w:rsidP="00B67CBD">
      <w:pPr>
        <w:tabs>
          <w:tab w:val="left" w:pos="360"/>
          <w:tab w:val="left" w:pos="720"/>
          <w:tab w:val="left" w:pos="1080"/>
          <w:tab w:val="left" w:pos="1440"/>
          <w:tab w:val="left" w:pos="1800"/>
          <w:tab w:val="left" w:pos="2160"/>
        </w:tabs>
        <w:ind w:left="720" w:hanging="360"/>
      </w:pPr>
      <w:r w:rsidRPr="00B67CBD">
        <w:rPr>
          <w:b/>
        </w:rPr>
        <w:t>A.</w:t>
      </w:r>
      <w:r>
        <w:t xml:space="preserve">   </w:t>
      </w:r>
      <w:r w:rsidR="00050C2F">
        <w:t>The district</w:t>
      </w:r>
      <w:r w:rsidR="007527C0">
        <w:t>’s</w:t>
      </w:r>
      <w:r w:rsidR="00050C2F">
        <w:t xml:space="preserve"> facilities master plan, currently being prepared by a</w:t>
      </w:r>
      <w:r w:rsidR="007527C0">
        <w:t>n</w:t>
      </w:r>
      <w:r w:rsidR="00050C2F">
        <w:t xml:space="preserve"> architectural firm, is an</w:t>
      </w:r>
      <w:r w:rsidR="00EC70B2">
        <w:t xml:space="preserve"> important first step to a long-</w:t>
      </w:r>
      <w:r w:rsidR="00050C2F">
        <w:t>range plan for its school buildings</w:t>
      </w:r>
      <w:r w:rsidR="00050C2F" w:rsidRPr="00210D16">
        <w:t xml:space="preserve">. </w:t>
      </w:r>
    </w:p>
    <w:p w:rsidR="00B67CBD" w:rsidRDefault="00B67CBD" w:rsidP="00B67CBD">
      <w:pPr>
        <w:tabs>
          <w:tab w:val="left" w:pos="360"/>
          <w:tab w:val="left" w:pos="720"/>
          <w:tab w:val="left" w:pos="1080"/>
          <w:tab w:val="left" w:pos="1440"/>
          <w:tab w:val="left" w:pos="1800"/>
          <w:tab w:val="left" w:pos="2160"/>
        </w:tabs>
        <w:ind w:left="1080" w:hanging="360"/>
      </w:pPr>
      <w:r>
        <w:t xml:space="preserve">1.  </w:t>
      </w:r>
      <w:r w:rsidR="007527C0">
        <w:tab/>
      </w:r>
      <w:r w:rsidR="00050C2F">
        <w:t>The master plan should include an assessment of the educational and building needs of all the schools along with recommended repairs, renovations, and replacements of the buildings</w:t>
      </w:r>
      <w:r w:rsidR="007527C0">
        <w:t>,</w:t>
      </w:r>
      <w:r w:rsidR="00050C2F">
        <w:t xml:space="preserve"> estimated costs</w:t>
      </w:r>
      <w:r w:rsidR="007527C0">
        <w:t>, and a reasonable schedule for them</w:t>
      </w:r>
      <w:r w:rsidR="00050C2F">
        <w:t>.</w:t>
      </w:r>
    </w:p>
    <w:p w:rsidR="00050C2F" w:rsidRDefault="00B67CBD" w:rsidP="00B67CBD">
      <w:pPr>
        <w:tabs>
          <w:tab w:val="left" w:pos="360"/>
          <w:tab w:val="left" w:pos="720"/>
          <w:tab w:val="left" w:pos="1080"/>
          <w:tab w:val="left" w:pos="1440"/>
          <w:tab w:val="left" w:pos="1800"/>
          <w:tab w:val="left" w:pos="2160"/>
        </w:tabs>
        <w:ind w:left="720" w:hanging="360"/>
      </w:pPr>
      <w:r w:rsidRPr="00B67CBD">
        <w:rPr>
          <w:b/>
        </w:rPr>
        <w:t>B.</w:t>
      </w:r>
      <w:r>
        <w:t xml:space="preserve">  </w:t>
      </w:r>
      <w:r w:rsidR="007527C0">
        <w:tab/>
      </w:r>
      <w:r w:rsidR="00050C2F">
        <w:t xml:space="preserve">City officials as well as school committee members should be involved in the development of a </w:t>
      </w:r>
      <w:r w:rsidR="007527C0">
        <w:t>long-</w:t>
      </w:r>
      <w:r w:rsidR="00050C2F">
        <w:t>range funding plan for school building needs</w:t>
      </w:r>
      <w:r w:rsidR="00050C2F" w:rsidRPr="00210D16">
        <w:t>.</w:t>
      </w:r>
    </w:p>
    <w:p w:rsidR="00B67CBD" w:rsidRDefault="00B67CBD" w:rsidP="00B67CBD">
      <w:pPr>
        <w:tabs>
          <w:tab w:val="left" w:pos="360"/>
          <w:tab w:val="left" w:pos="1080"/>
          <w:tab w:val="left" w:pos="1440"/>
          <w:tab w:val="left" w:pos="1800"/>
          <w:tab w:val="left" w:pos="2160"/>
        </w:tabs>
        <w:ind w:left="1080" w:hanging="360"/>
      </w:pPr>
      <w:r>
        <w:t>1.</w:t>
      </w:r>
      <w:r>
        <w:tab/>
      </w:r>
      <w:r w:rsidR="00050C2F">
        <w:t xml:space="preserve">The </w:t>
      </w:r>
      <w:r w:rsidR="007527C0">
        <w:t>long-</w:t>
      </w:r>
      <w:r w:rsidR="00050C2F">
        <w:t xml:space="preserve">range funding plan can be done in conjunction with </w:t>
      </w:r>
      <w:r w:rsidR="007527C0">
        <w:t>a plan for long-</w:t>
      </w:r>
      <w:r w:rsidR="00050C2F">
        <w:t>range needs for other city facilities, perhaps in conjunction with the city’s current capital plan.</w:t>
      </w:r>
    </w:p>
    <w:p w:rsidR="00B67CBD" w:rsidRDefault="00B67CBD" w:rsidP="00B67CBD">
      <w:pPr>
        <w:tabs>
          <w:tab w:val="left" w:pos="360"/>
          <w:tab w:val="left" w:pos="1080"/>
          <w:tab w:val="left" w:pos="1440"/>
          <w:tab w:val="left" w:pos="1800"/>
          <w:tab w:val="left" w:pos="2160"/>
        </w:tabs>
        <w:ind w:left="1080" w:hanging="360"/>
      </w:pPr>
      <w:r>
        <w:t>2.</w:t>
      </w:r>
      <w:r>
        <w:tab/>
      </w:r>
      <w:r w:rsidR="00050C2F">
        <w:t>Funding must take into account the bonding capacity of the city as well as building and educational needs.</w:t>
      </w:r>
    </w:p>
    <w:p w:rsidR="00050C2F" w:rsidRDefault="00050C2F" w:rsidP="00050C2F">
      <w:pPr>
        <w:tabs>
          <w:tab w:val="left" w:pos="360"/>
          <w:tab w:val="left" w:pos="720"/>
          <w:tab w:val="left" w:pos="1080"/>
          <w:tab w:val="left" w:pos="1440"/>
          <w:tab w:val="left" w:pos="1800"/>
          <w:tab w:val="left" w:pos="2160"/>
        </w:tabs>
      </w:pPr>
      <w:r w:rsidRPr="00802336">
        <w:rPr>
          <w:b/>
        </w:rPr>
        <w:t>Benefits</w:t>
      </w:r>
      <w:r w:rsidR="00C55B6A">
        <w:rPr>
          <w:b/>
        </w:rPr>
        <w:t>:</w:t>
      </w:r>
      <w:r w:rsidRPr="00870959">
        <w:t xml:space="preserve"> </w:t>
      </w:r>
      <w:r w:rsidR="00C55B6A">
        <w:t>I</w:t>
      </w:r>
      <w:r w:rsidRPr="00870959">
        <w:t>mplementing thi</w:t>
      </w:r>
      <w:r>
        <w:t xml:space="preserve">s recommendation will </w:t>
      </w:r>
      <w:r w:rsidR="00C55B6A">
        <w:t>mean sound planning practices that will ensure that safe, appropriate, and adequate learning environments are available to all Worcester’s students and staff.</w:t>
      </w:r>
    </w:p>
    <w:p w:rsidR="00274F77" w:rsidRDefault="00274F77" w:rsidP="00050C2F">
      <w:pPr>
        <w:tabs>
          <w:tab w:val="left" w:pos="360"/>
          <w:tab w:val="left" w:pos="720"/>
          <w:tab w:val="left" w:pos="1080"/>
          <w:tab w:val="left" w:pos="1440"/>
          <w:tab w:val="left" w:pos="1800"/>
          <w:tab w:val="left" w:pos="2160"/>
        </w:tabs>
      </w:pPr>
    </w:p>
    <w:p w:rsidR="00050C2F" w:rsidRDefault="00050C2F" w:rsidP="00050C2F">
      <w:pPr>
        <w:tabs>
          <w:tab w:val="left" w:pos="360"/>
          <w:tab w:val="left" w:pos="720"/>
          <w:tab w:val="left" w:pos="1080"/>
          <w:tab w:val="left" w:pos="1800"/>
          <w:tab w:val="left" w:pos="2160"/>
        </w:tabs>
        <w:rPr>
          <w:b/>
        </w:rPr>
      </w:pPr>
      <w:r w:rsidRPr="001D4EB6">
        <w:rPr>
          <w:b/>
        </w:rPr>
        <w:lastRenderedPageBreak/>
        <w:t>Recommended resources:</w:t>
      </w:r>
    </w:p>
    <w:p w:rsidR="00050C2F" w:rsidRPr="00910462" w:rsidRDefault="00050C2F" w:rsidP="00216AD2">
      <w:pPr>
        <w:pStyle w:val="ListParagraph"/>
        <w:numPr>
          <w:ilvl w:val="0"/>
          <w:numId w:val="32"/>
        </w:numPr>
        <w:tabs>
          <w:tab w:val="clear" w:pos="216"/>
          <w:tab w:val="num" w:pos="720"/>
        </w:tabs>
        <w:ind w:left="360"/>
        <w:contextualSpacing w:val="0"/>
        <w:rPr>
          <w:rFonts w:cs="Calibri"/>
        </w:rPr>
      </w:pPr>
      <w:r w:rsidRPr="00910462">
        <w:rPr>
          <w:rFonts w:cs="Calibri"/>
        </w:rPr>
        <w:t xml:space="preserve">ESE’s </w:t>
      </w:r>
      <w:r w:rsidRPr="00910462">
        <w:rPr>
          <w:rFonts w:cs="Calibri"/>
          <w:i/>
        </w:rPr>
        <w:t>School Building Issues</w:t>
      </w:r>
      <w:r w:rsidRPr="00910462">
        <w:rPr>
          <w:rFonts w:cs="Calibri"/>
        </w:rPr>
        <w:t xml:space="preserve"> web page (</w:t>
      </w:r>
      <w:hyperlink r:id="rId39" w:history="1">
        <w:r w:rsidRPr="00910462">
          <w:rPr>
            <w:rStyle w:val="Hyperlink"/>
            <w:rFonts w:cs="Calibri"/>
          </w:rPr>
          <w:t>http://www.doe.mass.edu/finance/sbuilding/</w:t>
        </w:r>
      </w:hyperlink>
      <w:r w:rsidRPr="00910462">
        <w:rPr>
          <w:rFonts w:cs="Calibri"/>
        </w:rPr>
        <w:t>) includes funding opportunities, guidelines, and resources related to school buildings.</w:t>
      </w:r>
    </w:p>
    <w:p w:rsidR="00050C2F" w:rsidRPr="00DB179D" w:rsidRDefault="00050C2F" w:rsidP="00216AD2">
      <w:pPr>
        <w:pStyle w:val="NormalWeb"/>
        <w:numPr>
          <w:ilvl w:val="0"/>
          <w:numId w:val="32"/>
        </w:numPr>
        <w:tabs>
          <w:tab w:val="clear" w:pos="216"/>
          <w:tab w:val="num" w:pos="720"/>
        </w:tabs>
        <w:spacing w:before="0" w:beforeAutospacing="0" w:after="200" w:afterAutospacing="0" w:line="276" w:lineRule="auto"/>
        <w:ind w:left="360"/>
        <w:rPr>
          <w:rFonts w:asciiTheme="minorHAnsi" w:hAnsiTheme="minorHAnsi"/>
          <w:sz w:val="22"/>
          <w:szCs w:val="22"/>
        </w:rPr>
      </w:pPr>
      <w:r w:rsidRPr="00910462">
        <w:rPr>
          <w:rFonts w:asciiTheme="minorHAnsi" w:hAnsiTheme="minorHAnsi"/>
          <w:bCs/>
          <w:i/>
          <w:sz w:val="22"/>
          <w:szCs w:val="22"/>
        </w:rPr>
        <w:t xml:space="preserve">Planning Guide for Maintaining School Facilities </w:t>
      </w:r>
      <w:r w:rsidRPr="00910462">
        <w:rPr>
          <w:rFonts w:asciiTheme="minorHAnsi" w:hAnsiTheme="minorHAnsi"/>
          <w:bCs/>
          <w:sz w:val="22"/>
          <w:szCs w:val="22"/>
        </w:rPr>
        <w:t>(</w:t>
      </w:r>
      <w:hyperlink r:id="rId40" w:history="1">
        <w:r w:rsidRPr="00910462">
          <w:rPr>
            <w:rStyle w:val="Hyperlink"/>
            <w:rFonts w:asciiTheme="minorHAnsi" w:hAnsiTheme="minorHAnsi"/>
            <w:sz w:val="22"/>
            <w:szCs w:val="22"/>
          </w:rPr>
          <w:t>http://nces.ed.gov/pubsearch/pubsinfo.asp?pubid=2003347</w:t>
        </w:r>
      </w:hyperlink>
      <w:r w:rsidRPr="00910462">
        <w:rPr>
          <w:rFonts w:asciiTheme="minorHAnsi" w:hAnsiTheme="minorHAnsi"/>
          <w:sz w:val="22"/>
          <w:szCs w:val="22"/>
        </w:rPr>
        <w:t xml:space="preserve">), from the National Center for Education Statistics, is intended to help school districts plan for efficient and effective operations. It addresses various topics, including conducting a facilities audit, planning and evaluating maintenance, and managing staff and contractors. </w:t>
      </w:r>
    </w:p>
    <w:p w:rsidR="00050C2F" w:rsidRPr="00DB179D" w:rsidRDefault="00050C2F" w:rsidP="00216AD2">
      <w:pPr>
        <w:pStyle w:val="NormalWeb"/>
        <w:numPr>
          <w:ilvl w:val="0"/>
          <w:numId w:val="32"/>
        </w:numPr>
        <w:tabs>
          <w:tab w:val="clear" w:pos="216"/>
          <w:tab w:val="num" w:pos="720"/>
        </w:tabs>
        <w:spacing w:before="0" w:beforeAutospacing="0" w:after="200" w:afterAutospacing="0" w:line="276" w:lineRule="auto"/>
        <w:ind w:left="360"/>
        <w:rPr>
          <w:rFonts w:asciiTheme="minorHAnsi" w:hAnsiTheme="minorHAnsi"/>
          <w:sz w:val="22"/>
          <w:szCs w:val="22"/>
        </w:rPr>
      </w:pPr>
      <w:r w:rsidRPr="00910462">
        <w:rPr>
          <w:rFonts w:asciiTheme="minorHAnsi" w:hAnsiTheme="minorHAnsi"/>
          <w:bCs/>
          <w:i/>
          <w:sz w:val="22"/>
          <w:szCs w:val="22"/>
        </w:rPr>
        <w:t>The Massachusetts School Checklist</w:t>
      </w:r>
      <w:r w:rsidRPr="00910462">
        <w:rPr>
          <w:rFonts w:asciiTheme="minorHAnsi" w:hAnsiTheme="minorHAnsi"/>
          <w:bCs/>
          <w:sz w:val="22"/>
          <w:szCs w:val="22"/>
        </w:rPr>
        <w:t xml:space="preserve"> (</w:t>
      </w:r>
      <w:hyperlink r:id="rId41" w:history="1">
        <w:r w:rsidRPr="00910462">
          <w:rPr>
            <w:rStyle w:val="Hyperlink"/>
            <w:rFonts w:asciiTheme="minorHAnsi" w:hAnsiTheme="minorHAnsi"/>
            <w:sz w:val="22"/>
            <w:szCs w:val="22"/>
          </w:rPr>
          <w:t>http://www.mass.gov/eohhs/gov/departments/dph/programs/environmental-health/exposure-topics/iaq/iaq-methods/the-mass-school-checklist.html</w:t>
        </w:r>
      </w:hyperlink>
      <w:r w:rsidRPr="00910462">
        <w:rPr>
          <w:rFonts w:asciiTheme="minorHAnsi" w:hAnsiTheme="minorHAnsi"/>
          <w:bCs/>
          <w:sz w:val="22"/>
          <w:szCs w:val="22"/>
        </w:rPr>
        <w:t>) is a list of the most important environmental health and safety issues for schools to address.</w:t>
      </w:r>
      <w:r w:rsidRPr="00910462" w:rsidDel="005807E2">
        <w:rPr>
          <w:rFonts w:asciiTheme="minorHAnsi" w:hAnsiTheme="minorHAnsi"/>
          <w:bCs/>
          <w:sz w:val="22"/>
          <w:szCs w:val="22"/>
        </w:rPr>
        <w:t xml:space="preserve"> </w:t>
      </w:r>
      <w:r w:rsidRPr="00910462">
        <w:rPr>
          <w:rFonts w:asciiTheme="minorHAnsi" w:hAnsiTheme="minorHAnsi"/>
          <w:bCs/>
          <w:sz w:val="22"/>
          <w:szCs w:val="22"/>
        </w:rPr>
        <w:t>It includes regulations and industry standards/guidelines related to elements on the checklist, as well as additional resources.</w:t>
      </w:r>
    </w:p>
    <w:p w:rsidR="00B67CBD" w:rsidRDefault="00050C2F" w:rsidP="00216AD2">
      <w:pPr>
        <w:pStyle w:val="NormalWeb"/>
        <w:numPr>
          <w:ilvl w:val="0"/>
          <w:numId w:val="32"/>
        </w:numPr>
        <w:tabs>
          <w:tab w:val="clear" w:pos="216"/>
          <w:tab w:val="num" w:pos="720"/>
        </w:tabs>
        <w:spacing w:before="0" w:beforeAutospacing="0" w:after="200" w:afterAutospacing="0" w:line="276" w:lineRule="auto"/>
        <w:ind w:left="360"/>
        <w:rPr>
          <w:rFonts w:ascii="Calibri" w:hAnsi="Calibri"/>
          <w:sz w:val="22"/>
          <w:szCs w:val="22"/>
        </w:rPr>
      </w:pPr>
      <w:r w:rsidRPr="00910462">
        <w:rPr>
          <w:rFonts w:ascii="Calibri" w:hAnsi="Calibri"/>
          <w:sz w:val="22"/>
          <w:szCs w:val="22"/>
        </w:rPr>
        <w:t xml:space="preserve">The Green Ribbon Schools Award honors schools that are exemplary in reducing environmental impact and costs, improving the health and wellness of students and staff, and delivering effective environmental and sustainability education. The district might find several related resources useful, including Massachusetts’ </w:t>
      </w:r>
      <w:r w:rsidRPr="00910462">
        <w:rPr>
          <w:rFonts w:ascii="Calibri" w:hAnsi="Calibri"/>
          <w:i/>
          <w:sz w:val="22"/>
          <w:szCs w:val="22"/>
        </w:rPr>
        <w:t xml:space="preserve">Green Ribbon Schools Award Resource Guide </w:t>
      </w:r>
      <w:r w:rsidRPr="00910462">
        <w:rPr>
          <w:rFonts w:ascii="Calibri" w:hAnsi="Calibri"/>
          <w:sz w:val="22"/>
          <w:szCs w:val="22"/>
        </w:rPr>
        <w:t>(</w:t>
      </w:r>
      <w:hyperlink r:id="rId42" w:history="1">
        <w:r w:rsidRPr="00910462">
          <w:rPr>
            <w:rStyle w:val="Hyperlink"/>
            <w:rFonts w:asciiTheme="minorHAnsi" w:hAnsiTheme="minorHAnsi"/>
            <w:sz w:val="22"/>
            <w:szCs w:val="22"/>
          </w:rPr>
          <w:t>http://www.doe.mass.edu/finance/sbuilding/GreenRibbon/ResourcesGuide.pdf</w:t>
        </w:r>
      </w:hyperlink>
      <w:r w:rsidRPr="00910462">
        <w:rPr>
          <w:rFonts w:ascii="Calibri" w:hAnsi="Calibri"/>
          <w:sz w:val="22"/>
          <w:szCs w:val="22"/>
        </w:rPr>
        <w:t xml:space="preserve">) and the US Department of Education’s </w:t>
      </w:r>
      <w:r w:rsidRPr="00910462">
        <w:rPr>
          <w:rFonts w:ascii="Calibri" w:hAnsi="Calibri"/>
          <w:i/>
          <w:sz w:val="22"/>
          <w:szCs w:val="22"/>
        </w:rPr>
        <w:t>Green Strides</w:t>
      </w:r>
      <w:r w:rsidRPr="00910462">
        <w:rPr>
          <w:rFonts w:ascii="Calibri" w:hAnsi="Calibri"/>
          <w:sz w:val="22"/>
          <w:szCs w:val="22"/>
        </w:rPr>
        <w:t xml:space="preserve"> resource list (</w:t>
      </w:r>
      <w:hyperlink r:id="rId43" w:history="1">
        <w:r w:rsidRPr="00910462">
          <w:rPr>
            <w:rStyle w:val="Hyperlink"/>
            <w:rFonts w:asciiTheme="minorHAnsi" w:hAnsiTheme="minorHAnsi"/>
            <w:sz w:val="22"/>
            <w:szCs w:val="22"/>
          </w:rPr>
          <w:t>http://www2.ed.gov/about/inits/ed/green-strides/resources.html</w:t>
        </w:r>
      </w:hyperlink>
      <w:r w:rsidRPr="00910462">
        <w:rPr>
          <w:rFonts w:ascii="Calibri" w:hAnsi="Calibri"/>
          <w:sz w:val="22"/>
          <w:szCs w:val="22"/>
        </w:rPr>
        <w:t>).</w:t>
      </w:r>
    </w:p>
    <w:p w:rsidR="00050C2F" w:rsidRPr="00B67CBD" w:rsidRDefault="00050C2F" w:rsidP="00216AD2">
      <w:pPr>
        <w:pStyle w:val="NormalWeb"/>
        <w:numPr>
          <w:ilvl w:val="0"/>
          <w:numId w:val="32"/>
        </w:numPr>
        <w:tabs>
          <w:tab w:val="clear" w:pos="216"/>
          <w:tab w:val="num" w:pos="720"/>
        </w:tabs>
        <w:spacing w:before="0" w:beforeAutospacing="0" w:after="200" w:afterAutospacing="0" w:line="276" w:lineRule="auto"/>
        <w:ind w:left="360"/>
        <w:rPr>
          <w:rFonts w:ascii="Calibri" w:hAnsi="Calibri"/>
          <w:sz w:val="22"/>
          <w:szCs w:val="22"/>
        </w:rPr>
      </w:pPr>
      <w:r w:rsidRPr="00B67CBD">
        <w:rPr>
          <w:rFonts w:asciiTheme="minorHAnsi" w:hAnsiTheme="minorHAnsi"/>
          <w:sz w:val="22"/>
          <w:szCs w:val="22"/>
        </w:rPr>
        <w:t>MassEnergyInsight (</w:t>
      </w:r>
      <w:hyperlink r:id="rId44" w:history="1">
        <w:r w:rsidRPr="00B67CBD">
          <w:rPr>
            <w:rStyle w:val="Hyperlink"/>
            <w:rFonts w:asciiTheme="minorHAnsi" w:hAnsiTheme="minorHAnsi"/>
            <w:sz w:val="22"/>
            <w:szCs w:val="22"/>
          </w:rPr>
          <w:t>https://www.massenergyinsight.net/home</w:t>
        </w:r>
      </w:hyperlink>
      <w:r w:rsidRPr="00B67CBD">
        <w:rPr>
          <w:rFonts w:asciiTheme="minorHAnsi" w:hAnsiTheme="minorHAnsi"/>
          <w:sz w:val="22"/>
          <w:szCs w:val="22"/>
        </w:rPr>
        <w:t>) is a free, web-based tool made available by the Massachusetts</w:t>
      </w:r>
      <w:r w:rsidRPr="00B67CBD">
        <w:rPr>
          <w:rFonts w:ascii="Calibri" w:hAnsi="Calibri"/>
          <w:sz w:val="22"/>
          <w:szCs w:val="22"/>
        </w:rPr>
        <w:t xml:space="preserve"> Department of Energy Resources as part of the Massachusetts Green Communities Program. The tool is designed to help communities learn about and monitor energy use and related costs, plan energy efficiency programs, and communicate this information. </w:t>
      </w:r>
      <w:r w:rsidRPr="00B67CBD">
        <w:rPr>
          <w:rFonts w:asciiTheme="minorHAnsi" w:hAnsiTheme="minorHAnsi" w:cs="Calibri"/>
          <w:sz w:val="22"/>
          <w:szCs w:val="22"/>
        </w:rPr>
        <w:t xml:space="preserve"> </w:t>
      </w:r>
    </w:p>
    <w:p w:rsidR="00050C2F" w:rsidRDefault="00050C2F" w:rsidP="00050C2F">
      <w:pPr>
        <w:tabs>
          <w:tab w:val="left" w:pos="360"/>
          <w:tab w:val="left" w:pos="720"/>
          <w:tab w:val="left" w:pos="1080"/>
          <w:tab w:val="left" w:pos="1800"/>
          <w:tab w:val="left" w:pos="2160"/>
        </w:tabs>
        <w:rPr>
          <w:b/>
        </w:rPr>
      </w:pPr>
    </w:p>
    <w:p w:rsidR="00050C2F" w:rsidRDefault="00050C2F" w:rsidP="00050C2F"/>
    <w:p w:rsidR="00342350" w:rsidRPr="00050C2F" w:rsidRDefault="00342350" w:rsidP="00342350"/>
    <w:p w:rsidR="008E314D" w:rsidRPr="00BA0701" w:rsidRDefault="008E314D" w:rsidP="002A36F3">
      <w:pPr>
        <w:pStyle w:val="Section"/>
        <w:rPr>
          <w:szCs w:val="36"/>
        </w:rPr>
      </w:pPr>
      <w:bookmarkStart w:id="16" w:name="_Toc273777167"/>
      <w:bookmarkStart w:id="17" w:name="_Toc277066425"/>
      <w:bookmarkStart w:id="18" w:name="_Toc337817149"/>
      <w:bookmarkStart w:id="19" w:name="_Toc484611578"/>
      <w:bookmarkEnd w:id="10"/>
      <w:r w:rsidRPr="00BA0701">
        <w:rPr>
          <w:szCs w:val="36"/>
        </w:rPr>
        <w:lastRenderedPageBreak/>
        <w:t xml:space="preserve">Appendix A: Review </w:t>
      </w:r>
      <w:bookmarkEnd w:id="16"/>
      <w:bookmarkEnd w:id="17"/>
      <w:bookmarkEnd w:id="18"/>
      <w:r w:rsidRPr="00BA0701">
        <w:rPr>
          <w:szCs w:val="36"/>
        </w:rPr>
        <w:t>Team, Activities, Schedule, Site Visit</w:t>
      </w:r>
      <w:bookmarkEnd w:id="19"/>
    </w:p>
    <w:p w:rsidR="008E314D" w:rsidRPr="00BA0701" w:rsidRDefault="008E314D" w:rsidP="008E314D">
      <w:pPr>
        <w:pStyle w:val="Subsection2"/>
        <w:tabs>
          <w:tab w:val="left" w:pos="360"/>
          <w:tab w:val="left" w:pos="720"/>
          <w:tab w:val="left" w:pos="1080"/>
          <w:tab w:val="left" w:pos="1440"/>
          <w:tab w:val="left" w:pos="1800"/>
          <w:tab w:val="left" w:pos="2160"/>
          <w:tab w:val="left" w:pos="2520"/>
          <w:tab w:val="left" w:pos="2880"/>
        </w:tabs>
        <w:rPr>
          <w:sz w:val="28"/>
          <w:szCs w:val="28"/>
        </w:rPr>
      </w:pPr>
      <w:r w:rsidRPr="00BA0701">
        <w:rPr>
          <w:sz w:val="28"/>
          <w:szCs w:val="28"/>
        </w:rPr>
        <w:t>Review Team Members</w:t>
      </w:r>
    </w:p>
    <w:p w:rsidR="008E314D" w:rsidRPr="00F04EDB" w:rsidRDefault="008E314D" w:rsidP="008E314D">
      <w:pPr>
        <w:tabs>
          <w:tab w:val="left" w:pos="360"/>
          <w:tab w:val="left" w:pos="720"/>
          <w:tab w:val="left" w:pos="1080"/>
          <w:tab w:val="left" w:pos="1440"/>
          <w:tab w:val="left" w:pos="1800"/>
          <w:tab w:val="left" w:pos="2160"/>
          <w:tab w:val="left" w:pos="2520"/>
          <w:tab w:val="left" w:pos="2880"/>
        </w:tabs>
      </w:pPr>
      <w:r w:rsidRPr="00F04EDB">
        <w:t xml:space="preserve">The review was </w:t>
      </w:r>
      <w:r w:rsidRPr="00BA0701">
        <w:t xml:space="preserve">conducted from </w:t>
      </w:r>
      <w:r w:rsidR="00BA0701" w:rsidRPr="00BA0701">
        <w:t xml:space="preserve">January </w:t>
      </w:r>
      <w:r w:rsidR="00EC70B2">
        <w:t>2</w:t>
      </w:r>
      <w:r w:rsidR="00BA0701" w:rsidRPr="00BA0701">
        <w:t>3</w:t>
      </w:r>
      <w:r w:rsidR="00B202C3">
        <w:t>–</w:t>
      </w:r>
      <w:r w:rsidR="00BA0701" w:rsidRPr="00BA0701">
        <w:t>27, 2017</w:t>
      </w:r>
      <w:r w:rsidR="00C45AC3">
        <w:t>,</w:t>
      </w:r>
      <w:r w:rsidRPr="00BA0701">
        <w:t xml:space="preserve"> by</w:t>
      </w:r>
      <w:r w:rsidRPr="00F04EDB">
        <w:t xml:space="preserve"> the following team of independent ESE consultants. </w:t>
      </w:r>
    </w:p>
    <w:p w:rsidR="008E314D" w:rsidRPr="00BA0701" w:rsidRDefault="00BA0701" w:rsidP="008E314D">
      <w:pPr>
        <w:numPr>
          <w:ilvl w:val="0"/>
          <w:numId w:val="1"/>
        </w:numPr>
        <w:tabs>
          <w:tab w:val="left" w:pos="360"/>
          <w:tab w:val="left" w:pos="720"/>
          <w:tab w:val="left" w:pos="1080"/>
          <w:tab w:val="left" w:pos="1440"/>
          <w:tab w:val="left" w:pos="1800"/>
          <w:tab w:val="left" w:pos="2160"/>
          <w:tab w:val="left" w:pos="2520"/>
          <w:tab w:val="left" w:pos="2880"/>
        </w:tabs>
        <w:ind w:left="0" w:firstLine="0"/>
      </w:pPr>
      <w:r w:rsidRPr="00BA0701">
        <w:t>Karla Brooks Baehr, Ed. D.</w:t>
      </w:r>
      <w:r w:rsidR="008E314D" w:rsidRPr="00BA0701">
        <w:t xml:space="preserve">, leadership and governance </w:t>
      </w:r>
    </w:p>
    <w:p w:rsidR="008E314D" w:rsidRPr="00BA0701" w:rsidRDefault="00BA0701" w:rsidP="008E314D">
      <w:pPr>
        <w:numPr>
          <w:ilvl w:val="0"/>
          <w:numId w:val="1"/>
        </w:numPr>
        <w:tabs>
          <w:tab w:val="left" w:pos="360"/>
          <w:tab w:val="left" w:pos="720"/>
          <w:tab w:val="left" w:pos="1080"/>
          <w:tab w:val="left" w:pos="1440"/>
          <w:tab w:val="left" w:pos="1800"/>
          <w:tab w:val="left" w:pos="2160"/>
          <w:tab w:val="left" w:pos="2520"/>
          <w:tab w:val="left" w:pos="2880"/>
        </w:tabs>
        <w:ind w:left="0" w:firstLine="0"/>
      </w:pPr>
      <w:r w:rsidRPr="00BA0701">
        <w:t>Michele Kingsland-Smith,</w:t>
      </w:r>
      <w:r w:rsidR="00A9708E">
        <w:t xml:space="preserve"> M. Ed.,</w:t>
      </w:r>
      <w:r w:rsidRPr="00BA0701">
        <w:t xml:space="preserve"> </w:t>
      </w:r>
      <w:r w:rsidR="008E314D" w:rsidRPr="00BA0701">
        <w:t xml:space="preserve">curriculum and instruction </w:t>
      </w:r>
    </w:p>
    <w:p w:rsidR="008E314D" w:rsidRPr="00BA0701" w:rsidRDefault="00BA0701" w:rsidP="008E314D">
      <w:pPr>
        <w:numPr>
          <w:ilvl w:val="0"/>
          <w:numId w:val="1"/>
        </w:numPr>
        <w:tabs>
          <w:tab w:val="left" w:pos="360"/>
          <w:tab w:val="left" w:pos="720"/>
          <w:tab w:val="left" w:pos="1080"/>
          <w:tab w:val="left" w:pos="1440"/>
          <w:tab w:val="left" w:pos="1800"/>
          <w:tab w:val="left" w:pos="2160"/>
          <w:tab w:val="left" w:pos="2520"/>
          <w:tab w:val="left" w:pos="2880"/>
        </w:tabs>
        <w:ind w:left="0" w:firstLine="0"/>
      </w:pPr>
      <w:r w:rsidRPr="00BA0701">
        <w:t>Linda L. Greyser, Ed. D.</w:t>
      </w:r>
      <w:r w:rsidR="008E314D" w:rsidRPr="00BA0701">
        <w:t>, assessment</w:t>
      </w:r>
      <w:r w:rsidRPr="00BA0701">
        <w:t xml:space="preserve"> and </w:t>
      </w:r>
      <w:r w:rsidR="0047041E" w:rsidRPr="0047041E">
        <w:rPr>
          <w:i/>
        </w:rPr>
        <w:t>review team coordinator</w:t>
      </w:r>
    </w:p>
    <w:p w:rsidR="008E314D" w:rsidRPr="00BA0701" w:rsidRDefault="00BA0701" w:rsidP="008E314D">
      <w:pPr>
        <w:numPr>
          <w:ilvl w:val="0"/>
          <w:numId w:val="1"/>
        </w:numPr>
        <w:tabs>
          <w:tab w:val="left" w:pos="360"/>
          <w:tab w:val="left" w:pos="720"/>
          <w:tab w:val="left" w:pos="1080"/>
          <w:tab w:val="left" w:pos="1440"/>
          <w:tab w:val="left" w:pos="1800"/>
          <w:tab w:val="left" w:pos="2160"/>
          <w:tab w:val="left" w:pos="2520"/>
          <w:tab w:val="left" w:pos="2880"/>
        </w:tabs>
        <w:ind w:left="0" w:firstLine="0"/>
      </w:pPr>
      <w:r w:rsidRPr="00BA0701">
        <w:t>Frank Sambuceti, Ph. D.</w:t>
      </w:r>
      <w:r w:rsidR="008E314D" w:rsidRPr="00BA0701">
        <w:t xml:space="preserve">, human resources and professional development </w:t>
      </w:r>
    </w:p>
    <w:p w:rsidR="008E314D" w:rsidRPr="00BA0701" w:rsidRDefault="00BA0701" w:rsidP="008E314D">
      <w:pPr>
        <w:numPr>
          <w:ilvl w:val="0"/>
          <w:numId w:val="1"/>
        </w:numPr>
        <w:tabs>
          <w:tab w:val="left" w:pos="360"/>
          <w:tab w:val="left" w:pos="720"/>
          <w:tab w:val="left" w:pos="1080"/>
          <w:tab w:val="left" w:pos="1440"/>
          <w:tab w:val="left" w:pos="1800"/>
          <w:tab w:val="left" w:pos="2160"/>
          <w:tab w:val="left" w:pos="2520"/>
          <w:tab w:val="left" w:pos="2880"/>
        </w:tabs>
        <w:ind w:left="0" w:firstLine="0"/>
      </w:pPr>
      <w:r w:rsidRPr="00BA0701">
        <w:t>Kristan Rodriguez, Ph. D.</w:t>
      </w:r>
      <w:r w:rsidR="008E314D" w:rsidRPr="00BA0701">
        <w:t xml:space="preserve">, student support </w:t>
      </w:r>
    </w:p>
    <w:p w:rsidR="008E314D" w:rsidRDefault="00BA0701" w:rsidP="008E314D">
      <w:pPr>
        <w:numPr>
          <w:ilvl w:val="0"/>
          <w:numId w:val="1"/>
        </w:numPr>
        <w:tabs>
          <w:tab w:val="left" w:pos="360"/>
          <w:tab w:val="left" w:pos="720"/>
          <w:tab w:val="left" w:pos="1080"/>
          <w:tab w:val="left" w:pos="1440"/>
          <w:tab w:val="left" w:pos="1800"/>
          <w:tab w:val="left" w:pos="2160"/>
          <w:tab w:val="left" w:pos="2520"/>
          <w:tab w:val="left" w:pos="2880"/>
        </w:tabs>
        <w:ind w:left="0" w:firstLine="0"/>
      </w:pPr>
      <w:r w:rsidRPr="00BA0701">
        <w:t>George Gearhart, Ed. D.</w:t>
      </w:r>
      <w:r w:rsidR="008E314D" w:rsidRPr="00BA0701">
        <w:t>,</w:t>
      </w:r>
      <w:r w:rsidR="008E314D" w:rsidRPr="00F04EDB">
        <w:t xml:space="preserve"> financial and asset management</w:t>
      </w:r>
    </w:p>
    <w:p w:rsidR="00A93828" w:rsidRDefault="00A93828" w:rsidP="008E314D">
      <w:pPr>
        <w:numPr>
          <w:ilvl w:val="0"/>
          <w:numId w:val="1"/>
        </w:numPr>
        <w:tabs>
          <w:tab w:val="left" w:pos="360"/>
          <w:tab w:val="left" w:pos="720"/>
          <w:tab w:val="left" w:pos="1080"/>
          <w:tab w:val="left" w:pos="1440"/>
          <w:tab w:val="left" w:pos="1800"/>
          <w:tab w:val="left" w:pos="2160"/>
          <w:tab w:val="left" w:pos="2520"/>
          <w:tab w:val="left" w:pos="2880"/>
        </w:tabs>
        <w:ind w:left="0" w:firstLine="0"/>
      </w:pPr>
      <w:r>
        <w:t xml:space="preserve">Charles </w:t>
      </w:r>
      <w:r w:rsidR="00EC70B2">
        <w:t xml:space="preserve">Milt </w:t>
      </w:r>
      <w:r>
        <w:t>Burnett, Ed. D., classroom observations only</w:t>
      </w:r>
    </w:p>
    <w:p w:rsidR="00A93828" w:rsidRDefault="00D62017" w:rsidP="008E314D">
      <w:pPr>
        <w:numPr>
          <w:ilvl w:val="0"/>
          <w:numId w:val="1"/>
        </w:numPr>
        <w:tabs>
          <w:tab w:val="left" w:pos="360"/>
          <w:tab w:val="left" w:pos="720"/>
          <w:tab w:val="left" w:pos="1080"/>
          <w:tab w:val="left" w:pos="1440"/>
          <w:tab w:val="left" w:pos="1800"/>
          <w:tab w:val="left" w:pos="2160"/>
          <w:tab w:val="left" w:pos="2520"/>
          <w:tab w:val="left" w:pos="2880"/>
        </w:tabs>
        <w:ind w:left="0" w:firstLine="0"/>
      </w:pPr>
      <w:r>
        <w:t>Katherine Lopez-</w:t>
      </w:r>
      <w:r w:rsidR="00A93828">
        <w:t>Natale, Ed. D., classroom observations only</w:t>
      </w:r>
    </w:p>
    <w:p w:rsidR="00A93828" w:rsidRDefault="003E3E4A" w:rsidP="008E314D">
      <w:pPr>
        <w:numPr>
          <w:ilvl w:val="0"/>
          <w:numId w:val="1"/>
        </w:numPr>
        <w:tabs>
          <w:tab w:val="left" w:pos="360"/>
          <w:tab w:val="left" w:pos="720"/>
          <w:tab w:val="left" w:pos="1080"/>
          <w:tab w:val="left" w:pos="1440"/>
          <w:tab w:val="left" w:pos="1800"/>
          <w:tab w:val="left" w:pos="2160"/>
          <w:tab w:val="left" w:pos="2520"/>
          <w:tab w:val="left" w:pos="2880"/>
        </w:tabs>
        <w:ind w:left="0" w:firstLine="0"/>
      </w:pPr>
      <w:r>
        <w:t xml:space="preserve">Wilfrid </w:t>
      </w:r>
      <w:r w:rsidR="00A93828">
        <w:t>Savoie, Ed. D., classroom observations only</w:t>
      </w:r>
    </w:p>
    <w:p w:rsidR="00A93828" w:rsidRPr="00F04EDB" w:rsidRDefault="00EC70B2" w:rsidP="008E314D">
      <w:pPr>
        <w:numPr>
          <w:ilvl w:val="0"/>
          <w:numId w:val="1"/>
        </w:numPr>
        <w:tabs>
          <w:tab w:val="left" w:pos="360"/>
          <w:tab w:val="left" w:pos="720"/>
          <w:tab w:val="left" w:pos="1080"/>
          <w:tab w:val="left" w:pos="1440"/>
          <w:tab w:val="left" w:pos="1800"/>
          <w:tab w:val="left" w:pos="2160"/>
          <w:tab w:val="left" w:pos="2520"/>
          <w:tab w:val="left" w:pos="2880"/>
        </w:tabs>
        <w:ind w:left="0" w:firstLine="0"/>
      </w:pPr>
      <w:r>
        <w:t xml:space="preserve">Richard Silverman, Ed. D., </w:t>
      </w:r>
      <w:r w:rsidR="00A93828">
        <w:t>classroom observations only</w:t>
      </w:r>
    </w:p>
    <w:p w:rsidR="008E314D" w:rsidRPr="00F04EDB" w:rsidRDefault="008E314D" w:rsidP="008E314D">
      <w:pPr>
        <w:pStyle w:val="Subsection2"/>
        <w:tabs>
          <w:tab w:val="left" w:pos="360"/>
          <w:tab w:val="left" w:pos="720"/>
          <w:tab w:val="left" w:pos="1080"/>
          <w:tab w:val="left" w:pos="1440"/>
          <w:tab w:val="left" w:pos="1800"/>
          <w:tab w:val="left" w:pos="2160"/>
          <w:tab w:val="left" w:pos="2520"/>
          <w:tab w:val="left" w:pos="2880"/>
        </w:tabs>
      </w:pPr>
      <w:r w:rsidRPr="00F04EDB">
        <w:t>District Review Activities</w:t>
      </w:r>
    </w:p>
    <w:p w:rsidR="008E314D" w:rsidRPr="00F04EDB" w:rsidRDefault="008E314D" w:rsidP="00933F02">
      <w:pPr>
        <w:tabs>
          <w:tab w:val="left" w:pos="360"/>
          <w:tab w:val="left" w:pos="720"/>
          <w:tab w:val="left" w:pos="1080"/>
          <w:tab w:val="left" w:pos="1440"/>
          <w:tab w:val="left" w:pos="1800"/>
          <w:tab w:val="left" w:pos="2160"/>
          <w:tab w:val="left" w:pos="2520"/>
          <w:tab w:val="left" w:pos="2880"/>
        </w:tabs>
      </w:pPr>
      <w:r w:rsidRPr="00F04EDB">
        <w:t>The following activities were conducted during the review:</w:t>
      </w:r>
    </w:p>
    <w:p w:rsidR="008E314D" w:rsidRDefault="008E314D" w:rsidP="00933F02">
      <w:pPr>
        <w:rPr>
          <w:bCs/>
        </w:rPr>
      </w:pPr>
      <w:r w:rsidRPr="00F04EDB">
        <w:t xml:space="preserve">The team conducted interviews with the </w:t>
      </w:r>
      <w:r w:rsidRPr="00286028">
        <w:t>following financial personnel:</w:t>
      </w:r>
      <w:r w:rsidR="00286028" w:rsidRPr="00286028">
        <w:t xml:space="preserve"> </w:t>
      </w:r>
      <w:r w:rsidR="00C45AC3">
        <w:t xml:space="preserve">the </w:t>
      </w:r>
      <w:r w:rsidR="00286028" w:rsidRPr="00286028">
        <w:t xml:space="preserve">chief </w:t>
      </w:r>
      <w:r w:rsidR="00C45AC3" w:rsidRPr="00286028">
        <w:t>financ</w:t>
      </w:r>
      <w:r w:rsidR="00C45AC3">
        <w:t>ial</w:t>
      </w:r>
      <w:r w:rsidR="00C45AC3" w:rsidRPr="00286028">
        <w:t xml:space="preserve"> </w:t>
      </w:r>
      <w:r w:rsidR="00286028" w:rsidRPr="00286028">
        <w:t xml:space="preserve">and operations officer, </w:t>
      </w:r>
      <w:r w:rsidR="00C45AC3">
        <w:t xml:space="preserve">the budget </w:t>
      </w:r>
      <w:r w:rsidR="00286028" w:rsidRPr="00286028">
        <w:t xml:space="preserve">director, </w:t>
      </w:r>
      <w:r w:rsidR="00C45AC3">
        <w:t xml:space="preserve">the </w:t>
      </w:r>
      <w:r w:rsidR="00286028" w:rsidRPr="00286028">
        <w:t xml:space="preserve">manager of grant resources, </w:t>
      </w:r>
      <w:r w:rsidR="00C45AC3">
        <w:t xml:space="preserve">the </w:t>
      </w:r>
      <w:r w:rsidR="00286028" w:rsidRPr="00286028">
        <w:t>financial director of grants</w:t>
      </w:r>
      <w:r w:rsidR="00C45AC3">
        <w:t>,</w:t>
      </w:r>
      <w:r w:rsidR="00286028" w:rsidRPr="00286028">
        <w:rPr>
          <w:bCs/>
        </w:rPr>
        <w:t xml:space="preserve"> and </w:t>
      </w:r>
      <w:r w:rsidR="00C45AC3">
        <w:rPr>
          <w:bCs/>
        </w:rPr>
        <w:t xml:space="preserve">the </w:t>
      </w:r>
      <w:r w:rsidR="00286028" w:rsidRPr="00286028">
        <w:rPr>
          <w:bCs/>
        </w:rPr>
        <w:t>chief financial officer for the</w:t>
      </w:r>
      <w:r w:rsidR="00E73DC6">
        <w:rPr>
          <w:bCs/>
        </w:rPr>
        <w:t xml:space="preserve"> </w:t>
      </w:r>
      <w:r w:rsidR="00C45AC3">
        <w:rPr>
          <w:bCs/>
        </w:rPr>
        <w:t>city</w:t>
      </w:r>
      <w:r w:rsidR="00286028" w:rsidRPr="00286028">
        <w:rPr>
          <w:bCs/>
        </w:rPr>
        <w:t xml:space="preserve"> of Worcester</w:t>
      </w:r>
      <w:r w:rsidR="00286028">
        <w:rPr>
          <w:bCs/>
        </w:rPr>
        <w:t>.</w:t>
      </w:r>
    </w:p>
    <w:p w:rsidR="008E314D" w:rsidRPr="00F04EDB" w:rsidRDefault="008E314D" w:rsidP="00933F02">
      <w:pPr>
        <w:tabs>
          <w:tab w:val="left" w:pos="360"/>
          <w:tab w:val="left" w:pos="720"/>
          <w:tab w:val="left" w:pos="1080"/>
          <w:tab w:val="left" w:pos="1440"/>
          <w:tab w:val="left" w:pos="1800"/>
          <w:tab w:val="left" w:pos="2160"/>
          <w:tab w:val="left" w:pos="2520"/>
          <w:tab w:val="left" w:pos="2880"/>
        </w:tabs>
      </w:pPr>
      <w:r w:rsidRPr="00F04EDB">
        <w:t xml:space="preserve">The team conducted interviews with the following members of the </w:t>
      </w:r>
      <w:r w:rsidR="00931979" w:rsidRPr="00F04EDB">
        <w:t>s</w:t>
      </w:r>
      <w:r w:rsidRPr="00F04EDB">
        <w:t xml:space="preserve">chool </w:t>
      </w:r>
      <w:r w:rsidR="00931979" w:rsidRPr="00F04EDB">
        <w:t>c</w:t>
      </w:r>
      <w:r w:rsidRPr="00F04EDB">
        <w:t xml:space="preserve">ommittee: </w:t>
      </w:r>
      <w:r w:rsidR="00286028" w:rsidRPr="00286028">
        <w:t>six school committee members.</w:t>
      </w:r>
      <w:r w:rsidRPr="00F04EDB">
        <w:t xml:space="preserve"> </w:t>
      </w:r>
    </w:p>
    <w:p w:rsidR="008E314D" w:rsidRPr="00F04EDB" w:rsidRDefault="008E314D" w:rsidP="00933F02">
      <w:pPr>
        <w:tabs>
          <w:tab w:val="left" w:pos="360"/>
          <w:tab w:val="left" w:pos="720"/>
          <w:tab w:val="left" w:pos="1080"/>
          <w:tab w:val="left" w:pos="1440"/>
          <w:tab w:val="left" w:pos="1800"/>
          <w:tab w:val="left" w:pos="2160"/>
          <w:tab w:val="left" w:pos="2520"/>
          <w:tab w:val="left" w:pos="2880"/>
        </w:tabs>
      </w:pPr>
      <w:r w:rsidRPr="00F04EDB">
        <w:t xml:space="preserve">The review team conducted interviews with the following representatives of the teachers’ association: </w:t>
      </w:r>
      <w:r w:rsidR="002708D3">
        <w:t>Educational Association of Worcester (</w:t>
      </w:r>
      <w:r w:rsidR="0054135E">
        <w:t>EAW</w:t>
      </w:r>
      <w:r w:rsidR="002708D3">
        <w:t>)</w:t>
      </w:r>
      <w:r w:rsidR="0054135E">
        <w:t xml:space="preserve"> president and </w:t>
      </w:r>
      <w:r w:rsidR="002708D3">
        <w:t>Massachusetts Teachers’ Association (</w:t>
      </w:r>
      <w:r w:rsidR="0054135E">
        <w:t>MTA</w:t>
      </w:r>
      <w:r w:rsidR="002708D3">
        <w:t>)</w:t>
      </w:r>
      <w:r w:rsidR="0054135E">
        <w:t xml:space="preserve"> secretary</w:t>
      </w:r>
      <w:r w:rsidRPr="00F04EDB">
        <w:t>.</w:t>
      </w:r>
    </w:p>
    <w:p w:rsidR="008E314D" w:rsidRPr="00F04EDB" w:rsidRDefault="008E314D" w:rsidP="00933F02">
      <w:pPr>
        <w:tabs>
          <w:tab w:val="left" w:pos="360"/>
          <w:tab w:val="left" w:pos="720"/>
          <w:tab w:val="left" w:pos="1080"/>
          <w:tab w:val="left" w:pos="1440"/>
          <w:tab w:val="left" w:pos="1800"/>
          <w:tab w:val="left" w:pos="2160"/>
          <w:tab w:val="left" w:pos="2520"/>
          <w:tab w:val="left" w:pos="2880"/>
        </w:tabs>
      </w:pPr>
      <w:r w:rsidRPr="00F04EDB">
        <w:t xml:space="preserve">The team conducted interviews/focus groups with the following central office administrators: </w:t>
      </w:r>
      <w:r w:rsidR="002708D3">
        <w:t xml:space="preserve">the </w:t>
      </w:r>
      <w:r w:rsidR="00D76049">
        <w:t>superintendent</w:t>
      </w:r>
      <w:r w:rsidR="002708D3">
        <w:t xml:space="preserve">; the </w:t>
      </w:r>
      <w:r w:rsidR="00D76049">
        <w:t>chief academic officer</w:t>
      </w:r>
      <w:r w:rsidR="002708D3">
        <w:t xml:space="preserve">; the </w:t>
      </w:r>
      <w:r w:rsidR="00D76049">
        <w:t xml:space="preserve">chief </w:t>
      </w:r>
      <w:r w:rsidR="002708D3">
        <w:t xml:space="preserve">financial </w:t>
      </w:r>
      <w:r w:rsidR="00D76049">
        <w:t>and operations officer</w:t>
      </w:r>
      <w:r w:rsidR="002708D3">
        <w:t xml:space="preserve">; the </w:t>
      </w:r>
      <w:r w:rsidR="00D76049">
        <w:t>chief human resources officer</w:t>
      </w:r>
      <w:r w:rsidR="002708D3">
        <w:t xml:space="preserve">; the </w:t>
      </w:r>
      <w:r w:rsidR="00D76049">
        <w:t>chief research and accountability officer</w:t>
      </w:r>
      <w:r w:rsidR="002708D3">
        <w:t xml:space="preserve">; the </w:t>
      </w:r>
      <w:r w:rsidR="00D76049">
        <w:t>assistant to the superintendent/</w:t>
      </w:r>
      <w:r w:rsidR="00F51C2E">
        <w:t>clerk of the school committee</w:t>
      </w:r>
      <w:r w:rsidR="002708D3">
        <w:t xml:space="preserve">;  </w:t>
      </w:r>
      <w:r w:rsidR="00D76049">
        <w:t>three managers of instruction and school leadership</w:t>
      </w:r>
      <w:r w:rsidR="002708D3">
        <w:t xml:space="preserve">; the </w:t>
      </w:r>
      <w:r w:rsidR="00D76049">
        <w:t>manager of curriculum and learning</w:t>
      </w:r>
      <w:r w:rsidR="002708D3">
        <w:t xml:space="preserve">; the </w:t>
      </w:r>
      <w:r w:rsidR="00D76049">
        <w:t xml:space="preserve">manager of English </w:t>
      </w:r>
      <w:r w:rsidR="000E67F9">
        <w:t xml:space="preserve">language </w:t>
      </w:r>
      <w:r w:rsidR="00D76049">
        <w:t>learners</w:t>
      </w:r>
      <w:r w:rsidR="00B31E9E">
        <w:t xml:space="preserve">; the </w:t>
      </w:r>
      <w:r w:rsidR="00D76049">
        <w:t xml:space="preserve">manager of special education </w:t>
      </w:r>
      <w:r w:rsidR="00D76049">
        <w:lastRenderedPageBreak/>
        <w:t>and intervention services</w:t>
      </w:r>
      <w:r w:rsidR="00B31E9E">
        <w:t xml:space="preserve">; the </w:t>
      </w:r>
      <w:r w:rsidR="00D76049">
        <w:t>manager of social emotional learning</w:t>
      </w:r>
      <w:r w:rsidR="00B31E9E">
        <w:t xml:space="preserve">; the </w:t>
      </w:r>
      <w:r w:rsidR="00D76049">
        <w:t>liaison for English language arts</w:t>
      </w:r>
      <w:r w:rsidR="00B31E9E">
        <w:t xml:space="preserve">; the </w:t>
      </w:r>
      <w:r w:rsidR="00D76049">
        <w:t>liaison for mathematics</w:t>
      </w:r>
      <w:r w:rsidR="00B31E9E">
        <w:t xml:space="preserve">; </w:t>
      </w:r>
      <w:r w:rsidR="00D76049">
        <w:t>liaison for science and engineering</w:t>
      </w:r>
      <w:r w:rsidR="00B31E9E">
        <w:t xml:space="preserve">; the </w:t>
      </w:r>
      <w:r w:rsidR="00D76049">
        <w:t>elementary science coach</w:t>
      </w:r>
      <w:r w:rsidR="00B31E9E">
        <w:t xml:space="preserve">; the </w:t>
      </w:r>
      <w:r w:rsidR="00D76049">
        <w:t>liaison for history of social science</w:t>
      </w:r>
      <w:r w:rsidR="00B31E9E">
        <w:t xml:space="preserve">; the </w:t>
      </w:r>
      <w:r w:rsidR="00D76049">
        <w:t>liaison for curriculum, professional learning</w:t>
      </w:r>
      <w:r w:rsidR="00B31E9E">
        <w:t>,</w:t>
      </w:r>
      <w:r w:rsidR="00D76049">
        <w:t xml:space="preserve"> and technology</w:t>
      </w:r>
      <w:r w:rsidR="00B31E9E">
        <w:t xml:space="preserve">; the </w:t>
      </w:r>
      <w:r w:rsidR="00D76049">
        <w:t>testing and evaluation spec</w:t>
      </w:r>
      <w:r w:rsidR="00F51C2E">
        <w:t>ialist</w:t>
      </w:r>
      <w:r w:rsidR="00B31E9E">
        <w:t xml:space="preserve">; the </w:t>
      </w:r>
      <w:r w:rsidR="00F51C2E">
        <w:t>assistant director of s</w:t>
      </w:r>
      <w:r w:rsidR="00D76049">
        <w:t>pecial education</w:t>
      </w:r>
      <w:r w:rsidR="00B31E9E">
        <w:t xml:space="preserve">; the </w:t>
      </w:r>
      <w:r w:rsidR="00D76049">
        <w:t xml:space="preserve">special assistant to the director of special education for </w:t>
      </w:r>
      <w:r w:rsidR="00B31E9E">
        <w:t xml:space="preserve">Medicaid </w:t>
      </w:r>
      <w:r w:rsidR="00D76049">
        <w:t>and special project</w:t>
      </w:r>
      <w:r w:rsidR="00F51C2E">
        <w:t>s</w:t>
      </w:r>
      <w:r w:rsidR="00B31E9E">
        <w:t xml:space="preserve">; the </w:t>
      </w:r>
      <w:r w:rsidR="00D76049">
        <w:t>depar</w:t>
      </w:r>
      <w:r w:rsidR="00F51C2E">
        <w:t>t</w:t>
      </w:r>
      <w:r w:rsidR="00D76049">
        <w:t>ment head</w:t>
      </w:r>
      <w:r w:rsidR="00F51C2E">
        <w:t xml:space="preserve"> for</w:t>
      </w:r>
      <w:r w:rsidR="00D76049">
        <w:t xml:space="preserve"> evaluation team chairs</w:t>
      </w:r>
      <w:r w:rsidR="00B31E9E">
        <w:t xml:space="preserve">; and the </w:t>
      </w:r>
      <w:r w:rsidR="00D76049">
        <w:t>staffing mentor coordinator.</w:t>
      </w:r>
    </w:p>
    <w:p w:rsidR="00EC70B2" w:rsidRDefault="008E314D" w:rsidP="00FE1088">
      <w:r w:rsidRPr="00F04EDB">
        <w:t xml:space="preserve">The team visited the following </w:t>
      </w:r>
      <w:r w:rsidR="00EC70B2">
        <w:t xml:space="preserve">elementary </w:t>
      </w:r>
      <w:r w:rsidRPr="00F04EDB">
        <w:t xml:space="preserve">schools: </w:t>
      </w:r>
      <w:r w:rsidR="00FE1088">
        <w:t>Belmont Street Community (P</w:t>
      </w:r>
      <w:r w:rsidR="00B31E9E">
        <w:t>re-</w:t>
      </w:r>
      <w:r w:rsidR="00FE1088">
        <w:t>K</w:t>
      </w:r>
      <w:r w:rsidR="00B31E9E">
        <w:t>–</w:t>
      </w:r>
      <w:r w:rsidR="00FE1088">
        <w:t xml:space="preserve">6), Chandler </w:t>
      </w:r>
      <w:r w:rsidR="00C85DEF">
        <w:t>(</w:t>
      </w:r>
      <w:r w:rsidR="00B31E9E">
        <w:t xml:space="preserve">kindergarten–grade </w:t>
      </w:r>
      <w:r w:rsidR="00C85DEF">
        <w:t>6</w:t>
      </w:r>
      <w:r w:rsidR="00FE1088">
        <w:t>),</w:t>
      </w:r>
      <w:r w:rsidR="00FE1088" w:rsidRPr="005B6483">
        <w:t xml:space="preserve"> </w:t>
      </w:r>
      <w:r w:rsidR="00FE1088">
        <w:t>City View (P</w:t>
      </w:r>
      <w:r w:rsidR="00B31E9E">
        <w:t>re-</w:t>
      </w:r>
      <w:r w:rsidR="00FE1088">
        <w:t>K</w:t>
      </w:r>
      <w:r w:rsidR="00B31E9E">
        <w:t xml:space="preserve">–grade </w:t>
      </w:r>
      <w:r w:rsidR="00FE1088">
        <w:t>6), Columbus Park (P</w:t>
      </w:r>
      <w:r w:rsidR="00B31E9E">
        <w:t>re-</w:t>
      </w:r>
      <w:r w:rsidR="00FE1088">
        <w:t>K</w:t>
      </w:r>
      <w:r w:rsidR="00B31E9E">
        <w:t xml:space="preserve">–grade </w:t>
      </w:r>
      <w:r w:rsidR="00FE1088">
        <w:t>6),</w:t>
      </w:r>
      <w:r w:rsidR="00FE1088" w:rsidRPr="005B6483">
        <w:t xml:space="preserve"> </w:t>
      </w:r>
      <w:r w:rsidR="00FE1088">
        <w:t xml:space="preserve">Elm Park </w:t>
      </w:r>
      <w:r w:rsidR="00B31E9E">
        <w:t xml:space="preserve">Community </w:t>
      </w:r>
      <w:r w:rsidR="00FE1088">
        <w:t>(P</w:t>
      </w:r>
      <w:r w:rsidR="00B31E9E">
        <w:t>re-</w:t>
      </w:r>
      <w:r w:rsidR="00FE1088">
        <w:t>K</w:t>
      </w:r>
      <w:r w:rsidR="00B31E9E">
        <w:t xml:space="preserve">–grade </w:t>
      </w:r>
      <w:r w:rsidR="00FE1088">
        <w:t xml:space="preserve">6), Francis </w:t>
      </w:r>
      <w:r w:rsidR="00B31E9E">
        <w:t xml:space="preserve">J. </w:t>
      </w:r>
      <w:r w:rsidR="00FE1088">
        <w:t>McGrath Elementary (P</w:t>
      </w:r>
      <w:r w:rsidR="00B31E9E">
        <w:t>re-</w:t>
      </w:r>
      <w:r w:rsidR="00FE1088">
        <w:t>K</w:t>
      </w:r>
      <w:r w:rsidR="00B31E9E">
        <w:t xml:space="preserve">–grade </w:t>
      </w:r>
      <w:r w:rsidR="00FE1088">
        <w:t>6), Gates Lane (P</w:t>
      </w:r>
      <w:r w:rsidR="00B31E9E">
        <w:t>re-</w:t>
      </w:r>
      <w:r w:rsidR="00FE1088">
        <w:t>K</w:t>
      </w:r>
      <w:r w:rsidR="00B31E9E">
        <w:t xml:space="preserve">–grade </w:t>
      </w:r>
      <w:r w:rsidR="00FE1088">
        <w:t>6), Goddard School of Science and Technology (P</w:t>
      </w:r>
      <w:r w:rsidR="00B31E9E">
        <w:t>re-</w:t>
      </w:r>
      <w:r w:rsidR="00FE1088">
        <w:t>K</w:t>
      </w:r>
      <w:r w:rsidR="00B31E9E">
        <w:t xml:space="preserve">–grade </w:t>
      </w:r>
      <w:r w:rsidR="00FE1088">
        <w:t>6), Grafton Street (P</w:t>
      </w:r>
      <w:r w:rsidR="00B31E9E">
        <w:t>re-</w:t>
      </w:r>
      <w:r w:rsidR="00FE1088">
        <w:t>K</w:t>
      </w:r>
      <w:r w:rsidR="00B31E9E">
        <w:t xml:space="preserve">–grade </w:t>
      </w:r>
      <w:r w:rsidR="00FE1088">
        <w:t>6), Jacob Hiatt Magnet (P</w:t>
      </w:r>
      <w:r w:rsidR="00B31E9E">
        <w:t>re-</w:t>
      </w:r>
      <w:r w:rsidR="00FE1088">
        <w:t>K</w:t>
      </w:r>
      <w:r w:rsidR="00B31E9E">
        <w:t xml:space="preserve">–grade </w:t>
      </w:r>
      <w:r w:rsidR="00FE1088">
        <w:t>6), Lake View (</w:t>
      </w:r>
      <w:r w:rsidR="00B31E9E">
        <w:t xml:space="preserve">kindergarten grade </w:t>
      </w:r>
      <w:r w:rsidR="00FE1088">
        <w:t>6), Lincoln Street (P</w:t>
      </w:r>
      <w:r w:rsidR="00B31E9E">
        <w:t>re-</w:t>
      </w:r>
      <w:r w:rsidR="00FE1088">
        <w:t>K</w:t>
      </w:r>
      <w:r w:rsidR="00B31E9E">
        <w:t xml:space="preserve">– grade </w:t>
      </w:r>
      <w:r w:rsidR="00FE1088">
        <w:t>6), Nelson Place (</w:t>
      </w:r>
      <w:r w:rsidR="00B31E9E">
        <w:t xml:space="preserve">kindergarten–grade </w:t>
      </w:r>
      <w:r w:rsidR="00FE1088">
        <w:t>6), Norrback Avenue (P</w:t>
      </w:r>
      <w:r w:rsidR="00B31E9E">
        <w:t xml:space="preserve">re-kindergarten–grade </w:t>
      </w:r>
      <w:r w:rsidR="00FE1088">
        <w:t>6), Quinsigamond (P</w:t>
      </w:r>
      <w:r w:rsidR="00F04364">
        <w:t>re-</w:t>
      </w:r>
      <w:r w:rsidR="00FE1088">
        <w:t>K</w:t>
      </w:r>
      <w:r w:rsidR="00F04364">
        <w:t xml:space="preserve">–grade </w:t>
      </w:r>
      <w:r w:rsidR="00FE1088">
        <w:t>6), Roosevelt (P</w:t>
      </w:r>
      <w:r w:rsidR="00F04364">
        <w:t>re-</w:t>
      </w:r>
      <w:r w:rsidR="00FE1088">
        <w:t>K</w:t>
      </w:r>
      <w:r w:rsidR="00F04364">
        <w:t xml:space="preserve">– grade </w:t>
      </w:r>
      <w:r w:rsidR="00FE1088">
        <w:t>6), Tatnuck (P</w:t>
      </w:r>
      <w:r w:rsidR="00F04364">
        <w:t>re-</w:t>
      </w:r>
      <w:r w:rsidR="00FE1088">
        <w:t>K</w:t>
      </w:r>
      <w:r w:rsidR="00F04364">
        <w:t xml:space="preserve">–grade </w:t>
      </w:r>
      <w:r w:rsidR="00FE1088">
        <w:t>6), Union Hill School (</w:t>
      </w:r>
      <w:r w:rsidR="00F04364">
        <w:t xml:space="preserve">kindergarten–grade </w:t>
      </w:r>
      <w:r w:rsidR="00FE1088">
        <w:t>6), Vernon Hill School (P</w:t>
      </w:r>
      <w:r w:rsidR="00F04364">
        <w:t>re-</w:t>
      </w:r>
      <w:r w:rsidR="00FE1088">
        <w:t>K</w:t>
      </w:r>
      <w:r w:rsidR="00F04364">
        <w:t xml:space="preserve">–grade </w:t>
      </w:r>
      <w:r w:rsidR="00FE1088">
        <w:t>6), Wawecus Road School (</w:t>
      </w:r>
      <w:r w:rsidR="00F04364">
        <w:t xml:space="preserve">kindergarten–grade </w:t>
      </w:r>
      <w:r w:rsidR="00FE1088">
        <w:t>6), West Tatnuck (P</w:t>
      </w:r>
      <w:r w:rsidR="00F04364">
        <w:t>re-</w:t>
      </w:r>
      <w:r w:rsidR="00FE1088">
        <w:t>K</w:t>
      </w:r>
      <w:r w:rsidR="00F04364">
        <w:t xml:space="preserve">–grade </w:t>
      </w:r>
      <w:r w:rsidR="00FE1088">
        <w:t>6), Woodland Academy (P</w:t>
      </w:r>
      <w:r w:rsidR="00F04364">
        <w:t>re-</w:t>
      </w:r>
      <w:r w:rsidR="00FE1088">
        <w:t>K</w:t>
      </w:r>
      <w:r w:rsidR="00F04364">
        <w:t xml:space="preserve">–grade </w:t>
      </w:r>
      <w:r w:rsidR="00FE1088">
        <w:t xml:space="preserve">6), </w:t>
      </w:r>
      <w:r w:rsidR="00F04364">
        <w:t xml:space="preserve">and </w:t>
      </w:r>
      <w:r w:rsidR="00FE1088">
        <w:t>Worcester A</w:t>
      </w:r>
      <w:r w:rsidR="00EC70B2">
        <w:t>rts Magnet School (P</w:t>
      </w:r>
      <w:r w:rsidR="00F04364">
        <w:t>re-</w:t>
      </w:r>
      <w:r w:rsidR="00EC70B2">
        <w:t>K</w:t>
      </w:r>
      <w:r w:rsidR="00F04364">
        <w:t xml:space="preserve">–grade </w:t>
      </w:r>
      <w:r w:rsidR="00EC70B2">
        <w:t>6)</w:t>
      </w:r>
      <w:r w:rsidR="000B100D">
        <w:t>.</w:t>
      </w:r>
      <w:r w:rsidR="00FE1088">
        <w:t xml:space="preserve"> </w:t>
      </w:r>
    </w:p>
    <w:p w:rsidR="00FE1088" w:rsidRDefault="00EC70B2" w:rsidP="00FE1088">
      <w:r>
        <w:t>The team visited the following middle schools, middle-high schools, and high schools:</w:t>
      </w:r>
      <w:r w:rsidR="00FE1088">
        <w:t xml:space="preserve"> Sullivan Middle (grades 6</w:t>
      </w:r>
      <w:r w:rsidR="00B8322F">
        <w:t>–</w:t>
      </w:r>
      <w:r w:rsidR="00FE1088">
        <w:t>8), Burncoat Middle (grades 7</w:t>
      </w:r>
      <w:r w:rsidR="00B8322F">
        <w:t>–</w:t>
      </w:r>
      <w:r w:rsidR="00FE1088">
        <w:t>8), Forest Grove Middle (grades 7</w:t>
      </w:r>
      <w:r w:rsidR="00B8322F">
        <w:t>–</w:t>
      </w:r>
      <w:r w:rsidR="00FE1088">
        <w:t>8),</w:t>
      </w:r>
      <w:r w:rsidR="00904A38">
        <w:t xml:space="preserve"> </w:t>
      </w:r>
      <w:r w:rsidR="00FE1088">
        <w:t xml:space="preserve">Worcester </w:t>
      </w:r>
      <w:r w:rsidR="00C85DEF">
        <w:t>E</w:t>
      </w:r>
      <w:r>
        <w:t>ast Middle (grades 6</w:t>
      </w:r>
      <w:r w:rsidR="00B8322F">
        <w:t>–</w:t>
      </w:r>
      <w:r>
        <w:t xml:space="preserve">8), </w:t>
      </w:r>
      <w:r w:rsidR="00C85DEF">
        <w:t>Unive</w:t>
      </w:r>
      <w:r w:rsidR="00FE1088">
        <w:t>rsity Park (grades 7</w:t>
      </w:r>
      <w:r w:rsidR="00B8322F">
        <w:t>–</w:t>
      </w:r>
      <w:r w:rsidR="00FE1088">
        <w:t xml:space="preserve">12), </w:t>
      </w:r>
      <w:r w:rsidR="00C85DEF">
        <w:t>Claremont Academy (grades 7</w:t>
      </w:r>
      <w:r w:rsidR="00B8322F">
        <w:t>–</w:t>
      </w:r>
      <w:r w:rsidR="00C85DEF">
        <w:t>12)</w:t>
      </w:r>
      <w:r w:rsidR="000B100D">
        <w:t xml:space="preserve">, </w:t>
      </w:r>
      <w:r w:rsidR="00C85DEF">
        <w:t>B</w:t>
      </w:r>
      <w:r w:rsidR="00FE1088">
        <w:t xml:space="preserve">urncoat </w:t>
      </w:r>
      <w:r w:rsidR="003B19D3">
        <w:t xml:space="preserve">Senior </w:t>
      </w:r>
      <w:r w:rsidR="00FE1088">
        <w:t>High (grades 9</w:t>
      </w:r>
      <w:r w:rsidR="00B8322F">
        <w:t>–</w:t>
      </w:r>
      <w:r w:rsidR="00FE1088">
        <w:t xml:space="preserve">12 plus special program), Doherty </w:t>
      </w:r>
      <w:r w:rsidR="003B19D3">
        <w:t xml:space="preserve">Memorial </w:t>
      </w:r>
      <w:r w:rsidR="00FE1088">
        <w:t>High (grades 9</w:t>
      </w:r>
      <w:r w:rsidR="00B8322F">
        <w:t>–</w:t>
      </w:r>
      <w:r w:rsidR="00FE1088">
        <w:t>12 plus special program), North High (grades 9</w:t>
      </w:r>
      <w:r w:rsidR="00B8322F">
        <w:t>–</w:t>
      </w:r>
      <w:r w:rsidR="00FE1088">
        <w:t>12 plus special program), South High Community (grades 9</w:t>
      </w:r>
      <w:r w:rsidR="00B8322F">
        <w:t>–</w:t>
      </w:r>
      <w:r w:rsidR="00FE1088">
        <w:t xml:space="preserve">12 plus special program), </w:t>
      </w:r>
      <w:r w:rsidR="003B19D3">
        <w:t xml:space="preserve">and </w:t>
      </w:r>
      <w:r w:rsidR="00FE1088">
        <w:t>Worcester Techn</w:t>
      </w:r>
      <w:r w:rsidR="000B100D">
        <w:t>ical High (grades 9</w:t>
      </w:r>
      <w:r w:rsidR="00B8322F">
        <w:t>–</w:t>
      </w:r>
      <w:r w:rsidR="000B100D">
        <w:t>12).</w:t>
      </w:r>
    </w:p>
    <w:p w:rsidR="008E314D" w:rsidRPr="00F04EDB" w:rsidRDefault="008E314D" w:rsidP="008E314D">
      <w:pPr>
        <w:tabs>
          <w:tab w:val="left" w:pos="360"/>
          <w:tab w:val="left" w:pos="720"/>
          <w:tab w:val="left" w:pos="1080"/>
          <w:tab w:val="left" w:pos="1440"/>
          <w:tab w:val="left" w:pos="1800"/>
          <w:tab w:val="left" w:pos="2160"/>
          <w:tab w:val="left" w:pos="2520"/>
          <w:tab w:val="left" w:pos="2880"/>
        </w:tabs>
        <w:rPr>
          <w:color w:val="FF0000"/>
        </w:rPr>
      </w:pPr>
      <w:r w:rsidRPr="00E50A71">
        <w:t xml:space="preserve">During school visits, the team conducted interviews with </w:t>
      </w:r>
      <w:r w:rsidR="00E50A71" w:rsidRPr="00E50A71">
        <w:t xml:space="preserve">34 </w:t>
      </w:r>
      <w:r w:rsidRPr="00E50A71">
        <w:t>principals</w:t>
      </w:r>
      <w:r w:rsidR="00B856EF" w:rsidRPr="00E50A71">
        <w:t xml:space="preserve"> </w:t>
      </w:r>
      <w:r w:rsidR="00E50A71">
        <w:t>and</w:t>
      </w:r>
      <w:r w:rsidR="000B100D">
        <w:t xml:space="preserve"> </w:t>
      </w:r>
      <w:r w:rsidR="003B19D3">
        <w:t xml:space="preserve">4 </w:t>
      </w:r>
      <w:r w:rsidR="00E50A71">
        <w:t>focus groups</w:t>
      </w:r>
      <w:r w:rsidR="000B100D">
        <w:t xml:space="preserve"> with</w:t>
      </w:r>
      <w:r w:rsidRPr="00E50A71">
        <w:t xml:space="preserve"> </w:t>
      </w:r>
      <w:r w:rsidR="00E50A71" w:rsidRPr="00E50A71">
        <w:t xml:space="preserve">15 </w:t>
      </w:r>
      <w:r w:rsidR="003B19D3">
        <w:t>elementary-</w:t>
      </w:r>
      <w:r w:rsidR="00E50A71">
        <w:t xml:space="preserve">school teachers, </w:t>
      </w:r>
      <w:r w:rsidR="003B19D3">
        <w:t>6</w:t>
      </w:r>
      <w:r w:rsidR="003B19D3" w:rsidRPr="00E50A71">
        <w:t xml:space="preserve"> middle</w:t>
      </w:r>
      <w:r w:rsidR="003B19D3">
        <w:t>-</w:t>
      </w:r>
      <w:r w:rsidRPr="00E50A71">
        <w:t xml:space="preserve">school teachers, and </w:t>
      </w:r>
      <w:r w:rsidR="00E50A71" w:rsidRPr="00E50A71">
        <w:t xml:space="preserve">18 </w:t>
      </w:r>
      <w:r w:rsidR="003B19D3" w:rsidRPr="00E50A71">
        <w:t>high</w:t>
      </w:r>
      <w:r w:rsidR="003B19D3">
        <w:t>-</w:t>
      </w:r>
      <w:r w:rsidRPr="00E50A71">
        <w:t>school teachers.</w:t>
      </w:r>
      <w:r w:rsidRPr="00F04EDB">
        <w:t xml:space="preserve"> </w:t>
      </w:r>
    </w:p>
    <w:p w:rsidR="008E314D" w:rsidRPr="00F04EDB" w:rsidRDefault="008E314D" w:rsidP="008E314D">
      <w:pPr>
        <w:tabs>
          <w:tab w:val="left" w:pos="360"/>
          <w:tab w:val="left" w:pos="720"/>
          <w:tab w:val="left" w:pos="1080"/>
          <w:tab w:val="left" w:pos="1440"/>
          <w:tab w:val="left" w:pos="1800"/>
          <w:tab w:val="left" w:pos="2160"/>
          <w:tab w:val="left" w:pos="2520"/>
          <w:tab w:val="left" w:pos="2880"/>
        </w:tabs>
      </w:pPr>
      <w:r w:rsidRPr="00E50A71">
        <w:t xml:space="preserve">The team observed </w:t>
      </w:r>
      <w:r w:rsidR="00E50A71" w:rsidRPr="00E50A71">
        <w:t>249</w:t>
      </w:r>
      <w:r w:rsidR="00E50A71">
        <w:t xml:space="preserve"> classes in the district: 48</w:t>
      </w:r>
      <w:r w:rsidR="000B100D">
        <w:t xml:space="preserve"> in grades 9-12,</w:t>
      </w:r>
      <w:r w:rsidRPr="00E50A71">
        <w:t xml:space="preserve"> at the </w:t>
      </w:r>
      <w:r w:rsidR="003B19D3">
        <w:t xml:space="preserve">5 </w:t>
      </w:r>
      <w:r w:rsidR="00E50A71">
        <w:t>high schools</w:t>
      </w:r>
      <w:r w:rsidR="000B100D">
        <w:t xml:space="preserve"> and </w:t>
      </w:r>
      <w:r w:rsidR="003B19D3">
        <w:t xml:space="preserve">2 </w:t>
      </w:r>
      <w:r w:rsidR="000E67F9">
        <w:t>middle-</w:t>
      </w:r>
      <w:r w:rsidR="000B100D">
        <w:t>high schools;</w:t>
      </w:r>
      <w:r w:rsidRPr="00E50A71">
        <w:t xml:space="preserve"> </w:t>
      </w:r>
      <w:r w:rsidR="00E50A71" w:rsidRPr="00E50A71">
        <w:t>31</w:t>
      </w:r>
      <w:r w:rsidR="000B100D">
        <w:t xml:space="preserve"> in grades 7-8,</w:t>
      </w:r>
      <w:r w:rsidRPr="00E50A71">
        <w:t xml:space="preserve"> at</w:t>
      </w:r>
      <w:r w:rsidR="00E50A71" w:rsidRPr="00E50A71">
        <w:t xml:space="preserve"> </w:t>
      </w:r>
      <w:r w:rsidR="000B100D">
        <w:t xml:space="preserve">the </w:t>
      </w:r>
      <w:r w:rsidR="000E67F9">
        <w:t>4</w:t>
      </w:r>
      <w:r w:rsidR="003B19D3">
        <w:t xml:space="preserve"> </w:t>
      </w:r>
      <w:r w:rsidR="00E50A71">
        <w:t xml:space="preserve">middle schools and </w:t>
      </w:r>
      <w:r w:rsidR="003B19D3">
        <w:t>2</w:t>
      </w:r>
      <w:r w:rsidR="000E67F9">
        <w:t xml:space="preserve"> </w:t>
      </w:r>
      <w:r w:rsidR="00E50A71">
        <w:t>middle-high schools</w:t>
      </w:r>
      <w:r w:rsidR="000B100D">
        <w:t>;</w:t>
      </w:r>
      <w:r w:rsidRPr="00E50A71">
        <w:t xml:space="preserve"> and </w:t>
      </w:r>
      <w:r w:rsidR="00E50A71" w:rsidRPr="00E50A71">
        <w:t>170</w:t>
      </w:r>
      <w:r w:rsidR="000B100D">
        <w:t xml:space="preserve"> in </w:t>
      </w:r>
      <w:r w:rsidR="003B19D3">
        <w:t>kindergarten</w:t>
      </w:r>
      <w:r w:rsidR="00DE13FA">
        <w:t xml:space="preserve"> through </w:t>
      </w:r>
      <w:r w:rsidR="003B19D3">
        <w:t xml:space="preserve">grade </w:t>
      </w:r>
      <w:r w:rsidR="000B100D">
        <w:t>6</w:t>
      </w:r>
      <w:r w:rsidRPr="00E50A71">
        <w:t xml:space="preserve"> at</w:t>
      </w:r>
      <w:r w:rsidR="00E50A71" w:rsidRPr="00E50A71">
        <w:t xml:space="preserve"> 23 of</w:t>
      </w:r>
      <w:r w:rsidRPr="00E50A71">
        <w:t xml:space="preserve"> the </w:t>
      </w:r>
      <w:r w:rsidR="00E50A71" w:rsidRPr="00E50A71">
        <w:t>33</w:t>
      </w:r>
      <w:r w:rsidR="000B100D">
        <w:t xml:space="preserve"> elementary schools</w:t>
      </w:r>
      <w:r w:rsidRPr="00E50A71">
        <w:t>.</w:t>
      </w:r>
    </w:p>
    <w:p w:rsidR="008E314D" w:rsidRPr="00F04EDB" w:rsidRDefault="008E314D" w:rsidP="008E314D">
      <w:pPr>
        <w:tabs>
          <w:tab w:val="left" w:pos="360"/>
          <w:tab w:val="left" w:pos="720"/>
          <w:tab w:val="left" w:pos="1080"/>
          <w:tab w:val="left" w:pos="1440"/>
          <w:tab w:val="left" w:pos="1800"/>
          <w:tab w:val="left" w:pos="2160"/>
          <w:tab w:val="left" w:pos="2520"/>
          <w:tab w:val="left" w:pos="2880"/>
        </w:tabs>
      </w:pPr>
      <w:r w:rsidRPr="00F04EDB">
        <w:t xml:space="preserve">The review team analyzed multiple data sets and reviewed numerous documents before and during the site visit, including: </w:t>
      </w:r>
    </w:p>
    <w:p w:rsidR="008E314D" w:rsidRPr="00F04EDB" w:rsidRDefault="008E314D" w:rsidP="00C96E5A">
      <w:pPr>
        <w:numPr>
          <w:ilvl w:val="1"/>
          <w:numId w:val="2"/>
        </w:numPr>
        <w:tabs>
          <w:tab w:val="left" w:pos="360"/>
          <w:tab w:val="left" w:pos="720"/>
          <w:tab w:val="left" w:pos="1080"/>
          <w:tab w:val="left" w:pos="1440"/>
          <w:tab w:val="left" w:pos="1800"/>
          <w:tab w:val="left" w:pos="2160"/>
          <w:tab w:val="left" w:pos="2520"/>
          <w:tab w:val="left" w:pos="2880"/>
        </w:tabs>
        <w:ind w:left="360"/>
      </w:pPr>
      <w:r w:rsidRPr="00F04EDB">
        <w:t>Student and school performance data, including achievement and growth, enrollment, graduation, dropout, retention, suspension, and attendance rates.</w:t>
      </w:r>
    </w:p>
    <w:p w:rsidR="008E314D" w:rsidRPr="00F04EDB" w:rsidRDefault="008E314D" w:rsidP="00C96E5A">
      <w:pPr>
        <w:numPr>
          <w:ilvl w:val="1"/>
          <w:numId w:val="2"/>
        </w:numPr>
        <w:tabs>
          <w:tab w:val="left" w:pos="360"/>
          <w:tab w:val="left" w:pos="720"/>
          <w:tab w:val="left" w:pos="1080"/>
          <w:tab w:val="left" w:pos="1440"/>
          <w:tab w:val="left" w:pos="1800"/>
          <w:tab w:val="left" w:pos="2160"/>
          <w:tab w:val="left" w:pos="2520"/>
          <w:tab w:val="left" w:pos="2880"/>
        </w:tabs>
        <w:ind w:left="360"/>
      </w:pPr>
      <w:r w:rsidRPr="00F04EDB">
        <w:t xml:space="preserve">Data on the district’s staffing and finances. </w:t>
      </w:r>
    </w:p>
    <w:p w:rsidR="008E314D" w:rsidRPr="00F04EDB" w:rsidRDefault="008E314D" w:rsidP="00C96E5A">
      <w:pPr>
        <w:numPr>
          <w:ilvl w:val="1"/>
          <w:numId w:val="2"/>
        </w:numPr>
        <w:tabs>
          <w:tab w:val="left" w:pos="360"/>
          <w:tab w:val="left" w:pos="720"/>
          <w:tab w:val="left" w:pos="1080"/>
          <w:tab w:val="left" w:pos="1440"/>
          <w:tab w:val="left" w:pos="1800"/>
          <w:tab w:val="left" w:pos="2160"/>
          <w:tab w:val="left" w:pos="2520"/>
          <w:tab w:val="left" w:pos="2880"/>
        </w:tabs>
        <w:ind w:left="360"/>
      </w:pPr>
      <w:r w:rsidRPr="00F04EDB">
        <w:t>Published educational reports on the district by ESE, the New England Association of Schools and Colleges (NEASC), and the former Office of Educational Quality and Accountability (EQA).</w:t>
      </w:r>
    </w:p>
    <w:p w:rsidR="008E314D" w:rsidRPr="00F04EDB" w:rsidRDefault="008E314D" w:rsidP="00C96E5A">
      <w:pPr>
        <w:numPr>
          <w:ilvl w:val="1"/>
          <w:numId w:val="2"/>
        </w:numPr>
        <w:tabs>
          <w:tab w:val="left" w:pos="360"/>
          <w:tab w:val="left" w:pos="720"/>
          <w:tab w:val="left" w:pos="1080"/>
          <w:tab w:val="left" w:pos="1440"/>
          <w:tab w:val="left" w:pos="1800"/>
          <w:tab w:val="left" w:pos="2160"/>
          <w:tab w:val="left" w:pos="2520"/>
          <w:tab w:val="left" w:pos="2880"/>
        </w:tabs>
        <w:ind w:left="360"/>
      </w:pPr>
      <w:r w:rsidRPr="00F04EDB">
        <w:t xml:space="preserve">District documents such as district and school improvement plans, school committee policies, curriculum documents, summaries of student assessments, job descriptions, collective bargaining </w:t>
      </w:r>
      <w:r w:rsidRPr="00F04EDB">
        <w:lastRenderedPageBreak/>
        <w:t>agreements, evaluation tools for staff, handbooks, school schedules, and the district’s end-of-year financial reports.  </w:t>
      </w:r>
    </w:p>
    <w:p w:rsidR="008E314D" w:rsidRPr="00F04EDB" w:rsidRDefault="008E314D" w:rsidP="00C96E5A">
      <w:pPr>
        <w:numPr>
          <w:ilvl w:val="1"/>
          <w:numId w:val="2"/>
        </w:numPr>
        <w:tabs>
          <w:tab w:val="left" w:pos="360"/>
          <w:tab w:val="left" w:pos="720"/>
          <w:tab w:val="left" w:pos="1080"/>
          <w:tab w:val="left" w:pos="1440"/>
          <w:tab w:val="left" w:pos="1800"/>
          <w:tab w:val="left" w:pos="2160"/>
          <w:tab w:val="left" w:pos="2520"/>
          <w:tab w:val="left" w:pos="2880"/>
        </w:tabs>
        <w:ind w:left="360"/>
      </w:pPr>
      <w:r w:rsidRPr="00F04EDB">
        <w:t>All completed program and administrator evaluations, and a random selection of completed teacher evaluations.</w:t>
      </w:r>
    </w:p>
    <w:p w:rsidR="008E314D" w:rsidRPr="00F04EDB" w:rsidRDefault="008E314D" w:rsidP="008E314D">
      <w:pPr>
        <w:pStyle w:val="Subsection2"/>
        <w:tabs>
          <w:tab w:val="left" w:pos="360"/>
          <w:tab w:val="left" w:pos="720"/>
          <w:tab w:val="left" w:pos="1080"/>
          <w:tab w:val="left" w:pos="1440"/>
          <w:tab w:val="left" w:pos="1800"/>
          <w:tab w:val="left" w:pos="2160"/>
          <w:tab w:val="left" w:pos="2520"/>
          <w:tab w:val="left" w:pos="2880"/>
        </w:tabs>
      </w:pPr>
      <w:r w:rsidRPr="00F04EDB">
        <w:t>Site Visit Schedule</w:t>
      </w:r>
    </w:p>
    <w:tbl>
      <w:tblPr>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37"/>
        <w:gridCol w:w="1876"/>
        <w:gridCol w:w="1958"/>
        <w:gridCol w:w="2110"/>
        <w:gridCol w:w="1587"/>
      </w:tblGrid>
      <w:tr w:rsidR="00DC2E38" w:rsidRPr="00F04EDB" w:rsidTr="0061605A">
        <w:trPr>
          <w:trHeight w:val="77"/>
        </w:trPr>
        <w:tc>
          <w:tcPr>
            <w:tcW w:w="1937" w:type="dxa"/>
            <w:shd w:val="clear" w:color="auto" w:fill="D9D9D9" w:themeFill="background1" w:themeFillShade="D9"/>
          </w:tcPr>
          <w:p w:rsidR="00A14613" w:rsidRPr="00F04EDB" w:rsidRDefault="00A14613" w:rsidP="00350132">
            <w:pPr>
              <w:tabs>
                <w:tab w:val="left" w:pos="360"/>
                <w:tab w:val="left" w:pos="720"/>
                <w:tab w:val="left" w:pos="1080"/>
                <w:tab w:val="left" w:pos="1440"/>
                <w:tab w:val="left" w:pos="1800"/>
                <w:tab w:val="left" w:pos="2160"/>
                <w:tab w:val="left" w:pos="2520"/>
                <w:tab w:val="left" w:pos="2880"/>
              </w:tabs>
              <w:jc w:val="center"/>
              <w:rPr>
                <w:b/>
              </w:rPr>
            </w:pPr>
            <w:r w:rsidRPr="00F04EDB">
              <w:rPr>
                <w:b/>
              </w:rPr>
              <w:t>Monday</w:t>
            </w:r>
          </w:p>
          <w:p w:rsidR="00A14613" w:rsidRPr="00F04EDB" w:rsidRDefault="00A14613" w:rsidP="00A14613">
            <w:pPr>
              <w:tabs>
                <w:tab w:val="left" w:pos="360"/>
                <w:tab w:val="left" w:pos="720"/>
                <w:tab w:val="left" w:pos="1080"/>
                <w:tab w:val="left" w:pos="1440"/>
                <w:tab w:val="left" w:pos="1800"/>
                <w:tab w:val="left" w:pos="2160"/>
                <w:tab w:val="left" w:pos="2520"/>
                <w:tab w:val="left" w:pos="2880"/>
              </w:tabs>
              <w:jc w:val="center"/>
            </w:pPr>
            <w:r w:rsidRPr="00F04EDB">
              <w:t>01/23/2017</w:t>
            </w:r>
          </w:p>
        </w:tc>
        <w:tc>
          <w:tcPr>
            <w:tcW w:w="1876" w:type="dxa"/>
            <w:shd w:val="clear" w:color="auto" w:fill="D9D9D9" w:themeFill="background1" w:themeFillShade="D9"/>
          </w:tcPr>
          <w:p w:rsidR="00A14613" w:rsidRPr="00F04EDB" w:rsidRDefault="00A14613" w:rsidP="00350132">
            <w:pPr>
              <w:tabs>
                <w:tab w:val="left" w:pos="360"/>
                <w:tab w:val="left" w:pos="720"/>
                <w:tab w:val="left" w:pos="1080"/>
                <w:tab w:val="left" w:pos="1440"/>
                <w:tab w:val="left" w:pos="1800"/>
                <w:tab w:val="left" w:pos="2160"/>
                <w:tab w:val="left" w:pos="2520"/>
                <w:tab w:val="left" w:pos="2880"/>
              </w:tabs>
              <w:jc w:val="center"/>
              <w:rPr>
                <w:b/>
              </w:rPr>
            </w:pPr>
            <w:r w:rsidRPr="00F04EDB">
              <w:rPr>
                <w:b/>
              </w:rPr>
              <w:t>Tuesday</w:t>
            </w:r>
          </w:p>
          <w:p w:rsidR="00A14613" w:rsidRPr="00F04EDB" w:rsidRDefault="00A14613" w:rsidP="00350132">
            <w:pPr>
              <w:tabs>
                <w:tab w:val="left" w:pos="360"/>
                <w:tab w:val="left" w:pos="720"/>
                <w:tab w:val="left" w:pos="1080"/>
                <w:tab w:val="left" w:pos="1440"/>
                <w:tab w:val="left" w:pos="1800"/>
                <w:tab w:val="left" w:pos="2160"/>
                <w:tab w:val="left" w:pos="2520"/>
                <w:tab w:val="left" w:pos="2880"/>
              </w:tabs>
              <w:jc w:val="center"/>
            </w:pPr>
            <w:r w:rsidRPr="00F04EDB">
              <w:t>01/24/2017</w:t>
            </w:r>
          </w:p>
        </w:tc>
        <w:tc>
          <w:tcPr>
            <w:tcW w:w="1958" w:type="dxa"/>
            <w:shd w:val="clear" w:color="auto" w:fill="D9D9D9" w:themeFill="background1" w:themeFillShade="D9"/>
          </w:tcPr>
          <w:p w:rsidR="00A14613" w:rsidRPr="00F04EDB" w:rsidRDefault="00A14613" w:rsidP="00350132">
            <w:pPr>
              <w:tabs>
                <w:tab w:val="left" w:pos="360"/>
                <w:tab w:val="left" w:pos="720"/>
                <w:tab w:val="left" w:pos="1080"/>
                <w:tab w:val="left" w:pos="1440"/>
                <w:tab w:val="left" w:pos="1800"/>
                <w:tab w:val="left" w:pos="2160"/>
                <w:tab w:val="left" w:pos="2520"/>
                <w:tab w:val="left" w:pos="2880"/>
              </w:tabs>
              <w:jc w:val="center"/>
              <w:rPr>
                <w:b/>
              </w:rPr>
            </w:pPr>
            <w:r w:rsidRPr="00F04EDB">
              <w:rPr>
                <w:b/>
              </w:rPr>
              <w:t>Wednesday</w:t>
            </w:r>
          </w:p>
          <w:p w:rsidR="00A14613" w:rsidRPr="00F04EDB" w:rsidRDefault="00A14613" w:rsidP="00350132">
            <w:pPr>
              <w:tabs>
                <w:tab w:val="left" w:pos="360"/>
                <w:tab w:val="left" w:pos="720"/>
                <w:tab w:val="left" w:pos="1080"/>
                <w:tab w:val="left" w:pos="1440"/>
                <w:tab w:val="left" w:pos="1800"/>
                <w:tab w:val="left" w:pos="2160"/>
                <w:tab w:val="left" w:pos="2520"/>
                <w:tab w:val="left" w:pos="2880"/>
              </w:tabs>
              <w:jc w:val="center"/>
            </w:pPr>
            <w:r w:rsidRPr="00F04EDB">
              <w:t>01/25/2017</w:t>
            </w:r>
          </w:p>
        </w:tc>
        <w:tc>
          <w:tcPr>
            <w:tcW w:w="2110" w:type="dxa"/>
            <w:shd w:val="clear" w:color="auto" w:fill="D9D9D9" w:themeFill="background1" w:themeFillShade="D9"/>
          </w:tcPr>
          <w:p w:rsidR="00A14613" w:rsidRPr="00F04EDB" w:rsidRDefault="00A14613" w:rsidP="00350132">
            <w:pPr>
              <w:tabs>
                <w:tab w:val="left" w:pos="360"/>
                <w:tab w:val="left" w:pos="720"/>
                <w:tab w:val="left" w:pos="1080"/>
                <w:tab w:val="left" w:pos="1440"/>
                <w:tab w:val="left" w:pos="1800"/>
                <w:tab w:val="left" w:pos="2160"/>
                <w:tab w:val="left" w:pos="2520"/>
                <w:tab w:val="left" w:pos="2880"/>
              </w:tabs>
              <w:jc w:val="center"/>
              <w:rPr>
                <w:b/>
              </w:rPr>
            </w:pPr>
            <w:r w:rsidRPr="00F04EDB">
              <w:rPr>
                <w:b/>
              </w:rPr>
              <w:t>Thursday</w:t>
            </w:r>
          </w:p>
          <w:p w:rsidR="00A14613" w:rsidRPr="00F04EDB" w:rsidRDefault="00A14613" w:rsidP="00350132">
            <w:pPr>
              <w:tabs>
                <w:tab w:val="left" w:pos="360"/>
                <w:tab w:val="left" w:pos="720"/>
                <w:tab w:val="left" w:pos="1080"/>
                <w:tab w:val="left" w:pos="1440"/>
                <w:tab w:val="left" w:pos="1800"/>
                <w:tab w:val="left" w:pos="2160"/>
                <w:tab w:val="left" w:pos="2520"/>
                <w:tab w:val="left" w:pos="2880"/>
              </w:tabs>
              <w:jc w:val="center"/>
            </w:pPr>
            <w:r w:rsidRPr="00F04EDB">
              <w:t>01/26/2017</w:t>
            </w:r>
          </w:p>
        </w:tc>
        <w:tc>
          <w:tcPr>
            <w:tcW w:w="1587" w:type="dxa"/>
            <w:shd w:val="clear" w:color="auto" w:fill="D9D9D9" w:themeFill="background1" w:themeFillShade="D9"/>
          </w:tcPr>
          <w:p w:rsidR="00A14613" w:rsidRPr="00F04EDB" w:rsidRDefault="00A14613" w:rsidP="00350132">
            <w:pPr>
              <w:tabs>
                <w:tab w:val="left" w:pos="360"/>
                <w:tab w:val="left" w:pos="720"/>
                <w:tab w:val="left" w:pos="1080"/>
                <w:tab w:val="left" w:pos="1440"/>
                <w:tab w:val="left" w:pos="1800"/>
                <w:tab w:val="left" w:pos="2160"/>
                <w:tab w:val="left" w:pos="2520"/>
                <w:tab w:val="left" w:pos="2880"/>
              </w:tabs>
              <w:jc w:val="center"/>
              <w:rPr>
                <w:b/>
              </w:rPr>
            </w:pPr>
            <w:r w:rsidRPr="00F04EDB">
              <w:rPr>
                <w:b/>
              </w:rPr>
              <w:t>Friday</w:t>
            </w:r>
          </w:p>
          <w:p w:rsidR="00A14613" w:rsidRPr="00F04EDB" w:rsidRDefault="00A14613" w:rsidP="00350132">
            <w:pPr>
              <w:tabs>
                <w:tab w:val="left" w:pos="360"/>
                <w:tab w:val="left" w:pos="720"/>
                <w:tab w:val="left" w:pos="1080"/>
                <w:tab w:val="left" w:pos="1440"/>
                <w:tab w:val="left" w:pos="1800"/>
                <w:tab w:val="left" w:pos="2160"/>
                <w:tab w:val="left" w:pos="2520"/>
                <w:tab w:val="left" w:pos="2880"/>
              </w:tabs>
              <w:jc w:val="center"/>
              <w:rPr>
                <w:b/>
              </w:rPr>
            </w:pPr>
            <w:r w:rsidRPr="00F04EDB">
              <w:t>01/27/2017</w:t>
            </w:r>
          </w:p>
        </w:tc>
      </w:tr>
      <w:tr w:rsidR="005A0522" w:rsidRPr="00F04EDB" w:rsidTr="0061605A">
        <w:trPr>
          <w:trHeight w:val="620"/>
        </w:trPr>
        <w:tc>
          <w:tcPr>
            <w:tcW w:w="1937" w:type="dxa"/>
          </w:tcPr>
          <w:p w:rsidR="00795DEB" w:rsidRDefault="00A14613">
            <w:pPr>
              <w:tabs>
                <w:tab w:val="left" w:pos="360"/>
                <w:tab w:val="left" w:pos="720"/>
                <w:tab w:val="left" w:pos="1080"/>
                <w:tab w:val="left" w:pos="1440"/>
                <w:tab w:val="left" w:pos="1800"/>
                <w:tab w:val="left" w:pos="2160"/>
                <w:tab w:val="left" w:pos="2520"/>
                <w:tab w:val="left" w:pos="2880"/>
              </w:tabs>
            </w:pPr>
            <w:r w:rsidRPr="00F04EDB">
              <w:t>Orientation with district leaders and principals; interviews with district staff and principals; document reviews; and visits to</w:t>
            </w:r>
            <w:r w:rsidR="00CB0803">
              <w:t xml:space="preserve"> </w:t>
            </w:r>
            <w:r w:rsidR="00FD09BA">
              <w:t>e</w:t>
            </w:r>
            <w:r w:rsidR="001C4C16">
              <w:t xml:space="preserve">lementary </w:t>
            </w:r>
            <w:r w:rsidR="00FD09BA">
              <w:t xml:space="preserve">schools </w:t>
            </w:r>
            <w:r w:rsidRPr="00F04EDB">
              <w:t>for classroom observations.</w:t>
            </w:r>
          </w:p>
        </w:tc>
        <w:tc>
          <w:tcPr>
            <w:tcW w:w="1876" w:type="dxa"/>
          </w:tcPr>
          <w:p w:rsidR="00A14613" w:rsidRPr="00F04EDB" w:rsidRDefault="00A14613" w:rsidP="001C4C16">
            <w:pPr>
              <w:tabs>
                <w:tab w:val="left" w:pos="360"/>
                <w:tab w:val="left" w:pos="720"/>
                <w:tab w:val="left" w:pos="1080"/>
                <w:tab w:val="left" w:pos="1440"/>
                <w:tab w:val="left" w:pos="1800"/>
                <w:tab w:val="left" w:pos="2160"/>
                <w:tab w:val="left" w:pos="2520"/>
                <w:tab w:val="left" w:pos="2880"/>
              </w:tabs>
            </w:pPr>
            <w:r w:rsidRPr="00F04EDB">
              <w:t>Interviews with district staff and principals;</w:t>
            </w:r>
            <w:r w:rsidR="001C4C16">
              <w:t xml:space="preserve"> interview with school committee member</w:t>
            </w:r>
            <w:r w:rsidR="00CB0803">
              <w:t>s</w:t>
            </w:r>
            <w:r w:rsidR="001C4C16">
              <w:t>;</w:t>
            </w:r>
            <w:r w:rsidRPr="00F04EDB">
              <w:t xml:space="preserve"> </w:t>
            </w:r>
            <w:r w:rsidR="001663DC">
              <w:t xml:space="preserve">and </w:t>
            </w:r>
            <w:r w:rsidRPr="00F04EDB">
              <w:t>review of personnel files</w:t>
            </w:r>
            <w:r w:rsidR="001663DC">
              <w:t>.</w:t>
            </w:r>
          </w:p>
        </w:tc>
        <w:tc>
          <w:tcPr>
            <w:tcW w:w="1958" w:type="dxa"/>
          </w:tcPr>
          <w:p w:rsidR="00A14613" w:rsidRPr="00F04EDB" w:rsidRDefault="00A14613" w:rsidP="00DC2E38">
            <w:pPr>
              <w:tabs>
                <w:tab w:val="left" w:pos="360"/>
                <w:tab w:val="left" w:pos="720"/>
                <w:tab w:val="left" w:pos="1080"/>
                <w:tab w:val="left" w:pos="1440"/>
                <w:tab w:val="left" w:pos="1800"/>
                <w:tab w:val="left" w:pos="2160"/>
                <w:tab w:val="left" w:pos="2520"/>
                <w:tab w:val="left" w:pos="2880"/>
              </w:tabs>
            </w:pPr>
            <w:r w:rsidRPr="00F04EDB">
              <w:t xml:space="preserve">Interviews with town or city personnel; interviews with school leaders; interviews with school committee members; </w:t>
            </w:r>
            <w:r w:rsidR="001C4C16">
              <w:t>interview with teachers</w:t>
            </w:r>
            <w:r w:rsidR="001663DC">
              <w:t>’</w:t>
            </w:r>
            <w:r w:rsidR="001C4C16">
              <w:t xml:space="preserve"> association leaders; interview with town financial director; </w:t>
            </w:r>
            <w:r w:rsidRPr="00F04EDB">
              <w:t xml:space="preserve">visits to </w:t>
            </w:r>
            <w:r w:rsidR="00DC2E38">
              <w:t xml:space="preserve">elementary and middle schools </w:t>
            </w:r>
            <w:r w:rsidR="001C4C16">
              <w:t xml:space="preserve">for classroom </w:t>
            </w:r>
            <w:r w:rsidR="00263972">
              <w:t>observations</w:t>
            </w:r>
            <w:r w:rsidR="001C4C16">
              <w:t xml:space="preserve">; </w:t>
            </w:r>
            <w:r w:rsidR="004544D5">
              <w:t xml:space="preserve">and </w:t>
            </w:r>
            <w:r w:rsidR="001C4C16">
              <w:t>focus groups with elementary</w:t>
            </w:r>
            <w:r w:rsidR="001663DC">
              <w:t>-</w:t>
            </w:r>
            <w:r w:rsidR="001C4C16">
              <w:t>, middle</w:t>
            </w:r>
            <w:r w:rsidR="001663DC">
              <w:t>-,</w:t>
            </w:r>
            <w:r w:rsidR="001C4C16">
              <w:t xml:space="preserve"> and high</w:t>
            </w:r>
            <w:r w:rsidR="001663DC">
              <w:t>-</w:t>
            </w:r>
            <w:r w:rsidR="001C4C16">
              <w:t xml:space="preserve"> school teachers.</w:t>
            </w:r>
          </w:p>
        </w:tc>
        <w:tc>
          <w:tcPr>
            <w:tcW w:w="2110" w:type="dxa"/>
          </w:tcPr>
          <w:p w:rsidR="00A14613" w:rsidRPr="00F04EDB" w:rsidRDefault="00A14613" w:rsidP="00DC2E38">
            <w:pPr>
              <w:tabs>
                <w:tab w:val="left" w:pos="360"/>
                <w:tab w:val="left" w:pos="720"/>
                <w:tab w:val="left" w:pos="1080"/>
                <w:tab w:val="left" w:pos="1440"/>
                <w:tab w:val="left" w:pos="1800"/>
                <w:tab w:val="left" w:pos="2160"/>
                <w:tab w:val="left" w:pos="2520"/>
                <w:tab w:val="left" w:pos="2880"/>
              </w:tabs>
            </w:pPr>
            <w:r w:rsidRPr="00F04EDB">
              <w:t xml:space="preserve">Interviews with school leaders; follow-up interviews; district review team meeting; </w:t>
            </w:r>
            <w:r w:rsidR="001C4C16">
              <w:t xml:space="preserve">parent focus group; </w:t>
            </w:r>
            <w:r w:rsidR="004544D5">
              <w:t xml:space="preserve">and </w:t>
            </w:r>
            <w:r w:rsidRPr="00F04EDB">
              <w:t xml:space="preserve">visits to </w:t>
            </w:r>
            <w:r w:rsidR="00DC2E38">
              <w:t>elementary and high schools</w:t>
            </w:r>
            <w:r w:rsidR="001C4C16">
              <w:t xml:space="preserve">  </w:t>
            </w:r>
            <w:r w:rsidRPr="00F04EDB">
              <w:t xml:space="preserve">for classroom observations; </w:t>
            </w:r>
            <w:r w:rsidR="00FD09BA">
              <w:t xml:space="preserve">and </w:t>
            </w:r>
            <w:r w:rsidRPr="00F04EDB">
              <w:t>district wrap-up meeting with the superintendent.</w:t>
            </w:r>
          </w:p>
        </w:tc>
        <w:tc>
          <w:tcPr>
            <w:tcW w:w="1587" w:type="dxa"/>
          </w:tcPr>
          <w:p w:rsidR="00A14613" w:rsidRPr="00F04EDB" w:rsidRDefault="001C4C16" w:rsidP="00DC2E38">
            <w:pPr>
              <w:tabs>
                <w:tab w:val="left" w:pos="360"/>
                <w:tab w:val="left" w:pos="720"/>
                <w:tab w:val="left" w:pos="1080"/>
                <w:tab w:val="left" w:pos="1440"/>
                <w:tab w:val="left" w:pos="1800"/>
                <w:tab w:val="left" w:pos="2160"/>
                <w:tab w:val="left" w:pos="2520"/>
                <w:tab w:val="left" w:pos="2880"/>
              </w:tabs>
            </w:pPr>
            <w:r>
              <w:t>Interviews with district and school leaders</w:t>
            </w:r>
            <w:r w:rsidR="00263972">
              <w:t xml:space="preserve">; </w:t>
            </w:r>
            <w:r>
              <w:t>focus group with high school students</w:t>
            </w:r>
            <w:r w:rsidR="00263972">
              <w:t xml:space="preserve">; </w:t>
            </w:r>
            <w:r w:rsidR="004544D5">
              <w:t xml:space="preserve">and </w:t>
            </w:r>
            <w:r>
              <w:t xml:space="preserve">visits to </w:t>
            </w:r>
            <w:r w:rsidR="00DC2E38">
              <w:t xml:space="preserve">elementary, middle, and high </w:t>
            </w:r>
            <w:r w:rsidR="005A0522">
              <w:t xml:space="preserve">schools </w:t>
            </w:r>
            <w:r w:rsidR="00263972">
              <w:t>for classroom observations.</w:t>
            </w:r>
          </w:p>
        </w:tc>
      </w:tr>
    </w:tbl>
    <w:p w:rsidR="008E314D" w:rsidRPr="00F04EDB" w:rsidRDefault="008E314D" w:rsidP="008E314D">
      <w:pPr>
        <w:tabs>
          <w:tab w:val="left" w:pos="360"/>
          <w:tab w:val="left" w:pos="720"/>
          <w:tab w:val="left" w:pos="1080"/>
          <w:tab w:val="left" w:pos="1440"/>
          <w:tab w:val="left" w:pos="1800"/>
          <w:tab w:val="left" w:pos="2160"/>
          <w:tab w:val="left" w:pos="2520"/>
          <w:tab w:val="left" w:pos="2880"/>
        </w:tabs>
      </w:pPr>
    </w:p>
    <w:p w:rsidR="002F1EBE" w:rsidRPr="00F04EDB" w:rsidRDefault="002F1EBE">
      <w:pPr>
        <w:spacing w:after="0" w:line="240" w:lineRule="auto"/>
      </w:pPr>
      <w:bookmarkStart w:id="20" w:name="_Toc337817151"/>
      <w:r w:rsidRPr="00F04EDB">
        <w:br w:type="page"/>
      </w:r>
    </w:p>
    <w:p w:rsidR="002F1EBE" w:rsidRPr="00F04EDB" w:rsidRDefault="00A9507F" w:rsidP="004B192B">
      <w:pPr>
        <w:pStyle w:val="Section"/>
      </w:pPr>
      <w:r w:rsidRPr="00F04EDB">
        <w:lastRenderedPageBreak/>
        <w:t xml:space="preserve"> </w:t>
      </w:r>
      <w:bookmarkStart w:id="21" w:name="_Toc484611579"/>
      <w:r w:rsidR="002F1EBE" w:rsidRPr="00F04EDB">
        <w:t xml:space="preserve">Appendix B: </w:t>
      </w:r>
      <w:r w:rsidR="002F1EBE" w:rsidRPr="004B192B">
        <w:t>Enrollment</w:t>
      </w:r>
      <w:r w:rsidR="002F1EBE" w:rsidRPr="00F04EDB">
        <w:t>, Performance, Expenditures</w:t>
      </w:r>
      <w:bookmarkEnd w:id="21"/>
    </w:p>
    <w:p w:rsidR="00131E2D" w:rsidRPr="00B57E73" w:rsidRDefault="00131E2D" w:rsidP="002D70FA">
      <w:pPr>
        <w:spacing w:after="0" w:line="240" w:lineRule="auto"/>
        <w:jc w:val="center"/>
        <w:rPr>
          <w:rFonts w:ascii="Calibri" w:eastAsia="Calibri" w:hAnsi="Calibri" w:cs="Times New Roman"/>
          <w:b/>
          <w:sz w:val="20"/>
        </w:rPr>
      </w:pPr>
      <w:r w:rsidRPr="00B57E73">
        <w:rPr>
          <w:rFonts w:ascii="Calibri" w:eastAsia="Calibri" w:hAnsi="Calibri" w:cs="Times New Roman"/>
          <w:b/>
          <w:sz w:val="20"/>
        </w:rPr>
        <w:t>Table B1a: Worcester Public Schools</w:t>
      </w:r>
    </w:p>
    <w:p w:rsidR="00131E2D" w:rsidRPr="00B57E73" w:rsidRDefault="00131E2D" w:rsidP="002D70FA">
      <w:pPr>
        <w:spacing w:after="0" w:line="240" w:lineRule="auto"/>
        <w:jc w:val="center"/>
        <w:rPr>
          <w:rFonts w:ascii="Calibri" w:eastAsia="Calibri" w:hAnsi="Calibri" w:cs="Times New Roman"/>
          <w:b/>
          <w:sz w:val="20"/>
        </w:rPr>
      </w:pPr>
      <w:r w:rsidRPr="00B57E73">
        <w:rPr>
          <w:rFonts w:ascii="Calibri" w:eastAsia="Calibri" w:hAnsi="Calibri" w:cs="Times New Roman"/>
          <w:b/>
          <w:sz w:val="20"/>
        </w:rPr>
        <w:t>2016–2017 Student Enrollment by Race/Ethnicity</w:t>
      </w:r>
    </w:p>
    <w:tbl>
      <w:tblPr>
        <w:tblStyle w:val="TableGrid"/>
        <w:tblW w:w="0" w:type="auto"/>
        <w:tblLook w:val="04A0"/>
      </w:tblPr>
      <w:tblGrid>
        <w:gridCol w:w="2898"/>
        <w:gridCol w:w="1489"/>
        <w:gridCol w:w="1490"/>
        <w:gridCol w:w="1489"/>
        <w:gridCol w:w="1490"/>
      </w:tblGrid>
      <w:tr w:rsidR="00131E2D" w:rsidRPr="00B57E73" w:rsidTr="009D5584">
        <w:tc>
          <w:tcPr>
            <w:tcW w:w="2898" w:type="dxa"/>
            <w:vAlign w:val="center"/>
          </w:tcPr>
          <w:p w:rsidR="00131E2D" w:rsidRPr="00B57E73" w:rsidRDefault="00131E2D" w:rsidP="009D5584">
            <w:pPr>
              <w:spacing w:after="0" w:line="240" w:lineRule="auto"/>
              <w:jc w:val="center"/>
              <w:rPr>
                <w:rFonts w:ascii="Calibri" w:eastAsia="Times New Roman" w:hAnsi="Calibri" w:cs="Times New Roman"/>
                <w:b/>
                <w:sz w:val="20"/>
                <w:szCs w:val="20"/>
              </w:rPr>
            </w:pPr>
            <w:r w:rsidRPr="00B57E73">
              <w:rPr>
                <w:rFonts w:ascii="Calibri" w:eastAsia="Times New Roman" w:hAnsi="Calibri" w:cs="Times New Roman"/>
                <w:b/>
                <w:sz w:val="20"/>
                <w:szCs w:val="20"/>
              </w:rPr>
              <w:t>Student Group</w:t>
            </w:r>
          </w:p>
        </w:tc>
        <w:tc>
          <w:tcPr>
            <w:tcW w:w="1489" w:type="dxa"/>
            <w:vAlign w:val="center"/>
          </w:tcPr>
          <w:p w:rsidR="00131E2D" w:rsidRPr="00B57E73" w:rsidRDefault="00131E2D" w:rsidP="009D5584">
            <w:pPr>
              <w:spacing w:after="0" w:line="240" w:lineRule="auto"/>
              <w:jc w:val="center"/>
              <w:rPr>
                <w:rFonts w:ascii="Calibri" w:eastAsia="Times New Roman" w:hAnsi="Calibri" w:cs="Times New Roman"/>
                <w:b/>
                <w:sz w:val="20"/>
                <w:szCs w:val="20"/>
              </w:rPr>
            </w:pPr>
            <w:r w:rsidRPr="00B57E73">
              <w:rPr>
                <w:rFonts w:ascii="Calibri" w:eastAsia="Times New Roman" w:hAnsi="Calibri" w:cs="Times New Roman"/>
                <w:b/>
                <w:sz w:val="20"/>
                <w:szCs w:val="20"/>
              </w:rPr>
              <w:t>District</w:t>
            </w:r>
          </w:p>
        </w:tc>
        <w:tc>
          <w:tcPr>
            <w:tcW w:w="1490" w:type="dxa"/>
            <w:shd w:val="clear" w:color="auto" w:fill="D9D9D9" w:themeFill="background1" w:themeFillShade="D9"/>
            <w:vAlign w:val="bottom"/>
          </w:tcPr>
          <w:p w:rsidR="00131E2D" w:rsidRPr="00B57E73" w:rsidRDefault="00131E2D" w:rsidP="009D5584">
            <w:pPr>
              <w:spacing w:after="0" w:line="240" w:lineRule="auto"/>
              <w:jc w:val="center"/>
              <w:rPr>
                <w:rFonts w:ascii="Calibri" w:eastAsia="Times New Roman" w:hAnsi="Calibri" w:cs="Times New Roman"/>
                <w:b/>
                <w:sz w:val="20"/>
                <w:szCs w:val="20"/>
              </w:rPr>
            </w:pPr>
            <w:r w:rsidRPr="00B57E73">
              <w:rPr>
                <w:rFonts w:ascii="Calibri" w:eastAsia="Times New Roman" w:hAnsi="Calibri" w:cs="Times New Roman"/>
                <w:b/>
                <w:sz w:val="20"/>
                <w:szCs w:val="20"/>
              </w:rPr>
              <w:t>Percent</w:t>
            </w:r>
          </w:p>
          <w:p w:rsidR="00131E2D" w:rsidRPr="00B57E73" w:rsidRDefault="00131E2D" w:rsidP="009D5584">
            <w:pPr>
              <w:spacing w:after="0" w:line="240" w:lineRule="auto"/>
              <w:jc w:val="center"/>
              <w:rPr>
                <w:rFonts w:ascii="Calibri" w:eastAsia="Times New Roman" w:hAnsi="Calibri" w:cs="Times New Roman"/>
                <w:b/>
                <w:sz w:val="20"/>
                <w:szCs w:val="20"/>
              </w:rPr>
            </w:pPr>
            <w:r w:rsidRPr="00B57E73">
              <w:rPr>
                <w:rFonts w:ascii="Calibri" w:eastAsia="Times New Roman" w:hAnsi="Calibri" w:cs="Times New Roman"/>
                <w:b/>
                <w:sz w:val="20"/>
                <w:szCs w:val="20"/>
              </w:rPr>
              <w:t>of Total</w:t>
            </w:r>
          </w:p>
        </w:tc>
        <w:tc>
          <w:tcPr>
            <w:tcW w:w="1489" w:type="dxa"/>
            <w:vAlign w:val="center"/>
          </w:tcPr>
          <w:p w:rsidR="00131E2D" w:rsidRPr="00B57E73" w:rsidRDefault="00131E2D" w:rsidP="009D5584">
            <w:pPr>
              <w:spacing w:after="0" w:line="240" w:lineRule="auto"/>
              <w:jc w:val="center"/>
              <w:rPr>
                <w:rFonts w:ascii="Calibri" w:eastAsia="Times New Roman" w:hAnsi="Calibri" w:cs="Times New Roman"/>
                <w:b/>
                <w:sz w:val="20"/>
                <w:szCs w:val="20"/>
              </w:rPr>
            </w:pPr>
            <w:r w:rsidRPr="00B57E73">
              <w:rPr>
                <w:rFonts w:ascii="Calibri" w:eastAsia="Times New Roman" w:hAnsi="Calibri" w:cs="Times New Roman"/>
                <w:b/>
                <w:sz w:val="20"/>
                <w:szCs w:val="20"/>
              </w:rPr>
              <w:t>State</w:t>
            </w:r>
          </w:p>
        </w:tc>
        <w:tc>
          <w:tcPr>
            <w:tcW w:w="1490" w:type="dxa"/>
            <w:shd w:val="clear" w:color="auto" w:fill="D9D9D9" w:themeFill="background1" w:themeFillShade="D9"/>
            <w:vAlign w:val="bottom"/>
          </w:tcPr>
          <w:p w:rsidR="00131E2D" w:rsidRPr="00B57E73" w:rsidRDefault="00131E2D" w:rsidP="009D5584">
            <w:pPr>
              <w:spacing w:after="0" w:line="240" w:lineRule="auto"/>
              <w:jc w:val="center"/>
              <w:rPr>
                <w:rFonts w:ascii="Calibri" w:eastAsia="Times New Roman" w:hAnsi="Calibri" w:cs="Times New Roman"/>
                <w:b/>
                <w:sz w:val="20"/>
                <w:szCs w:val="20"/>
              </w:rPr>
            </w:pPr>
            <w:r w:rsidRPr="00B57E73">
              <w:rPr>
                <w:rFonts w:ascii="Calibri" w:eastAsia="Times New Roman" w:hAnsi="Calibri" w:cs="Times New Roman"/>
                <w:b/>
                <w:sz w:val="20"/>
                <w:szCs w:val="20"/>
              </w:rPr>
              <w:t>Percent of</w:t>
            </w:r>
          </w:p>
          <w:p w:rsidR="00131E2D" w:rsidRPr="00B57E73" w:rsidRDefault="00131E2D" w:rsidP="009D5584">
            <w:pPr>
              <w:spacing w:after="0" w:line="240" w:lineRule="auto"/>
              <w:jc w:val="center"/>
              <w:rPr>
                <w:rFonts w:ascii="Calibri" w:eastAsia="Times New Roman" w:hAnsi="Calibri" w:cs="Times New Roman"/>
                <w:b/>
                <w:sz w:val="20"/>
                <w:szCs w:val="20"/>
              </w:rPr>
            </w:pPr>
            <w:r w:rsidRPr="00B57E73">
              <w:rPr>
                <w:rFonts w:ascii="Calibri" w:eastAsia="Times New Roman" w:hAnsi="Calibri" w:cs="Times New Roman"/>
                <w:b/>
                <w:sz w:val="20"/>
                <w:szCs w:val="20"/>
              </w:rPr>
              <w:t>Total</w:t>
            </w:r>
          </w:p>
        </w:tc>
      </w:tr>
      <w:tr w:rsidR="00131E2D" w:rsidRPr="00B57E73" w:rsidTr="009D5584">
        <w:tc>
          <w:tcPr>
            <w:tcW w:w="2898" w:type="dxa"/>
            <w:vAlign w:val="bottom"/>
          </w:tcPr>
          <w:p w:rsidR="00131E2D" w:rsidRPr="00B57E73" w:rsidRDefault="00131E2D" w:rsidP="009D5584">
            <w:pPr>
              <w:spacing w:after="0" w:line="240" w:lineRule="auto"/>
              <w:rPr>
                <w:rFonts w:ascii="Calibri" w:eastAsia="Times New Roman" w:hAnsi="Calibri" w:cs="Times New Roman"/>
                <w:sz w:val="20"/>
                <w:szCs w:val="20"/>
              </w:rPr>
            </w:pPr>
            <w:r w:rsidRPr="00B57E73">
              <w:rPr>
                <w:rFonts w:ascii="Calibri" w:eastAsia="Times New Roman" w:hAnsi="Calibri" w:cs="Times New Roman"/>
                <w:sz w:val="20"/>
                <w:szCs w:val="20"/>
              </w:rPr>
              <w:t>African-American</w:t>
            </w:r>
          </w:p>
        </w:tc>
        <w:tc>
          <w:tcPr>
            <w:tcW w:w="1489" w:type="dxa"/>
            <w:vAlign w:val="bottom"/>
          </w:tcPr>
          <w:p w:rsidR="00131E2D" w:rsidRPr="00B57E73" w:rsidRDefault="00131E2D" w:rsidP="009D5584">
            <w:pPr>
              <w:spacing w:after="0" w:line="240" w:lineRule="auto"/>
              <w:jc w:val="center"/>
              <w:rPr>
                <w:rFonts w:ascii="Calibri" w:hAnsi="Calibri"/>
                <w:sz w:val="20"/>
                <w:szCs w:val="20"/>
              </w:rPr>
            </w:pPr>
            <w:r w:rsidRPr="00B57E73">
              <w:rPr>
                <w:rFonts w:ascii="Calibri" w:hAnsi="Calibri"/>
                <w:sz w:val="20"/>
                <w:szCs w:val="20"/>
              </w:rPr>
              <w:t>3,918</w:t>
            </w:r>
          </w:p>
        </w:tc>
        <w:tc>
          <w:tcPr>
            <w:tcW w:w="1490" w:type="dxa"/>
            <w:shd w:val="clear" w:color="auto" w:fill="D9D9D9" w:themeFill="background1" w:themeFillShade="D9"/>
            <w:vAlign w:val="bottom"/>
          </w:tcPr>
          <w:p w:rsidR="00131E2D" w:rsidRPr="00B57E73" w:rsidRDefault="00131E2D" w:rsidP="009D5584">
            <w:pPr>
              <w:spacing w:after="0" w:line="240" w:lineRule="auto"/>
              <w:jc w:val="center"/>
              <w:rPr>
                <w:rFonts w:ascii="Calibri" w:hAnsi="Calibri"/>
                <w:sz w:val="20"/>
                <w:szCs w:val="20"/>
              </w:rPr>
            </w:pPr>
            <w:r w:rsidRPr="00B57E73">
              <w:rPr>
                <w:rFonts w:ascii="Calibri" w:hAnsi="Calibri"/>
                <w:sz w:val="20"/>
                <w:szCs w:val="20"/>
              </w:rPr>
              <w:t>15.4%</w:t>
            </w:r>
          </w:p>
        </w:tc>
        <w:tc>
          <w:tcPr>
            <w:tcW w:w="1489" w:type="dxa"/>
            <w:vAlign w:val="bottom"/>
          </w:tcPr>
          <w:p w:rsidR="00131E2D" w:rsidRPr="00B57E73" w:rsidRDefault="00131E2D" w:rsidP="009D5584">
            <w:pPr>
              <w:spacing w:after="0" w:line="240" w:lineRule="auto"/>
              <w:jc w:val="center"/>
              <w:rPr>
                <w:rFonts w:ascii="Calibri" w:hAnsi="Calibri"/>
                <w:sz w:val="20"/>
                <w:szCs w:val="20"/>
              </w:rPr>
            </w:pPr>
            <w:r w:rsidRPr="00B57E73">
              <w:rPr>
                <w:rFonts w:ascii="Calibri" w:hAnsi="Calibri"/>
                <w:sz w:val="20"/>
                <w:szCs w:val="20"/>
              </w:rPr>
              <w:t>84,996</w:t>
            </w:r>
          </w:p>
        </w:tc>
        <w:tc>
          <w:tcPr>
            <w:tcW w:w="1490" w:type="dxa"/>
            <w:shd w:val="clear" w:color="auto" w:fill="D9D9D9" w:themeFill="background1" w:themeFillShade="D9"/>
            <w:vAlign w:val="bottom"/>
          </w:tcPr>
          <w:p w:rsidR="00131E2D" w:rsidRPr="00B57E73" w:rsidRDefault="00131E2D" w:rsidP="009D5584">
            <w:pPr>
              <w:spacing w:after="0" w:line="240" w:lineRule="auto"/>
              <w:jc w:val="center"/>
              <w:rPr>
                <w:rFonts w:ascii="Calibri" w:hAnsi="Calibri"/>
                <w:sz w:val="20"/>
                <w:szCs w:val="20"/>
              </w:rPr>
            </w:pPr>
            <w:r w:rsidRPr="00B57E73">
              <w:rPr>
                <w:rFonts w:ascii="Calibri" w:hAnsi="Calibri"/>
                <w:sz w:val="20"/>
                <w:szCs w:val="20"/>
              </w:rPr>
              <w:t>8.9%</w:t>
            </w:r>
          </w:p>
        </w:tc>
      </w:tr>
      <w:tr w:rsidR="00131E2D" w:rsidRPr="00B57E73" w:rsidTr="009D5584">
        <w:tc>
          <w:tcPr>
            <w:tcW w:w="2898" w:type="dxa"/>
            <w:vAlign w:val="bottom"/>
          </w:tcPr>
          <w:p w:rsidR="00131E2D" w:rsidRPr="00B57E73" w:rsidRDefault="00131E2D" w:rsidP="009D5584">
            <w:pPr>
              <w:spacing w:after="0" w:line="240" w:lineRule="auto"/>
              <w:rPr>
                <w:rFonts w:ascii="Calibri" w:eastAsia="Times New Roman" w:hAnsi="Calibri" w:cs="Times New Roman"/>
                <w:sz w:val="20"/>
                <w:szCs w:val="20"/>
              </w:rPr>
            </w:pPr>
            <w:r w:rsidRPr="00B57E73">
              <w:rPr>
                <w:rFonts w:ascii="Calibri" w:eastAsia="Times New Roman" w:hAnsi="Calibri" w:cs="Times New Roman"/>
                <w:sz w:val="20"/>
                <w:szCs w:val="20"/>
              </w:rPr>
              <w:t>Asian</w:t>
            </w:r>
          </w:p>
        </w:tc>
        <w:tc>
          <w:tcPr>
            <w:tcW w:w="1489" w:type="dxa"/>
            <w:vAlign w:val="bottom"/>
          </w:tcPr>
          <w:p w:rsidR="00131E2D" w:rsidRPr="00B57E73" w:rsidRDefault="00131E2D" w:rsidP="009D5584">
            <w:pPr>
              <w:spacing w:after="0" w:line="240" w:lineRule="auto"/>
              <w:jc w:val="center"/>
              <w:rPr>
                <w:rFonts w:ascii="Calibri" w:hAnsi="Calibri"/>
                <w:sz w:val="20"/>
                <w:szCs w:val="20"/>
              </w:rPr>
            </w:pPr>
            <w:r w:rsidRPr="00B57E73">
              <w:rPr>
                <w:rFonts w:ascii="Calibri" w:hAnsi="Calibri"/>
                <w:sz w:val="20"/>
                <w:szCs w:val="20"/>
              </w:rPr>
              <w:t>1,898</w:t>
            </w:r>
          </w:p>
        </w:tc>
        <w:tc>
          <w:tcPr>
            <w:tcW w:w="1490" w:type="dxa"/>
            <w:shd w:val="clear" w:color="auto" w:fill="D9D9D9" w:themeFill="background1" w:themeFillShade="D9"/>
            <w:vAlign w:val="bottom"/>
          </w:tcPr>
          <w:p w:rsidR="00131E2D" w:rsidRPr="00B57E73" w:rsidRDefault="00131E2D" w:rsidP="009D5584">
            <w:pPr>
              <w:spacing w:after="0" w:line="240" w:lineRule="auto"/>
              <w:jc w:val="center"/>
              <w:rPr>
                <w:rFonts w:ascii="Calibri" w:hAnsi="Calibri"/>
                <w:sz w:val="20"/>
                <w:szCs w:val="20"/>
              </w:rPr>
            </w:pPr>
            <w:r w:rsidRPr="00B57E73">
              <w:rPr>
                <w:rFonts w:ascii="Calibri" w:hAnsi="Calibri"/>
                <w:sz w:val="20"/>
                <w:szCs w:val="20"/>
              </w:rPr>
              <w:t>7.4%</w:t>
            </w:r>
          </w:p>
        </w:tc>
        <w:tc>
          <w:tcPr>
            <w:tcW w:w="1489" w:type="dxa"/>
            <w:vAlign w:val="bottom"/>
          </w:tcPr>
          <w:p w:rsidR="00131E2D" w:rsidRPr="00B57E73" w:rsidRDefault="00131E2D" w:rsidP="009D5584">
            <w:pPr>
              <w:spacing w:after="0" w:line="240" w:lineRule="auto"/>
              <w:jc w:val="center"/>
              <w:rPr>
                <w:rFonts w:ascii="Calibri" w:hAnsi="Calibri"/>
                <w:sz w:val="20"/>
                <w:szCs w:val="20"/>
              </w:rPr>
            </w:pPr>
            <w:r w:rsidRPr="00B57E73">
              <w:rPr>
                <w:rFonts w:ascii="Calibri" w:hAnsi="Calibri"/>
                <w:sz w:val="20"/>
                <w:szCs w:val="20"/>
              </w:rPr>
              <w:t>63,690</w:t>
            </w:r>
          </w:p>
        </w:tc>
        <w:tc>
          <w:tcPr>
            <w:tcW w:w="1490" w:type="dxa"/>
            <w:shd w:val="clear" w:color="auto" w:fill="D9D9D9" w:themeFill="background1" w:themeFillShade="D9"/>
            <w:vAlign w:val="bottom"/>
          </w:tcPr>
          <w:p w:rsidR="00131E2D" w:rsidRPr="00B57E73" w:rsidRDefault="00131E2D" w:rsidP="009D5584">
            <w:pPr>
              <w:spacing w:after="0" w:line="240" w:lineRule="auto"/>
              <w:jc w:val="center"/>
              <w:rPr>
                <w:rFonts w:ascii="Calibri" w:hAnsi="Calibri"/>
                <w:sz w:val="20"/>
                <w:szCs w:val="20"/>
              </w:rPr>
            </w:pPr>
            <w:r w:rsidRPr="00B57E73">
              <w:rPr>
                <w:rFonts w:ascii="Calibri" w:hAnsi="Calibri"/>
                <w:sz w:val="20"/>
                <w:szCs w:val="20"/>
              </w:rPr>
              <w:t>6.7%</w:t>
            </w:r>
          </w:p>
        </w:tc>
      </w:tr>
      <w:tr w:rsidR="00131E2D" w:rsidRPr="00B57E73" w:rsidTr="009D5584">
        <w:tc>
          <w:tcPr>
            <w:tcW w:w="2898" w:type="dxa"/>
            <w:vAlign w:val="bottom"/>
          </w:tcPr>
          <w:p w:rsidR="00131E2D" w:rsidRPr="00B57E73" w:rsidRDefault="00131E2D" w:rsidP="009D5584">
            <w:pPr>
              <w:spacing w:after="0" w:line="240" w:lineRule="auto"/>
              <w:rPr>
                <w:rFonts w:ascii="Calibri" w:eastAsia="Times New Roman" w:hAnsi="Calibri" w:cs="Times New Roman"/>
                <w:sz w:val="20"/>
                <w:szCs w:val="20"/>
              </w:rPr>
            </w:pPr>
            <w:r w:rsidRPr="00B57E73">
              <w:rPr>
                <w:rFonts w:ascii="Calibri" w:eastAsia="Times New Roman" w:hAnsi="Calibri" w:cs="Times New Roman"/>
                <w:sz w:val="20"/>
                <w:szCs w:val="20"/>
              </w:rPr>
              <w:t>Hispanic</w:t>
            </w:r>
          </w:p>
        </w:tc>
        <w:tc>
          <w:tcPr>
            <w:tcW w:w="1489" w:type="dxa"/>
            <w:vAlign w:val="bottom"/>
          </w:tcPr>
          <w:p w:rsidR="00131E2D" w:rsidRPr="00B57E73" w:rsidRDefault="00131E2D" w:rsidP="009D5584">
            <w:pPr>
              <w:spacing w:after="0" w:line="240" w:lineRule="auto"/>
              <w:jc w:val="center"/>
              <w:rPr>
                <w:rFonts w:ascii="Calibri" w:hAnsi="Calibri"/>
                <w:sz w:val="20"/>
                <w:szCs w:val="20"/>
              </w:rPr>
            </w:pPr>
            <w:r w:rsidRPr="00B57E73">
              <w:rPr>
                <w:rFonts w:ascii="Calibri" w:hAnsi="Calibri"/>
                <w:sz w:val="20"/>
                <w:szCs w:val="20"/>
              </w:rPr>
              <w:t>10,638</w:t>
            </w:r>
          </w:p>
        </w:tc>
        <w:tc>
          <w:tcPr>
            <w:tcW w:w="1490" w:type="dxa"/>
            <w:shd w:val="clear" w:color="auto" w:fill="D9D9D9" w:themeFill="background1" w:themeFillShade="D9"/>
            <w:vAlign w:val="bottom"/>
          </w:tcPr>
          <w:p w:rsidR="00131E2D" w:rsidRPr="00B57E73" w:rsidRDefault="00131E2D" w:rsidP="009D5584">
            <w:pPr>
              <w:spacing w:after="0" w:line="240" w:lineRule="auto"/>
              <w:jc w:val="center"/>
              <w:rPr>
                <w:rFonts w:ascii="Calibri" w:hAnsi="Calibri"/>
                <w:sz w:val="20"/>
                <w:szCs w:val="20"/>
              </w:rPr>
            </w:pPr>
            <w:r w:rsidRPr="00B57E73">
              <w:rPr>
                <w:rFonts w:ascii="Calibri" w:hAnsi="Calibri"/>
                <w:sz w:val="20"/>
                <w:szCs w:val="20"/>
              </w:rPr>
              <w:t>41.8%</w:t>
            </w:r>
          </w:p>
        </w:tc>
        <w:tc>
          <w:tcPr>
            <w:tcW w:w="1489" w:type="dxa"/>
            <w:vAlign w:val="bottom"/>
          </w:tcPr>
          <w:p w:rsidR="00131E2D" w:rsidRPr="00B57E73" w:rsidRDefault="00131E2D" w:rsidP="009D5584">
            <w:pPr>
              <w:spacing w:after="0" w:line="240" w:lineRule="auto"/>
              <w:jc w:val="center"/>
              <w:rPr>
                <w:rFonts w:ascii="Calibri" w:hAnsi="Calibri"/>
                <w:sz w:val="20"/>
                <w:szCs w:val="20"/>
              </w:rPr>
            </w:pPr>
            <w:r w:rsidRPr="00B57E73">
              <w:rPr>
                <w:rFonts w:ascii="Calibri" w:hAnsi="Calibri"/>
                <w:sz w:val="20"/>
                <w:szCs w:val="20"/>
              </w:rPr>
              <w:t>184,782</w:t>
            </w:r>
          </w:p>
        </w:tc>
        <w:tc>
          <w:tcPr>
            <w:tcW w:w="1490" w:type="dxa"/>
            <w:shd w:val="clear" w:color="auto" w:fill="D9D9D9" w:themeFill="background1" w:themeFillShade="D9"/>
            <w:vAlign w:val="bottom"/>
          </w:tcPr>
          <w:p w:rsidR="00131E2D" w:rsidRPr="00B57E73" w:rsidRDefault="00131E2D" w:rsidP="009D5584">
            <w:pPr>
              <w:spacing w:after="0" w:line="240" w:lineRule="auto"/>
              <w:jc w:val="center"/>
              <w:rPr>
                <w:rFonts w:ascii="Calibri" w:hAnsi="Calibri"/>
                <w:sz w:val="20"/>
                <w:szCs w:val="20"/>
              </w:rPr>
            </w:pPr>
            <w:r w:rsidRPr="00B57E73">
              <w:rPr>
                <w:rFonts w:ascii="Calibri" w:hAnsi="Calibri"/>
                <w:sz w:val="20"/>
                <w:szCs w:val="20"/>
              </w:rPr>
              <w:t>19.4%</w:t>
            </w:r>
          </w:p>
        </w:tc>
      </w:tr>
      <w:tr w:rsidR="00131E2D" w:rsidRPr="00B57E73" w:rsidTr="009D5584">
        <w:tc>
          <w:tcPr>
            <w:tcW w:w="2898" w:type="dxa"/>
            <w:vAlign w:val="bottom"/>
          </w:tcPr>
          <w:p w:rsidR="00131E2D" w:rsidRPr="00B57E73" w:rsidRDefault="00131E2D" w:rsidP="009D5584">
            <w:pPr>
              <w:spacing w:after="0" w:line="240" w:lineRule="auto"/>
              <w:rPr>
                <w:rFonts w:ascii="Calibri" w:eastAsia="Times New Roman" w:hAnsi="Calibri" w:cs="Times New Roman"/>
                <w:sz w:val="20"/>
                <w:szCs w:val="20"/>
              </w:rPr>
            </w:pPr>
            <w:r w:rsidRPr="00B57E73">
              <w:rPr>
                <w:rFonts w:ascii="Calibri" w:eastAsia="Times New Roman" w:hAnsi="Calibri" w:cs="Times New Roman"/>
                <w:sz w:val="20"/>
                <w:szCs w:val="20"/>
              </w:rPr>
              <w:t>Native American</w:t>
            </w:r>
          </w:p>
        </w:tc>
        <w:tc>
          <w:tcPr>
            <w:tcW w:w="1489" w:type="dxa"/>
            <w:vAlign w:val="center"/>
          </w:tcPr>
          <w:p w:rsidR="00131E2D" w:rsidRPr="00B57E73" w:rsidRDefault="00131E2D" w:rsidP="009D5584">
            <w:pPr>
              <w:spacing w:after="0" w:line="240" w:lineRule="auto"/>
              <w:jc w:val="center"/>
              <w:rPr>
                <w:rFonts w:ascii="Calibri" w:hAnsi="Calibri"/>
                <w:sz w:val="20"/>
                <w:szCs w:val="20"/>
              </w:rPr>
            </w:pPr>
            <w:r w:rsidRPr="00B57E73">
              <w:rPr>
                <w:rFonts w:ascii="Calibri" w:hAnsi="Calibri"/>
                <w:sz w:val="20"/>
                <w:szCs w:val="20"/>
              </w:rPr>
              <w:t>43</w:t>
            </w:r>
          </w:p>
        </w:tc>
        <w:tc>
          <w:tcPr>
            <w:tcW w:w="1490" w:type="dxa"/>
            <w:shd w:val="clear" w:color="auto" w:fill="D9D9D9" w:themeFill="background1" w:themeFillShade="D9"/>
            <w:vAlign w:val="center"/>
          </w:tcPr>
          <w:p w:rsidR="00131E2D" w:rsidRPr="00B57E73" w:rsidRDefault="00131E2D" w:rsidP="009D5584">
            <w:pPr>
              <w:spacing w:after="0" w:line="240" w:lineRule="auto"/>
              <w:jc w:val="center"/>
              <w:rPr>
                <w:rFonts w:ascii="Calibri" w:hAnsi="Calibri"/>
                <w:sz w:val="20"/>
                <w:szCs w:val="20"/>
              </w:rPr>
            </w:pPr>
            <w:r w:rsidRPr="00B57E73">
              <w:rPr>
                <w:rFonts w:ascii="Calibri" w:hAnsi="Calibri"/>
                <w:sz w:val="20"/>
                <w:szCs w:val="20"/>
              </w:rPr>
              <w:t>0.2%</w:t>
            </w:r>
          </w:p>
        </w:tc>
        <w:tc>
          <w:tcPr>
            <w:tcW w:w="1489" w:type="dxa"/>
            <w:vAlign w:val="bottom"/>
          </w:tcPr>
          <w:p w:rsidR="00131E2D" w:rsidRPr="00B57E73" w:rsidRDefault="00131E2D" w:rsidP="009D5584">
            <w:pPr>
              <w:spacing w:after="0" w:line="240" w:lineRule="auto"/>
              <w:jc w:val="center"/>
              <w:rPr>
                <w:rFonts w:ascii="Calibri" w:hAnsi="Calibri"/>
                <w:sz w:val="20"/>
                <w:szCs w:val="20"/>
              </w:rPr>
            </w:pPr>
            <w:r w:rsidRPr="00B57E73">
              <w:rPr>
                <w:rFonts w:ascii="Calibri" w:hAnsi="Calibri"/>
                <w:sz w:val="20"/>
                <w:szCs w:val="20"/>
              </w:rPr>
              <w:t>2,125</w:t>
            </w:r>
          </w:p>
        </w:tc>
        <w:tc>
          <w:tcPr>
            <w:tcW w:w="1490" w:type="dxa"/>
            <w:shd w:val="clear" w:color="auto" w:fill="D9D9D9" w:themeFill="background1" w:themeFillShade="D9"/>
            <w:vAlign w:val="bottom"/>
          </w:tcPr>
          <w:p w:rsidR="00131E2D" w:rsidRPr="00B57E73" w:rsidRDefault="00131E2D" w:rsidP="009D5584">
            <w:pPr>
              <w:spacing w:after="0" w:line="240" w:lineRule="auto"/>
              <w:jc w:val="center"/>
              <w:rPr>
                <w:rFonts w:ascii="Calibri" w:hAnsi="Calibri"/>
                <w:sz w:val="20"/>
                <w:szCs w:val="20"/>
              </w:rPr>
            </w:pPr>
            <w:r w:rsidRPr="00B57E73">
              <w:rPr>
                <w:rFonts w:ascii="Calibri" w:hAnsi="Calibri"/>
                <w:sz w:val="20"/>
                <w:szCs w:val="20"/>
              </w:rPr>
              <w:t>0.2%</w:t>
            </w:r>
          </w:p>
        </w:tc>
      </w:tr>
      <w:tr w:rsidR="00131E2D" w:rsidRPr="00B57E73" w:rsidTr="009D5584">
        <w:tc>
          <w:tcPr>
            <w:tcW w:w="2898" w:type="dxa"/>
            <w:vAlign w:val="bottom"/>
          </w:tcPr>
          <w:p w:rsidR="00131E2D" w:rsidRPr="00B57E73" w:rsidRDefault="00131E2D" w:rsidP="009D5584">
            <w:pPr>
              <w:spacing w:after="0" w:line="240" w:lineRule="auto"/>
              <w:rPr>
                <w:rFonts w:ascii="Calibri" w:eastAsia="Times New Roman" w:hAnsi="Calibri" w:cs="Times New Roman"/>
                <w:sz w:val="20"/>
                <w:szCs w:val="20"/>
              </w:rPr>
            </w:pPr>
            <w:r w:rsidRPr="00B57E73">
              <w:rPr>
                <w:rFonts w:ascii="Calibri" w:eastAsia="Times New Roman" w:hAnsi="Calibri" w:cs="Times New Roman"/>
                <w:sz w:val="20"/>
                <w:szCs w:val="20"/>
              </w:rPr>
              <w:t>White</w:t>
            </w:r>
          </w:p>
        </w:tc>
        <w:tc>
          <w:tcPr>
            <w:tcW w:w="1489" w:type="dxa"/>
            <w:vAlign w:val="bottom"/>
          </w:tcPr>
          <w:p w:rsidR="00131E2D" w:rsidRPr="00B57E73" w:rsidRDefault="00131E2D" w:rsidP="009D5584">
            <w:pPr>
              <w:spacing w:after="0" w:line="240" w:lineRule="auto"/>
              <w:jc w:val="center"/>
              <w:rPr>
                <w:rFonts w:ascii="Calibri" w:hAnsi="Calibri"/>
                <w:sz w:val="20"/>
                <w:szCs w:val="20"/>
              </w:rPr>
            </w:pPr>
            <w:r w:rsidRPr="00B57E73">
              <w:rPr>
                <w:rFonts w:ascii="Calibri" w:hAnsi="Calibri"/>
                <w:sz w:val="20"/>
                <w:szCs w:val="20"/>
              </w:rPr>
              <w:t>7,923</w:t>
            </w:r>
          </w:p>
        </w:tc>
        <w:tc>
          <w:tcPr>
            <w:tcW w:w="1490" w:type="dxa"/>
            <w:shd w:val="clear" w:color="auto" w:fill="D9D9D9" w:themeFill="background1" w:themeFillShade="D9"/>
            <w:vAlign w:val="bottom"/>
          </w:tcPr>
          <w:p w:rsidR="00131E2D" w:rsidRPr="00B57E73" w:rsidRDefault="00131E2D" w:rsidP="009D5584">
            <w:pPr>
              <w:spacing w:after="0" w:line="240" w:lineRule="auto"/>
              <w:jc w:val="center"/>
              <w:rPr>
                <w:rFonts w:ascii="Calibri" w:hAnsi="Calibri"/>
                <w:sz w:val="20"/>
                <w:szCs w:val="20"/>
              </w:rPr>
            </w:pPr>
            <w:r w:rsidRPr="00B57E73">
              <w:rPr>
                <w:rFonts w:ascii="Calibri" w:hAnsi="Calibri"/>
                <w:sz w:val="20"/>
                <w:szCs w:val="20"/>
              </w:rPr>
              <w:t>31.1%</w:t>
            </w:r>
          </w:p>
        </w:tc>
        <w:tc>
          <w:tcPr>
            <w:tcW w:w="1489" w:type="dxa"/>
            <w:vAlign w:val="bottom"/>
          </w:tcPr>
          <w:p w:rsidR="00131E2D" w:rsidRPr="00B57E73" w:rsidRDefault="00131E2D" w:rsidP="009D5584">
            <w:pPr>
              <w:spacing w:after="0" w:line="240" w:lineRule="auto"/>
              <w:jc w:val="center"/>
              <w:rPr>
                <w:rFonts w:ascii="Calibri" w:hAnsi="Calibri"/>
                <w:sz w:val="20"/>
                <w:szCs w:val="20"/>
              </w:rPr>
            </w:pPr>
            <w:r w:rsidRPr="00B57E73">
              <w:rPr>
                <w:rFonts w:ascii="Calibri" w:hAnsi="Calibri"/>
                <w:sz w:val="20"/>
                <w:szCs w:val="20"/>
              </w:rPr>
              <w:t>584,665</w:t>
            </w:r>
          </w:p>
        </w:tc>
        <w:tc>
          <w:tcPr>
            <w:tcW w:w="1490" w:type="dxa"/>
            <w:shd w:val="clear" w:color="auto" w:fill="D9D9D9" w:themeFill="background1" w:themeFillShade="D9"/>
            <w:vAlign w:val="bottom"/>
          </w:tcPr>
          <w:p w:rsidR="00131E2D" w:rsidRPr="00B57E73" w:rsidRDefault="00131E2D" w:rsidP="009D5584">
            <w:pPr>
              <w:spacing w:after="0" w:line="240" w:lineRule="auto"/>
              <w:jc w:val="center"/>
              <w:rPr>
                <w:rFonts w:ascii="Calibri" w:hAnsi="Calibri"/>
                <w:sz w:val="20"/>
                <w:szCs w:val="20"/>
              </w:rPr>
            </w:pPr>
            <w:r w:rsidRPr="00B57E73">
              <w:rPr>
                <w:rFonts w:ascii="Calibri" w:hAnsi="Calibri"/>
                <w:sz w:val="20"/>
                <w:szCs w:val="20"/>
              </w:rPr>
              <w:t>61.3%</w:t>
            </w:r>
          </w:p>
        </w:tc>
      </w:tr>
      <w:tr w:rsidR="00131E2D" w:rsidRPr="00B57E73" w:rsidTr="009D5584">
        <w:tc>
          <w:tcPr>
            <w:tcW w:w="2898" w:type="dxa"/>
            <w:vAlign w:val="bottom"/>
          </w:tcPr>
          <w:p w:rsidR="00131E2D" w:rsidRPr="00B57E73" w:rsidRDefault="00131E2D" w:rsidP="009D5584">
            <w:pPr>
              <w:spacing w:after="0" w:line="240" w:lineRule="auto"/>
              <w:rPr>
                <w:rFonts w:ascii="Calibri" w:eastAsia="Times New Roman" w:hAnsi="Calibri" w:cs="Times New Roman"/>
                <w:sz w:val="20"/>
                <w:szCs w:val="20"/>
              </w:rPr>
            </w:pPr>
            <w:r w:rsidRPr="00B57E73">
              <w:rPr>
                <w:rFonts w:ascii="Calibri" w:eastAsia="Times New Roman" w:hAnsi="Calibri" w:cs="Times New Roman"/>
                <w:sz w:val="20"/>
                <w:szCs w:val="20"/>
              </w:rPr>
              <w:t>Native Hawaiian</w:t>
            </w:r>
          </w:p>
        </w:tc>
        <w:tc>
          <w:tcPr>
            <w:tcW w:w="1489" w:type="dxa"/>
            <w:vAlign w:val="bottom"/>
          </w:tcPr>
          <w:p w:rsidR="00131E2D" w:rsidRPr="00B57E73" w:rsidRDefault="00131E2D" w:rsidP="009D5584">
            <w:pPr>
              <w:spacing w:after="0" w:line="240" w:lineRule="auto"/>
              <w:jc w:val="center"/>
              <w:rPr>
                <w:rFonts w:ascii="Calibri" w:hAnsi="Calibri"/>
                <w:sz w:val="20"/>
                <w:szCs w:val="20"/>
              </w:rPr>
            </w:pPr>
            <w:r w:rsidRPr="00B57E73">
              <w:rPr>
                <w:rFonts w:ascii="Calibri" w:hAnsi="Calibri"/>
                <w:sz w:val="20"/>
                <w:szCs w:val="20"/>
              </w:rPr>
              <w:t>2</w:t>
            </w:r>
          </w:p>
        </w:tc>
        <w:tc>
          <w:tcPr>
            <w:tcW w:w="1490" w:type="dxa"/>
            <w:shd w:val="clear" w:color="auto" w:fill="D9D9D9" w:themeFill="background1" w:themeFillShade="D9"/>
            <w:vAlign w:val="bottom"/>
          </w:tcPr>
          <w:p w:rsidR="00131E2D" w:rsidRPr="00B57E73" w:rsidRDefault="00131E2D" w:rsidP="009D5584">
            <w:pPr>
              <w:spacing w:after="0" w:line="240" w:lineRule="auto"/>
              <w:jc w:val="center"/>
              <w:rPr>
                <w:rFonts w:ascii="Calibri" w:hAnsi="Calibri"/>
                <w:sz w:val="20"/>
                <w:szCs w:val="20"/>
              </w:rPr>
            </w:pPr>
            <w:r w:rsidRPr="00B57E73">
              <w:rPr>
                <w:rFonts w:ascii="Calibri" w:hAnsi="Calibri"/>
                <w:sz w:val="20"/>
                <w:szCs w:val="20"/>
              </w:rPr>
              <w:t>0.0%</w:t>
            </w:r>
          </w:p>
        </w:tc>
        <w:tc>
          <w:tcPr>
            <w:tcW w:w="1489" w:type="dxa"/>
            <w:vAlign w:val="bottom"/>
          </w:tcPr>
          <w:p w:rsidR="00131E2D" w:rsidRPr="00B57E73" w:rsidRDefault="00131E2D" w:rsidP="009D5584">
            <w:pPr>
              <w:spacing w:after="0" w:line="240" w:lineRule="auto"/>
              <w:jc w:val="center"/>
              <w:rPr>
                <w:rFonts w:ascii="Calibri" w:hAnsi="Calibri"/>
                <w:sz w:val="20"/>
                <w:szCs w:val="20"/>
              </w:rPr>
            </w:pPr>
            <w:r w:rsidRPr="00B57E73">
              <w:rPr>
                <w:rFonts w:ascii="Calibri" w:hAnsi="Calibri"/>
                <w:sz w:val="20"/>
                <w:szCs w:val="20"/>
              </w:rPr>
              <w:t>855</w:t>
            </w:r>
          </w:p>
        </w:tc>
        <w:tc>
          <w:tcPr>
            <w:tcW w:w="1490" w:type="dxa"/>
            <w:shd w:val="clear" w:color="auto" w:fill="D9D9D9" w:themeFill="background1" w:themeFillShade="D9"/>
            <w:vAlign w:val="bottom"/>
          </w:tcPr>
          <w:p w:rsidR="00131E2D" w:rsidRPr="00B57E73" w:rsidRDefault="00131E2D" w:rsidP="009D5584">
            <w:pPr>
              <w:spacing w:after="0" w:line="240" w:lineRule="auto"/>
              <w:jc w:val="center"/>
              <w:rPr>
                <w:rFonts w:ascii="Calibri" w:hAnsi="Calibri"/>
                <w:sz w:val="20"/>
                <w:szCs w:val="20"/>
              </w:rPr>
            </w:pPr>
            <w:r w:rsidRPr="00B57E73">
              <w:rPr>
                <w:rFonts w:ascii="Calibri" w:hAnsi="Calibri"/>
                <w:sz w:val="20"/>
                <w:szCs w:val="20"/>
              </w:rPr>
              <w:t>0.1%</w:t>
            </w:r>
          </w:p>
        </w:tc>
      </w:tr>
      <w:tr w:rsidR="00131E2D" w:rsidRPr="00B57E73" w:rsidTr="009D5584">
        <w:tc>
          <w:tcPr>
            <w:tcW w:w="2898" w:type="dxa"/>
            <w:vAlign w:val="bottom"/>
          </w:tcPr>
          <w:p w:rsidR="00131E2D" w:rsidRPr="00B57E73" w:rsidRDefault="00131E2D" w:rsidP="009D5584">
            <w:pPr>
              <w:spacing w:after="0" w:line="240" w:lineRule="auto"/>
              <w:rPr>
                <w:rFonts w:ascii="Calibri" w:eastAsia="Times New Roman" w:hAnsi="Calibri" w:cs="Times New Roman"/>
                <w:sz w:val="20"/>
                <w:szCs w:val="20"/>
              </w:rPr>
            </w:pPr>
            <w:r w:rsidRPr="00B57E73">
              <w:rPr>
                <w:rFonts w:ascii="Calibri" w:eastAsia="Times New Roman" w:hAnsi="Calibri" w:cs="Times New Roman"/>
                <w:sz w:val="20"/>
                <w:szCs w:val="20"/>
              </w:rPr>
              <w:t xml:space="preserve">Multi-Race, Non-Hispanic </w:t>
            </w:r>
          </w:p>
        </w:tc>
        <w:tc>
          <w:tcPr>
            <w:tcW w:w="1489" w:type="dxa"/>
            <w:vAlign w:val="bottom"/>
          </w:tcPr>
          <w:p w:rsidR="00131E2D" w:rsidRPr="00B57E73" w:rsidRDefault="00131E2D" w:rsidP="009D5584">
            <w:pPr>
              <w:spacing w:after="0" w:line="240" w:lineRule="auto"/>
              <w:jc w:val="center"/>
              <w:rPr>
                <w:rFonts w:ascii="Calibri" w:hAnsi="Calibri"/>
                <w:sz w:val="20"/>
                <w:szCs w:val="20"/>
              </w:rPr>
            </w:pPr>
            <w:r w:rsidRPr="00B57E73">
              <w:rPr>
                <w:rFonts w:ascii="Calibri" w:hAnsi="Calibri"/>
                <w:sz w:val="20"/>
                <w:szCs w:val="20"/>
              </w:rPr>
              <w:t>1,057</w:t>
            </w:r>
          </w:p>
        </w:tc>
        <w:tc>
          <w:tcPr>
            <w:tcW w:w="1490" w:type="dxa"/>
            <w:shd w:val="clear" w:color="auto" w:fill="D9D9D9" w:themeFill="background1" w:themeFillShade="D9"/>
            <w:vAlign w:val="bottom"/>
          </w:tcPr>
          <w:p w:rsidR="00131E2D" w:rsidRPr="00B57E73" w:rsidRDefault="00131E2D" w:rsidP="009D5584">
            <w:pPr>
              <w:spacing w:after="0" w:line="240" w:lineRule="auto"/>
              <w:jc w:val="center"/>
              <w:rPr>
                <w:rFonts w:ascii="Calibri" w:hAnsi="Calibri"/>
                <w:sz w:val="20"/>
                <w:szCs w:val="20"/>
              </w:rPr>
            </w:pPr>
            <w:r w:rsidRPr="00B57E73">
              <w:rPr>
                <w:rFonts w:ascii="Calibri" w:hAnsi="Calibri"/>
                <w:sz w:val="20"/>
                <w:szCs w:val="20"/>
              </w:rPr>
              <w:t>4.1%</w:t>
            </w:r>
          </w:p>
        </w:tc>
        <w:tc>
          <w:tcPr>
            <w:tcW w:w="1489" w:type="dxa"/>
            <w:vAlign w:val="bottom"/>
          </w:tcPr>
          <w:p w:rsidR="00131E2D" w:rsidRPr="00B57E73" w:rsidRDefault="00131E2D" w:rsidP="009D5584">
            <w:pPr>
              <w:spacing w:after="0" w:line="240" w:lineRule="auto"/>
              <w:jc w:val="center"/>
              <w:rPr>
                <w:rFonts w:ascii="Calibri" w:hAnsi="Calibri"/>
                <w:sz w:val="20"/>
                <w:szCs w:val="20"/>
              </w:rPr>
            </w:pPr>
            <w:r w:rsidRPr="00B57E73">
              <w:rPr>
                <w:rFonts w:ascii="Calibri" w:hAnsi="Calibri"/>
                <w:sz w:val="20"/>
                <w:szCs w:val="20"/>
              </w:rPr>
              <w:t>32,635</w:t>
            </w:r>
          </w:p>
        </w:tc>
        <w:tc>
          <w:tcPr>
            <w:tcW w:w="1490" w:type="dxa"/>
            <w:shd w:val="clear" w:color="auto" w:fill="D9D9D9" w:themeFill="background1" w:themeFillShade="D9"/>
            <w:vAlign w:val="bottom"/>
          </w:tcPr>
          <w:p w:rsidR="00131E2D" w:rsidRPr="00B57E73" w:rsidRDefault="00131E2D" w:rsidP="009D5584">
            <w:pPr>
              <w:spacing w:after="0" w:line="240" w:lineRule="auto"/>
              <w:jc w:val="center"/>
              <w:rPr>
                <w:rFonts w:ascii="Calibri" w:hAnsi="Calibri"/>
                <w:sz w:val="20"/>
                <w:szCs w:val="20"/>
              </w:rPr>
            </w:pPr>
            <w:r w:rsidRPr="00B57E73">
              <w:rPr>
                <w:rFonts w:ascii="Calibri" w:hAnsi="Calibri"/>
                <w:sz w:val="20"/>
                <w:szCs w:val="20"/>
              </w:rPr>
              <w:t>3.4%</w:t>
            </w:r>
          </w:p>
        </w:tc>
      </w:tr>
      <w:tr w:rsidR="00131E2D" w:rsidRPr="00B57E73" w:rsidTr="009D5584">
        <w:tc>
          <w:tcPr>
            <w:tcW w:w="2898" w:type="dxa"/>
            <w:tcBorders>
              <w:bottom w:val="single" w:sz="4" w:space="0" w:color="auto"/>
            </w:tcBorders>
            <w:vAlign w:val="bottom"/>
          </w:tcPr>
          <w:p w:rsidR="00131E2D" w:rsidRPr="00B57E73" w:rsidRDefault="00131E2D" w:rsidP="009D5584">
            <w:pPr>
              <w:spacing w:after="0" w:line="240" w:lineRule="auto"/>
              <w:rPr>
                <w:rFonts w:ascii="Calibri" w:eastAsia="Times New Roman" w:hAnsi="Calibri" w:cs="Times New Roman"/>
                <w:b/>
                <w:sz w:val="20"/>
                <w:szCs w:val="20"/>
              </w:rPr>
            </w:pPr>
            <w:r w:rsidRPr="00B57E73">
              <w:rPr>
                <w:rFonts w:ascii="Calibri" w:eastAsia="Times New Roman" w:hAnsi="Calibri" w:cs="Times New Roman"/>
                <w:b/>
                <w:sz w:val="20"/>
                <w:szCs w:val="20"/>
              </w:rPr>
              <w:t>All Students</w:t>
            </w:r>
          </w:p>
        </w:tc>
        <w:tc>
          <w:tcPr>
            <w:tcW w:w="1489" w:type="dxa"/>
            <w:tcBorders>
              <w:bottom w:val="single" w:sz="4" w:space="0" w:color="auto"/>
            </w:tcBorders>
            <w:vAlign w:val="bottom"/>
          </w:tcPr>
          <w:p w:rsidR="00131E2D" w:rsidRPr="00B57E73" w:rsidRDefault="00131E2D" w:rsidP="009D5584">
            <w:pPr>
              <w:spacing w:after="0" w:line="240" w:lineRule="auto"/>
              <w:jc w:val="center"/>
              <w:rPr>
                <w:rFonts w:ascii="Calibri" w:hAnsi="Calibri"/>
                <w:sz w:val="20"/>
                <w:szCs w:val="20"/>
              </w:rPr>
            </w:pPr>
            <w:r w:rsidRPr="00B57E73">
              <w:rPr>
                <w:rFonts w:ascii="Calibri" w:hAnsi="Calibri"/>
                <w:sz w:val="20"/>
                <w:szCs w:val="20"/>
              </w:rPr>
              <w:t>25,479</w:t>
            </w:r>
          </w:p>
        </w:tc>
        <w:tc>
          <w:tcPr>
            <w:tcW w:w="1490" w:type="dxa"/>
            <w:tcBorders>
              <w:bottom w:val="single" w:sz="4" w:space="0" w:color="auto"/>
            </w:tcBorders>
            <w:shd w:val="clear" w:color="auto" w:fill="D9D9D9" w:themeFill="background1" w:themeFillShade="D9"/>
            <w:vAlign w:val="bottom"/>
          </w:tcPr>
          <w:p w:rsidR="00131E2D" w:rsidRPr="00B57E73" w:rsidRDefault="00131E2D" w:rsidP="009D5584">
            <w:pPr>
              <w:spacing w:after="0" w:line="240" w:lineRule="auto"/>
              <w:jc w:val="center"/>
              <w:rPr>
                <w:rFonts w:ascii="Calibri" w:hAnsi="Calibri"/>
                <w:sz w:val="20"/>
                <w:szCs w:val="20"/>
              </w:rPr>
            </w:pPr>
            <w:r w:rsidRPr="00B57E73">
              <w:rPr>
                <w:rFonts w:ascii="Calibri" w:hAnsi="Calibri"/>
                <w:sz w:val="20"/>
                <w:szCs w:val="20"/>
              </w:rPr>
              <w:t>100.0%</w:t>
            </w:r>
          </w:p>
        </w:tc>
        <w:tc>
          <w:tcPr>
            <w:tcW w:w="1489" w:type="dxa"/>
            <w:tcBorders>
              <w:bottom w:val="single" w:sz="4" w:space="0" w:color="auto"/>
            </w:tcBorders>
            <w:vAlign w:val="bottom"/>
          </w:tcPr>
          <w:p w:rsidR="00131E2D" w:rsidRPr="00B57E73" w:rsidRDefault="00131E2D" w:rsidP="009D5584">
            <w:pPr>
              <w:spacing w:after="0" w:line="240" w:lineRule="auto"/>
              <w:jc w:val="center"/>
              <w:rPr>
                <w:rFonts w:ascii="Calibri" w:hAnsi="Calibri"/>
                <w:sz w:val="20"/>
                <w:szCs w:val="20"/>
              </w:rPr>
            </w:pPr>
            <w:r w:rsidRPr="00B57E73">
              <w:rPr>
                <w:rFonts w:ascii="Calibri" w:hAnsi="Calibri"/>
                <w:sz w:val="20"/>
                <w:szCs w:val="20"/>
              </w:rPr>
              <w:t>953,748</w:t>
            </w:r>
          </w:p>
        </w:tc>
        <w:tc>
          <w:tcPr>
            <w:tcW w:w="1490" w:type="dxa"/>
            <w:tcBorders>
              <w:bottom w:val="single" w:sz="4" w:space="0" w:color="auto"/>
            </w:tcBorders>
            <w:shd w:val="clear" w:color="auto" w:fill="D9D9D9" w:themeFill="background1" w:themeFillShade="D9"/>
            <w:vAlign w:val="bottom"/>
          </w:tcPr>
          <w:p w:rsidR="00131E2D" w:rsidRPr="00B57E73" w:rsidRDefault="00131E2D" w:rsidP="009D5584">
            <w:pPr>
              <w:spacing w:after="0" w:line="240" w:lineRule="auto"/>
              <w:jc w:val="center"/>
              <w:rPr>
                <w:rFonts w:ascii="Calibri" w:hAnsi="Calibri"/>
                <w:sz w:val="20"/>
                <w:szCs w:val="20"/>
              </w:rPr>
            </w:pPr>
            <w:r w:rsidRPr="00B57E73">
              <w:rPr>
                <w:rFonts w:ascii="Calibri" w:hAnsi="Calibri"/>
                <w:sz w:val="20"/>
                <w:szCs w:val="20"/>
              </w:rPr>
              <w:t>100.0%</w:t>
            </w:r>
          </w:p>
        </w:tc>
      </w:tr>
      <w:tr w:rsidR="00131E2D" w:rsidRPr="00B57E73" w:rsidTr="009D5584">
        <w:tc>
          <w:tcPr>
            <w:tcW w:w="8856" w:type="dxa"/>
            <w:gridSpan w:val="5"/>
            <w:tcBorders>
              <w:left w:val="nil"/>
              <w:bottom w:val="nil"/>
              <w:right w:val="nil"/>
            </w:tcBorders>
            <w:vAlign w:val="bottom"/>
          </w:tcPr>
          <w:p w:rsidR="00131E2D" w:rsidRPr="00B57E73" w:rsidRDefault="00131E2D" w:rsidP="009D5584">
            <w:pPr>
              <w:spacing w:after="0" w:line="240" w:lineRule="auto"/>
              <w:rPr>
                <w:rFonts w:ascii="Calibri" w:eastAsia="Times New Roman" w:hAnsi="Calibri" w:cs="Times New Roman"/>
                <w:sz w:val="20"/>
                <w:szCs w:val="20"/>
              </w:rPr>
            </w:pPr>
            <w:r w:rsidRPr="00B57E73">
              <w:rPr>
                <w:rFonts w:ascii="Calibri" w:eastAsia="Times New Roman" w:hAnsi="Calibri" w:cs="Times New Roman"/>
                <w:sz w:val="20"/>
                <w:szCs w:val="20"/>
              </w:rPr>
              <w:t>Note: As of October 1, 2016</w:t>
            </w:r>
          </w:p>
        </w:tc>
      </w:tr>
    </w:tbl>
    <w:p w:rsidR="00131E2D" w:rsidRPr="00B57E73" w:rsidRDefault="00131E2D" w:rsidP="00131E2D">
      <w:pPr>
        <w:spacing w:after="0"/>
        <w:rPr>
          <w:rFonts w:ascii="Calibri" w:eastAsia="Calibri" w:hAnsi="Calibri" w:cs="Times New Roman"/>
          <w:sz w:val="20"/>
        </w:rPr>
      </w:pPr>
    </w:p>
    <w:p w:rsidR="00131E2D" w:rsidRPr="00B57E73" w:rsidRDefault="00131E2D" w:rsidP="002D70FA">
      <w:pPr>
        <w:spacing w:after="0" w:line="240" w:lineRule="auto"/>
        <w:jc w:val="center"/>
        <w:rPr>
          <w:b/>
          <w:sz w:val="20"/>
        </w:rPr>
      </w:pPr>
      <w:r w:rsidRPr="00B57E73">
        <w:rPr>
          <w:b/>
          <w:sz w:val="20"/>
        </w:rPr>
        <w:t>Table B1b</w:t>
      </w:r>
      <w:r w:rsidR="002F368B">
        <w:rPr>
          <w:b/>
          <w:sz w:val="20"/>
        </w:rPr>
        <w:t>:</w:t>
      </w:r>
      <w:r w:rsidRPr="00B57E73">
        <w:rPr>
          <w:rFonts w:ascii="Calibri" w:eastAsia="Calibri" w:hAnsi="Calibri" w:cs="Times New Roman"/>
          <w:b/>
          <w:sz w:val="20"/>
        </w:rPr>
        <w:t xml:space="preserve"> Worcester Public Schools</w:t>
      </w:r>
    </w:p>
    <w:p w:rsidR="00131E2D" w:rsidRPr="00B57E73" w:rsidRDefault="00131E2D" w:rsidP="002D70FA">
      <w:pPr>
        <w:spacing w:after="0" w:line="240" w:lineRule="auto"/>
        <w:jc w:val="center"/>
        <w:rPr>
          <w:b/>
          <w:sz w:val="20"/>
        </w:rPr>
      </w:pPr>
      <w:r w:rsidRPr="00B57E73">
        <w:rPr>
          <w:b/>
          <w:sz w:val="20"/>
        </w:rPr>
        <w:t>2016–2017 Student Enrollment by High Needs Populations</w:t>
      </w:r>
    </w:p>
    <w:tbl>
      <w:tblPr>
        <w:tblStyle w:val="TableGrid"/>
        <w:tblW w:w="8858" w:type="dxa"/>
        <w:tblLayout w:type="fixed"/>
        <w:tblLook w:val="04A0"/>
      </w:tblPr>
      <w:tblGrid>
        <w:gridCol w:w="2268"/>
        <w:gridCol w:w="900"/>
        <w:gridCol w:w="1197"/>
        <w:gridCol w:w="1198"/>
        <w:gridCol w:w="935"/>
        <w:gridCol w:w="1180"/>
        <w:gridCol w:w="1180"/>
      </w:tblGrid>
      <w:tr w:rsidR="00131E2D" w:rsidRPr="00B57E73" w:rsidTr="009D5584">
        <w:tc>
          <w:tcPr>
            <w:tcW w:w="2268" w:type="dxa"/>
            <w:vMerge w:val="restart"/>
            <w:vAlign w:val="center"/>
          </w:tcPr>
          <w:p w:rsidR="00131E2D" w:rsidRPr="00B57E73" w:rsidRDefault="00131E2D" w:rsidP="009D5584">
            <w:pPr>
              <w:spacing w:after="0"/>
              <w:jc w:val="center"/>
              <w:rPr>
                <w:rFonts w:ascii="Calibri" w:eastAsia="Calibri" w:hAnsi="Calibri" w:cs="Times New Roman"/>
                <w:b/>
                <w:sz w:val="20"/>
                <w:szCs w:val="20"/>
              </w:rPr>
            </w:pPr>
            <w:r w:rsidRPr="00B57E73">
              <w:rPr>
                <w:rFonts w:ascii="Calibri" w:eastAsia="Calibri" w:hAnsi="Calibri" w:cs="Times New Roman"/>
                <w:b/>
                <w:sz w:val="20"/>
                <w:szCs w:val="20"/>
              </w:rPr>
              <w:t>Student Groups</w:t>
            </w:r>
          </w:p>
        </w:tc>
        <w:tc>
          <w:tcPr>
            <w:tcW w:w="3295" w:type="dxa"/>
            <w:gridSpan w:val="3"/>
          </w:tcPr>
          <w:p w:rsidR="00131E2D" w:rsidRPr="00B57E73" w:rsidRDefault="00131E2D" w:rsidP="009D5584">
            <w:pPr>
              <w:spacing w:after="0"/>
              <w:jc w:val="center"/>
              <w:rPr>
                <w:rFonts w:ascii="Calibri" w:eastAsia="Calibri" w:hAnsi="Calibri" w:cs="Times New Roman"/>
                <w:b/>
                <w:sz w:val="20"/>
                <w:szCs w:val="20"/>
              </w:rPr>
            </w:pPr>
            <w:r w:rsidRPr="00B57E73">
              <w:rPr>
                <w:rFonts w:ascii="Calibri" w:eastAsia="Calibri" w:hAnsi="Calibri" w:cs="Times New Roman"/>
                <w:b/>
                <w:sz w:val="20"/>
                <w:szCs w:val="20"/>
              </w:rPr>
              <w:t>District</w:t>
            </w:r>
          </w:p>
        </w:tc>
        <w:tc>
          <w:tcPr>
            <w:tcW w:w="3295" w:type="dxa"/>
            <w:gridSpan w:val="3"/>
          </w:tcPr>
          <w:p w:rsidR="00131E2D" w:rsidRPr="00B57E73" w:rsidRDefault="00131E2D" w:rsidP="009D5584">
            <w:pPr>
              <w:spacing w:after="0"/>
              <w:jc w:val="center"/>
              <w:rPr>
                <w:rFonts w:ascii="Calibri" w:eastAsia="Calibri" w:hAnsi="Calibri" w:cs="Times New Roman"/>
                <w:b/>
                <w:sz w:val="20"/>
                <w:szCs w:val="20"/>
              </w:rPr>
            </w:pPr>
            <w:r w:rsidRPr="00B57E73">
              <w:rPr>
                <w:rFonts w:ascii="Calibri" w:eastAsia="Calibri" w:hAnsi="Calibri" w:cs="Times New Roman"/>
                <w:b/>
                <w:sz w:val="20"/>
                <w:szCs w:val="20"/>
              </w:rPr>
              <w:t>State</w:t>
            </w:r>
          </w:p>
        </w:tc>
      </w:tr>
      <w:tr w:rsidR="00131E2D" w:rsidRPr="00B57E73" w:rsidTr="009D5584">
        <w:tc>
          <w:tcPr>
            <w:tcW w:w="2268" w:type="dxa"/>
            <w:vMerge/>
          </w:tcPr>
          <w:p w:rsidR="00131E2D" w:rsidRPr="00B57E73" w:rsidRDefault="00131E2D" w:rsidP="009D5584">
            <w:pPr>
              <w:spacing w:after="0"/>
              <w:rPr>
                <w:rFonts w:ascii="Calibri" w:eastAsia="Calibri" w:hAnsi="Calibri" w:cs="Times New Roman"/>
                <w:sz w:val="20"/>
                <w:szCs w:val="20"/>
              </w:rPr>
            </w:pPr>
          </w:p>
        </w:tc>
        <w:tc>
          <w:tcPr>
            <w:tcW w:w="900" w:type="dxa"/>
          </w:tcPr>
          <w:p w:rsidR="00131E2D" w:rsidRPr="00B57E73" w:rsidRDefault="00131E2D" w:rsidP="009D5584">
            <w:pPr>
              <w:spacing w:after="0"/>
              <w:jc w:val="center"/>
              <w:rPr>
                <w:rFonts w:ascii="Calibri" w:eastAsia="Calibri" w:hAnsi="Calibri" w:cs="Times New Roman"/>
                <w:b/>
                <w:sz w:val="20"/>
                <w:szCs w:val="20"/>
              </w:rPr>
            </w:pPr>
            <w:r w:rsidRPr="00B57E73">
              <w:rPr>
                <w:rFonts w:ascii="Calibri" w:eastAsia="Calibri" w:hAnsi="Calibri" w:cs="Times New Roman"/>
                <w:b/>
                <w:sz w:val="20"/>
                <w:szCs w:val="20"/>
              </w:rPr>
              <w:t>N</w:t>
            </w:r>
          </w:p>
        </w:tc>
        <w:tc>
          <w:tcPr>
            <w:tcW w:w="1197" w:type="dxa"/>
            <w:shd w:val="clear" w:color="auto" w:fill="D9D9D9" w:themeFill="background1" w:themeFillShade="D9"/>
          </w:tcPr>
          <w:p w:rsidR="00131E2D" w:rsidRPr="00B57E73" w:rsidRDefault="00131E2D" w:rsidP="009D5584">
            <w:pPr>
              <w:spacing w:after="0"/>
              <w:jc w:val="center"/>
              <w:rPr>
                <w:rFonts w:ascii="Calibri" w:eastAsia="Calibri" w:hAnsi="Calibri" w:cs="Times New Roman"/>
                <w:b/>
                <w:sz w:val="20"/>
                <w:szCs w:val="20"/>
              </w:rPr>
            </w:pPr>
            <w:r w:rsidRPr="00B57E73">
              <w:rPr>
                <w:rFonts w:ascii="Calibri" w:eastAsia="Calibri" w:hAnsi="Calibri" w:cs="Times New Roman"/>
                <w:b/>
                <w:sz w:val="20"/>
                <w:szCs w:val="20"/>
              </w:rPr>
              <w:t>Percent of High Needs</w:t>
            </w:r>
          </w:p>
        </w:tc>
        <w:tc>
          <w:tcPr>
            <w:tcW w:w="1198" w:type="dxa"/>
            <w:shd w:val="clear" w:color="auto" w:fill="D9D9D9" w:themeFill="background1" w:themeFillShade="D9"/>
          </w:tcPr>
          <w:p w:rsidR="00131E2D" w:rsidRPr="00B57E73" w:rsidRDefault="00131E2D" w:rsidP="009D5584">
            <w:pPr>
              <w:spacing w:after="0"/>
              <w:jc w:val="center"/>
              <w:rPr>
                <w:rFonts w:ascii="Calibri" w:eastAsia="Calibri" w:hAnsi="Calibri" w:cs="Times New Roman"/>
                <w:b/>
                <w:sz w:val="20"/>
                <w:szCs w:val="20"/>
              </w:rPr>
            </w:pPr>
            <w:r w:rsidRPr="00B57E73">
              <w:rPr>
                <w:rFonts w:ascii="Calibri" w:eastAsia="Calibri" w:hAnsi="Calibri" w:cs="Times New Roman"/>
                <w:b/>
                <w:sz w:val="20"/>
                <w:szCs w:val="20"/>
              </w:rPr>
              <w:t>Percent of District</w:t>
            </w:r>
          </w:p>
        </w:tc>
        <w:tc>
          <w:tcPr>
            <w:tcW w:w="935" w:type="dxa"/>
          </w:tcPr>
          <w:p w:rsidR="00131E2D" w:rsidRPr="00B57E73" w:rsidRDefault="00131E2D" w:rsidP="009D5584">
            <w:pPr>
              <w:spacing w:after="0"/>
              <w:jc w:val="center"/>
              <w:rPr>
                <w:rFonts w:ascii="Calibri" w:eastAsia="Calibri" w:hAnsi="Calibri" w:cs="Times New Roman"/>
                <w:b/>
                <w:sz w:val="20"/>
                <w:szCs w:val="20"/>
              </w:rPr>
            </w:pPr>
            <w:r w:rsidRPr="00B57E73">
              <w:rPr>
                <w:rFonts w:ascii="Calibri" w:eastAsia="Calibri" w:hAnsi="Calibri" w:cs="Times New Roman"/>
                <w:b/>
                <w:sz w:val="20"/>
                <w:szCs w:val="20"/>
              </w:rPr>
              <w:t>N</w:t>
            </w:r>
          </w:p>
        </w:tc>
        <w:tc>
          <w:tcPr>
            <w:tcW w:w="1180" w:type="dxa"/>
            <w:shd w:val="clear" w:color="auto" w:fill="D9D9D9" w:themeFill="background1" w:themeFillShade="D9"/>
          </w:tcPr>
          <w:p w:rsidR="00131E2D" w:rsidRPr="00B57E73" w:rsidRDefault="00131E2D" w:rsidP="009D5584">
            <w:pPr>
              <w:spacing w:after="0"/>
              <w:jc w:val="center"/>
              <w:rPr>
                <w:rFonts w:ascii="Calibri" w:eastAsia="Calibri" w:hAnsi="Calibri" w:cs="Times New Roman"/>
                <w:b/>
                <w:sz w:val="20"/>
                <w:szCs w:val="20"/>
              </w:rPr>
            </w:pPr>
            <w:r w:rsidRPr="00B57E73">
              <w:rPr>
                <w:rFonts w:ascii="Calibri" w:eastAsia="Calibri" w:hAnsi="Calibri" w:cs="Times New Roman"/>
                <w:b/>
                <w:sz w:val="20"/>
                <w:szCs w:val="20"/>
              </w:rPr>
              <w:t>Percent of High Needs</w:t>
            </w:r>
          </w:p>
        </w:tc>
        <w:tc>
          <w:tcPr>
            <w:tcW w:w="1180" w:type="dxa"/>
            <w:shd w:val="clear" w:color="auto" w:fill="D9D9D9" w:themeFill="background1" w:themeFillShade="D9"/>
          </w:tcPr>
          <w:p w:rsidR="00131E2D" w:rsidRPr="00B57E73" w:rsidRDefault="00131E2D" w:rsidP="009D5584">
            <w:pPr>
              <w:spacing w:after="0"/>
              <w:jc w:val="center"/>
              <w:rPr>
                <w:rFonts w:ascii="Calibri" w:eastAsia="Calibri" w:hAnsi="Calibri" w:cs="Times New Roman"/>
                <w:b/>
                <w:sz w:val="20"/>
                <w:szCs w:val="20"/>
              </w:rPr>
            </w:pPr>
            <w:r w:rsidRPr="00B57E73">
              <w:rPr>
                <w:rFonts w:ascii="Calibri" w:eastAsia="Calibri" w:hAnsi="Calibri" w:cs="Times New Roman"/>
                <w:b/>
                <w:sz w:val="20"/>
                <w:szCs w:val="20"/>
              </w:rPr>
              <w:t>Percent of State</w:t>
            </w:r>
          </w:p>
        </w:tc>
      </w:tr>
      <w:tr w:rsidR="00131E2D" w:rsidRPr="00B57E73" w:rsidTr="009D5584">
        <w:tc>
          <w:tcPr>
            <w:tcW w:w="2268" w:type="dxa"/>
          </w:tcPr>
          <w:p w:rsidR="00131E2D" w:rsidRPr="00B57E73" w:rsidRDefault="00131E2D" w:rsidP="009D5584">
            <w:pPr>
              <w:spacing w:after="0"/>
              <w:rPr>
                <w:rFonts w:ascii="Calibri" w:eastAsia="Calibri" w:hAnsi="Calibri" w:cs="Times New Roman"/>
                <w:sz w:val="20"/>
                <w:szCs w:val="20"/>
              </w:rPr>
            </w:pPr>
            <w:r w:rsidRPr="00B57E73">
              <w:rPr>
                <w:rFonts w:ascii="Calibri" w:eastAsia="Calibri" w:hAnsi="Calibri" w:cs="Times New Roman"/>
                <w:sz w:val="20"/>
                <w:szCs w:val="20"/>
              </w:rPr>
              <w:t>Students w/ disabilities</w:t>
            </w:r>
          </w:p>
        </w:tc>
        <w:tc>
          <w:tcPr>
            <w:tcW w:w="900" w:type="dxa"/>
            <w:vAlign w:val="bottom"/>
          </w:tcPr>
          <w:p w:rsidR="00131E2D" w:rsidRPr="00B57E73" w:rsidRDefault="00131E2D" w:rsidP="009D5584">
            <w:pPr>
              <w:spacing w:after="0" w:line="240" w:lineRule="auto"/>
              <w:jc w:val="center"/>
              <w:rPr>
                <w:rFonts w:ascii="Calibri" w:hAnsi="Calibri"/>
                <w:sz w:val="20"/>
                <w:szCs w:val="20"/>
              </w:rPr>
            </w:pPr>
            <w:r w:rsidRPr="00B57E73">
              <w:rPr>
                <w:rFonts w:ascii="Calibri" w:hAnsi="Calibri"/>
                <w:sz w:val="20"/>
                <w:szCs w:val="20"/>
              </w:rPr>
              <w:t>4,864</w:t>
            </w:r>
          </w:p>
        </w:tc>
        <w:tc>
          <w:tcPr>
            <w:tcW w:w="1197" w:type="dxa"/>
            <w:shd w:val="clear" w:color="auto" w:fill="D9D9D9" w:themeFill="background1" w:themeFillShade="D9"/>
            <w:vAlign w:val="bottom"/>
          </w:tcPr>
          <w:p w:rsidR="00131E2D" w:rsidRPr="00B57E73" w:rsidRDefault="00131E2D" w:rsidP="009D5584">
            <w:pPr>
              <w:spacing w:after="0" w:line="240" w:lineRule="auto"/>
              <w:jc w:val="center"/>
              <w:rPr>
                <w:rFonts w:ascii="Calibri" w:hAnsi="Calibri"/>
                <w:sz w:val="20"/>
                <w:szCs w:val="20"/>
              </w:rPr>
            </w:pPr>
            <w:r w:rsidRPr="00B57E73">
              <w:rPr>
                <w:rFonts w:ascii="Calibri" w:hAnsi="Calibri"/>
                <w:sz w:val="20"/>
                <w:szCs w:val="20"/>
              </w:rPr>
              <w:t>24.6%</w:t>
            </w:r>
          </w:p>
        </w:tc>
        <w:tc>
          <w:tcPr>
            <w:tcW w:w="1198" w:type="dxa"/>
            <w:shd w:val="clear" w:color="auto" w:fill="D9D9D9" w:themeFill="background1" w:themeFillShade="D9"/>
            <w:vAlign w:val="bottom"/>
          </w:tcPr>
          <w:p w:rsidR="00131E2D" w:rsidRPr="00B57E73" w:rsidRDefault="00131E2D" w:rsidP="009D5584">
            <w:pPr>
              <w:spacing w:after="0" w:line="240" w:lineRule="auto"/>
              <w:jc w:val="center"/>
              <w:rPr>
                <w:rFonts w:ascii="Calibri" w:hAnsi="Calibri"/>
                <w:sz w:val="20"/>
                <w:szCs w:val="20"/>
              </w:rPr>
            </w:pPr>
            <w:r w:rsidRPr="00B57E73">
              <w:rPr>
                <w:rFonts w:ascii="Calibri" w:hAnsi="Calibri"/>
                <w:sz w:val="20"/>
                <w:szCs w:val="20"/>
              </w:rPr>
              <w:t>18.8%</w:t>
            </w:r>
          </w:p>
        </w:tc>
        <w:tc>
          <w:tcPr>
            <w:tcW w:w="935" w:type="dxa"/>
            <w:vAlign w:val="bottom"/>
          </w:tcPr>
          <w:p w:rsidR="00131E2D" w:rsidRPr="00B57E73" w:rsidRDefault="00131E2D" w:rsidP="009D5584">
            <w:pPr>
              <w:spacing w:after="0" w:line="240" w:lineRule="auto"/>
              <w:jc w:val="center"/>
              <w:rPr>
                <w:rFonts w:ascii="Calibri" w:hAnsi="Calibri"/>
                <w:sz w:val="20"/>
                <w:szCs w:val="20"/>
              </w:rPr>
            </w:pPr>
            <w:r w:rsidRPr="00B57E73">
              <w:rPr>
                <w:rFonts w:ascii="Calibri" w:hAnsi="Calibri"/>
                <w:sz w:val="20"/>
                <w:szCs w:val="20"/>
              </w:rPr>
              <w:t>167,530</w:t>
            </w:r>
          </w:p>
        </w:tc>
        <w:tc>
          <w:tcPr>
            <w:tcW w:w="1180" w:type="dxa"/>
            <w:shd w:val="clear" w:color="auto" w:fill="D9D9D9" w:themeFill="background1" w:themeFillShade="D9"/>
            <w:vAlign w:val="bottom"/>
          </w:tcPr>
          <w:p w:rsidR="00131E2D" w:rsidRPr="00B57E73" w:rsidRDefault="00131E2D" w:rsidP="009D5584">
            <w:pPr>
              <w:spacing w:after="0" w:line="240" w:lineRule="auto"/>
              <w:jc w:val="center"/>
              <w:rPr>
                <w:rFonts w:ascii="Calibri" w:hAnsi="Calibri"/>
                <w:sz w:val="20"/>
                <w:szCs w:val="20"/>
              </w:rPr>
            </w:pPr>
            <w:r w:rsidRPr="00B57E73">
              <w:rPr>
                <w:rFonts w:ascii="Calibri" w:hAnsi="Calibri"/>
                <w:sz w:val="20"/>
                <w:szCs w:val="20"/>
              </w:rPr>
              <w:t>38.4%</w:t>
            </w:r>
          </w:p>
        </w:tc>
        <w:tc>
          <w:tcPr>
            <w:tcW w:w="1180" w:type="dxa"/>
            <w:shd w:val="clear" w:color="auto" w:fill="D9D9D9" w:themeFill="background1" w:themeFillShade="D9"/>
            <w:vAlign w:val="bottom"/>
          </w:tcPr>
          <w:p w:rsidR="00131E2D" w:rsidRPr="00B57E73" w:rsidRDefault="00131E2D" w:rsidP="009D5584">
            <w:pPr>
              <w:spacing w:after="0" w:line="240" w:lineRule="auto"/>
              <w:jc w:val="center"/>
              <w:rPr>
                <w:rFonts w:ascii="Calibri" w:hAnsi="Calibri"/>
                <w:sz w:val="20"/>
                <w:szCs w:val="20"/>
              </w:rPr>
            </w:pPr>
            <w:r w:rsidRPr="00B57E73">
              <w:rPr>
                <w:rFonts w:ascii="Calibri" w:hAnsi="Calibri"/>
                <w:sz w:val="20"/>
                <w:szCs w:val="20"/>
              </w:rPr>
              <w:t>17.4%</w:t>
            </w:r>
          </w:p>
        </w:tc>
      </w:tr>
      <w:tr w:rsidR="00131E2D" w:rsidRPr="00B57E73" w:rsidTr="009D5584">
        <w:tc>
          <w:tcPr>
            <w:tcW w:w="2268" w:type="dxa"/>
          </w:tcPr>
          <w:p w:rsidR="00131E2D" w:rsidRPr="00B57E73" w:rsidRDefault="00131E2D" w:rsidP="009D5584">
            <w:pPr>
              <w:spacing w:after="0"/>
              <w:rPr>
                <w:rFonts w:ascii="Calibri" w:eastAsia="Calibri" w:hAnsi="Calibri" w:cs="Times New Roman"/>
                <w:sz w:val="20"/>
                <w:szCs w:val="20"/>
              </w:rPr>
            </w:pPr>
            <w:r w:rsidRPr="00B57E73">
              <w:rPr>
                <w:rFonts w:ascii="Calibri" w:eastAsia="Calibri" w:hAnsi="Calibri" w:cs="Times New Roman"/>
                <w:sz w:val="20"/>
                <w:szCs w:val="20"/>
              </w:rPr>
              <w:t>Econ. Disad.</w:t>
            </w:r>
          </w:p>
        </w:tc>
        <w:tc>
          <w:tcPr>
            <w:tcW w:w="900" w:type="dxa"/>
            <w:vAlign w:val="bottom"/>
          </w:tcPr>
          <w:p w:rsidR="00131E2D" w:rsidRPr="00B57E73" w:rsidRDefault="00131E2D" w:rsidP="009D5584">
            <w:pPr>
              <w:spacing w:after="0" w:line="240" w:lineRule="auto"/>
              <w:jc w:val="center"/>
              <w:rPr>
                <w:rFonts w:ascii="Calibri" w:hAnsi="Calibri"/>
                <w:sz w:val="20"/>
                <w:szCs w:val="20"/>
              </w:rPr>
            </w:pPr>
            <w:r w:rsidRPr="00B57E73">
              <w:rPr>
                <w:rFonts w:ascii="Calibri" w:hAnsi="Calibri"/>
                <w:sz w:val="20"/>
                <w:szCs w:val="20"/>
              </w:rPr>
              <w:t>14,565</w:t>
            </w:r>
          </w:p>
        </w:tc>
        <w:tc>
          <w:tcPr>
            <w:tcW w:w="1197" w:type="dxa"/>
            <w:shd w:val="clear" w:color="auto" w:fill="D9D9D9" w:themeFill="background1" w:themeFillShade="D9"/>
            <w:vAlign w:val="bottom"/>
          </w:tcPr>
          <w:p w:rsidR="00131E2D" w:rsidRPr="00B57E73" w:rsidRDefault="00131E2D" w:rsidP="009D5584">
            <w:pPr>
              <w:spacing w:after="0" w:line="240" w:lineRule="auto"/>
              <w:jc w:val="center"/>
              <w:rPr>
                <w:rFonts w:ascii="Calibri" w:hAnsi="Calibri"/>
                <w:sz w:val="20"/>
                <w:szCs w:val="20"/>
              </w:rPr>
            </w:pPr>
            <w:r w:rsidRPr="00B57E73">
              <w:rPr>
                <w:rFonts w:ascii="Calibri" w:hAnsi="Calibri"/>
                <w:sz w:val="20"/>
                <w:szCs w:val="20"/>
              </w:rPr>
              <w:t>73.6%</w:t>
            </w:r>
          </w:p>
        </w:tc>
        <w:tc>
          <w:tcPr>
            <w:tcW w:w="1198" w:type="dxa"/>
            <w:shd w:val="clear" w:color="auto" w:fill="D9D9D9" w:themeFill="background1" w:themeFillShade="D9"/>
            <w:vAlign w:val="bottom"/>
          </w:tcPr>
          <w:p w:rsidR="00131E2D" w:rsidRPr="00B57E73" w:rsidRDefault="00131E2D" w:rsidP="009D5584">
            <w:pPr>
              <w:spacing w:after="0" w:line="240" w:lineRule="auto"/>
              <w:jc w:val="center"/>
              <w:rPr>
                <w:rFonts w:ascii="Calibri" w:hAnsi="Calibri"/>
                <w:sz w:val="20"/>
                <w:szCs w:val="20"/>
              </w:rPr>
            </w:pPr>
            <w:r w:rsidRPr="00B57E73">
              <w:rPr>
                <w:rFonts w:ascii="Calibri" w:hAnsi="Calibri"/>
                <w:sz w:val="20"/>
                <w:szCs w:val="20"/>
              </w:rPr>
              <w:t>57.2%</w:t>
            </w:r>
          </w:p>
        </w:tc>
        <w:tc>
          <w:tcPr>
            <w:tcW w:w="935" w:type="dxa"/>
            <w:vAlign w:val="bottom"/>
          </w:tcPr>
          <w:p w:rsidR="00131E2D" w:rsidRPr="00B57E73" w:rsidRDefault="00131E2D" w:rsidP="009D5584">
            <w:pPr>
              <w:spacing w:after="0" w:line="240" w:lineRule="auto"/>
              <w:jc w:val="center"/>
              <w:rPr>
                <w:rFonts w:ascii="Calibri" w:hAnsi="Calibri"/>
                <w:sz w:val="20"/>
                <w:szCs w:val="20"/>
              </w:rPr>
            </w:pPr>
            <w:r w:rsidRPr="00B57E73">
              <w:rPr>
                <w:rFonts w:ascii="Calibri" w:hAnsi="Calibri"/>
                <w:sz w:val="20"/>
                <w:szCs w:val="20"/>
              </w:rPr>
              <w:t>288,465</w:t>
            </w:r>
          </w:p>
        </w:tc>
        <w:tc>
          <w:tcPr>
            <w:tcW w:w="1180" w:type="dxa"/>
            <w:shd w:val="clear" w:color="auto" w:fill="D9D9D9" w:themeFill="background1" w:themeFillShade="D9"/>
            <w:vAlign w:val="bottom"/>
          </w:tcPr>
          <w:p w:rsidR="00131E2D" w:rsidRPr="00B57E73" w:rsidRDefault="00131E2D" w:rsidP="009D5584">
            <w:pPr>
              <w:spacing w:after="0" w:line="240" w:lineRule="auto"/>
              <w:jc w:val="center"/>
              <w:rPr>
                <w:rFonts w:ascii="Calibri" w:hAnsi="Calibri"/>
                <w:sz w:val="20"/>
                <w:szCs w:val="20"/>
              </w:rPr>
            </w:pPr>
            <w:r w:rsidRPr="00B57E73">
              <w:rPr>
                <w:rFonts w:ascii="Calibri" w:hAnsi="Calibri"/>
                <w:sz w:val="20"/>
                <w:szCs w:val="20"/>
              </w:rPr>
              <w:t>66.1%</w:t>
            </w:r>
          </w:p>
        </w:tc>
        <w:tc>
          <w:tcPr>
            <w:tcW w:w="1180" w:type="dxa"/>
            <w:shd w:val="clear" w:color="auto" w:fill="D9D9D9" w:themeFill="background1" w:themeFillShade="D9"/>
            <w:vAlign w:val="bottom"/>
          </w:tcPr>
          <w:p w:rsidR="00131E2D" w:rsidRPr="00B57E73" w:rsidRDefault="00131E2D" w:rsidP="009D5584">
            <w:pPr>
              <w:spacing w:after="0" w:line="240" w:lineRule="auto"/>
              <w:jc w:val="center"/>
              <w:rPr>
                <w:rFonts w:ascii="Calibri" w:hAnsi="Calibri"/>
                <w:sz w:val="20"/>
                <w:szCs w:val="20"/>
              </w:rPr>
            </w:pPr>
            <w:r w:rsidRPr="00B57E73">
              <w:rPr>
                <w:rFonts w:ascii="Calibri" w:hAnsi="Calibri"/>
                <w:sz w:val="20"/>
                <w:szCs w:val="20"/>
              </w:rPr>
              <w:t>30.2%</w:t>
            </w:r>
          </w:p>
        </w:tc>
      </w:tr>
      <w:tr w:rsidR="00131E2D" w:rsidRPr="00B57E73" w:rsidTr="009D5584">
        <w:tc>
          <w:tcPr>
            <w:tcW w:w="2268" w:type="dxa"/>
          </w:tcPr>
          <w:p w:rsidR="00131E2D" w:rsidRPr="00B57E73" w:rsidRDefault="00131E2D" w:rsidP="009D5584">
            <w:pPr>
              <w:spacing w:after="0"/>
              <w:rPr>
                <w:rFonts w:ascii="Calibri" w:eastAsia="Calibri" w:hAnsi="Calibri" w:cs="Times New Roman"/>
                <w:sz w:val="20"/>
                <w:szCs w:val="20"/>
              </w:rPr>
            </w:pPr>
            <w:r w:rsidRPr="00B57E73">
              <w:rPr>
                <w:rFonts w:ascii="Calibri" w:eastAsia="Calibri" w:hAnsi="Calibri" w:cs="Times New Roman"/>
                <w:sz w:val="20"/>
                <w:szCs w:val="20"/>
              </w:rPr>
              <w:t>ELLs and Former ELLs</w:t>
            </w:r>
          </w:p>
        </w:tc>
        <w:tc>
          <w:tcPr>
            <w:tcW w:w="900" w:type="dxa"/>
            <w:vAlign w:val="bottom"/>
          </w:tcPr>
          <w:p w:rsidR="00131E2D" w:rsidRPr="00B57E73" w:rsidRDefault="00131E2D" w:rsidP="009D5584">
            <w:pPr>
              <w:spacing w:after="0" w:line="240" w:lineRule="auto"/>
              <w:jc w:val="center"/>
              <w:rPr>
                <w:rFonts w:ascii="Calibri" w:hAnsi="Calibri"/>
                <w:sz w:val="20"/>
                <w:szCs w:val="20"/>
              </w:rPr>
            </w:pPr>
            <w:r w:rsidRPr="00B57E73">
              <w:rPr>
                <w:rFonts w:ascii="Calibri" w:hAnsi="Calibri"/>
                <w:sz w:val="20"/>
                <w:szCs w:val="20"/>
              </w:rPr>
              <w:t>8,714</w:t>
            </w:r>
          </w:p>
        </w:tc>
        <w:tc>
          <w:tcPr>
            <w:tcW w:w="1197" w:type="dxa"/>
            <w:shd w:val="clear" w:color="auto" w:fill="D9D9D9" w:themeFill="background1" w:themeFillShade="D9"/>
            <w:vAlign w:val="bottom"/>
          </w:tcPr>
          <w:p w:rsidR="00131E2D" w:rsidRPr="00B57E73" w:rsidRDefault="00131E2D" w:rsidP="009D5584">
            <w:pPr>
              <w:spacing w:after="0" w:line="240" w:lineRule="auto"/>
              <w:jc w:val="center"/>
              <w:rPr>
                <w:rFonts w:ascii="Calibri" w:hAnsi="Calibri"/>
                <w:sz w:val="20"/>
                <w:szCs w:val="20"/>
              </w:rPr>
            </w:pPr>
            <w:r w:rsidRPr="00B57E73">
              <w:rPr>
                <w:rFonts w:ascii="Calibri" w:hAnsi="Calibri"/>
                <w:sz w:val="20"/>
                <w:szCs w:val="20"/>
              </w:rPr>
              <w:t>44.0%</w:t>
            </w:r>
          </w:p>
        </w:tc>
        <w:tc>
          <w:tcPr>
            <w:tcW w:w="1198" w:type="dxa"/>
            <w:shd w:val="clear" w:color="auto" w:fill="D9D9D9" w:themeFill="background1" w:themeFillShade="D9"/>
            <w:vAlign w:val="bottom"/>
          </w:tcPr>
          <w:p w:rsidR="00131E2D" w:rsidRPr="00B57E73" w:rsidRDefault="00131E2D" w:rsidP="009D5584">
            <w:pPr>
              <w:spacing w:after="0" w:line="240" w:lineRule="auto"/>
              <w:jc w:val="center"/>
              <w:rPr>
                <w:rFonts w:ascii="Calibri" w:hAnsi="Calibri"/>
                <w:sz w:val="20"/>
                <w:szCs w:val="20"/>
              </w:rPr>
            </w:pPr>
            <w:r w:rsidRPr="00B57E73">
              <w:rPr>
                <w:rFonts w:ascii="Calibri" w:hAnsi="Calibri"/>
                <w:sz w:val="20"/>
                <w:szCs w:val="20"/>
              </w:rPr>
              <w:t>34.2%</w:t>
            </w:r>
          </w:p>
        </w:tc>
        <w:tc>
          <w:tcPr>
            <w:tcW w:w="935" w:type="dxa"/>
            <w:vAlign w:val="bottom"/>
          </w:tcPr>
          <w:p w:rsidR="00131E2D" w:rsidRPr="00B57E73" w:rsidRDefault="00131E2D" w:rsidP="009D5584">
            <w:pPr>
              <w:spacing w:after="0" w:line="240" w:lineRule="auto"/>
              <w:jc w:val="center"/>
              <w:rPr>
                <w:rFonts w:ascii="Calibri" w:hAnsi="Calibri"/>
                <w:sz w:val="20"/>
                <w:szCs w:val="20"/>
              </w:rPr>
            </w:pPr>
            <w:r w:rsidRPr="00B57E73">
              <w:rPr>
                <w:rFonts w:ascii="Calibri" w:hAnsi="Calibri"/>
                <w:sz w:val="20"/>
                <w:szCs w:val="20"/>
              </w:rPr>
              <w:t>90,204</w:t>
            </w:r>
          </w:p>
        </w:tc>
        <w:tc>
          <w:tcPr>
            <w:tcW w:w="1180" w:type="dxa"/>
            <w:shd w:val="clear" w:color="auto" w:fill="D9D9D9" w:themeFill="background1" w:themeFillShade="D9"/>
            <w:vAlign w:val="bottom"/>
          </w:tcPr>
          <w:p w:rsidR="00131E2D" w:rsidRPr="00B57E73" w:rsidRDefault="00131E2D" w:rsidP="009D5584">
            <w:pPr>
              <w:spacing w:after="0" w:line="240" w:lineRule="auto"/>
              <w:jc w:val="center"/>
              <w:rPr>
                <w:rFonts w:ascii="Calibri" w:hAnsi="Calibri"/>
                <w:sz w:val="20"/>
                <w:szCs w:val="20"/>
              </w:rPr>
            </w:pPr>
            <w:r w:rsidRPr="00B57E73">
              <w:rPr>
                <w:rFonts w:ascii="Calibri" w:hAnsi="Calibri"/>
                <w:sz w:val="20"/>
                <w:szCs w:val="20"/>
              </w:rPr>
              <w:t>20.7%</w:t>
            </w:r>
          </w:p>
        </w:tc>
        <w:tc>
          <w:tcPr>
            <w:tcW w:w="1180" w:type="dxa"/>
            <w:shd w:val="clear" w:color="auto" w:fill="D9D9D9" w:themeFill="background1" w:themeFillShade="D9"/>
            <w:vAlign w:val="bottom"/>
          </w:tcPr>
          <w:p w:rsidR="00131E2D" w:rsidRPr="00B57E73" w:rsidRDefault="00131E2D" w:rsidP="009D5584">
            <w:pPr>
              <w:spacing w:after="0" w:line="240" w:lineRule="auto"/>
              <w:jc w:val="center"/>
              <w:rPr>
                <w:rFonts w:ascii="Calibri" w:hAnsi="Calibri"/>
                <w:sz w:val="20"/>
                <w:szCs w:val="20"/>
              </w:rPr>
            </w:pPr>
            <w:r w:rsidRPr="00B57E73">
              <w:rPr>
                <w:rFonts w:ascii="Calibri" w:hAnsi="Calibri"/>
                <w:sz w:val="20"/>
                <w:szCs w:val="20"/>
              </w:rPr>
              <w:t>9.5%</w:t>
            </w:r>
          </w:p>
        </w:tc>
      </w:tr>
      <w:tr w:rsidR="00131E2D" w:rsidRPr="00B57E73" w:rsidTr="009D5584">
        <w:tc>
          <w:tcPr>
            <w:tcW w:w="2268" w:type="dxa"/>
            <w:tcBorders>
              <w:bottom w:val="single" w:sz="4" w:space="0" w:color="auto"/>
            </w:tcBorders>
          </w:tcPr>
          <w:p w:rsidR="00131E2D" w:rsidRPr="00B57E73" w:rsidRDefault="00131E2D" w:rsidP="009D5584">
            <w:pPr>
              <w:spacing w:after="0"/>
              <w:rPr>
                <w:rFonts w:ascii="Calibri" w:eastAsia="Calibri" w:hAnsi="Calibri" w:cs="Times New Roman"/>
                <w:sz w:val="20"/>
                <w:szCs w:val="20"/>
              </w:rPr>
            </w:pPr>
            <w:r w:rsidRPr="00B57E73">
              <w:rPr>
                <w:rFonts w:ascii="Calibri" w:eastAsia="Calibri" w:hAnsi="Calibri" w:cs="Times New Roman"/>
                <w:sz w:val="20"/>
                <w:szCs w:val="20"/>
              </w:rPr>
              <w:t>All high needs students</w:t>
            </w:r>
          </w:p>
        </w:tc>
        <w:tc>
          <w:tcPr>
            <w:tcW w:w="900" w:type="dxa"/>
            <w:tcBorders>
              <w:bottom w:val="single" w:sz="4" w:space="0" w:color="auto"/>
            </w:tcBorders>
            <w:vAlign w:val="bottom"/>
          </w:tcPr>
          <w:p w:rsidR="00131E2D" w:rsidRPr="00B57E73" w:rsidRDefault="00131E2D" w:rsidP="009D5584">
            <w:pPr>
              <w:spacing w:after="0" w:line="240" w:lineRule="auto"/>
              <w:jc w:val="center"/>
              <w:rPr>
                <w:rFonts w:ascii="Calibri" w:hAnsi="Calibri"/>
                <w:sz w:val="20"/>
                <w:szCs w:val="20"/>
              </w:rPr>
            </w:pPr>
            <w:r w:rsidRPr="00B57E73">
              <w:rPr>
                <w:rFonts w:ascii="Calibri" w:hAnsi="Calibri"/>
                <w:sz w:val="20"/>
                <w:szCs w:val="20"/>
              </w:rPr>
              <w:t>19,792</w:t>
            </w:r>
          </w:p>
        </w:tc>
        <w:tc>
          <w:tcPr>
            <w:tcW w:w="1197" w:type="dxa"/>
            <w:tcBorders>
              <w:bottom w:val="single" w:sz="4" w:space="0" w:color="auto"/>
            </w:tcBorders>
            <w:shd w:val="clear" w:color="auto" w:fill="D9D9D9" w:themeFill="background1" w:themeFillShade="D9"/>
            <w:vAlign w:val="bottom"/>
          </w:tcPr>
          <w:p w:rsidR="00131E2D" w:rsidRPr="00B57E73" w:rsidRDefault="00131E2D" w:rsidP="009D5584">
            <w:pPr>
              <w:spacing w:after="0" w:line="240" w:lineRule="auto"/>
              <w:jc w:val="center"/>
              <w:rPr>
                <w:rFonts w:ascii="Calibri" w:hAnsi="Calibri"/>
                <w:sz w:val="20"/>
                <w:szCs w:val="20"/>
              </w:rPr>
            </w:pPr>
            <w:r w:rsidRPr="00B57E73">
              <w:rPr>
                <w:rFonts w:ascii="Calibri" w:hAnsi="Calibri"/>
                <w:sz w:val="20"/>
                <w:szCs w:val="20"/>
              </w:rPr>
              <w:t>100.0%</w:t>
            </w:r>
          </w:p>
        </w:tc>
        <w:tc>
          <w:tcPr>
            <w:tcW w:w="1198" w:type="dxa"/>
            <w:tcBorders>
              <w:bottom w:val="single" w:sz="4" w:space="0" w:color="auto"/>
            </w:tcBorders>
            <w:shd w:val="clear" w:color="auto" w:fill="D9D9D9" w:themeFill="background1" w:themeFillShade="D9"/>
            <w:vAlign w:val="bottom"/>
          </w:tcPr>
          <w:p w:rsidR="00131E2D" w:rsidRPr="00B57E73" w:rsidRDefault="00131E2D" w:rsidP="009D5584">
            <w:pPr>
              <w:spacing w:after="0" w:line="240" w:lineRule="auto"/>
              <w:jc w:val="center"/>
              <w:rPr>
                <w:rFonts w:ascii="Calibri" w:hAnsi="Calibri"/>
                <w:sz w:val="20"/>
                <w:szCs w:val="20"/>
              </w:rPr>
            </w:pPr>
            <w:r w:rsidRPr="00B57E73">
              <w:rPr>
                <w:rFonts w:ascii="Calibri" w:hAnsi="Calibri"/>
                <w:sz w:val="20"/>
                <w:szCs w:val="20"/>
              </w:rPr>
              <w:t>76.3%</w:t>
            </w:r>
          </w:p>
        </w:tc>
        <w:tc>
          <w:tcPr>
            <w:tcW w:w="935" w:type="dxa"/>
            <w:tcBorders>
              <w:bottom w:val="single" w:sz="4" w:space="0" w:color="auto"/>
            </w:tcBorders>
            <w:vAlign w:val="bottom"/>
          </w:tcPr>
          <w:p w:rsidR="00131E2D" w:rsidRPr="00B57E73" w:rsidRDefault="00131E2D" w:rsidP="009D5584">
            <w:pPr>
              <w:spacing w:after="0" w:line="240" w:lineRule="auto"/>
              <w:jc w:val="center"/>
              <w:rPr>
                <w:rFonts w:ascii="Calibri" w:hAnsi="Calibri"/>
                <w:sz w:val="20"/>
                <w:szCs w:val="20"/>
              </w:rPr>
            </w:pPr>
            <w:r w:rsidRPr="00B57E73">
              <w:rPr>
                <w:rFonts w:ascii="Calibri" w:hAnsi="Calibri"/>
                <w:sz w:val="20"/>
                <w:szCs w:val="20"/>
              </w:rPr>
              <w:t>436,416</w:t>
            </w:r>
          </w:p>
        </w:tc>
        <w:tc>
          <w:tcPr>
            <w:tcW w:w="1180" w:type="dxa"/>
            <w:tcBorders>
              <w:bottom w:val="single" w:sz="4" w:space="0" w:color="auto"/>
            </w:tcBorders>
            <w:shd w:val="clear" w:color="auto" w:fill="D9D9D9" w:themeFill="background1" w:themeFillShade="D9"/>
            <w:vAlign w:val="bottom"/>
          </w:tcPr>
          <w:p w:rsidR="00131E2D" w:rsidRPr="00B57E73" w:rsidRDefault="00131E2D" w:rsidP="009D5584">
            <w:pPr>
              <w:spacing w:after="0" w:line="240" w:lineRule="auto"/>
              <w:jc w:val="center"/>
              <w:rPr>
                <w:rFonts w:ascii="Calibri" w:hAnsi="Calibri"/>
                <w:sz w:val="20"/>
                <w:szCs w:val="20"/>
              </w:rPr>
            </w:pPr>
            <w:r w:rsidRPr="00B57E73">
              <w:rPr>
                <w:rFonts w:ascii="Calibri" w:hAnsi="Calibri"/>
                <w:sz w:val="20"/>
                <w:szCs w:val="20"/>
              </w:rPr>
              <w:t>100.0%</w:t>
            </w:r>
          </w:p>
        </w:tc>
        <w:tc>
          <w:tcPr>
            <w:tcW w:w="1180" w:type="dxa"/>
            <w:tcBorders>
              <w:bottom w:val="single" w:sz="4" w:space="0" w:color="auto"/>
            </w:tcBorders>
            <w:shd w:val="clear" w:color="auto" w:fill="D9D9D9" w:themeFill="background1" w:themeFillShade="D9"/>
            <w:vAlign w:val="bottom"/>
          </w:tcPr>
          <w:p w:rsidR="00131E2D" w:rsidRPr="00B57E73" w:rsidRDefault="00131E2D" w:rsidP="009D5584">
            <w:pPr>
              <w:spacing w:after="0" w:line="240" w:lineRule="auto"/>
              <w:jc w:val="center"/>
              <w:rPr>
                <w:rFonts w:ascii="Calibri" w:hAnsi="Calibri"/>
                <w:sz w:val="20"/>
                <w:szCs w:val="20"/>
              </w:rPr>
            </w:pPr>
            <w:r w:rsidRPr="00B57E73">
              <w:rPr>
                <w:rFonts w:ascii="Calibri" w:hAnsi="Calibri"/>
                <w:sz w:val="20"/>
                <w:szCs w:val="20"/>
              </w:rPr>
              <w:t>45.2%</w:t>
            </w:r>
          </w:p>
        </w:tc>
      </w:tr>
    </w:tbl>
    <w:p w:rsidR="00A9507F" w:rsidRDefault="00A9507F" w:rsidP="00131E2D">
      <w:pPr>
        <w:spacing w:after="0"/>
        <w:rPr>
          <w:rFonts w:ascii="Calibri" w:eastAsia="Calibri" w:hAnsi="Calibri" w:cs="Times New Roman"/>
          <w:sz w:val="20"/>
        </w:rPr>
      </w:pPr>
    </w:p>
    <w:p w:rsidR="00A9507F" w:rsidRDefault="00A9507F">
      <w:pPr>
        <w:spacing w:after="0" w:line="240" w:lineRule="auto"/>
        <w:rPr>
          <w:rFonts w:ascii="Calibri" w:eastAsia="Calibri" w:hAnsi="Calibri" w:cs="Times New Roman"/>
          <w:sz w:val="20"/>
        </w:rPr>
      </w:pPr>
      <w:r>
        <w:rPr>
          <w:rFonts w:ascii="Calibri" w:eastAsia="Calibri" w:hAnsi="Calibri" w:cs="Times New Roman"/>
          <w:sz w:val="20"/>
        </w:rPr>
        <w:br w:type="page"/>
      </w:r>
    </w:p>
    <w:p w:rsidR="00A9507F" w:rsidRPr="005467AC" w:rsidRDefault="00A9507F" w:rsidP="00A9507F">
      <w:pPr>
        <w:spacing w:after="0" w:line="240" w:lineRule="auto"/>
        <w:jc w:val="center"/>
        <w:rPr>
          <w:rFonts w:ascii="Calibri" w:eastAsia="Calibri" w:hAnsi="Calibri" w:cs="Times New Roman"/>
          <w:b/>
          <w:sz w:val="20"/>
        </w:rPr>
      </w:pPr>
      <w:r w:rsidRPr="005467AC">
        <w:rPr>
          <w:rFonts w:ascii="Calibri" w:eastAsia="Calibri" w:hAnsi="Calibri" w:cs="Times New Roman"/>
          <w:b/>
          <w:sz w:val="20"/>
        </w:rPr>
        <w:lastRenderedPageBreak/>
        <w:t>Table B2a: Worcester Public Schools</w:t>
      </w:r>
    </w:p>
    <w:p w:rsidR="00A9507F" w:rsidRPr="005467AC" w:rsidRDefault="00A9507F" w:rsidP="00A9507F">
      <w:pPr>
        <w:spacing w:after="0" w:line="240" w:lineRule="auto"/>
        <w:jc w:val="center"/>
        <w:rPr>
          <w:rFonts w:ascii="Calibri" w:eastAsia="Calibri" w:hAnsi="Calibri" w:cs="Times New Roman"/>
          <w:b/>
          <w:sz w:val="20"/>
        </w:rPr>
      </w:pPr>
      <w:r w:rsidRPr="005467AC">
        <w:rPr>
          <w:rFonts w:ascii="Calibri" w:eastAsia="Calibri" w:hAnsi="Calibri" w:cs="Times New Roman"/>
          <w:b/>
          <w:sz w:val="20"/>
        </w:rPr>
        <w:t>English Language Arts Performance, 2013–2016</w:t>
      </w:r>
    </w:p>
    <w:tbl>
      <w:tblPr>
        <w:tblStyle w:val="TableGrid"/>
        <w:tblW w:w="8928" w:type="dxa"/>
        <w:tblLook w:val="04A0"/>
      </w:tblPr>
      <w:tblGrid>
        <w:gridCol w:w="461"/>
        <w:gridCol w:w="757"/>
        <w:gridCol w:w="870"/>
        <w:gridCol w:w="1049"/>
        <w:gridCol w:w="918"/>
        <w:gridCol w:w="919"/>
        <w:gridCol w:w="919"/>
        <w:gridCol w:w="919"/>
        <w:gridCol w:w="1126"/>
        <w:gridCol w:w="990"/>
      </w:tblGrid>
      <w:tr w:rsidR="00A9507F" w:rsidRPr="005467AC" w:rsidTr="009266F5">
        <w:tc>
          <w:tcPr>
            <w:tcW w:w="2088" w:type="dxa"/>
            <w:gridSpan w:val="3"/>
            <w:vMerge w:val="restart"/>
            <w:vAlign w:val="center"/>
          </w:tcPr>
          <w:p w:rsidR="00A9507F" w:rsidRPr="005467AC" w:rsidRDefault="00A9507F" w:rsidP="009266F5">
            <w:pPr>
              <w:spacing w:after="0" w:line="240" w:lineRule="auto"/>
              <w:jc w:val="center"/>
              <w:rPr>
                <w:rFonts w:ascii="Calibri" w:hAnsi="Calibri"/>
                <w:b/>
                <w:sz w:val="20"/>
                <w:szCs w:val="20"/>
              </w:rPr>
            </w:pPr>
            <w:r w:rsidRPr="005467AC">
              <w:rPr>
                <w:rFonts w:ascii="Calibri" w:hAnsi="Calibri"/>
                <w:b/>
                <w:sz w:val="20"/>
                <w:szCs w:val="20"/>
              </w:rPr>
              <w:t>Grade and Measure</w:t>
            </w:r>
          </w:p>
        </w:tc>
        <w:tc>
          <w:tcPr>
            <w:tcW w:w="1049" w:type="dxa"/>
            <w:vMerge w:val="restart"/>
            <w:vAlign w:val="center"/>
          </w:tcPr>
          <w:p w:rsidR="00A9507F" w:rsidRPr="005467AC" w:rsidRDefault="00A9507F" w:rsidP="009266F5">
            <w:pPr>
              <w:spacing w:after="0" w:line="240" w:lineRule="auto"/>
              <w:jc w:val="center"/>
              <w:rPr>
                <w:rFonts w:ascii="Calibri" w:hAnsi="Calibri"/>
                <w:b/>
                <w:sz w:val="20"/>
                <w:szCs w:val="20"/>
              </w:rPr>
            </w:pPr>
            <w:r w:rsidRPr="005467AC">
              <w:rPr>
                <w:rFonts w:ascii="Calibri" w:hAnsi="Calibri"/>
                <w:b/>
                <w:sz w:val="20"/>
                <w:szCs w:val="20"/>
              </w:rPr>
              <w:t>Number Included (2016)</w:t>
            </w:r>
          </w:p>
        </w:tc>
        <w:tc>
          <w:tcPr>
            <w:tcW w:w="1837" w:type="dxa"/>
            <w:gridSpan w:val="2"/>
            <w:vMerge w:val="restart"/>
            <w:vAlign w:val="center"/>
          </w:tcPr>
          <w:p w:rsidR="00A9507F" w:rsidRPr="005467AC" w:rsidRDefault="00A9507F" w:rsidP="009266F5">
            <w:pPr>
              <w:spacing w:after="0" w:line="240" w:lineRule="auto"/>
              <w:jc w:val="center"/>
              <w:rPr>
                <w:rFonts w:ascii="Calibri" w:hAnsi="Calibri"/>
                <w:b/>
                <w:sz w:val="20"/>
                <w:szCs w:val="20"/>
              </w:rPr>
            </w:pPr>
            <w:r w:rsidRPr="005467AC">
              <w:rPr>
                <w:rFonts w:ascii="Calibri" w:hAnsi="Calibri"/>
                <w:b/>
                <w:sz w:val="20"/>
                <w:szCs w:val="20"/>
              </w:rPr>
              <w:t>MCAS Year</w:t>
            </w:r>
          </w:p>
        </w:tc>
        <w:tc>
          <w:tcPr>
            <w:tcW w:w="1838" w:type="dxa"/>
            <w:gridSpan w:val="2"/>
            <w:vMerge w:val="restart"/>
            <w:vAlign w:val="center"/>
          </w:tcPr>
          <w:p w:rsidR="00A9507F" w:rsidRPr="005467AC" w:rsidRDefault="00A9507F" w:rsidP="009266F5">
            <w:pPr>
              <w:spacing w:after="0" w:line="240" w:lineRule="auto"/>
              <w:jc w:val="center"/>
              <w:rPr>
                <w:rFonts w:ascii="Calibri" w:hAnsi="Calibri"/>
                <w:b/>
                <w:sz w:val="20"/>
                <w:szCs w:val="20"/>
              </w:rPr>
            </w:pPr>
            <w:r w:rsidRPr="005467AC">
              <w:rPr>
                <w:rFonts w:ascii="Calibri" w:hAnsi="Calibri"/>
                <w:b/>
                <w:sz w:val="20"/>
                <w:szCs w:val="20"/>
              </w:rPr>
              <w:t>MCAS/PARCC</w:t>
            </w:r>
          </w:p>
        </w:tc>
        <w:tc>
          <w:tcPr>
            <w:tcW w:w="2116" w:type="dxa"/>
            <w:gridSpan w:val="2"/>
          </w:tcPr>
          <w:p w:rsidR="00A9507F" w:rsidRPr="005467AC" w:rsidRDefault="00A9507F" w:rsidP="009266F5">
            <w:pPr>
              <w:spacing w:after="0" w:line="240" w:lineRule="auto"/>
              <w:rPr>
                <w:rFonts w:ascii="Calibri" w:hAnsi="Calibri"/>
                <w:b/>
                <w:sz w:val="20"/>
                <w:szCs w:val="20"/>
              </w:rPr>
            </w:pPr>
            <w:r w:rsidRPr="005467AC">
              <w:rPr>
                <w:rFonts w:ascii="Calibri" w:hAnsi="Calibri"/>
                <w:b/>
                <w:sz w:val="20"/>
                <w:szCs w:val="20"/>
              </w:rPr>
              <w:t>Gains and Declines</w:t>
            </w:r>
          </w:p>
        </w:tc>
      </w:tr>
      <w:tr w:rsidR="00A9507F" w:rsidRPr="005467AC" w:rsidTr="009266F5">
        <w:trPr>
          <w:trHeight w:val="269"/>
        </w:trPr>
        <w:tc>
          <w:tcPr>
            <w:tcW w:w="2088" w:type="dxa"/>
            <w:gridSpan w:val="3"/>
            <w:vMerge/>
          </w:tcPr>
          <w:p w:rsidR="00A9507F" w:rsidRPr="005467AC" w:rsidRDefault="00A9507F" w:rsidP="009266F5">
            <w:pPr>
              <w:spacing w:after="0" w:line="240" w:lineRule="auto"/>
              <w:rPr>
                <w:rFonts w:ascii="Calibri" w:hAnsi="Calibri"/>
                <w:b/>
                <w:sz w:val="20"/>
                <w:szCs w:val="20"/>
              </w:rPr>
            </w:pPr>
          </w:p>
        </w:tc>
        <w:tc>
          <w:tcPr>
            <w:tcW w:w="1049" w:type="dxa"/>
            <w:vMerge/>
          </w:tcPr>
          <w:p w:rsidR="00A9507F" w:rsidRPr="005467AC" w:rsidRDefault="00A9507F" w:rsidP="009266F5">
            <w:pPr>
              <w:spacing w:after="0" w:line="240" w:lineRule="auto"/>
              <w:rPr>
                <w:rFonts w:ascii="Calibri" w:hAnsi="Calibri"/>
                <w:b/>
                <w:sz w:val="20"/>
                <w:szCs w:val="20"/>
              </w:rPr>
            </w:pPr>
          </w:p>
        </w:tc>
        <w:tc>
          <w:tcPr>
            <w:tcW w:w="1837" w:type="dxa"/>
            <w:gridSpan w:val="2"/>
            <w:vMerge/>
          </w:tcPr>
          <w:p w:rsidR="00A9507F" w:rsidRPr="005467AC" w:rsidRDefault="00A9507F" w:rsidP="009266F5">
            <w:pPr>
              <w:spacing w:after="0" w:line="240" w:lineRule="auto"/>
              <w:rPr>
                <w:rFonts w:ascii="Calibri" w:hAnsi="Calibri"/>
                <w:b/>
                <w:sz w:val="20"/>
                <w:szCs w:val="20"/>
              </w:rPr>
            </w:pPr>
          </w:p>
        </w:tc>
        <w:tc>
          <w:tcPr>
            <w:tcW w:w="1838" w:type="dxa"/>
            <w:gridSpan w:val="2"/>
            <w:vMerge/>
          </w:tcPr>
          <w:p w:rsidR="00A9507F" w:rsidRPr="005467AC" w:rsidRDefault="00A9507F" w:rsidP="009266F5">
            <w:pPr>
              <w:spacing w:after="0" w:line="240" w:lineRule="auto"/>
              <w:rPr>
                <w:rFonts w:ascii="Calibri" w:hAnsi="Calibri"/>
                <w:b/>
                <w:sz w:val="20"/>
                <w:szCs w:val="20"/>
              </w:rPr>
            </w:pPr>
          </w:p>
        </w:tc>
        <w:tc>
          <w:tcPr>
            <w:tcW w:w="1126" w:type="dxa"/>
            <w:vMerge w:val="restart"/>
          </w:tcPr>
          <w:p w:rsidR="00A9507F" w:rsidRPr="005467AC" w:rsidRDefault="00A9507F" w:rsidP="009266F5">
            <w:pPr>
              <w:spacing w:after="0" w:line="240" w:lineRule="auto"/>
              <w:jc w:val="center"/>
              <w:rPr>
                <w:rFonts w:ascii="Calibri" w:hAnsi="Calibri"/>
                <w:b/>
                <w:sz w:val="20"/>
                <w:szCs w:val="20"/>
              </w:rPr>
            </w:pPr>
            <w:r w:rsidRPr="00E34378">
              <w:rPr>
                <w:rFonts w:ascii="Calibri" w:hAnsi="Calibri"/>
                <w:b/>
                <w:sz w:val="20"/>
                <w:szCs w:val="20"/>
              </w:rPr>
              <w:t>4-Year Trend</w:t>
            </w:r>
          </w:p>
        </w:tc>
        <w:tc>
          <w:tcPr>
            <w:tcW w:w="990" w:type="dxa"/>
            <w:vMerge w:val="restart"/>
            <w:vAlign w:val="center"/>
          </w:tcPr>
          <w:p w:rsidR="00A9507F" w:rsidRPr="005467AC" w:rsidRDefault="00A9507F" w:rsidP="009266F5">
            <w:pPr>
              <w:spacing w:after="0" w:line="240" w:lineRule="auto"/>
              <w:jc w:val="center"/>
              <w:rPr>
                <w:rFonts w:ascii="Calibri" w:hAnsi="Calibri"/>
                <w:b/>
                <w:sz w:val="20"/>
                <w:szCs w:val="20"/>
              </w:rPr>
            </w:pPr>
            <w:r w:rsidRPr="005467AC">
              <w:rPr>
                <w:rFonts w:ascii="Calibri" w:hAnsi="Calibri"/>
                <w:b/>
                <w:sz w:val="20"/>
                <w:szCs w:val="20"/>
              </w:rPr>
              <w:t>2-Year Trend</w:t>
            </w:r>
          </w:p>
        </w:tc>
      </w:tr>
      <w:tr w:rsidR="00A9507F" w:rsidRPr="005467AC" w:rsidTr="009266F5">
        <w:tc>
          <w:tcPr>
            <w:tcW w:w="2088" w:type="dxa"/>
            <w:gridSpan w:val="3"/>
            <w:vMerge/>
          </w:tcPr>
          <w:p w:rsidR="00A9507F" w:rsidRPr="005467AC" w:rsidRDefault="00A9507F" w:rsidP="009266F5">
            <w:pPr>
              <w:spacing w:after="0" w:line="240" w:lineRule="auto"/>
              <w:rPr>
                <w:rFonts w:ascii="Calibri" w:hAnsi="Calibri"/>
                <w:sz w:val="20"/>
                <w:szCs w:val="20"/>
              </w:rPr>
            </w:pPr>
          </w:p>
        </w:tc>
        <w:tc>
          <w:tcPr>
            <w:tcW w:w="1049" w:type="dxa"/>
            <w:vMerge/>
          </w:tcPr>
          <w:p w:rsidR="00A9507F" w:rsidRPr="005467AC" w:rsidRDefault="00A9507F" w:rsidP="009266F5">
            <w:pPr>
              <w:spacing w:after="0" w:line="240" w:lineRule="auto"/>
              <w:rPr>
                <w:rFonts w:ascii="Calibri" w:hAnsi="Calibri"/>
                <w:sz w:val="20"/>
                <w:szCs w:val="20"/>
              </w:rPr>
            </w:pPr>
          </w:p>
        </w:tc>
        <w:tc>
          <w:tcPr>
            <w:tcW w:w="918" w:type="dxa"/>
            <w:vAlign w:val="center"/>
          </w:tcPr>
          <w:p w:rsidR="00A9507F" w:rsidRPr="005467AC" w:rsidRDefault="00A9507F" w:rsidP="009266F5">
            <w:pPr>
              <w:spacing w:after="0" w:line="240" w:lineRule="auto"/>
              <w:jc w:val="center"/>
              <w:rPr>
                <w:rFonts w:ascii="Calibri" w:hAnsi="Calibri"/>
                <w:b/>
                <w:sz w:val="20"/>
                <w:szCs w:val="20"/>
              </w:rPr>
            </w:pPr>
            <w:r w:rsidRPr="005467AC">
              <w:rPr>
                <w:rFonts w:ascii="Calibri" w:hAnsi="Calibri"/>
                <w:b/>
                <w:sz w:val="20"/>
                <w:szCs w:val="20"/>
              </w:rPr>
              <w:t>2013</w:t>
            </w:r>
          </w:p>
        </w:tc>
        <w:tc>
          <w:tcPr>
            <w:tcW w:w="919" w:type="dxa"/>
            <w:vAlign w:val="center"/>
          </w:tcPr>
          <w:p w:rsidR="00A9507F" w:rsidRPr="005467AC" w:rsidRDefault="00A9507F" w:rsidP="009266F5">
            <w:pPr>
              <w:spacing w:after="0" w:line="240" w:lineRule="auto"/>
              <w:jc w:val="center"/>
              <w:rPr>
                <w:rFonts w:ascii="Calibri" w:hAnsi="Calibri"/>
                <w:b/>
                <w:sz w:val="20"/>
                <w:szCs w:val="20"/>
              </w:rPr>
            </w:pPr>
            <w:r w:rsidRPr="005467AC">
              <w:rPr>
                <w:rFonts w:ascii="Calibri" w:hAnsi="Calibri"/>
                <w:b/>
                <w:sz w:val="20"/>
                <w:szCs w:val="20"/>
              </w:rPr>
              <w:t>2014</w:t>
            </w:r>
          </w:p>
        </w:tc>
        <w:tc>
          <w:tcPr>
            <w:tcW w:w="919" w:type="dxa"/>
            <w:vAlign w:val="center"/>
          </w:tcPr>
          <w:p w:rsidR="00A9507F" w:rsidRPr="005467AC" w:rsidRDefault="00A9507F" w:rsidP="009266F5">
            <w:pPr>
              <w:spacing w:after="0" w:line="240" w:lineRule="auto"/>
              <w:jc w:val="center"/>
              <w:rPr>
                <w:rFonts w:ascii="Calibri" w:hAnsi="Calibri"/>
                <w:b/>
                <w:sz w:val="20"/>
                <w:szCs w:val="20"/>
              </w:rPr>
            </w:pPr>
            <w:r w:rsidRPr="005467AC">
              <w:rPr>
                <w:rFonts w:ascii="Calibri" w:hAnsi="Calibri"/>
                <w:b/>
                <w:sz w:val="20"/>
                <w:szCs w:val="20"/>
              </w:rPr>
              <w:t>2015</w:t>
            </w:r>
          </w:p>
        </w:tc>
        <w:tc>
          <w:tcPr>
            <w:tcW w:w="919" w:type="dxa"/>
            <w:vAlign w:val="center"/>
          </w:tcPr>
          <w:p w:rsidR="00A9507F" w:rsidRPr="005467AC" w:rsidRDefault="00A9507F" w:rsidP="009266F5">
            <w:pPr>
              <w:spacing w:after="0" w:line="240" w:lineRule="auto"/>
              <w:jc w:val="center"/>
              <w:rPr>
                <w:rFonts w:ascii="Calibri" w:hAnsi="Calibri"/>
                <w:b/>
                <w:sz w:val="20"/>
                <w:szCs w:val="20"/>
              </w:rPr>
            </w:pPr>
            <w:r w:rsidRPr="005467AC">
              <w:rPr>
                <w:rFonts w:ascii="Calibri" w:hAnsi="Calibri"/>
                <w:b/>
                <w:sz w:val="20"/>
                <w:szCs w:val="20"/>
              </w:rPr>
              <w:t>2016</w:t>
            </w:r>
          </w:p>
        </w:tc>
        <w:tc>
          <w:tcPr>
            <w:tcW w:w="1126" w:type="dxa"/>
            <w:vMerge/>
          </w:tcPr>
          <w:p w:rsidR="00A9507F" w:rsidRPr="005467AC" w:rsidRDefault="00A9507F" w:rsidP="009266F5">
            <w:pPr>
              <w:spacing w:after="0" w:line="240" w:lineRule="auto"/>
              <w:rPr>
                <w:rFonts w:ascii="Calibri" w:hAnsi="Calibri"/>
                <w:sz w:val="20"/>
                <w:szCs w:val="20"/>
              </w:rPr>
            </w:pPr>
          </w:p>
        </w:tc>
        <w:tc>
          <w:tcPr>
            <w:tcW w:w="990" w:type="dxa"/>
            <w:vMerge/>
          </w:tcPr>
          <w:p w:rsidR="00A9507F" w:rsidRPr="005467AC" w:rsidRDefault="00A9507F" w:rsidP="009266F5">
            <w:pPr>
              <w:spacing w:after="0" w:line="240" w:lineRule="auto"/>
              <w:rPr>
                <w:rFonts w:ascii="Calibri" w:hAnsi="Calibri"/>
                <w:sz w:val="20"/>
                <w:szCs w:val="20"/>
              </w:rPr>
            </w:pPr>
          </w:p>
        </w:tc>
      </w:tr>
      <w:tr w:rsidR="00A9507F" w:rsidRPr="009066CB" w:rsidTr="009266F5">
        <w:tc>
          <w:tcPr>
            <w:tcW w:w="461" w:type="dxa"/>
            <w:vMerge w:val="restart"/>
            <w:vAlign w:val="center"/>
          </w:tcPr>
          <w:p w:rsidR="00A9507F" w:rsidRPr="00164FBF" w:rsidRDefault="00A9507F" w:rsidP="009266F5">
            <w:pPr>
              <w:spacing w:after="0" w:line="240" w:lineRule="auto"/>
              <w:jc w:val="center"/>
              <w:rPr>
                <w:rFonts w:ascii="Calibri" w:hAnsi="Calibri"/>
                <w:sz w:val="20"/>
                <w:szCs w:val="20"/>
              </w:rPr>
            </w:pPr>
            <w:r w:rsidRPr="00164FBF">
              <w:rPr>
                <w:rFonts w:ascii="Calibri" w:hAnsi="Calibri"/>
                <w:sz w:val="20"/>
                <w:szCs w:val="20"/>
              </w:rPr>
              <w:t>3</w:t>
            </w:r>
          </w:p>
        </w:tc>
        <w:tc>
          <w:tcPr>
            <w:tcW w:w="757" w:type="dxa"/>
            <w:vMerge w:val="restart"/>
            <w:vAlign w:val="center"/>
          </w:tcPr>
          <w:p w:rsidR="00A9507F" w:rsidRPr="006E6CA2" w:rsidRDefault="00A9507F" w:rsidP="009266F5">
            <w:pPr>
              <w:spacing w:after="0" w:line="240" w:lineRule="auto"/>
              <w:jc w:val="center"/>
              <w:rPr>
                <w:rFonts w:ascii="Calibri" w:hAnsi="Calibri"/>
                <w:sz w:val="20"/>
                <w:szCs w:val="20"/>
              </w:rPr>
            </w:pPr>
            <w:r w:rsidRPr="006E6CA2">
              <w:rPr>
                <w:rFonts w:ascii="Calibri" w:hAnsi="Calibri"/>
                <w:sz w:val="20"/>
                <w:szCs w:val="20"/>
              </w:rPr>
              <w:t>MCAS</w:t>
            </w:r>
          </w:p>
        </w:tc>
        <w:tc>
          <w:tcPr>
            <w:tcW w:w="870" w:type="dxa"/>
          </w:tcPr>
          <w:p w:rsidR="00A9507F" w:rsidRPr="00A82F8F" w:rsidRDefault="00A9507F" w:rsidP="009266F5">
            <w:pPr>
              <w:spacing w:after="0" w:line="240" w:lineRule="auto"/>
              <w:rPr>
                <w:rFonts w:ascii="Calibri" w:hAnsi="Calibri"/>
                <w:sz w:val="20"/>
                <w:szCs w:val="20"/>
              </w:rPr>
            </w:pPr>
            <w:r w:rsidRPr="00A82F8F">
              <w:rPr>
                <w:rFonts w:ascii="Calibri" w:hAnsi="Calibri"/>
                <w:sz w:val="20"/>
                <w:szCs w:val="20"/>
              </w:rPr>
              <w:t>CPI</w:t>
            </w:r>
          </w:p>
        </w:tc>
        <w:tc>
          <w:tcPr>
            <w:tcW w:w="1049" w:type="dxa"/>
            <w:vAlign w:val="center"/>
          </w:tcPr>
          <w:p w:rsidR="00A9507F" w:rsidRPr="00163D95" w:rsidRDefault="00A9507F" w:rsidP="009266F5">
            <w:pPr>
              <w:spacing w:after="0" w:line="240" w:lineRule="auto"/>
              <w:jc w:val="center"/>
              <w:rPr>
                <w:rFonts w:ascii="Calibri" w:hAnsi="Calibri"/>
                <w:sz w:val="20"/>
                <w:szCs w:val="20"/>
              </w:rPr>
            </w:pPr>
            <w:r w:rsidRPr="00163D95">
              <w:rPr>
                <w:rFonts w:ascii="Calibri" w:hAnsi="Calibri"/>
                <w:sz w:val="20"/>
                <w:szCs w:val="20"/>
              </w:rPr>
              <w:t>734</w:t>
            </w:r>
          </w:p>
        </w:tc>
        <w:tc>
          <w:tcPr>
            <w:tcW w:w="918" w:type="dxa"/>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71.7</w:t>
            </w:r>
          </w:p>
        </w:tc>
        <w:tc>
          <w:tcPr>
            <w:tcW w:w="919" w:type="dxa"/>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70.2</w:t>
            </w:r>
          </w:p>
        </w:tc>
        <w:tc>
          <w:tcPr>
            <w:tcW w:w="919" w:type="dxa"/>
            <w:vAlign w:val="center"/>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71.4</w:t>
            </w:r>
          </w:p>
        </w:tc>
        <w:tc>
          <w:tcPr>
            <w:tcW w:w="919" w:type="dxa"/>
            <w:vAlign w:val="center"/>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75.5</w:t>
            </w:r>
          </w:p>
        </w:tc>
        <w:tc>
          <w:tcPr>
            <w:tcW w:w="1126" w:type="dxa"/>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3.8</w:t>
            </w:r>
          </w:p>
        </w:tc>
        <w:tc>
          <w:tcPr>
            <w:tcW w:w="990" w:type="dxa"/>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4.1</w:t>
            </w:r>
          </w:p>
        </w:tc>
      </w:tr>
      <w:tr w:rsidR="00A9507F" w:rsidRPr="009066CB" w:rsidTr="009266F5">
        <w:tc>
          <w:tcPr>
            <w:tcW w:w="461" w:type="dxa"/>
            <w:vMerge/>
            <w:vAlign w:val="center"/>
          </w:tcPr>
          <w:p w:rsidR="00A9507F" w:rsidRPr="00164FBF" w:rsidRDefault="00A9507F" w:rsidP="009266F5">
            <w:pPr>
              <w:spacing w:after="0" w:line="240" w:lineRule="auto"/>
              <w:jc w:val="center"/>
              <w:rPr>
                <w:rFonts w:ascii="Calibri" w:hAnsi="Calibri"/>
                <w:sz w:val="20"/>
                <w:szCs w:val="20"/>
              </w:rPr>
            </w:pPr>
          </w:p>
        </w:tc>
        <w:tc>
          <w:tcPr>
            <w:tcW w:w="757" w:type="dxa"/>
            <w:vMerge/>
            <w:vAlign w:val="center"/>
          </w:tcPr>
          <w:p w:rsidR="00A9507F" w:rsidRPr="006E6CA2" w:rsidRDefault="00A9507F" w:rsidP="009266F5">
            <w:pPr>
              <w:spacing w:after="0" w:line="240" w:lineRule="auto"/>
              <w:jc w:val="center"/>
              <w:rPr>
                <w:rFonts w:ascii="Calibri" w:hAnsi="Calibri"/>
                <w:sz w:val="20"/>
                <w:szCs w:val="20"/>
              </w:rPr>
            </w:pPr>
          </w:p>
        </w:tc>
        <w:tc>
          <w:tcPr>
            <w:tcW w:w="870" w:type="dxa"/>
          </w:tcPr>
          <w:p w:rsidR="00A9507F" w:rsidRPr="00A82F8F" w:rsidRDefault="00A9507F" w:rsidP="009266F5">
            <w:pPr>
              <w:spacing w:after="0" w:line="240" w:lineRule="auto"/>
              <w:rPr>
                <w:rFonts w:ascii="Calibri" w:hAnsi="Calibri"/>
                <w:sz w:val="20"/>
                <w:szCs w:val="20"/>
              </w:rPr>
            </w:pPr>
            <w:r w:rsidRPr="00A82F8F">
              <w:rPr>
                <w:rFonts w:ascii="Calibri" w:hAnsi="Calibri"/>
                <w:sz w:val="20"/>
                <w:szCs w:val="20"/>
              </w:rPr>
              <w:t>P+</w:t>
            </w:r>
          </w:p>
        </w:tc>
        <w:tc>
          <w:tcPr>
            <w:tcW w:w="1049" w:type="dxa"/>
            <w:vAlign w:val="center"/>
          </w:tcPr>
          <w:p w:rsidR="00A9507F" w:rsidRPr="00163D95" w:rsidRDefault="00A9507F" w:rsidP="009266F5">
            <w:pPr>
              <w:spacing w:after="0" w:line="240" w:lineRule="auto"/>
              <w:jc w:val="center"/>
              <w:rPr>
                <w:rFonts w:ascii="Calibri" w:hAnsi="Calibri"/>
                <w:sz w:val="20"/>
                <w:szCs w:val="20"/>
              </w:rPr>
            </w:pPr>
            <w:r w:rsidRPr="00163D95">
              <w:rPr>
                <w:rFonts w:ascii="Calibri" w:hAnsi="Calibri"/>
                <w:sz w:val="20"/>
                <w:szCs w:val="20"/>
              </w:rPr>
              <w:t>734</w:t>
            </w:r>
          </w:p>
        </w:tc>
        <w:tc>
          <w:tcPr>
            <w:tcW w:w="918" w:type="dxa"/>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34%</w:t>
            </w:r>
          </w:p>
        </w:tc>
        <w:tc>
          <w:tcPr>
            <w:tcW w:w="919" w:type="dxa"/>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38%</w:t>
            </w:r>
          </w:p>
        </w:tc>
        <w:tc>
          <w:tcPr>
            <w:tcW w:w="919" w:type="dxa"/>
            <w:vAlign w:val="center"/>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38%</w:t>
            </w:r>
          </w:p>
        </w:tc>
        <w:tc>
          <w:tcPr>
            <w:tcW w:w="919" w:type="dxa"/>
            <w:vAlign w:val="center"/>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43%</w:t>
            </w:r>
          </w:p>
        </w:tc>
        <w:tc>
          <w:tcPr>
            <w:tcW w:w="1126" w:type="dxa"/>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9%</w:t>
            </w:r>
          </w:p>
        </w:tc>
        <w:tc>
          <w:tcPr>
            <w:tcW w:w="990" w:type="dxa"/>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5%</w:t>
            </w:r>
          </w:p>
        </w:tc>
      </w:tr>
      <w:tr w:rsidR="00A9507F" w:rsidRPr="009066CB" w:rsidTr="009266F5">
        <w:tc>
          <w:tcPr>
            <w:tcW w:w="461" w:type="dxa"/>
            <w:vMerge/>
            <w:vAlign w:val="center"/>
          </w:tcPr>
          <w:p w:rsidR="00A9507F" w:rsidRPr="00164FBF" w:rsidRDefault="00A9507F" w:rsidP="009266F5">
            <w:pPr>
              <w:spacing w:after="0" w:line="240" w:lineRule="auto"/>
              <w:jc w:val="center"/>
              <w:rPr>
                <w:rFonts w:ascii="Calibri" w:hAnsi="Calibri"/>
                <w:sz w:val="20"/>
                <w:szCs w:val="20"/>
              </w:rPr>
            </w:pPr>
          </w:p>
        </w:tc>
        <w:tc>
          <w:tcPr>
            <w:tcW w:w="757" w:type="dxa"/>
            <w:vMerge w:val="restart"/>
            <w:shd w:val="clear" w:color="auto" w:fill="D9D9D9" w:themeFill="background1" w:themeFillShade="D9"/>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PARCC</w:t>
            </w:r>
          </w:p>
        </w:tc>
        <w:tc>
          <w:tcPr>
            <w:tcW w:w="870" w:type="dxa"/>
            <w:shd w:val="clear" w:color="auto" w:fill="D9D9D9" w:themeFill="background1" w:themeFillShade="D9"/>
          </w:tcPr>
          <w:p w:rsidR="00A9507F" w:rsidRPr="00A82F8F" w:rsidRDefault="00A9507F" w:rsidP="009266F5">
            <w:pPr>
              <w:spacing w:after="0" w:line="240" w:lineRule="auto"/>
              <w:rPr>
                <w:rFonts w:ascii="Calibri" w:hAnsi="Calibri"/>
                <w:sz w:val="20"/>
                <w:szCs w:val="20"/>
              </w:rPr>
            </w:pPr>
            <w:r w:rsidRPr="00A82F8F">
              <w:rPr>
                <w:rFonts w:ascii="Calibri" w:hAnsi="Calibri"/>
                <w:sz w:val="20"/>
                <w:szCs w:val="20"/>
              </w:rPr>
              <w:t>CPI</w:t>
            </w:r>
          </w:p>
        </w:tc>
        <w:tc>
          <w:tcPr>
            <w:tcW w:w="1049" w:type="dxa"/>
            <w:shd w:val="clear" w:color="auto" w:fill="D9D9D9" w:themeFill="background1" w:themeFillShade="D9"/>
            <w:vAlign w:val="bottom"/>
          </w:tcPr>
          <w:p w:rsidR="00A9507F" w:rsidRPr="00163D95" w:rsidRDefault="00A9507F" w:rsidP="009266F5">
            <w:pPr>
              <w:spacing w:after="0" w:line="240" w:lineRule="auto"/>
              <w:jc w:val="center"/>
              <w:rPr>
                <w:rFonts w:ascii="Calibri" w:hAnsi="Calibri"/>
                <w:sz w:val="20"/>
                <w:szCs w:val="20"/>
              </w:rPr>
            </w:pPr>
            <w:r w:rsidRPr="00163D95">
              <w:rPr>
                <w:rFonts w:ascii="Calibri" w:hAnsi="Calibri"/>
                <w:sz w:val="20"/>
                <w:szCs w:val="20"/>
              </w:rPr>
              <w:t>1,076</w:t>
            </w:r>
          </w:p>
        </w:tc>
        <w:tc>
          <w:tcPr>
            <w:tcW w:w="918" w:type="dxa"/>
            <w:shd w:val="clear" w:color="auto" w:fill="D9D9D9" w:themeFill="background1" w:themeFillShade="D9"/>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71.7</w:t>
            </w:r>
          </w:p>
        </w:tc>
        <w:tc>
          <w:tcPr>
            <w:tcW w:w="919" w:type="dxa"/>
            <w:shd w:val="clear" w:color="auto" w:fill="D9D9D9" w:themeFill="background1" w:themeFillShade="D9"/>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70.2</w:t>
            </w:r>
          </w:p>
        </w:tc>
        <w:tc>
          <w:tcPr>
            <w:tcW w:w="919" w:type="dxa"/>
            <w:shd w:val="clear" w:color="auto" w:fill="D9D9D9" w:themeFill="background1" w:themeFillShade="D9"/>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69.8</w:t>
            </w:r>
          </w:p>
        </w:tc>
        <w:tc>
          <w:tcPr>
            <w:tcW w:w="919" w:type="dxa"/>
            <w:shd w:val="clear" w:color="auto" w:fill="D9D9D9" w:themeFill="background1" w:themeFillShade="D9"/>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73.3</w:t>
            </w:r>
          </w:p>
        </w:tc>
        <w:tc>
          <w:tcPr>
            <w:tcW w:w="1126" w:type="dxa"/>
            <w:shd w:val="clear" w:color="auto" w:fill="D9D9D9" w:themeFill="background1" w:themeFillShade="D9"/>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1.6</w:t>
            </w:r>
          </w:p>
        </w:tc>
        <w:tc>
          <w:tcPr>
            <w:tcW w:w="990" w:type="dxa"/>
            <w:shd w:val="clear" w:color="auto" w:fill="D9D9D9" w:themeFill="background1" w:themeFillShade="D9"/>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3.5</w:t>
            </w:r>
          </w:p>
        </w:tc>
      </w:tr>
      <w:tr w:rsidR="00A9507F" w:rsidRPr="009066CB" w:rsidTr="009266F5">
        <w:tc>
          <w:tcPr>
            <w:tcW w:w="461" w:type="dxa"/>
            <w:vMerge/>
            <w:vAlign w:val="center"/>
          </w:tcPr>
          <w:p w:rsidR="00A9507F" w:rsidRPr="00164FBF" w:rsidRDefault="00A9507F" w:rsidP="009266F5">
            <w:pPr>
              <w:spacing w:after="0" w:line="240" w:lineRule="auto"/>
              <w:jc w:val="center"/>
              <w:rPr>
                <w:rFonts w:ascii="Calibri" w:hAnsi="Calibri"/>
                <w:sz w:val="20"/>
                <w:szCs w:val="20"/>
              </w:rPr>
            </w:pPr>
          </w:p>
        </w:tc>
        <w:tc>
          <w:tcPr>
            <w:tcW w:w="757" w:type="dxa"/>
            <w:vMerge/>
            <w:shd w:val="clear" w:color="auto" w:fill="D9D9D9" w:themeFill="background1" w:themeFillShade="D9"/>
            <w:vAlign w:val="center"/>
          </w:tcPr>
          <w:p w:rsidR="00A9507F" w:rsidRPr="00A82F8F" w:rsidRDefault="00A9507F" w:rsidP="009266F5">
            <w:pPr>
              <w:spacing w:after="0" w:line="240" w:lineRule="auto"/>
              <w:jc w:val="center"/>
              <w:rPr>
                <w:rFonts w:ascii="Calibri" w:hAnsi="Calibri"/>
                <w:sz w:val="20"/>
                <w:szCs w:val="20"/>
              </w:rPr>
            </w:pPr>
          </w:p>
        </w:tc>
        <w:tc>
          <w:tcPr>
            <w:tcW w:w="870" w:type="dxa"/>
            <w:shd w:val="clear" w:color="auto" w:fill="D9D9D9" w:themeFill="background1" w:themeFillShade="D9"/>
          </w:tcPr>
          <w:p w:rsidR="00A9507F" w:rsidRPr="00A82F8F" w:rsidRDefault="00A9507F" w:rsidP="009266F5">
            <w:pPr>
              <w:spacing w:after="0" w:line="240" w:lineRule="auto"/>
              <w:rPr>
                <w:rFonts w:ascii="Calibri" w:hAnsi="Calibri"/>
                <w:sz w:val="20"/>
                <w:szCs w:val="20"/>
              </w:rPr>
            </w:pPr>
            <w:r w:rsidRPr="00A82F8F">
              <w:rPr>
                <w:rFonts w:ascii="Calibri" w:hAnsi="Calibri"/>
                <w:sz w:val="20"/>
                <w:szCs w:val="20"/>
              </w:rPr>
              <w:t>Lv 4&amp;5</w:t>
            </w:r>
          </w:p>
        </w:tc>
        <w:tc>
          <w:tcPr>
            <w:tcW w:w="1049" w:type="dxa"/>
            <w:shd w:val="clear" w:color="auto" w:fill="D9D9D9" w:themeFill="background1" w:themeFillShade="D9"/>
            <w:vAlign w:val="bottom"/>
          </w:tcPr>
          <w:p w:rsidR="00A9507F" w:rsidRPr="00163D95" w:rsidRDefault="00A9507F" w:rsidP="009266F5">
            <w:pPr>
              <w:spacing w:after="0" w:line="240" w:lineRule="auto"/>
              <w:jc w:val="center"/>
              <w:rPr>
                <w:rFonts w:ascii="Calibri" w:hAnsi="Calibri"/>
                <w:sz w:val="20"/>
                <w:szCs w:val="20"/>
              </w:rPr>
            </w:pPr>
            <w:r w:rsidRPr="00163D95">
              <w:rPr>
                <w:rFonts w:ascii="Calibri" w:hAnsi="Calibri"/>
                <w:sz w:val="20"/>
                <w:szCs w:val="20"/>
              </w:rPr>
              <w:t>1,055</w:t>
            </w:r>
          </w:p>
        </w:tc>
        <w:tc>
          <w:tcPr>
            <w:tcW w:w="918" w:type="dxa"/>
            <w:shd w:val="clear" w:color="auto" w:fill="D9D9D9" w:themeFill="background1" w:themeFillShade="D9"/>
            <w:vAlign w:val="bottom"/>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w:t>
            </w:r>
          </w:p>
        </w:tc>
        <w:tc>
          <w:tcPr>
            <w:tcW w:w="919" w:type="dxa"/>
            <w:shd w:val="clear" w:color="auto" w:fill="D9D9D9" w:themeFill="background1" w:themeFillShade="D9"/>
            <w:vAlign w:val="bottom"/>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w:t>
            </w:r>
          </w:p>
        </w:tc>
        <w:tc>
          <w:tcPr>
            <w:tcW w:w="919" w:type="dxa"/>
            <w:shd w:val="clear" w:color="auto" w:fill="D9D9D9" w:themeFill="background1" w:themeFillShade="D9"/>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31%</w:t>
            </w:r>
          </w:p>
        </w:tc>
        <w:tc>
          <w:tcPr>
            <w:tcW w:w="919" w:type="dxa"/>
            <w:shd w:val="clear" w:color="auto" w:fill="D9D9D9" w:themeFill="background1" w:themeFillShade="D9"/>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36%</w:t>
            </w:r>
          </w:p>
        </w:tc>
        <w:tc>
          <w:tcPr>
            <w:tcW w:w="1126" w:type="dxa"/>
            <w:shd w:val="clear" w:color="auto" w:fill="D9D9D9" w:themeFill="background1" w:themeFillShade="D9"/>
          </w:tcPr>
          <w:p w:rsidR="00A9507F" w:rsidRPr="00AA580B" w:rsidRDefault="00A9507F" w:rsidP="009266F5">
            <w:pPr>
              <w:spacing w:after="0" w:line="240" w:lineRule="auto"/>
              <w:jc w:val="center"/>
              <w:rPr>
                <w:rFonts w:ascii="Calibri" w:hAnsi="Calibri"/>
                <w:sz w:val="20"/>
                <w:szCs w:val="20"/>
              </w:rPr>
            </w:pPr>
            <w:r>
              <w:rPr>
                <w:rFonts w:ascii="Calibri" w:hAnsi="Calibri"/>
                <w:sz w:val="20"/>
                <w:szCs w:val="20"/>
              </w:rPr>
              <w:t>--</w:t>
            </w:r>
          </w:p>
        </w:tc>
        <w:tc>
          <w:tcPr>
            <w:tcW w:w="990" w:type="dxa"/>
            <w:shd w:val="clear" w:color="auto" w:fill="D9D9D9" w:themeFill="background1" w:themeFillShade="D9"/>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5%</w:t>
            </w:r>
          </w:p>
        </w:tc>
      </w:tr>
      <w:tr w:rsidR="00A9507F" w:rsidRPr="009066CB" w:rsidTr="009266F5">
        <w:tc>
          <w:tcPr>
            <w:tcW w:w="461" w:type="dxa"/>
            <w:vMerge w:val="restart"/>
            <w:vAlign w:val="center"/>
          </w:tcPr>
          <w:p w:rsidR="00A9507F" w:rsidRPr="00164FBF" w:rsidRDefault="00A9507F" w:rsidP="009266F5">
            <w:pPr>
              <w:spacing w:after="0" w:line="240" w:lineRule="auto"/>
              <w:jc w:val="center"/>
              <w:rPr>
                <w:rFonts w:ascii="Calibri" w:hAnsi="Calibri"/>
                <w:sz w:val="20"/>
                <w:szCs w:val="20"/>
              </w:rPr>
            </w:pPr>
            <w:r w:rsidRPr="00164FBF">
              <w:rPr>
                <w:rFonts w:ascii="Calibri" w:hAnsi="Calibri"/>
                <w:sz w:val="20"/>
                <w:szCs w:val="20"/>
              </w:rPr>
              <w:t>4</w:t>
            </w:r>
          </w:p>
        </w:tc>
        <w:tc>
          <w:tcPr>
            <w:tcW w:w="757" w:type="dxa"/>
            <w:vMerge w:val="restart"/>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MCAS</w:t>
            </w:r>
          </w:p>
        </w:tc>
        <w:tc>
          <w:tcPr>
            <w:tcW w:w="870" w:type="dxa"/>
          </w:tcPr>
          <w:p w:rsidR="00A9507F" w:rsidRPr="00A82F8F" w:rsidRDefault="00A9507F" w:rsidP="009266F5">
            <w:pPr>
              <w:spacing w:after="0" w:line="240" w:lineRule="auto"/>
              <w:rPr>
                <w:rFonts w:ascii="Calibri" w:hAnsi="Calibri"/>
                <w:sz w:val="20"/>
                <w:szCs w:val="20"/>
              </w:rPr>
            </w:pPr>
            <w:r w:rsidRPr="00A82F8F">
              <w:rPr>
                <w:rFonts w:ascii="Calibri" w:hAnsi="Calibri"/>
                <w:sz w:val="20"/>
                <w:szCs w:val="20"/>
              </w:rPr>
              <w:t>CPI</w:t>
            </w:r>
          </w:p>
        </w:tc>
        <w:tc>
          <w:tcPr>
            <w:tcW w:w="1049" w:type="dxa"/>
            <w:vAlign w:val="center"/>
          </w:tcPr>
          <w:p w:rsidR="00A9507F" w:rsidRPr="00163D95" w:rsidRDefault="00A9507F" w:rsidP="009266F5">
            <w:pPr>
              <w:spacing w:after="0" w:line="240" w:lineRule="auto"/>
              <w:jc w:val="center"/>
              <w:rPr>
                <w:rFonts w:ascii="Calibri" w:hAnsi="Calibri"/>
                <w:sz w:val="20"/>
                <w:szCs w:val="20"/>
              </w:rPr>
            </w:pPr>
            <w:r w:rsidRPr="00163D95">
              <w:rPr>
                <w:rFonts w:ascii="Calibri" w:hAnsi="Calibri"/>
                <w:sz w:val="20"/>
                <w:szCs w:val="20"/>
              </w:rPr>
              <w:t>753</w:t>
            </w:r>
          </w:p>
        </w:tc>
        <w:tc>
          <w:tcPr>
            <w:tcW w:w="918" w:type="dxa"/>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67.2</w:t>
            </w:r>
          </w:p>
        </w:tc>
        <w:tc>
          <w:tcPr>
            <w:tcW w:w="919" w:type="dxa"/>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67.3</w:t>
            </w:r>
          </w:p>
        </w:tc>
        <w:tc>
          <w:tcPr>
            <w:tcW w:w="919" w:type="dxa"/>
            <w:vAlign w:val="center"/>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73.8</w:t>
            </w:r>
          </w:p>
        </w:tc>
        <w:tc>
          <w:tcPr>
            <w:tcW w:w="919" w:type="dxa"/>
            <w:vAlign w:val="center"/>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73.6</w:t>
            </w:r>
          </w:p>
        </w:tc>
        <w:tc>
          <w:tcPr>
            <w:tcW w:w="1126" w:type="dxa"/>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6.4</w:t>
            </w:r>
          </w:p>
        </w:tc>
        <w:tc>
          <w:tcPr>
            <w:tcW w:w="990" w:type="dxa"/>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-0.2</w:t>
            </w:r>
          </w:p>
        </w:tc>
      </w:tr>
      <w:tr w:rsidR="00A9507F" w:rsidRPr="009066CB" w:rsidTr="009266F5">
        <w:tc>
          <w:tcPr>
            <w:tcW w:w="461" w:type="dxa"/>
            <w:vMerge/>
            <w:vAlign w:val="center"/>
          </w:tcPr>
          <w:p w:rsidR="00A9507F" w:rsidRPr="00164FBF" w:rsidRDefault="00A9507F" w:rsidP="009266F5">
            <w:pPr>
              <w:spacing w:after="0" w:line="240" w:lineRule="auto"/>
              <w:jc w:val="center"/>
              <w:rPr>
                <w:rFonts w:ascii="Calibri" w:hAnsi="Calibri"/>
                <w:sz w:val="20"/>
                <w:szCs w:val="20"/>
              </w:rPr>
            </w:pPr>
          </w:p>
        </w:tc>
        <w:tc>
          <w:tcPr>
            <w:tcW w:w="757" w:type="dxa"/>
            <w:vMerge/>
            <w:vAlign w:val="center"/>
          </w:tcPr>
          <w:p w:rsidR="00A9507F" w:rsidRPr="00A82F8F" w:rsidRDefault="00A9507F" w:rsidP="009266F5">
            <w:pPr>
              <w:spacing w:after="0" w:line="240" w:lineRule="auto"/>
              <w:jc w:val="center"/>
              <w:rPr>
                <w:rFonts w:ascii="Calibri" w:hAnsi="Calibri"/>
                <w:sz w:val="20"/>
                <w:szCs w:val="20"/>
              </w:rPr>
            </w:pPr>
          </w:p>
        </w:tc>
        <w:tc>
          <w:tcPr>
            <w:tcW w:w="870" w:type="dxa"/>
          </w:tcPr>
          <w:p w:rsidR="00A9507F" w:rsidRPr="00A82F8F" w:rsidRDefault="00A9507F" w:rsidP="009266F5">
            <w:pPr>
              <w:spacing w:after="0" w:line="240" w:lineRule="auto"/>
              <w:rPr>
                <w:rFonts w:ascii="Calibri" w:hAnsi="Calibri"/>
                <w:sz w:val="20"/>
                <w:szCs w:val="20"/>
              </w:rPr>
            </w:pPr>
            <w:r w:rsidRPr="00A82F8F">
              <w:rPr>
                <w:rFonts w:ascii="Calibri" w:hAnsi="Calibri"/>
                <w:sz w:val="20"/>
                <w:szCs w:val="20"/>
              </w:rPr>
              <w:t>P+</w:t>
            </w:r>
          </w:p>
        </w:tc>
        <w:tc>
          <w:tcPr>
            <w:tcW w:w="1049" w:type="dxa"/>
            <w:vAlign w:val="center"/>
          </w:tcPr>
          <w:p w:rsidR="00A9507F" w:rsidRPr="00163D95" w:rsidRDefault="00A9507F" w:rsidP="009266F5">
            <w:pPr>
              <w:spacing w:after="0" w:line="240" w:lineRule="auto"/>
              <w:jc w:val="center"/>
              <w:rPr>
                <w:rFonts w:ascii="Calibri" w:hAnsi="Calibri"/>
                <w:sz w:val="20"/>
                <w:szCs w:val="20"/>
              </w:rPr>
            </w:pPr>
            <w:r w:rsidRPr="00163D95">
              <w:rPr>
                <w:rFonts w:ascii="Calibri" w:hAnsi="Calibri"/>
                <w:sz w:val="20"/>
                <w:szCs w:val="20"/>
              </w:rPr>
              <w:t>753</w:t>
            </w:r>
          </w:p>
        </w:tc>
        <w:tc>
          <w:tcPr>
            <w:tcW w:w="918" w:type="dxa"/>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35%</w:t>
            </w:r>
          </w:p>
        </w:tc>
        <w:tc>
          <w:tcPr>
            <w:tcW w:w="919" w:type="dxa"/>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35%</w:t>
            </w:r>
          </w:p>
        </w:tc>
        <w:tc>
          <w:tcPr>
            <w:tcW w:w="919" w:type="dxa"/>
            <w:vAlign w:val="center"/>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45%</w:t>
            </w:r>
          </w:p>
        </w:tc>
        <w:tc>
          <w:tcPr>
            <w:tcW w:w="919" w:type="dxa"/>
            <w:vAlign w:val="center"/>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48%</w:t>
            </w:r>
          </w:p>
        </w:tc>
        <w:tc>
          <w:tcPr>
            <w:tcW w:w="1126" w:type="dxa"/>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13%</w:t>
            </w:r>
          </w:p>
        </w:tc>
        <w:tc>
          <w:tcPr>
            <w:tcW w:w="990" w:type="dxa"/>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3%</w:t>
            </w:r>
          </w:p>
        </w:tc>
      </w:tr>
      <w:tr w:rsidR="00A9507F" w:rsidRPr="009066CB" w:rsidTr="009266F5">
        <w:tc>
          <w:tcPr>
            <w:tcW w:w="461" w:type="dxa"/>
            <w:vMerge/>
            <w:vAlign w:val="center"/>
          </w:tcPr>
          <w:p w:rsidR="00A9507F" w:rsidRPr="00164FBF" w:rsidRDefault="00A9507F" w:rsidP="009266F5">
            <w:pPr>
              <w:spacing w:after="0" w:line="240" w:lineRule="auto"/>
              <w:jc w:val="center"/>
              <w:rPr>
                <w:rFonts w:ascii="Calibri" w:hAnsi="Calibri"/>
                <w:sz w:val="20"/>
                <w:szCs w:val="20"/>
              </w:rPr>
            </w:pPr>
          </w:p>
        </w:tc>
        <w:tc>
          <w:tcPr>
            <w:tcW w:w="757" w:type="dxa"/>
            <w:vMerge/>
            <w:vAlign w:val="center"/>
          </w:tcPr>
          <w:p w:rsidR="00A9507F" w:rsidRPr="00A82F8F" w:rsidRDefault="00A9507F" w:rsidP="009266F5">
            <w:pPr>
              <w:spacing w:after="0" w:line="240" w:lineRule="auto"/>
              <w:jc w:val="center"/>
              <w:rPr>
                <w:rFonts w:ascii="Calibri" w:hAnsi="Calibri"/>
                <w:sz w:val="20"/>
                <w:szCs w:val="20"/>
              </w:rPr>
            </w:pPr>
          </w:p>
        </w:tc>
        <w:tc>
          <w:tcPr>
            <w:tcW w:w="870" w:type="dxa"/>
          </w:tcPr>
          <w:p w:rsidR="00A9507F" w:rsidRPr="00A82F8F" w:rsidRDefault="00A9507F" w:rsidP="009266F5">
            <w:pPr>
              <w:spacing w:after="0" w:line="240" w:lineRule="auto"/>
              <w:rPr>
                <w:rFonts w:ascii="Calibri" w:hAnsi="Calibri"/>
                <w:sz w:val="20"/>
                <w:szCs w:val="20"/>
              </w:rPr>
            </w:pPr>
            <w:r w:rsidRPr="00A82F8F">
              <w:rPr>
                <w:rFonts w:ascii="Calibri" w:hAnsi="Calibri"/>
                <w:sz w:val="20"/>
                <w:szCs w:val="20"/>
              </w:rPr>
              <w:t>SGP</w:t>
            </w:r>
          </w:p>
        </w:tc>
        <w:tc>
          <w:tcPr>
            <w:tcW w:w="1049" w:type="dxa"/>
            <w:vAlign w:val="center"/>
          </w:tcPr>
          <w:p w:rsidR="00A9507F" w:rsidRPr="00163D95" w:rsidRDefault="00A9507F" w:rsidP="009266F5">
            <w:pPr>
              <w:spacing w:after="0" w:line="240" w:lineRule="auto"/>
              <w:jc w:val="center"/>
              <w:rPr>
                <w:rFonts w:ascii="Calibri" w:hAnsi="Calibri"/>
                <w:sz w:val="20"/>
                <w:szCs w:val="20"/>
              </w:rPr>
            </w:pPr>
            <w:r w:rsidRPr="00163D95">
              <w:rPr>
                <w:rFonts w:ascii="Calibri" w:hAnsi="Calibri"/>
                <w:sz w:val="20"/>
                <w:szCs w:val="20"/>
              </w:rPr>
              <w:t>681</w:t>
            </w:r>
          </w:p>
        </w:tc>
        <w:tc>
          <w:tcPr>
            <w:tcW w:w="918" w:type="dxa"/>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48.0</w:t>
            </w:r>
          </w:p>
        </w:tc>
        <w:tc>
          <w:tcPr>
            <w:tcW w:w="919" w:type="dxa"/>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49.0</w:t>
            </w:r>
          </w:p>
        </w:tc>
        <w:tc>
          <w:tcPr>
            <w:tcW w:w="919" w:type="dxa"/>
            <w:vAlign w:val="center"/>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53.0</w:t>
            </w:r>
          </w:p>
        </w:tc>
        <w:tc>
          <w:tcPr>
            <w:tcW w:w="919" w:type="dxa"/>
            <w:vAlign w:val="center"/>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59.0</w:t>
            </w:r>
          </w:p>
        </w:tc>
        <w:tc>
          <w:tcPr>
            <w:tcW w:w="1126" w:type="dxa"/>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11.0</w:t>
            </w:r>
          </w:p>
        </w:tc>
        <w:tc>
          <w:tcPr>
            <w:tcW w:w="990" w:type="dxa"/>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6.0</w:t>
            </w:r>
          </w:p>
        </w:tc>
      </w:tr>
      <w:tr w:rsidR="00A9507F" w:rsidRPr="009066CB" w:rsidTr="009266F5">
        <w:tc>
          <w:tcPr>
            <w:tcW w:w="461" w:type="dxa"/>
            <w:vMerge/>
            <w:vAlign w:val="center"/>
          </w:tcPr>
          <w:p w:rsidR="00A9507F" w:rsidRPr="00164FBF" w:rsidRDefault="00A9507F" w:rsidP="009266F5">
            <w:pPr>
              <w:spacing w:after="0" w:line="240" w:lineRule="auto"/>
              <w:jc w:val="center"/>
              <w:rPr>
                <w:rFonts w:ascii="Calibri" w:hAnsi="Calibri"/>
                <w:sz w:val="20"/>
                <w:szCs w:val="20"/>
              </w:rPr>
            </w:pPr>
          </w:p>
        </w:tc>
        <w:tc>
          <w:tcPr>
            <w:tcW w:w="757" w:type="dxa"/>
            <w:vMerge w:val="restart"/>
            <w:shd w:val="clear" w:color="auto" w:fill="D9D9D9" w:themeFill="background1" w:themeFillShade="D9"/>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PARCC</w:t>
            </w:r>
          </w:p>
        </w:tc>
        <w:tc>
          <w:tcPr>
            <w:tcW w:w="870" w:type="dxa"/>
            <w:shd w:val="clear" w:color="auto" w:fill="D9D9D9" w:themeFill="background1" w:themeFillShade="D9"/>
          </w:tcPr>
          <w:p w:rsidR="00A9507F" w:rsidRPr="00A82F8F" w:rsidRDefault="00A9507F" w:rsidP="009266F5">
            <w:pPr>
              <w:spacing w:after="0" w:line="240" w:lineRule="auto"/>
              <w:rPr>
                <w:rFonts w:ascii="Calibri" w:hAnsi="Calibri"/>
                <w:sz w:val="20"/>
                <w:szCs w:val="20"/>
              </w:rPr>
            </w:pPr>
            <w:r w:rsidRPr="00A82F8F">
              <w:rPr>
                <w:rFonts w:ascii="Calibri" w:hAnsi="Calibri"/>
                <w:sz w:val="20"/>
                <w:szCs w:val="20"/>
              </w:rPr>
              <w:t>CPI</w:t>
            </w:r>
          </w:p>
        </w:tc>
        <w:tc>
          <w:tcPr>
            <w:tcW w:w="1049" w:type="dxa"/>
            <w:shd w:val="clear" w:color="auto" w:fill="D9D9D9" w:themeFill="background1" w:themeFillShade="D9"/>
            <w:vAlign w:val="bottom"/>
          </w:tcPr>
          <w:p w:rsidR="00A9507F" w:rsidRPr="00163D95" w:rsidRDefault="00A9507F" w:rsidP="009266F5">
            <w:pPr>
              <w:spacing w:after="0" w:line="240" w:lineRule="auto"/>
              <w:jc w:val="center"/>
              <w:rPr>
                <w:rFonts w:ascii="Calibri" w:hAnsi="Calibri"/>
                <w:sz w:val="20"/>
                <w:szCs w:val="20"/>
              </w:rPr>
            </w:pPr>
            <w:r w:rsidRPr="00163D95">
              <w:rPr>
                <w:rFonts w:ascii="Calibri" w:hAnsi="Calibri"/>
                <w:sz w:val="20"/>
                <w:szCs w:val="20"/>
              </w:rPr>
              <w:t>1,122</w:t>
            </w:r>
          </w:p>
        </w:tc>
        <w:tc>
          <w:tcPr>
            <w:tcW w:w="918" w:type="dxa"/>
            <w:shd w:val="clear" w:color="auto" w:fill="D9D9D9" w:themeFill="background1" w:themeFillShade="D9"/>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67.2</w:t>
            </w:r>
          </w:p>
        </w:tc>
        <w:tc>
          <w:tcPr>
            <w:tcW w:w="919" w:type="dxa"/>
            <w:shd w:val="clear" w:color="auto" w:fill="D9D9D9" w:themeFill="background1" w:themeFillShade="D9"/>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67.3</w:t>
            </w:r>
          </w:p>
        </w:tc>
        <w:tc>
          <w:tcPr>
            <w:tcW w:w="919" w:type="dxa"/>
            <w:shd w:val="clear" w:color="auto" w:fill="D9D9D9" w:themeFill="background1" w:themeFillShade="D9"/>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63.4</w:t>
            </w:r>
          </w:p>
        </w:tc>
        <w:tc>
          <w:tcPr>
            <w:tcW w:w="919" w:type="dxa"/>
            <w:shd w:val="clear" w:color="auto" w:fill="D9D9D9" w:themeFill="background1" w:themeFillShade="D9"/>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61.1</w:t>
            </w:r>
          </w:p>
        </w:tc>
        <w:tc>
          <w:tcPr>
            <w:tcW w:w="1126" w:type="dxa"/>
            <w:shd w:val="clear" w:color="auto" w:fill="D9D9D9" w:themeFill="background1" w:themeFillShade="D9"/>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-6.1</w:t>
            </w:r>
          </w:p>
        </w:tc>
        <w:tc>
          <w:tcPr>
            <w:tcW w:w="990" w:type="dxa"/>
            <w:shd w:val="clear" w:color="auto" w:fill="D9D9D9" w:themeFill="background1" w:themeFillShade="D9"/>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-2.3</w:t>
            </w:r>
          </w:p>
        </w:tc>
      </w:tr>
      <w:tr w:rsidR="00A9507F" w:rsidRPr="009066CB" w:rsidTr="009266F5">
        <w:tc>
          <w:tcPr>
            <w:tcW w:w="461" w:type="dxa"/>
            <w:vMerge/>
            <w:vAlign w:val="center"/>
          </w:tcPr>
          <w:p w:rsidR="00A9507F" w:rsidRPr="00164FBF" w:rsidRDefault="00A9507F" w:rsidP="009266F5">
            <w:pPr>
              <w:spacing w:after="0" w:line="240" w:lineRule="auto"/>
              <w:jc w:val="center"/>
              <w:rPr>
                <w:rFonts w:ascii="Calibri" w:hAnsi="Calibri"/>
                <w:sz w:val="20"/>
                <w:szCs w:val="20"/>
              </w:rPr>
            </w:pPr>
          </w:p>
        </w:tc>
        <w:tc>
          <w:tcPr>
            <w:tcW w:w="757" w:type="dxa"/>
            <w:vMerge/>
            <w:shd w:val="clear" w:color="auto" w:fill="D9D9D9" w:themeFill="background1" w:themeFillShade="D9"/>
            <w:vAlign w:val="center"/>
          </w:tcPr>
          <w:p w:rsidR="00A9507F" w:rsidRPr="00A82F8F" w:rsidRDefault="00A9507F" w:rsidP="009266F5">
            <w:pPr>
              <w:spacing w:after="0" w:line="240" w:lineRule="auto"/>
              <w:jc w:val="center"/>
              <w:rPr>
                <w:rFonts w:ascii="Calibri" w:hAnsi="Calibri"/>
                <w:sz w:val="20"/>
                <w:szCs w:val="20"/>
              </w:rPr>
            </w:pPr>
          </w:p>
        </w:tc>
        <w:tc>
          <w:tcPr>
            <w:tcW w:w="870" w:type="dxa"/>
            <w:shd w:val="clear" w:color="auto" w:fill="D9D9D9" w:themeFill="background1" w:themeFillShade="D9"/>
          </w:tcPr>
          <w:p w:rsidR="00A9507F" w:rsidRPr="00A82F8F" w:rsidRDefault="00A9507F" w:rsidP="009266F5">
            <w:pPr>
              <w:spacing w:after="0" w:line="240" w:lineRule="auto"/>
              <w:rPr>
                <w:rFonts w:ascii="Calibri" w:hAnsi="Calibri"/>
                <w:sz w:val="20"/>
                <w:szCs w:val="20"/>
              </w:rPr>
            </w:pPr>
            <w:r w:rsidRPr="00A82F8F">
              <w:rPr>
                <w:rFonts w:ascii="Calibri" w:hAnsi="Calibri"/>
                <w:sz w:val="20"/>
                <w:szCs w:val="20"/>
              </w:rPr>
              <w:t>Lv 4&amp;5</w:t>
            </w:r>
          </w:p>
        </w:tc>
        <w:tc>
          <w:tcPr>
            <w:tcW w:w="1049" w:type="dxa"/>
            <w:shd w:val="clear" w:color="auto" w:fill="D9D9D9" w:themeFill="background1" w:themeFillShade="D9"/>
            <w:vAlign w:val="bottom"/>
          </w:tcPr>
          <w:p w:rsidR="00A9507F" w:rsidRPr="00163D95" w:rsidRDefault="00A9507F" w:rsidP="009266F5">
            <w:pPr>
              <w:spacing w:after="0" w:line="240" w:lineRule="auto"/>
              <w:jc w:val="center"/>
              <w:rPr>
                <w:rFonts w:ascii="Calibri" w:hAnsi="Calibri"/>
                <w:sz w:val="20"/>
                <w:szCs w:val="20"/>
              </w:rPr>
            </w:pPr>
            <w:r w:rsidRPr="00163D95">
              <w:rPr>
                <w:rFonts w:ascii="Calibri" w:hAnsi="Calibri"/>
                <w:sz w:val="20"/>
                <w:szCs w:val="20"/>
              </w:rPr>
              <w:t>1,094</w:t>
            </w:r>
          </w:p>
        </w:tc>
        <w:tc>
          <w:tcPr>
            <w:tcW w:w="918" w:type="dxa"/>
            <w:shd w:val="clear" w:color="auto" w:fill="D9D9D9" w:themeFill="background1" w:themeFillShade="D9"/>
            <w:vAlign w:val="bottom"/>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w:t>
            </w:r>
          </w:p>
        </w:tc>
        <w:tc>
          <w:tcPr>
            <w:tcW w:w="919" w:type="dxa"/>
            <w:shd w:val="clear" w:color="auto" w:fill="D9D9D9" w:themeFill="background1" w:themeFillShade="D9"/>
            <w:vAlign w:val="bottom"/>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w:t>
            </w:r>
          </w:p>
        </w:tc>
        <w:tc>
          <w:tcPr>
            <w:tcW w:w="919" w:type="dxa"/>
            <w:shd w:val="clear" w:color="auto" w:fill="D9D9D9" w:themeFill="background1" w:themeFillShade="D9"/>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34%</w:t>
            </w:r>
          </w:p>
        </w:tc>
        <w:tc>
          <w:tcPr>
            <w:tcW w:w="919" w:type="dxa"/>
            <w:shd w:val="clear" w:color="auto" w:fill="D9D9D9" w:themeFill="background1" w:themeFillShade="D9"/>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33%</w:t>
            </w:r>
          </w:p>
        </w:tc>
        <w:tc>
          <w:tcPr>
            <w:tcW w:w="1126" w:type="dxa"/>
            <w:shd w:val="clear" w:color="auto" w:fill="D9D9D9" w:themeFill="background1" w:themeFillShade="D9"/>
          </w:tcPr>
          <w:p w:rsidR="00A9507F" w:rsidRPr="00AA580B" w:rsidRDefault="00A9507F" w:rsidP="009266F5">
            <w:pPr>
              <w:spacing w:after="0" w:line="240" w:lineRule="auto"/>
              <w:jc w:val="center"/>
              <w:rPr>
                <w:rFonts w:ascii="Calibri" w:hAnsi="Calibri"/>
                <w:sz w:val="20"/>
                <w:szCs w:val="20"/>
              </w:rPr>
            </w:pPr>
            <w:r>
              <w:rPr>
                <w:rFonts w:ascii="Calibri" w:hAnsi="Calibri"/>
                <w:sz w:val="20"/>
                <w:szCs w:val="20"/>
              </w:rPr>
              <w:t>--</w:t>
            </w:r>
          </w:p>
        </w:tc>
        <w:tc>
          <w:tcPr>
            <w:tcW w:w="990" w:type="dxa"/>
            <w:shd w:val="clear" w:color="auto" w:fill="D9D9D9" w:themeFill="background1" w:themeFillShade="D9"/>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-1%</w:t>
            </w:r>
          </w:p>
        </w:tc>
      </w:tr>
      <w:tr w:rsidR="00A9507F" w:rsidRPr="009066CB" w:rsidTr="009266F5">
        <w:tc>
          <w:tcPr>
            <w:tcW w:w="461" w:type="dxa"/>
            <w:vMerge/>
            <w:vAlign w:val="center"/>
          </w:tcPr>
          <w:p w:rsidR="00A9507F" w:rsidRPr="00164FBF" w:rsidRDefault="00A9507F" w:rsidP="009266F5">
            <w:pPr>
              <w:spacing w:after="0" w:line="240" w:lineRule="auto"/>
              <w:jc w:val="center"/>
              <w:rPr>
                <w:rFonts w:ascii="Calibri" w:hAnsi="Calibri"/>
                <w:sz w:val="20"/>
                <w:szCs w:val="20"/>
              </w:rPr>
            </w:pPr>
          </w:p>
        </w:tc>
        <w:tc>
          <w:tcPr>
            <w:tcW w:w="757" w:type="dxa"/>
            <w:vMerge/>
            <w:shd w:val="clear" w:color="auto" w:fill="D9D9D9" w:themeFill="background1" w:themeFillShade="D9"/>
            <w:vAlign w:val="center"/>
          </w:tcPr>
          <w:p w:rsidR="00A9507F" w:rsidRPr="00A82F8F" w:rsidRDefault="00A9507F" w:rsidP="009266F5">
            <w:pPr>
              <w:spacing w:after="0" w:line="240" w:lineRule="auto"/>
              <w:jc w:val="center"/>
              <w:rPr>
                <w:rFonts w:ascii="Calibri" w:hAnsi="Calibri"/>
                <w:sz w:val="20"/>
                <w:szCs w:val="20"/>
              </w:rPr>
            </w:pPr>
          </w:p>
        </w:tc>
        <w:tc>
          <w:tcPr>
            <w:tcW w:w="870" w:type="dxa"/>
            <w:shd w:val="clear" w:color="auto" w:fill="D9D9D9" w:themeFill="background1" w:themeFillShade="D9"/>
          </w:tcPr>
          <w:p w:rsidR="00A9507F" w:rsidRPr="00A82F8F" w:rsidRDefault="00A9507F" w:rsidP="009266F5">
            <w:pPr>
              <w:spacing w:after="0" w:line="240" w:lineRule="auto"/>
              <w:rPr>
                <w:rFonts w:ascii="Calibri" w:hAnsi="Calibri"/>
                <w:sz w:val="20"/>
                <w:szCs w:val="20"/>
              </w:rPr>
            </w:pPr>
            <w:r w:rsidRPr="00A82F8F">
              <w:rPr>
                <w:rFonts w:ascii="Calibri" w:hAnsi="Calibri"/>
                <w:sz w:val="20"/>
                <w:szCs w:val="20"/>
              </w:rPr>
              <w:t>SGP</w:t>
            </w:r>
          </w:p>
        </w:tc>
        <w:tc>
          <w:tcPr>
            <w:tcW w:w="1049" w:type="dxa"/>
            <w:shd w:val="clear" w:color="auto" w:fill="D9D9D9" w:themeFill="background1" w:themeFillShade="D9"/>
            <w:vAlign w:val="bottom"/>
          </w:tcPr>
          <w:p w:rsidR="00A9507F" w:rsidRPr="00163D95" w:rsidRDefault="00A9507F" w:rsidP="009266F5">
            <w:pPr>
              <w:spacing w:after="0" w:line="240" w:lineRule="auto"/>
              <w:jc w:val="center"/>
              <w:rPr>
                <w:rFonts w:ascii="Calibri" w:hAnsi="Calibri"/>
                <w:sz w:val="20"/>
                <w:szCs w:val="20"/>
              </w:rPr>
            </w:pPr>
            <w:r w:rsidRPr="00163D95">
              <w:rPr>
                <w:rFonts w:ascii="Calibri" w:hAnsi="Calibri"/>
                <w:sz w:val="20"/>
                <w:szCs w:val="20"/>
              </w:rPr>
              <w:t>987</w:t>
            </w:r>
          </w:p>
        </w:tc>
        <w:tc>
          <w:tcPr>
            <w:tcW w:w="918" w:type="dxa"/>
            <w:shd w:val="clear" w:color="auto" w:fill="D9D9D9" w:themeFill="background1" w:themeFillShade="D9"/>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48.0</w:t>
            </w:r>
          </w:p>
        </w:tc>
        <w:tc>
          <w:tcPr>
            <w:tcW w:w="919" w:type="dxa"/>
            <w:shd w:val="clear" w:color="auto" w:fill="D9D9D9" w:themeFill="background1" w:themeFillShade="D9"/>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49.0</w:t>
            </w:r>
          </w:p>
        </w:tc>
        <w:tc>
          <w:tcPr>
            <w:tcW w:w="919" w:type="dxa"/>
            <w:shd w:val="clear" w:color="auto" w:fill="D9D9D9" w:themeFill="background1" w:themeFillShade="D9"/>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41.0</w:t>
            </w:r>
          </w:p>
        </w:tc>
        <w:tc>
          <w:tcPr>
            <w:tcW w:w="919" w:type="dxa"/>
            <w:shd w:val="clear" w:color="auto" w:fill="D9D9D9" w:themeFill="background1" w:themeFillShade="D9"/>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38.0</w:t>
            </w:r>
          </w:p>
        </w:tc>
        <w:tc>
          <w:tcPr>
            <w:tcW w:w="1126" w:type="dxa"/>
            <w:shd w:val="clear" w:color="auto" w:fill="D9D9D9" w:themeFill="background1" w:themeFillShade="D9"/>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-10.0</w:t>
            </w:r>
          </w:p>
        </w:tc>
        <w:tc>
          <w:tcPr>
            <w:tcW w:w="990" w:type="dxa"/>
            <w:shd w:val="clear" w:color="auto" w:fill="D9D9D9" w:themeFill="background1" w:themeFillShade="D9"/>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-3.0</w:t>
            </w:r>
          </w:p>
        </w:tc>
      </w:tr>
      <w:tr w:rsidR="00A9507F" w:rsidRPr="009066CB" w:rsidTr="009266F5">
        <w:tc>
          <w:tcPr>
            <w:tcW w:w="461" w:type="dxa"/>
            <w:vMerge w:val="restart"/>
            <w:vAlign w:val="center"/>
          </w:tcPr>
          <w:p w:rsidR="00A9507F" w:rsidRPr="00164FBF" w:rsidRDefault="00A9507F" w:rsidP="009266F5">
            <w:pPr>
              <w:spacing w:after="0" w:line="240" w:lineRule="auto"/>
              <w:jc w:val="center"/>
              <w:rPr>
                <w:rFonts w:ascii="Calibri" w:hAnsi="Calibri"/>
                <w:sz w:val="20"/>
                <w:szCs w:val="20"/>
              </w:rPr>
            </w:pPr>
            <w:r w:rsidRPr="00164FBF">
              <w:rPr>
                <w:rFonts w:ascii="Calibri" w:hAnsi="Calibri"/>
                <w:sz w:val="20"/>
                <w:szCs w:val="20"/>
              </w:rPr>
              <w:t>5</w:t>
            </w:r>
          </w:p>
        </w:tc>
        <w:tc>
          <w:tcPr>
            <w:tcW w:w="757" w:type="dxa"/>
            <w:vMerge w:val="restart"/>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MCAS</w:t>
            </w:r>
          </w:p>
        </w:tc>
        <w:tc>
          <w:tcPr>
            <w:tcW w:w="870" w:type="dxa"/>
          </w:tcPr>
          <w:p w:rsidR="00A9507F" w:rsidRPr="00A82F8F" w:rsidRDefault="00A9507F" w:rsidP="009266F5">
            <w:pPr>
              <w:spacing w:after="0" w:line="240" w:lineRule="auto"/>
              <w:rPr>
                <w:rFonts w:ascii="Calibri" w:hAnsi="Calibri"/>
                <w:sz w:val="20"/>
                <w:szCs w:val="20"/>
              </w:rPr>
            </w:pPr>
            <w:r w:rsidRPr="00A82F8F">
              <w:rPr>
                <w:rFonts w:ascii="Calibri" w:hAnsi="Calibri"/>
                <w:sz w:val="20"/>
                <w:szCs w:val="20"/>
              </w:rPr>
              <w:t>CPI</w:t>
            </w:r>
          </w:p>
        </w:tc>
        <w:tc>
          <w:tcPr>
            <w:tcW w:w="1049" w:type="dxa"/>
            <w:vAlign w:val="center"/>
          </w:tcPr>
          <w:p w:rsidR="00A9507F" w:rsidRPr="00163D95" w:rsidRDefault="00A9507F" w:rsidP="009266F5">
            <w:pPr>
              <w:spacing w:after="0" w:line="240" w:lineRule="auto"/>
              <w:jc w:val="center"/>
              <w:rPr>
                <w:rFonts w:ascii="Calibri" w:hAnsi="Calibri"/>
                <w:sz w:val="20"/>
                <w:szCs w:val="20"/>
              </w:rPr>
            </w:pPr>
            <w:r w:rsidRPr="00163D95">
              <w:rPr>
                <w:rFonts w:ascii="Calibri" w:hAnsi="Calibri"/>
                <w:sz w:val="20"/>
                <w:szCs w:val="20"/>
              </w:rPr>
              <w:t>698</w:t>
            </w:r>
          </w:p>
        </w:tc>
        <w:tc>
          <w:tcPr>
            <w:tcW w:w="918" w:type="dxa"/>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75.2</w:t>
            </w:r>
          </w:p>
        </w:tc>
        <w:tc>
          <w:tcPr>
            <w:tcW w:w="919" w:type="dxa"/>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74.3</w:t>
            </w:r>
          </w:p>
        </w:tc>
        <w:tc>
          <w:tcPr>
            <w:tcW w:w="919" w:type="dxa"/>
            <w:vAlign w:val="center"/>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79</w:t>
            </w:r>
          </w:p>
        </w:tc>
        <w:tc>
          <w:tcPr>
            <w:tcW w:w="919" w:type="dxa"/>
            <w:vAlign w:val="center"/>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83.3</w:t>
            </w:r>
          </w:p>
        </w:tc>
        <w:tc>
          <w:tcPr>
            <w:tcW w:w="1126" w:type="dxa"/>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8.1</w:t>
            </w:r>
          </w:p>
        </w:tc>
        <w:tc>
          <w:tcPr>
            <w:tcW w:w="990" w:type="dxa"/>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4.3</w:t>
            </w:r>
          </w:p>
        </w:tc>
      </w:tr>
      <w:tr w:rsidR="00A9507F" w:rsidRPr="009066CB" w:rsidTr="009266F5">
        <w:tc>
          <w:tcPr>
            <w:tcW w:w="461" w:type="dxa"/>
            <w:vMerge/>
            <w:vAlign w:val="center"/>
          </w:tcPr>
          <w:p w:rsidR="00A9507F" w:rsidRPr="00164FBF" w:rsidRDefault="00A9507F" w:rsidP="009266F5">
            <w:pPr>
              <w:spacing w:after="0" w:line="240" w:lineRule="auto"/>
              <w:jc w:val="center"/>
              <w:rPr>
                <w:rFonts w:ascii="Calibri" w:hAnsi="Calibri"/>
                <w:sz w:val="20"/>
                <w:szCs w:val="20"/>
              </w:rPr>
            </w:pPr>
          </w:p>
        </w:tc>
        <w:tc>
          <w:tcPr>
            <w:tcW w:w="757" w:type="dxa"/>
            <w:vMerge/>
            <w:vAlign w:val="center"/>
          </w:tcPr>
          <w:p w:rsidR="00A9507F" w:rsidRPr="00A82F8F" w:rsidRDefault="00A9507F" w:rsidP="009266F5">
            <w:pPr>
              <w:spacing w:after="0" w:line="240" w:lineRule="auto"/>
              <w:jc w:val="center"/>
              <w:rPr>
                <w:rFonts w:ascii="Calibri" w:hAnsi="Calibri"/>
                <w:sz w:val="20"/>
                <w:szCs w:val="20"/>
              </w:rPr>
            </w:pPr>
          </w:p>
        </w:tc>
        <w:tc>
          <w:tcPr>
            <w:tcW w:w="870" w:type="dxa"/>
          </w:tcPr>
          <w:p w:rsidR="00A9507F" w:rsidRPr="00A82F8F" w:rsidRDefault="00A9507F" w:rsidP="009266F5">
            <w:pPr>
              <w:spacing w:after="0" w:line="240" w:lineRule="auto"/>
              <w:rPr>
                <w:rFonts w:ascii="Calibri" w:hAnsi="Calibri"/>
                <w:sz w:val="20"/>
                <w:szCs w:val="20"/>
              </w:rPr>
            </w:pPr>
            <w:r w:rsidRPr="00A82F8F">
              <w:rPr>
                <w:rFonts w:ascii="Calibri" w:hAnsi="Calibri"/>
                <w:sz w:val="20"/>
                <w:szCs w:val="20"/>
              </w:rPr>
              <w:t>P+</w:t>
            </w:r>
          </w:p>
        </w:tc>
        <w:tc>
          <w:tcPr>
            <w:tcW w:w="1049" w:type="dxa"/>
            <w:vAlign w:val="center"/>
          </w:tcPr>
          <w:p w:rsidR="00A9507F" w:rsidRPr="00163D95" w:rsidRDefault="00A9507F" w:rsidP="009266F5">
            <w:pPr>
              <w:spacing w:after="0" w:line="240" w:lineRule="auto"/>
              <w:jc w:val="center"/>
              <w:rPr>
                <w:rFonts w:ascii="Calibri" w:hAnsi="Calibri"/>
                <w:sz w:val="20"/>
                <w:szCs w:val="20"/>
              </w:rPr>
            </w:pPr>
            <w:r w:rsidRPr="00163D95">
              <w:rPr>
                <w:rFonts w:ascii="Calibri" w:hAnsi="Calibri"/>
                <w:sz w:val="20"/>
                <w:szCs w:val="20"/>
              </w:rPr>
              <w:t>698</w:t>
            </w:r>
          </w:p>
        </w:tc>
        <w:tc>
          <w:tcPr>
            <w:tcW w:w="918" w:type="dxa"/>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50%</w:t>
            </w:r>
          </w:p>
        </w:tc>
        <w:tc>
          <w:tcPr>
            <w:tcW w:w="919" w:type="dxa"/>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45%</w:t>
            </w:r>
          </w:p>
        </w:tc>
        <w:tc>
          <w:tcPr>
            <w:tcW w:w="919" w:type="dxa"/>
            <w:vAlign w:val="center"/>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54%</w:t>
            </w:r>
          </w:p>
        </w:tc>
        <w:tc>
          <w:tcPr>
            <w:tcW w:w="919" w:type="dxa"/>
            <w:vAlign w:val="center"/>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61%</w:t>
            </w:r>
          </w:p>
        </w:tc>
        <w:tc>
          <w:tcPr>
            <w:tcW w:w="1126" w:type="dxa"/>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11%</w:t>
            </w:r>
          </w:p>
        </w:tc>
        <w:tc>
          <w:tcPr>
            <w:tcW w:w="990" w:type="dxa"/>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7%</w:t>
            </w:r>
          </w:p>
        </w:tc>
      </w:tr>
      <w:tr w:rsidR="00A9507F" w:rsidRPr="009066CB" w:rsidTr="009266F5">
        <w:tc>
          <w:tcPr>
            <w:tcW w:w="461" w:type="dxa"/>
            <w:vMerge/>
            <w:vAlign w:val="center"/>
          </w:tcPr>
          <w:p w:rsidR="00A9507F" w:rsidRPr="00164FBF" w:rsidRDefault="00A9507F" w:rsidP="009266F5">
            <w:pPr>
              <w:spacing w:after="0" w:line="240" w:lineRule="auto"/>
              <w:jc w:val="center"/>
              <w:rPr>
                <w:rFonts w:ascii="Calibri" w:hAnsi="Calibri"/>
                <w:sz w:val="20"/>
                <w:szCs w:val="20"/>
              </w:rPr>
            </w:pPr>
          </w:p>
        </w:tc>
        <w:tc>
          <w:tcPr>
            <w:tcW w:w="757" w:type="dxa"/>
            <w:vMerge/>
            <w:vAlign w:val="center"/>
          </w:tcPr>
          <w:p w:rsidR="00A9507F" w:rsidRPr="00A82F8F" w:rsidRDefault="00A9507F" w:rsidP="009266F5">
            <w:pPr>
              <w:spacing w:after="0" w:line="240" w:lineRule="auto"/>
              <w:jc w:val="center"/>
              <w:rPr>
                <w:rFonts w:ascii="Calibri" w:hAnsi="Calibri"/>
                <w:sz w:val="20"/>
                <w:szCs w:val="20"/>
              </w:rPr>
            </w:pPr>
          </w:p>
        </w:tc>
        <w:tc>
          <w:tcPr>
            <w:tcW w:w="870" w:type="dxa"/>
          </w:tcPr>
          <w:p w:rsidR="00A9507F" w:rsidRPr="00A82F8F" w:rsidRDefault="00A9507F" w:rsidP="009266F5">
            <w:pPr>
              <w:spacing w:after="0" w:line="240" w:lineRule="auto"/>
              <w:rPr>
                <w:rFonts w:ascii="Calibri" w:hAnsi="Calibri"/>
                <w:sz w:val="20"/>
                <w:szCs w:val="20"/>
              </w:rPr>
            </w:pPr>
            <w:r w:rsidRPr="00A82F8F">
              <w:rPr>
                <w:rFonts w:ascii="Calibri" w:hAnsi="Calibri"/>
                <w:sz w:val="20"/>
                <w:szCs w:val="20"/>
              </w:rPr>
              <w:t>SGP</w:t>
            </w:r>
          </w:p>
        </w:tc>
        <w:tc>
          <w:tcPr>
            <w:tcW w:w="1049" w:type="dxa"/>
            <w:vAlign w:val="center"/>
          </w:tcPr>
          <w:p w:rsidR="00A9507F" w:rsidRPr="00163D95" w:rsidRDefault="00A9507F" w:rsidP="009266F5">
            <w:pPr>
              <w:spacing w:after="0" w:line="240" w:lineRule="auto"/>
              <w:jc w:val="center"/>
              <w:rPr>
                <w:rFonts w:ascii="Calibri" w:hAnsi="Calibri"/>
                <w:sz w:val="20"/>
                <w:szCs w:val="20"/>
              </w:rPr>
            </w:pPr>
            <w:r w:rsidRPr="00163D95">
              <w:rPr>
                <w:rFonts w:ascii="Calibri" w:hAnsi="Calibri"/>
                <w:sz w:val="20"/>
                <w:szCs w:val="20"/>
              </w:rPr>
              <w:t>628</w:t>
            </w:r>
          </w:p>
        </w:tc>
        <w:tc>
          <w:tcPr>
            <w:tcW w:w="918" w:type="dxa"/>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57.0</w:t>
            </w:r>
          </w:p>
        </w:tc>
        <w:tc>
          <w:tcPr>
            <w:tcW w:w="919" w:type="dxa"/>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54.0</w:t>
            </w:r>
          </w:p>
        </w:tc>
        <w:tc>
          <w:tcPr>
            <w:tcW w:w="919" w:type="dxa"/>
            <w:vAlign w:val="center"/>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56.0</w:t>
            </w:r>
          </w:p>
        </w:tc>
        <w:tc>
          <w:tcPr>
            <w:tcW w:w="919" w:type="dxa"/>
            <w:vAlign w:val="center"/>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61.0</w:t>
            </w:r>
          </w:p>
        </w:tc>
        <w:tc>
          <w:tcPr>
            <w:tcW w:w="1126" w:type="dxa"/>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4.0</w:t>
            </w:r>
          </w:p>
        </w:tc>
        <w:tc>
          <w:tcPr>
            <w:tcW w:w="990" w:type="dxa"/>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5.0</w:t>
            </w:r>
          </w:p>
        </w:tc>
      </w:tr>
      <w:tr w:rsidR="00A9507F" w:rsidRPr="009066CB" w:rsidTr="009266F5">
        <w:tc>
          <w:tcPr>
            <w:tcW w:w="461" w:type="dxa"/>
            <w:vMerge/>
            <w:vAlign w:val="center"/>
          </w:tcPr>
          <w:p w:rsidR="00A9507F" w:rsidRPr="00164FBF" w:rsidRDefault="00A9507F" w:rsidP="009266F5">
            <w:pPr>
              <w:spacing w:after="0" w:line="240" w:lineRule="auto"/>
              <w:jc w:val="center"/>
              <w:rPr>
                <w:rFonts w:ascii="Calibri" w:hAnsi="Calibri"/>
                <w:sz w:val="20"/>
                <w:szCs w:val="20"/>
              </w:rPr>
            </w:pPr>
          </w:p>
        </w:tc>
        <w:tc>
          <w:tcPr>
            <w:tcW w:w="757" w:type="dxa"/>
            <w:vMerge w:val="restart"/>
            <w:shd w:val="clear" w:color="auto" w:fill="D9D9D9" w:themeFill="background1" w:themeFillShade="D9"/>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PARCC</w:t>
            </w:r>
          </w:p>
        </w:tc>
        <w:tc>
          <w:tcPr>
            <w:tcW w:w="870" w:type="dxa"/>
            <w:shd w:val="clear" w:color="auto" w:fill="D9D9D9" w:themeFill="background1" w:themeFillShade="D9"/>
          </w:tcPr>
          <w:p w:rsidR="00A9507F" w:rsidRPr="00A82F8F" w:rsidRDefault="00A9507F" w:rsidP="009266F5">
            <w:pPr>
              <w:spacing w:after="0" w:line="240" w:lineRule="auto"/>
              <w:rPr>
                <w:rFonts w:ascii="Calibri" w:hAnsi="Calibri"/>
                <w:sz w:val="20"/>
                <w:szCs w:val="20"/>
              </w:rPr>
            </w:pPr>
            <w:r w:rsidRPr="00A82F8F">
              <w:rPr>
                <w:rFonts w:ascii="Calibri" w:hAnsi="Calibri"/>
                <w:sz w:val="20"/>
                <w:szCs w:val="20"/>
              </w:rPr>
              <w:t>CPI</w:t>
            </w:r>
          </w:p>
        </w:tc>
        <w:tc>
          <w:tcPr>
            <w:tcW w:w="1049" w:type="dxa"/>
            <w:shd w:val="clear" w:color="auto" w:fill="D9D9D9" w:themeFill="background1" w:themeFillShade="D9"/>
            <w:vAlign w:val="bottom"/>
          </w:tcPr>
          <w:p w:rsidR="00A9507F" w:rsidRPr="00163D95" w:rsidRDefault="00A9507F" w:rsidP="009266F5">
            <w:pPr>
              <w:spacing w:after="0" w:line="240" w:lineRule="auto"/>
              <w:jc w:val="center"/>
              <w:rPr>
                <w:rFonts w:ascii="Calibri" w:hAnsi="Calibri"/>
                <w:sz w:val="20"/>
                <w:szCs w:val="20"/>
              </w:rPr>
            </w:pPr>
            <w:r w:rsidRPr="00163D95">
              <w:rPr>
                <w:rFonts w:ascii="Calibri" w:hAnsi="Calibri"/>
                <w:sz w:val="20"/>
                <w:szCs w:val="20"/>
              </w:rPr>
              <w:t>1,059</w:t>
            </w:r>
          </w:p>
        </w:tc>
        <w:tc>
          <w:tcPr>
            <w:tcW w:w="918" w:type="dxa"/>
            <w:shd w:val="clear" w:color="auto" w:fill="D9D9D9" w:themeFill="background1" w:themeFillShade="D9"/>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75.2</w:t>
            </w:r>
          </w:p>
        </w:tc>
        <w:tc>
          <w:tcPr>
            <w:tcW w:w="919" w:type="dxa"/>
            <w:shd w:val="clear" w:color="auto" w:fill="D9D9D9" w:themeFill="background1" w:themeFillShade="D9"/>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74.3</w:t>
            </w:r>
          </w:p>
        </w:tc>
        <w:tc>
          <w:tcPr>
            <w:tcW w:w="919" w:type="dxa"/>
            <w:shd w:val="clear" w:color="auto" w:fill="D9D9D9" w:themeFill="background1" w:themeFillShade="D9"/>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72.8</w:t>
            </w:r>
          </w:p>
        </w:tc>
        <w:tc>
          <w:tcPr>
            <w:tcW w:w="919" w:type="dxa"/>
            <w:shd w:val="clear" w:color="auto" w:fill="D9D9D9" w:themeFill="background1" w:themeFillShade="D9"/>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78.7</w:t>
            </w:r>
          </w:p>
        </w:tc>
        <w:tc>
          <w:tcPr>
            <w:tcW w:w="1126" w:type="dxa"/>
            <w:shd w:val="clear" w:color="auto" w:fill="D9D9D9" w:themeFill="background1" w:themeFillShade="D9"/>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3.5</w:t>
            </w:r>
          </w:p>
        </w:tc>
        <w:tc>
          <w:tcPr>
            <w:tcW w:w="990" w:type="dxa"/>
            <w:shd w:val="clear" w:color="auto" w:fill="D9D9D9" w:themeFill="background1" w:themeFillShade="D9"/>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5.9</w:t>
            </w:r>
          </w:p>
        </w:tc>
      </w:tr>
      <w:tr w:rsidR="00A9507F" w:rsidRPr="009066CB" w:rsidTr="009266F5">
        <w:tc>
          <w:tcPr>
            <w:tcW w:w="461" w:type="dxa"/>
            <w:vMerge/>
            <w:vAlign w:val="center"/>
          </w:tcPr>
          <w:p w:rsidR="00A9507F" w:rsidRPr="00164FBF" w:rsidRDefault="00A9507F" w:rsidP="009266F5">
            <w:pPr>
              <w:spacing w:after="0" w:line="240" w:lineRule="auto"/>
              <w:jc w:val="center"/>
              <w:rPr>
                <w:rFonts w:ascii="Calibri" w:hAnsi="Calibri"/>
                <w:sz w:val="20"/>
                <w:szCs w:val="20"/>
              </w:rPr>
            </w:pPr>
          </w:p>
        </w:tc>
        <w:tc>
          <w:tcPr>
            <w:tcW w:w="757" w:type="dxa"/>
            <w:vMerge/>
            <w:shd w:val="clear" w:color="auto" w:fill="D9D9D9" w:themeFill="background1" w:themeFillShade="D9"/>
            <w:vAlign w:val="center"/>
          </w:tcPr>
          <w:p w:rsidR="00A9507F" w:rsidRPr="00A82F8F" w:rsidRDefault="00A9507F" w:rsidP="009266F5">
            <w:pPr>
              <w:spacing w:after="0" w:line="240" w:lineRule="auto"/>
              <w:jc w:val="center"/>
              <w:rPr>
                <w:rFonts w:ascii="Calibri" w:hAnsi="Calibri"/>
                <w:sz w:val="20"/>
                <w:szCs w:val="20"/>
              </w:rPr>
            </w:pPr>
          </w:p>
        </w:tc>
        <w:tc>
          <w:tcPr>
            <w:tcW w:w="870" w:type="dxa"/>
            <w:shd w:val="clear" w:color="auto" w:fill="D9D9D9" w:themeFill="background1" w:themeFillShade="D9"/>
          </w:tcPr>
          <w:p w:rsidR="00A9507F" w:rsidRPr="00A82F8F" w:rsidRDefault="00A9507F" w:rsidP="009266F5">
            <w:pPr>
              <w:spacing w:after="0" w:line="240" w:lineRule="auto"/>
              <w:rPr>
                <w:rFonts w:ascii="Calibri" w:hAnsi="Calibri"/>
                <w:sz w:val="20"/>
                <w:szCs w:val="20"/>
              </w:rPr>
            </w:pPr>
            <w:r w:rsidRPr="00A82F8F">
              <w:rPr>
                <w:rFonts w:ascii="Calibri" w:hAnsi="Calibri"/>
                <w:sz w:val="20"/>
                <w:szCs w:val="20"/>
              </w:rPr>
              <w:t>Lv 4&amp;5</w:t>
            </w:r>
          </w:p>
        </w:tc>
        <w:tc>
          <w:tcPr>
            <w:tcW w:w="1049" w:type="dxa"/>
            <w:shd w:val="clear" w:color="auto" w:fill="D9D9D9" w:themeFill="background1" w:themeFillShade="D9"/>
            <w:vAlign w:val="bottom"/>
          </w:tcPr>
          <w:p w:rsidR="00A9507F" w:rsidRPr="00163D95" w:rsidRDefault="00A9507F" w:rsidP="009266F5">
            <w:pPr>
              <w:spacing w:after="0" w:line="240" w:lineRule="auto"/>
              <w:jc w:val="center"/>
              <w:rPr>
                <w:rFonts w:ascii="Calibri" w:hAnsi="Calibri"/>
                <w:sz w:val="20"/>
                <w:szCs w:val="20"/>
              </w:rPr>
            </w:pPr>
            <w:r w:rsidRPr="00163D95">
              <w:rPr>
                <w:rFonts w:ascii="Calibri" w:hAnsi="Calibri"/>
                <w:sz w:val="20"/>
                <w:szCs w:val="20"/>
              </w:rPr>
              <w:t>1,023</w:t>
            </w:r>
          </w:p>
        </w:tc>
        <w:tc>
          <w:tcPr>
            <w:tcW w:w="918" w:type="dxa"/>
            <w:shd w:val="clear" w:color="auto" w:fill="D9D9D9" w:themeFill="background1" w:themeFillShade="D9"/>
            <w:vAlign w:val="bottom"/>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w:t>
            </w:r>
          </w:p>
        </w:tc>
        <w:tc>
          <w:tcPr>
            <w:tcW w:w="919" w:type="dxa"/>
            <w:shd w:val="clear" w:color="auto" w:fill="D9D9D9" w:themeFill="background1" w:themeFillShade="D9"/>
            <w:vAlign w:val="bottom"/>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w:t>
            </w:r>
          </w:p>
        </w:tc>
        <w:tc>
          <w:tcPr>
            <w:tcW w:w="919" w:type="dxa"/>
            <w:shd w:val="clear" w:color="auto" w:fill="D9D9D9" w:themeFill="background1" w:themeFillShade="D9"/>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36%</w:t>
            </w:r>
          </w:p>
        </w:tc>
        <w:tc>
          <w:tcPr>
            <w:tcW w:w="919" w:type="dxa"/>
            <w:shd w:val="clear" w:color="auto" w:fill="D9D9D9" w:themeFill="background1" w:themeFillShade="D9"/>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41%</w:t>
            </w:r>
          </w:p>
        </w:tc>
        <w:tc>
          <w:tcPr>
            <w:tcW w:w="1126" w:type="dxa"/>
            <w:shd w:val="clear" w:color="auto" w:fill="D9D9D9" w:themeFill="background1" w:themeFillShade="D9"/>
          </w:tcPr>
          <w:p w:rsidR="00A9507F" w:rsidRPr="00AA580B" w:rsidRDefault="00A9507F" w:rsidP="009266F5">
            <w:pPr>
              <w:spacing w:after="0" w:line="240" w:lineRule="auto"/>
              <w:jc w:val="center"/>
              <w:rPr>
                <w:rFonts w:ascii="Calibri" w:hAnsi="Calibri"/>
                <w:sz w:val="20"/>
                <w:szCs w:val="20"/>
              </w:rPr>
            </w:pPr>
            <w:r>
              <w:rPr>
                <w:rFonts w:ascii="Calibri" w:hAnsi="Calibri"/>
                <w:sz w:val="20"/>
                <w:szCs w:val="20"/>
              </w:rPr>
              <w:t>--</w:t>
            </w:r>
          </w:p>
        </w:tc>
        <w:tc>
          <w:tcPr>
            <w:tcW w:w="990" w:type="dxa"/>
            <w:shd w:val="clear" w:color="auto" w:fill="D9D9D9" w:themeFill="background1" w:themeFillShade="D9"/>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5%</w:t>
            </w:r>
          </w:p>
        </w:tc>
      </w:tr>
      <w:tr w:rsidR="00A9507F" w:rsidRPr="009066CB" w:rsidTr="009266F5">
        <w:tc>
          <w:tcPr>
            <w:tcW w:w="461" w:type="dxa"/>
            <w:vMerge/>
            <w:vAlign w:val="center"/>
          </w:tcPr>
          <w:p w:rsidR="00A9507F" w:rsidRPr="00164FBF" w:rsidRDefault="00A9507F" w:rsidP="009266F5">
            <w:pPr>
              <w:spacing w:after="0" w:line="240" w:lineRule="auto"/>
              <w:jc w:val="center"/>
              <w:rPr>
                <w:rFonts w:ascii="Calibri" w:hAnsi="Calibri"/>
                <w:sz w:val="20"/>
                <w:szCs w:val="20"/>
              </w:rPr>
            </w:pPr>
          </w:p>
        </w:tc>
        <w:tc>
          <w:tcPr>
            <w:tcW w:w="757" w:type="dxa"/>
            <w:vMerge/>
            <w:shd w:val="clear" w:color="auto" w:fill="D9D9D9" w:themeFill="background1" w:themeFillShade="D9"/>
            <w:vAlign w:val="center"/>
          </w:tcPr>
          <w:p w:rsidR="00A9507F" w:rsidRPr="00A82F8F" w:rsidRDefault="00A9507F" w:rsidP="009266F5">
            <w:pPr>
              <w:spacing w:after="0" w:line="240" w:lineRule="auto"/>
              <w:jc w:val="center"/>
              <w:rPr>
                <w:rFonts w:ascii="Calibri" w:hAnsi="Calibri"/>
                <w:sz w:val="20"/>
                <w:szCs w:val="20"/>
              </w:rPr>
            </w:pPr>
          </w:p>
        </w:tc>
        <w:tc>
          <w:tcPr>
            <w:tcW w:w="870" w:type="dxa"/>
            <w:shd w:val="clear" w:color="auto" w:fill="D9D9D9" w:themeFill="background1" w:themeFillShade="D9"/>
          </w:tcPr>
          <w:p w:rsidR="00A9507F" w:rsidRPr="00A82F8F" w:rsidRDefault="00A9507F" w:rsidP="009266F5">
            <w:pPr>
              <w:spacing w:after="0" w:line="240" w:lineRule="auto"/>
              <w:rPr>
                <w:rFonts w:ascii="Calibri" w:hAnsi="Calibri"/>
                <w:sz w:val="20"/>
                <w:szCs w:val="20"/>
              </w:rPr>
            </w:pPr>
            <w:r w:rsidRPr="00A82F8F">
              <w:rPr>
                <w:rFonts w:ascii="Calibri" w:hAnsi="Calibri"/>
                <w:sz w:val="20"/>
                <w:szCs w:val="20"/>
              </w:rPr>
              <w:t>SGP</w:t>
            </w:r>
          </w:p>
        </w:tc>
        <w:tc>
          <w:tcPr>
            <w:tcW w:w="1049" w:type="dxa"/>
            <w:shd w:val="clear" w:color="auto" w:fill="D9D9D9" w:themeFill="background1" w:themeFillShade="D9"/>
            <w:vAlign w:val="bottom"/>
          </w:tcPr>
          <w:p w:rsidR="00A9507F" w:rsidRPr="00163D95" w:rsidRDefault="00A9507F" w:rsidP="009266F5">
            <w:pPr>
              <w:spacing w:after="0" w:line="240" w:lineRule="auto"/>
              <w:jc w:val="center"/>
              <w:rPr>
                <w:rFonts w:ascii="Calibri" w:hAnsi="Calibri"/>
                <w:sz w:val="20"/>
                <w:szCs w:val="20"/>
              </w:rPr>
            </w:pPr>
            <w:r w:rsidRPr="00163D95">
              <w:rPr>
                <w:rFonts w:ascii="Calibri" w:hAnsi="Calibri"/>
                <w:sz w:val="20"/>
                <w:szCs w:val="20"/>
              </w:rPr>
              <w:t>902</w:t>
            </w:r>
          </w:p>
        </w:tc>
        <w:tc>
          <w:tcPr>
            <w:tcW w:w="918" w:type="dxa"/>
            <w:shd w:val="clear" w:color="auto" w:fill="D9D9D9" w:themeFill="background1" w:themeFillShade="D9"/>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57.0</w:t>
            </w:r>
          </w:p>
        </w:tc>
        <w:tc>
          <w:tcPr>
            <w:tcW w:w="919" w:type="dxa"/>
            <w:shd w:val="clear" w:color="auto" w:fill="D9D9D9" w:themeFill="background1" w:themeFillShade="D9"/>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54.0</w:t>
            </w:r>
          </w:p>
        </w:tc>
        <w:tc>
          <w:tcPr>
            <w:tcW w:w="919" w:type="dxa"/>
            <w:shd w:val="clear" w:color="auto" w:fill="D9D9D9" w:themeFill="background1" w:themeFillShade="D9"/>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49.0</w:t>
            </w:r>
          </w:p>
        </w:tc>
        <w:tc>
          <w:tcPr>
            <w:tcW w:w="919" w:type="dxa"/>
            <w:shd w:val="clear" w:color="auto" w:fill="D9D9D9" w:themeFill="background1" w:themeFillShade="D9"/>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59.0</w:t>
            </w:r>
          </w:p>
        </w:tc>
        <w:tc>
          <w:tcPr>
            <w:tcW w:w="1126" w:type="dxa"/>
            <w:shd w:val="clear" w:color="auto" w:fill="D9D9D9" w:themeFill="background1" w:themeFillShade="D9"/>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2.0</w:t>
            </w:r>
          </w:p>
        </w:tc>
        <w:tc>
          <w:tcPr>
            <w:tcW w:w="990" w:type="dxa"/>
            <w:shd w:val="clear" w:color="auto" w:fill="D9D9D9" w:themeFill="background1" w:themeFillShade="D9"/>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10.0</w:t>
            </w:r>
          </w:p>
        </w:tc>
      </w:tr>
      <w:tr w:rsidR="00A9507F" w:rsidRPr="009066CB" w:rsidTr="009266F5">
        <w:tc>
          <w:tcPr>
            <w:tcW w:w="461" w:type="dxa"/>
            <w:vMerge w:val="restart"/>
            <w:vAlign w:val="center"/>
          </w:tcPr>
          <w:p w:rsidR="00A9507F" w:rsidRPr="00164FBF" w:rsidRDefault="00A9507F" w:rsidP="009266F5">
            <w:pPr>
              <w:spacing w:after="0" w:line="240" w:lineRule="auto"/>
              <w:jc w:val="center"/>
              <w:rPr>
                <w:rFonts w:ascii="Calibri" w:hAnsi="Calibri"/>
                <w:sz w:val="20"/>
                <w:szCs w:val="20"/>
              </w:rPr>
            </w:pPr>
            <w:r w:rsidRPr="00164FBF">
              <w:rPr>
                <w:rFonts w:ascii="Calibri" w:hAnsi="Calibri"/>
                <w:sz w:val="20"/>
                <w:szCs w:val="20"/>
              </w:rPr>
              <w:t>6</w:t>
            </w:r>
          </w:p>
        </w:tc>
        <w:tc>
          <w:tcPr>
            <w:tcW w:w="757" w:type="dxa"/>
            <w:vMerge w:val="restart"/>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MCAS</w:t>
            </w:r>
          </w:p>
        </w:tc>
        <w:tc>
          <w:tcPr>
            <w:tcW w:w="870" w:type="dxa"/>
          </w:tcPr>
          <w:p w:rsidR="00A9507F" w:rsidRPr="00A82F8F" w:rsidRDefault="00A9507F" w:rsidP="009266F5">
            <w:pPr>
              <w:spacing w:after="0" w:line="240" w:lineRule="auto"/>
              <w:rPr>
                <w:rFonts w:ascii="Calibri" w:hAnsi="Calibri"/>
                <w:sz w:val="20"/>
                <w:szCs w:val="20"/>
              </w:rPr>
            </w:pPr>
            <w:r w:rsidRPr="00A82F8F">
              <w:rPr>
                <w:rFonts w:ascii="Calibri" w:hAnsi="Calibri"/>
                <w:sz w:val="20"/>
                <w:szCs w:val="20"/>
              </w:rPr>
              <w:t>CPI</w:t>
            </w:r>
          </w:p>
        </w:tc>
        <w:tc>
          <w:tcPr>
            <w:tcW w:w="1049" w:type="dxa"/>
            <w:vAlign w:val="center"/>
          </w:tcPr>
          <w:p w:rsidR="00A9507F" w:rsidRPr="00163D95" w:rsidRDefault="00A9507F" w:rsidP="009266F5">
            <w:pPr>
              <w:spacing w:after="0" w:line="240" w:lineRule="auto"/>
              <w:jc w:val="center"/>
              <w:rPr>
                <w:rFonts w:ascii="Calibri" w:hAnsi="Calibri"/>
                <w:sz w:val="20"/>
                <w:szCs w:val="20"/>
              </w:rPr>
            </w:pPr>
            <w:r w:rsidRPr="00163D95">
              <w:rPr>
                <w:rFonts w:ascii="Calibri" w:hAnsi="Calibri"/>
                <w:sz w:val="20"/>
                <w:szCs w:val="20"/>
              </w:rPr>
              <w:t>637</w:t>
            </w:r>
          </w:p>
        </w:tc>
        <w:tc>
          <w:tcPr>
            <w:tcW w:w="918" w:type="dxa"/>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76.9</w:t>
            </w:r>
          </w:p>
        </w:tc>
        <w:tc>
          <w:tcPr>
            <w:tcW w:w="919" w:type="dxa"/>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79.6</w:t>
            </w:r>
          </w:p>
        </w:tc>
        <w:tc>
          <w:tcPr>
            <w:tcW w:w="919" w:type="dxa"/>
            <w:vAlign w:val="center"/>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83.4</w:t>
            </w:r>
          </w:p>
        </w:tc>
        <w:tc>
          <w:tcPr>
            <w:tcW w:w="919" w:type="dxa"/>
            <w:vAlign w:val="center"/>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82.1</w:t>
            </w:r>
          </w:p>
        </w:tc>
        <w:tc>
          <w:tcPr>
            <w:tcW w:w="1126" w:type="dxa"/>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5.2</w:t>
            </w:r>
          </w:p>
        </w:tc>
        <w:tc>
          <w:tcPr>
            <w:tcW w:w="990" w:type="dxa"/>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-1.3</w:t>
            </w:r>
          </w:p>
        </w:tc>
      </w:tr>
      <w:tr w:rsidR="00A9507F" w:rsidRPr="009066CB" w:rsidTr="009266F5">
        <w:tc>
          <w:tcPr>
            <w:tcW w:w="461" w:type="dxa"/>
            <w:vMerge/>
            <w:vAlign w:val="center"/>
          </w:tcPr>
          <w:p w:rsidR="00A9507F" w:rsidRPr="00164FBF" w:rsidRDefault="00A9507F" w:rsidP="009266F5">
            <w:pPr>
              <w:spacing w:after="0" w:line="240" w:lineRule="auto"/>
              <w:jc w:val="center"/>
              <w:rPr>
                <w:rFonts w:ascii="Calibri" w:hAnsi="Calibri"/>
                <w:sz w:val="20"/>
                <w:szCs w:val="20"/>
              </w:rPr>
            </w:pPr>
          </w:p>
        </w:tc>
        <w:tc>
          <w:tcPr>
            <w:tcW w:w="757" w:type="dxa"/>
            <w:vMerge/>
            <w:vAlign w:val="center"/>
          </w:tcPr>
          <w:p w:rsidR="00A9507F" w:rsidRPr="00A82F8F" w:rsidRDefault="00A9507F" w:rsidP="009266F5">
            <w:pPr>
              <w:spacing w:after="0" w:line="240" w:lineRule="auto"/>
              <w:jc w:val="center"/>
              <w:rPr>
                <w:rFonts w:ascii="Calibri" w:hAnsi="Calibri"/>
                <w:sz w:val="20"/>
                <w:szCs w:val="20"/>
              </w:rPr>
            </w:pPr>
          </w:p>
        </w:tc>
        <w:tc>
          <w:tcPr>
            <w:tcW w:w="870" w:type="dxa"/>
          </w:tcPr>
          <w:p w:rsidR="00A9507F" w:rsidRPr="00A82F8F" w:rsidRDefault="00A9507F" w:rsidP="009266F5">
            <w:pPr>
              <w:spacing w:after="0" w:line="240" w:lineRule="auto"/>
              <w:rPr>
                <w:rFonts w:ascii="Calibri" w:hAnsi="Calibri"/>
                <w:sz w:val="20"/>
                <w:szCs w:val="20"/>
              </w:rPr>
            </w:pPr>
            <w:r w:rsidRPr="00A82F8F">
              <w:rPr>
                <w:rFonts w:ascii="Calibri" w:hAnsi="Calibri"/>
                <w:sz w:val="20"/>
                <w:szCs w:val="20"/>
              </w:rPr>
              <w:t>P+</w:t>
            </w:r>
          </w:p>
        </w:tc>
        <w:tc>
          <w:tcPr>
            <w:tcW w:w="1049" w:type="dxa"/>
            <w:vAlign w:val="center"/>
          </w:tcPr>
          <w:p w:rsidR="00A9507F" w:rsidRPr="00163D95" w:rsidRDefault="00A9507F" w:rsidP="009266F5">
            <w:pPr>
              <w:spacing w:after="0" w:line="240" w:lineRule="auto"/>
              <w:jc w:val="center"/>
              <w:rPr>
                <w:rFonts w:ascii="Calibri" w:hAnsi="Calibri"/>
                <w:sz w:val="20"/>
                <w:szCs w:val="20"/>
              </w:rPr>
            </w:pPr>
            <w:r w:rsidRPr="00163D95">
              <w:rPr>
                <w:rFonts w:ascii="Calibri" w:hAnsi="Calibri"/>
                <w:sz w:val="20"/>
                <w:szCs w:val="20"/>
              </w:rPr>
              <w:t>637</w:t>
            </w:r>
          </w:p>
        </w:tc>
        <w:tc>
          <w:tcPr>
            <w:tcW w:w="918" w:type="dxa"/>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52%</w:t>
            </w:r>
          </w:p>
        </w:tc>
        <w:tc>
          <w:tcPr>
            <w:tcW w:w="919" w:type="dxa"/>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57%</w:t>
            </w:r>
          </w:p>
        </w:tc>
        <w:tc>
          <w:tcPr>
            <w:tcW w:w="919" w:type="dxa"/>
            <w:vAlign w:val="center"/>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63%</w:t>
            </w:r>
          </w:p>
        </w:tc>
        <w:tc>
          <w:tcPr>
            <w:tcW w:w="919" w:type="dxa"/>
            <w:vAlign w:val="center"/>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60%</w:t>
            </w:r>
          </w:p>
        </w:tc>
        <w:tc>
          <w:tcPr>
            <w:tcW w:w="1126" w:type="dxa"/>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8%</w:t>
            </w:r>
          </w:p>
        </w:tc>
        <w:tc>
          <w:tcPr>
            <w:tcW w:w="990" w:type="dxa"/>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-3%</w:t>
            </w:r>
          </w:p>
        </w:tc>
      </w:tr>
      <w:tr w:rsidR="00A9507F" w:rsidRPr="009066CB" w:rsidTr="009266F5">
        <w:tc>
          <w:tcPr>
            <w:tcW w:w="461" w:type="dxa"/>
            <w:vMerge/>
            <w:vAlign w:val="center"/>
          </w:tcPr>
          <w:p w:rsidR="00A9507F" w:rsidRPr="00164FBF" w:rsidRDefault="00A9507F" w:rsidP="009266F5">
            <w:pPr>
              <w:spacing w:after="0" w:line="240" w:lineRule="auto"/>
              <w:jc w:val="center"/>
              <w:rPr>
                <w:rFonts w:ascii="Calibri" w:hAnsi="Calibri"/>
                <w:sz w:val="20"/>
                <w:szCs w:val="20"/>
              </w:rPr>
            </w:pPr>
          </w:p>
        </w:tc>
        <w:tc>
          <w:tcPr>
            <w:tcW w:w="757" w:type="dxa"/>
            <w:vMerge/>
            <w:vAlign w:val="center"/>
          </w:tcPr>
          <w:p w:rsidR="00A9507F" w:rsidRPr="00A82F8F" w:rsidRDefault="00A9507F" w:rsidP="009266F5">
            <w:pPr>
              <w:spacing w:after="0" w:line="240" w:lineRule="auto"/>
              <w:jc w:val="center"/>
              <w:rPr>
                <w:rFonts w:ascii="Calibri" w:hAnsi="Calibri"/>
                <w:sz w:val="20"/>
                <w:szCs w:val="20"/>
              </w:rPr>
            </w:pPr>
          </w:p>
        </w:tc>
        <w:tc>
          <w:tcPr>
            <w:tcW w:w="870" w:type="dxa"/>
          </w:tcPr>
          <w:p w:rsidR="00A9507F" w:rsidRPr="00A82F8F" w:rsidRDefault="00A9507F" w:rsidP="009266F5">
            <w:pPr>
              <w:spacing w:after="0" w:line="240" w:lineRule="auto"/>
              <w:rPr>
                <w:rFonts w:ascii="Calibri" w:hAnsi="Calibri"/>
                <w:sz w:val="20"/>
                <w:szCs w:val="20"/>
              </w:rPr>
            </w:pPr>
            <w:r w:rsidRPr="00A82F8F">
              <w:rPr>
                <w:rFonts w:ascii="Calibri" w:hAnsi="Calibri"/>
                <w:sz w:val="20"/>
                <w:szCs w:val="20"/>
              </w:rPr>
              <w:t>SGP</w:t>
            </w:r>
          </w:p>
        </w:tc>
        <w:tc>
          <w:tcPr>
            <w:tcW w:w="1049" w:type="dxa"/>
            <w:vAlign w:val="center"/>
          </w:tcPr>
          <w:p w:rsidR="00A9507F" w:rsidRPr="00163D95" w:rsidRDefault="00A9507F" w:rsidP="009266F5">
            <w:pPr>
              <w:spacing w:after="0" w:line="240" w:lineRule="auto"/>
              <w:jc w:val="center"/>
              <w:rPr>
                <w:rFonts w:ascii="Calibri" w:hAnsi="Calibri"/>
                <w:sz w:val="20"/>
                <w:szCs w:val="20"/>
              </w:rPr>
            </w:pPr>
            <w:r w:rsidRPr="00163D95">
              <w:rPr>
                <w:rFonts w:ascii="Calibri" w:hAnsi="Calibri"/>
                <w:sz w:val="20"/>
                <w:szCs w:val="20"/>
              </w:rPr>
              <w:t>567</w:t>
            </w:r>
          </w:p>
        </w:tc>
        <w:tc>
          <w:tcPr>
            <w:tcW w:w="918" w:type="dxa"/>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56.0</w:t>
            </w:r>
          </w:p>
        </w:tc>
        <w:tc>
          <w:tcPr>
            <w:tcW w:w="919" w:type="dxa"/>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64.0</w:t>
            </w:r>
          </w:p>
        </w:tc>
        <w:tc>
          <w:tcPr>
            <w:tcW w:w="919" w:type="dxa"/>
            <w:vAlign w:val="center"/>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60.0</w:t>
            </w:r>
          </w:p>
        </w:tc>
        <w:tc>
          <w:tcPr>
            <w:tcW w:w="919" w:type="dxa"/>
            <w:vAlign w:val="center"/>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51.0</w:t>
            </w:r>
          </w:p>
        </w:tc>
        <w:tc>
          <w:tcPr>
            <w:tcW w:w="1126" w:type="dxa"/>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-5.0</w:t>
            </w:r>
          </w:p>
        </w:tc>
        <w:tc>
          <w:tcPr>
            <w:tcW w:w="990" w:type="dxa"/>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-9.0</w:t>
            </w:r>
          </w:p>
        </w:tc>
      </w:tr>
      <w:tr w:rsidR="00A9507F" w:rsidRPr="009066CB" w:rsidTr="009266F5">
        <w:tc>
          <w:tcPr>
            <w:tcW w:w="461" w:type="dxa"/>
            <w:vMerge/>
            <w:vAlign w:val="center"/>
          </w:tcPr>
          <w:p w:rsidR="00A9507F" w:rsidRPr="00164FBF" w:rsidRDefault="00A9507F" w:rsidP="009266F5">
            <w:pPr>
              <w:spacing w:after="0" w:line="240" w:lineRule="auto"/>
              <w:jc w:val="center"/>
              <w:rPr>
                <w:rFonts w:ascii="Calibri" w:hAnsi="Calibri"/>
                <w:sz w:val="20"/>
                <w:szCs w:val="20"/>
              </w:rPr>
            </w:pPr>
          </w:p>
        </w:tc>
        <w:tc>
          <w:tcPr>
            <w:tcW w:w="757" w:type="dxa"/>
            <w:vMerge w:val="restart"/>
            <w:shd w:val="clear" w:color="auto" w:fill="D9D9D9" w:themeFill="background1" w:themeFillShade="D9"/>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PARCC</w:t>
            </w:r>
          </w:p>
        </w:tc>
        <w:tc>
          <w:tcPr>
            <w:tcW w:w="870" w:type="dxa"/>
            <w:shd w:val="clear" w:color="auto" w:fill="D9D9D9" w:themeFill="background1" w:themeFillShade="D9"/>
          </w:tcPr>
          <w:p w:rsidR="00A9507F" w:rsidRPr="00A82F8F" w:rsidRDefault="00A9507F" w:rsidP="009266F5">
            <w:pPr>
              <w:spacing w:after="0" w:line="240" w:lineRule="auto"/>
              <w:rPr>
                <w:rFonts w:ascii="Calibri" w:hAnsi="Calibri"/>
                <w:sz w:val="20"/>
                <w:szCs w:val="20"/>
              </w:rPr>
            </w:pPr>
            <w:r w:rsidRPr="00A82F8F">
              <w:rPr>
                <w:rFonts w:ascii="Calibri" w:hAnsi="Calibri"/>
                <w:sz w:val="20"/>
                <w:szCs w:val="20"/>
              </w:rPr>
              <w:t>CPI</w:t>
            </w:r>
          </w:p>
        </w:tc>
        <w:tc>
          <w:tcPr>
            <w:tcW w:w="1049" w:type="dxa"/>
            <w:shd w:val="clear" w:color="auto" w:fill="D9D9D9" w:themeFill="background1" w:themeFillShade="D9"/>
            <w:vAlign w:val="bottom"/>
          </w:tcPr>
          <w:p w:rsidR="00A9507F" w:rsidRPr="00163D95" w:rsidRDefault="00A9507F" w:rsidP="009266F5">
            <w:pPr>
              <w:spacing w:after="0" w:line="240" w:lineRule="auto"/>
              <w:jc w:val="center"/>
              <w:rPr>
                <w:rFonts w:ascii="Calibri" w:hAnsi="Calibri"/>
                <w:sz w:val="20"/>
                <w:szCs w:val="20"/>
              </w:rPr>
            </w:pPr>
            <w:r w:rsidRPr="00163D95">
              <w:rPr>
                <w:rFonts w:ascii="Calibri" w:hAnsi="Calibri"/>
                <w:sz w:val="20"/>
                <w:szCs w:val="20"/>
              </w:rPr>
              <w:t>1,034</w:t>
            </w:r>
          </w:p>
        </w:tc>
        <w:tc>
          <w:tcPr>
            <w:tcW w:w="918" w:type="dxa"/>
            <w:shd w:val="clear" w:color="auto" w:fill="D9D9D9" w:themeFill="background1" w:themeFillShade="D9"/>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76.9</w:t>
            </w:r>
          </w:p>
        </w:tc>
        <w:tc>
          <w:tcPr>
            <w:tcW w:w="919" w:type="dxa"/>
            <w:shd w:val="clear" w:color="auto" w:fill="D9D9D9" w:themeFill="background1" w:themeFillShade="D9"/>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79.6</w:t>
            </w:r>
          </w:p>
        </w:tc>
        <w:tc>
          <w:tcPr>
            <w:tcW w:w="919" w:type="dxa"/>
            <w:shd w:val="clear" w:color="auto" w:fill="D9D9D9" w:themeFill="background1" w:themeFillShade="D9"/>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76.6</w:t>
            </w:r>
          </w:p>
        </w:tc>
        <w:tc>
          <w:tcPr>
            <w:tcW w:w="919" w:type="dxa"/>
            <w:shd w:val="clear" w:color="auto" w:fill="D9D9D9" w:themeFill="background1" w:themeFillShade="D9"/>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80.9</w:t>
            </w:r>
          </w:p>
        </w:tc>
        <w:tc>
          <w:tcPr>
            <w:tcW w:w="1126" w:type="dxa"/>
            <w:shd w:val="clear" w:color="auto" w:fill="D9D9D9" w:themeFill="background1" w:themeFillShade="D9"/>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4.0</w:t>
            </w:r>
          </w:p>
        </w:tc>
        <w:tc>
          <w:tcPr>
            <w:tcW w:w="990" w:type="dxa"/>
            <w:shd w:val="clear" w:color="auto" w:fill="D9D9D9" w:themeFill="background1" w:themeFillShade="D9"/>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4.3</w:t>
            </w:r>
          </w:p>
        </w:tc>
      </w:tr>
      <w:tr w:rsidR="00A9507F" w:rsidRPr="009066CB" w:rsidTr="009266F5">
        <w:tc>
          <w:tcPr>
            <w:tcW w:w="461" w:type="dxa"/>
            <w:vMerge/>
            <w:vAlign w:val="center"/>
          </w:tcPr>
          <w:p w:rsidR="00A9507F" w:rsidRPr="00164FBF" w:rsidRDefault="00A9507F" w:rsidP="009266F5">
            <w:pPr>
              <w:spacing w:after="0" w:line="240" w:lineRule="auto"/>
              <w:jc w:val="center"/>
              <w:rPr>
                <w:rFonts w:ascii="Calibri" w:hAnsi="Calibri"/>
                <w:sz w:val="20"/>
                <w:szCs w:val="20"/>
              </w:rPr>
            </w:pPr>
          </w:p>
        </w:tc>
        <w:tc>
          <w:tcPr>
            <w:tcW w:w="757" w:type="dxa"/>
            <w:vMerge/>
            <w:shd w:val="clear" w:color="auto" w:fill="D9D9D9" w:themeFill="background1" w:themeFillShade="D9"/>
            <w:vAlign w:val="center"/>
          </w:tcPr>
          <w:p w:rsidR="00A9507F" w:rsidRPr="00A82F8F" w:rsidRDefault="00A9507F" w:rsidP="009266F5">
            <w:pPr>
              <w:spacing w:after="0" w:line="240" w:lineRule="auto"/>
              <w:jc w:val="center"/>
              <w:rPr>
                <w:rFonts w:ascii="Calibri" w:hAnsi="Calibri"/>
                <w:sz w:val="20"/>
                <w:szCs w:val="20"/>
              </w:rPr>
            </w:pPr>
          </w:p>
        </w:tc>
        <w:tc>
          <w:tcPr>
            <w:tcW w:w="870" w:type="dxa"/>
            <w:shd w:val="clear" w:color="auto" w:fill="D9D9D9" w:themeFill="background1" w:themeFillShade="D9"/>
          </w:tcPr>
          <w:p w:rsidR="00A9507F" w:rsidRPr="00A82F8F" w:rsidRDefault="00A9507F" w:rsidP="009266F5">
            <w:pPr>
              <w:spacing w:after="0" w:line="240" w:lineRule="auto"/>
              <w:rPr>
                <w:rFonts w:ascii="Calibri" w:hAnsi="Calibri"/>
                <w:sz w:val="20"/>
                <w:szCs w:val="20"/>
              </w:rPr>
            </w:pPr>
            <w:r w:rsidRPr="00A82F8F">
              <w:rPr>
                <w:rFonts w:ascii="Calibri" w:hAnsi="Calibri"/>
                <w:sz w:val="20"/>
                <w:szCs w:val="20"/>
              </w:rPr>
              <w:t>Lv 4&amp;5</w:t>
            </w:r>
          </w:p>
        </w:tc>
        <w:tc>
          <w:tcPr>
            <w:tcW w:w="1049" w:type="dxa"/>
            <w:shd w:val="clear" w:color="auto" w:fill="D9D9D9" w:themeFill="background1" w:themeFillShade="D9"/>
            <w:vAlign w:val="bottom"/>
          </w:tcPr>
          <w:p w:rsidR="00A9507F" w:rsidRPr="00163D95" w:rsidRDefault="00A9507F" w:rsidP="009266F5">
            <w:pPr>
              <w:spacing w:after="0" w:line="240" w:lineRule="auto"/>
              <w:jc w:val="center"/>
              <w:rPr>
                <w:rFonts w:ascii="Calibri" w:hAnsi="Calibri"/>
                <w:sz w:val="20"/>
                <w:szCs w:val="20"/>
              </w:rPr>
            </w:pPr>
            <w:r w:rsidRPr="00163D95">
              <w:rPr>
                <w:rFonts w:ascii="Calibri" w:hAnsi="Calibri"/>
                <w:sz w:val="20"/>
                <w:szCs w:val="20"/>
              </w:rPr>
              <w:t>1,004</w:t>
            </w:r>
          </w:p>
        </w:tc>
        <w:tc>
          <w:tcPr>
            <w:tcW w:w="918" w:type="dxa"/>
            <w:shd w:val="clear" w:color="auto" w:fill="D9D9D9" w:themeFill="background1" w:themeFillShade="D9"/>
            <w:vAlign w:val="bottom"/>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w:t>
            </w:r>
          </w:p>
        </w:tc>
        <w:tc>
          <w:tcPr>
            <w:tcW w:w="919" w:type="dxa"/>
            <w:shd w:val="clear" w:color="auto" w:fill="D9D9D9" w:themeFill="background1" w:themeFillShade="D9"/>
            <w:vAlign w:val="bottom"/>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w:t>
            </w:r>
          </w:p>
        </w:tc>
        <w:tc>
          <w:tcPr>
            <w:tcW w:w="919" w:type="dxa"/>
            <w:shd w:val="clear" w:color="auto" w:fill="D9D9D9" w:themeFill="background1" w:themeFillShade="D9"/>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40%</w:t>
            </w:r>
          </w:p>
        </w:tc>
        <w:tc>
          <w:tcPr>
            <w:tcW w:w="919" w:type="dxa"/>
            <w:shd w:val="clear" w:color="auto" w:fill="D9D9D9" w:themeFill="background1" w:themeFillShade="D9"/>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49%</w:t>
            </w:r>
          </w:p>
        </w:tc>
        <w:tc>
          <w:tcPr>
            <w:tcW w:w="1126" w:type="dxa"/>
            <w:shd w:val="clear" w:color="auto" w:fill="D9D9D9" w:themeFill="background1" w:themeFillShade="D9"/>
          </w:tcPr>
          <w:p w:rsidR="00A9507F" w:rsidRPr="00AA580B" w:rsidRDefault="00A9507F" w:rsidP="009266F5">
            <w:pPr>
              <w:spacing w:after="0" w:line="240" w:lineRule="auto"/>
              <w:jc w:val="center"/>
              <w:rPr>
                <w:rFonts w:ascii="Calibri" w:hAnsi="Calibri"/>
                <w:sz w:val="20"/>
                <w:szCs w:val="20"/>
              </w:rPr>
            </w:pPr>
            <w:r>
              <w:rPr>
                <w:rFonts w:ascii="Calibri" w:hAnsi="Calibri"/>
                <w:sz w:val="20"/>
                <w:szCs w:val="20"/>
              </w:rPr>
              <w:t>--</w:t>
            </w:r>
          </w:p>
        </w:tc>
        <w:tc>
          <w:tcPr>
            <w:tcW w:w="990" w:type="dxa"/>
            <w:shd w:val="clear" w:color="auto" w:fill="D9D9D9" w:themeFill="background1" w:themeFillShade="D9"/>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9%</w:t>
            </w:r>
          </w:p>
        </w:tc>
      </w:tr>
      <w:tr w:rsidR="00A9507F" w:rsidRPr="009066CB" w:rsidTr="009266F5">
        <w:tc>
          <w:tcPr>
            <w:tcW w:w="461" w:type="dxa"/>
            <w:vMerge/>
            <w:vAlign w:val="center"/>
          </w:tcPr>
          <w:p w:rsidR="00A9507F" w:rsidRPr="00164FBF" w:rsidRDefault="00A9507F" w:rsidP="009266F5">
            <w:pPr>
              <w:spacing w:after="0" w:line="240" w:lineRule="auto"/>
              <w:jc w:val="center"/>
              <w:rPr>
                <w:rFonts w:ascii="Calibri" w:hAnsi="Calibri"/>
                <w:sz w:val="20"/>
                <w:szCs w:val="20"/>
              </w:rPr>
            </w:pPr>
          </w:p>
        </w:tc>
        <w:tc>
          <w:tcPr>
            <w:tcW w:w="757" w:type="dxa"/>
            <w:vMerge/>
            <w:shd w:val="clear" w:color="auto" w:fill="D9D9D9" w:themeFill="background1" w:themeFillShade="D9"/>
            <w:vAlign w:val="center"/>
          </w:tcPr>
          <w:p w:rsidR="00A9507F" w:rsidRPr="00A82F8F" w:rsidRDefault="00A9507F" w:rsidP="009266F5">
            <w:pPr>
              <w:spacing w:after="0" w:line="240" w:lineRule="auto"/>
              <w:jc w:val="center"/>
              <w:rPr>
                <w:rFonts w:ascii="Calibri" w:hAnsi="Calibri"/>
                <w:sz w:val="20"/>
                <w:szCs w:val="20"/>
              </w:rPr>
            </w:pPr>
          </w:p>
        </w:tc>
        <w:tc>
          <w:tcPr>
            <w:tcW w:w="870" w:type="dxa"/>
            <w:shd w:val="clear" w:color="auto" w:fill="D9D9D9" w:themeFill="background1" w:themeFillShade="D9"/>
          </w:tcPr>
          <w:p w:rsidR="00A9507F" w:rsidRPr="00A82F8F" w:rsidRDefault="00A9507F" w:rsidP="009266F5">
            <w:pPr>
              <w:spacing w:after="0" w:line="240" w:lineRule="auto"/>
              <w:rPr>
                <w:rFonts w:ascii="Calibri" w:hAnsi="Calibri"/>
                <w:sz w:val="20"/>
                <w:szCs w:val="20"/>
              </w:rPr>
            </w:pPr>
            <w:r w:rsidRPr="00A82F8F">
              <w:rPr>
                <w:rFonts w:ascii="Calibri" w:hAnsi="Calibri"/>
                <w:sz w:val="20"/>
                <w:szCs w:val="20"/>
              </w:rPr>
              <w:t>SGP</w:t>
            </w:r>
          </w:p>
        </w:tc>
        <w:tc>
          <w:tcPr>
            <w:tcW w:w="1049" w:type="dxa"/>
            <w:shd w:val="clear" w:color="auto" w:fill="D9D9D9" w:themeFill="background1" w:themeFillShade="D9"/>
            <w:vAlign w:val="bottom"/>
          </w:tcPr>
          <w:p w:rsidR="00A9507F" w:rsidRPr="00163D95" w:rsidRDefault="00A9507F" w:rsidP="009266F5">
            <w:pPr>
              <w:spacing w:after="0" w:line="240" w:lineRule="auto"/>
              <w:jc w:val="center"/>
              <w:rPr>
                <w:rFonts w:ascii="Calibri" w:hAnsi="Calibri"/>
                <w:sz w:val="20"/>
                <w:szCs w:val="20"/>
              </w:rPr>
            </w:pPr>
            <w:r w:rsidRPr="00163D95">
              <w:rPr>
                <w:rFonts w:ascii="Calibri" w:hAnsi="Calibri"/>
                <w:sz w:val="20"/>
                <w:szCs w:val="20"/>
              </w:rPr>
              <w:t>903</w:t>
            </w:r>
          </w:p>
        </w:tc>
        <w:tc>
          <w:tcPr>
            <w:tcW w:w="918" w:type="dxa"/>
            <w:shd w:val="clear" w:color="auto" w:fill="D9D9D9" w:themeFill="background1" w:themeFillShade="D9"/>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56.0</w:t>
            </w:r>
          </w:p>
        </w:tc>
        <w:tc>
          <w:tcPr>
            <w:tcW w:w="919" w:type="dxa"/>
            <w:shd w:val="clear" w:color="auto" w:fill="D9D9D9" w:themeFill="background1" w:themeFillShade="D9"/>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64.0</w:t>
            </w:r>
          </w:p>
        </w:tc>
        <w:tc>
          <w:tcPr>
            <w:tcW w:w="919" w:type="dxa"/>
            <w:shd w:val="clear" w:color="auto" w:fill="D9D9D9" w:themeFill="background1" w:themeFillShade="D9"/>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57.0</w:t>
            </w:r>
          </w:p>
        </w:tc>
        <w:tc>
          <w:tcPr>
            <w:tcW w:w="919" w:type="dxa"/>
            <w:shd w:val="clear" w:color="auto" w:fill="D9D9D9" w:themeFill="background1" w:themeFillShade="D9"/>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66.0</w:t>
            </w:r>
          </w:p>
        </w:tc>
        <w:tc>
          <w:tcPr>
            <w:tcW w:w="1126" w:type="dxa"/>
            <w:shd w:val="clear" w:color="auto" w:fill="D9D9D9" w:themeFill="background1" w:themeFillShade="D9"/>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10.0</w:t>
            </w:r>
          </w:p>
        </w:tc>
        <w:tc>
          <w:tcPr>
            <w:tcW w:w="990" w:type="dxa"/>
            <w:shd w:val="clear" w:color="auto" w:fill="D9D9D9" w:themeFill="background1" w:themeFillShade="D9"/>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9.0</w:t>
            </w:r>
          </w:p>
        </w:tc>
      </w:tr>
      <w:tr w:rsidR="00A9507F" w:rsidRPr="009066CB" w:rsidTr="009266F5">
        <w:tc>
          <w:tcPr>
            <w:tcW w:w="461" w:type="dxa"/>
            <w:vMerge w:val="restart"/>
            <w:vAlign w:val="center"/>
          </w:tcPr>
          <w:p w:rsidR="00A9507F" w:rsidRPr="00164FBF" w:rsidRDefault="00A9507F" w:rsidP="009266F5">
            <w:pPr>
              <w:spacing w:after="0" w:line="240" w:lineRule="auto"/>
              <w:jc w:val="center"/>
              <w:rPr>
                <w:rFonts w:ascii="Calibri" w:hAnsi="Calibri"/>
                <w:sz w:val="20"/>
                <w:szCs w:val="20"/>
              </w:rPr>
            </w:pPr>
            <w:r w:rsidRPr="00164FBF">
              <w:rPr>
                <w:rFonts w:ascii="Calibri" w:hAnsi="Calibri"/>
                <w:sz w:val="20"/>
                <w:szCs w:val="20"/>
              </w:rPr>
              <w:t>7</w:t>
            </w:r>
          </w:p>
        </w:tc>
        <w:tc>
          <w:tcPr>
            <w:tcW w:w="757" w:type="dxa"/>
            <w:vMerge w:val="restart"/>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MCAS</w:t>
            </w:r>
          </w:p>
        </w:tc>
        <w:tc>
          <w:tcPr>
            <w:tcW w:w="870" w:type="dxa"/>
          </w:tcPr>
          <w:p w:rsidR="00A9507F" w:rsidRPr="00A82F8F" w:rsidRDefault="00A9507F" w:rsidP="009266F5">
            <w:pPr>
              <w:spacing w:after="0" w:line="240" w:lineRule="auto"/>
              <w:rPr>
                <w:rFonts w:ascii="Calibri" w:hAnsi="Calibri"/>
                <w:sz w:val="20"/>
                <w:szCs w:val="20"/>
              </w:rPr>
            </w:pPr>
            <w:r w:rsidRPr="00A82F8F">
              <w:rPr>
                <w:rFonts w:ascii="Calibri" w:hAnsi="Calibri"/>
                <w:sz w:val="20"/>
                <w:szCs w:val="20"/>
              </w:rPr>
              <w:t>CPI</w:t>
            </w:r>
          </w:p>
        </w:tc>
        <w:tc>
          <w:tcPr>
            <w:tcW w:w="1049" w:type="dxa"/>
            <w:vAlign w:val="center"/>
          </w:tcPr>
          <w:p w:rsidR="00A9507F" w:rsidRPr="00163D95" w:rsidRDefault="00A9507F" w:rsidP="009266F5">
            <w:pPr>
              <w:spacing w:after="0" w:line="240" w:lineRule="auto"/>
              <w:jc w:val="center"/>
              <w:rPr>
                <w:rFonts w:ascii="Calibri" w:hAnsi="Calibri"/>
                <w:sz w:val="20"/>
                <w:szCs w:val="20"/>
              </w:rPr>
            </w:pPr>
            <w:r>
              <w:rPr>
                <w:rFonts w:ascii="Calibri" w:hAnsi="Calibri"/>
                <w:sz w:val="20"/>
                <w:szCs w:val="20"/>
              </w:rPr>
              <w:t>--</w:t>
            </w:r>
          </w:p>
        </w:tc>
        <w:tc>
          <w:tcPr>
            <w:tcW w:w="918" w:type="dxa"/>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78.9</w:t>
            </w:r>
          </w:p>
        </w:tc>
        <w:tc>
          <w:tcPr>
            <w:tcW w:w="919" w:type="dxa"/>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79.1</w:t>
            </w:r>
          </w:p>
        </w:tc>
        <w:tc>
          <w:tcPr>
            <w:tcW w:w="919" w:type="dxa"/>
            <w:vAlign w:val="center"/>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77.7</w:t>
            </w:r>
          </w:p>
        </w:tc>
        <w:tc>
          <w:tcPr>
            <w:tcW w:w="919" w:type="dxa"/>
            <w:vAlign w:val="center"/>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w:t>
            </w:r>
          </w:p>
        </w:tc>
        <w:tc>
          <w:tcPr>
            <w:tcW w:w="1126" w:type="dxa"/>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w:t>
            </w:r>
          </w:p>
        </w:tc>
        <w:tc>
          <w:tcPr>
            <w:tcW w:w="990" w:type="dxa"/>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w:t>
            </w:r>
          </w:p>
        </w:tc>
      </w:tr>
      <w:tr w:rsidR="00A9507F" w:rsidRPr="009066CB" w:rsidTr="009266F5">
        <w:tc>
          <w:tcPr>
            <w:tcW w:w="461" w:type="dxa"/>
            <w:vMerge/>
            <w:vAlign w:val="center"/>
          </w:tcPr>
          <w:p w:rsidR="00A9507F" w:rsidRPr="00164FBF" w:rsidRDefault="00A9507F" w:rsidP="009266F5">
            <w:pPr>
              <w:spacing w:after="0" w:line="240" w:lineRule="auto"/>
              <w:jc w:val="center"/>
              <w:rPr>
                <w:rFonts w:ascii="Calibri" w:hAnsi="Calibri"/>
                <w:sz w:val="20"/>
                <w:szCs w:val="20"/>
              </w:rPr>
            </w:pPr>
          </w:p>
        </w:tc>
        <w:tc>
          <w:tcPr>
            <w:tcW w:w="757" w:type="dxa"/>
            <w:vMerge/>
            <w:vAlign w:val="center"/>
          </w:tcPr>
          <w:p w:rsidR="00A9507F" w:rsidRPr="00A82F8F" w:rsidRDefault="00A9507F" w:rsidP="009266F5">
            <w:pPr>
              <w:spacing w:after="0" w:line="240" w:lineRule="auto"/>
              <w:jc w:val="center"/>
              <w:rPr>
                <w:rFonts w:ascii="Calibri" w:hAnsi="Calibri"/>
                <w:sz w:val="20"/>
                <w:szCs w:val="20"/>
              </w:rPr>
            </w:pPr>
          </w:p>
        </w:tc>
        <w:tc>
          <w:tcPr>
            <w:tcW w:w="870" w:type="dxa"/>
          </w:tcPr>
          <w:p w:rsidR="00A9507F" w:rsidRPr="00A82F8F" w:rsidRDefault="00A9507F" w:rsidP="009266F5">
            <w:pPr>
              <w:spacing w:after="0" w:line="240" w:lineRule="auto"/>
              <w:rPr>
                <w:rFonts w:ascii="Calibri" w:hAnsi="Calibri"/>
                <w:sz w:val="20"/>
                <w:szCs w:val="20"/>
              </w:rPr>
            </w:pPr>
            <w:r w:rsidRPr="00A82F8F">
              <w:rPr>
                <w:rFonts w:ascii="Calibri" w:hAnsi="Calibri"/>
                <w:sz w:val="20"/>
                <w:szCs w:val="20"/>
              </w:rPr>
              <w:t>P+</w:t>
            </w:r>
          </w:p>
        </w:tc>
        <w:tc>
          <w:tcPr>
            <w:tcW w:w="1049" w:type="dxa"/>
            <w:vAlign w:val="center"/>
          </w:tcPr>
          <w:p w:rsidR="00A9507F" w:rsidRPr="00163D95" w:rsidRDefault="00A9507F" w:rsidP="009266F5">
            <w:pPr>
              <w:spacing w:after="0" w:line="240" w:lineRule="auto"/>
              <w:jc w:val="center"/>
              <w:rPr>
                <w:rFonts w:ascii="Calibri" w:hAnsi="Calibri"/>
                <w:sz w:val="20"/>
                <w:szCs w:val="20"/>
              </w:rPr>
            </w:pPr>
            <w:r>
              <w:rPr>
                <w:rFonts w:ascii="Calibri" w:hAnsi="Calibri"/>
                <w:sz w:val="20"/>
                <w:szCs w:val="20"/>
              </w:rPr>
              <w:t>--</w:t>
            </w:r>
          </w:p>
        </w:tc>
        <w:tc>
          <w:tcPr>
            <w:tcW w:w="918" w:type="dxa"/>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53%</w:t>
            </w:r>
          </w:p>
        </w:tc>
        <w:tc>
          <w:tcPr>
            <w:tcW w:w="919" w:type="dxa"/>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55%</w:t>
            </w:r>
          </w:p>
        </w:tc>
        <w:tc>
          <w:tcPr>
            <w:tcW w:w="919" w:type="dxa"/>
            <w:vAlign w:val="center"/>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51%</w:t>
            </w:r>
          </w:p>
        </w:tc>
        <w:tc>
          <w:tcPr>
            <w:tcW w:w="919" w:type="dxa"/>
            <w:vAlign w:val="center"/>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w:t>
            </w:r>
          </w:p>
        </w:tc>
        <w:tc>
          <w:tcPr>
            <w:tcW w:w="1126" w:type="dxa"/>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w:t>
            </w:r>
          </w:p>
        </w:tc>
        <w:tc>
          <w:tcPr>
            <w:tcW w:w="990" w:type="dxa"/>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w:t>
            </w:r>
          </w:p>
        </w:tc>
      </w:tr>
      <w:tr w:rsidR="00A9507F" w:rsidRPr="009066CB" w:rsidTr="009266F5">
        <w:tc>
          <w:tcPr>
            <w:tcW w:w="461" w:type="dxa"/>
            <w:vMerge/>
            <w:vAlign w:val="center"/>
          </w:tcPr>
          <w:p w:rsidR="00A9507F" w:rsidRPr="00164FBF" w:rsidRDefault="00A9507F" w:rsidP="009266F5">
            <w:pPr>
              <w:spacing w:after="0" w:line="240" w:lineRule="auto"/>
              <w:jc w:val="center"/>
              <w:rPr>
                <w:rFonts w:ascii="Calibri" w:hAnsi="Calibri"/>
                <w:sz w:val="20"/>
                <w:szCs w:val="20"/>
              </w:rPr>
            </w:pPr>
          </w:p>
        </w:tc>
        <w:tc>
          <w:tcPr>
            <w:tcW w:w="757" w:type="dxa"/>
            <w:vMerge/>
            <w:vAlign w:val="center"/>
          </w:tcPr>
          <w:p w:rsidR="00A9507F" w:rsidRPr="00A82F8F" w:rsidRDefault="00A9507F" w:rsidP="009266F5">
            <w:pPr>
              <w:spacing w:after="0" w:line="240" w:lineRule="auto"/>
              <w:jc w:val="center"/>
              <w:rPr>
                <w:rFonts w:ascii="Calibri" w:hAnsi="Calibri"/>
                <w:sz w:val="20"/>
                <w:szCs w:val="20"/>
              </w:rPr>
            </w:pPr>
          </w:p>
        </w:tc>
        <w:tc>
          <w:tcPr>
            <w:tcW w:w="870" w:type="dxa"/>
          </w:tcPr>
          <w:p w:rsidR="00A9507F" w:rsidRPr="00A82F8F" w:rsidRDefault="00A9507F" w:rsidP="009266F5">
            <w:pPr>
              <w:spacing w:after="0" w:line="240" w:lineRule="auto"/>
              <w:rPr>
                <w:rFonts w:ascii="Calibri" w:hAnsi="Calibri"/>
                <w:sz w:val="20"/>
                <w:szCs w:val="20"/>
              </w:rPr>
            </w:pPr>
            <w:r w:rsidRPr="00A82F8F">
              <w:rPr>
                <w:rFonts w:ascii="Calibri" w:hAnsi="Calibri"/>
                <w:sz w:val="20"/>
                <w:szCs w:val="20"/>
              </w:rPr>
              <w:t>SGP</w:t>
            </w:r>
          </w:p>
        </w:tc>
        <w:tc>
          <w:tcPr>
            <w:tcW w:w="1049" w:type="dxa"/>
            <w:vAlign w:val="center"/>
          </w:tcPr>
          <w:p w:rsidR="00A9507F" w:rsidRPr="00163D95" w:rsidRDefault="00A9507F" w:rsidP="009266F5">
            <w:pPr>
              <w:spacing w:after="0" w:line="240" w:lineRule="auto"/>
              <w:jc w:val="center"/>
              <w:rPr>
                <w:rFonts w:ascii="Calibri" w:hAnsi="Calibri"/>
                <w:sz w:val="20"/>
                <w:szCs w:val="20"/>
              </w:rPr>
            </w:pPr>
            <w:r>
              <w:rPr>
                <w:rFonts w:ascii="Calibri" w:hAnsi="Calibri"/>
                <w:sz w:val="20"/>
                <w:szCs w:val="20"/>
              </w:rPr>
              <w:t>--</w:t>
            </w:r>
          </w:p>
        </w:tc>
        <w:tc>
          <w:tcPr>
            <w:tcW w:w="918" w:type="dxa"/>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49.0</w:t>
            </w:r>
          </w:p>
        </w:tc>
        <w:tc>
          <w:tcPr>
            <w:tcW w:w="919" w:type="dxa"/>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51.0</w:t>
            </w:r>
          </w:p>
        </w:tc>
        <w:tc>
          <w:tcPr>
            <w:tcW w:w="919" w:type="dxa"/>
            <w:vAlign w:val="center"/>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30.0</w:t>
            </w:r>
          </w:p>
        </w:tc>
        <w:tc>
          <w:tcPr>
            <w:tcW w:w="919" w:type="dxa"/>
            <w:vAlign w:val="center"/>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w:t>
            </w:r>
          </w:p>
        </w:tc>
        <w:tc>
          <w:tcPr>
            <w:tcW w:w="1126" w:type="dxa"/>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w:t>
            </w:r>
          </w:p>
        </w:tc>
        <w:tc>
          <w:tcPr>
            <w:tcW w:w="990" w:type="dxa"/>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w:t>
            </w:r>
          </w:p>
        </w:tc>
      </w:tr>
      <w:tr w:rsidR="00A9507F" w:rsidRPr="009066CB" w:rsidTr="009266F5">
        <w:tc>
          <w:tcPr>
            <w:tcW w:w="461" w:type="dxa"/>
            <w:vMerge/>
            <w:vAlign w:val="center"/>
          </w:tcPr>
          <w:p w:rsidR="00A9507F" w:rsidRPr="00164FBF" w:rsidRDefault="00A9507F" w:rsidP="009266F5">
            <w:pPr>
              <w:spacing w:after="0" w:line="240" w:lineRule="auto"/>
              <w:jc w:val="center"/>
              <w:rPr>
                <w:rFonts w:ascii="Calibri" w:hAnsi="Calibri"/>
                <w:sz w:val="20"/>
                <w:szCs w:val="20"/>
              </w:rPr>
            </w:pPr>
          </w:p>
        </w:tc>
        <w:tc>
          <w:tcPr>
            <w:tcW w:w="757" w:type="dxa"/>
            <w:vMerge w:val="restart"/>
            <w:shd w:val="clear" w:color="auto" w:fill="D9D9D9" w:themeFill="background1" w:themeFillShade="D9"/>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PARCC</w:t>
            </w:r>
          </w:p>
        </w:tc>
        <w:tc>
          <w:tcPr>
            <w:tcW w:w="870" w:type="dxa"/>
            <w:shd w:val="clear" w:color="auto" w:fill="D9D9D9" w:themeFill="background1" w:themeFillShade="D9"/>
          </w:tcPr>
          <w:p w:rsidR="00A9507F" w:rsidRPr="00A82F8F" w:rsidRDefault="00A9507F" w:rsidP="009266F5">
            <w:pPr>
              <w:spacing w:after="0" w:line="240" w:lineRule="auto"/>
              <w:rPr>
                <w:rFonts w:ascii="Calibri" w:hAnsi="Calibri"/>
                <w:sz w:val="20"/>
                <w:szCs w:val="20"/>
              </w:rPr>
            </w:pPr>
            <w:r w:rsidRPr="00A82F8F">
              <w:rPr>
                <w:rFonts w:ascii="Calibri" w:hAnsi="Calibri"/>
                <w:sz w:val="20"/>
                <w:szCs w:val="20"/>
              </w:rPr>
              <w:t>CPI</w:t>
            </w:r>
          </w:p>
        </w:tc>
        <w:tc>
          <w:tcPr>
            <w:tcW w:w="1049" w:type="dxa"/>
            <w:shd w:val="clear" w:color="auto" w:fill="D9D9D9" w:themeFill="background1" w:themeFillShade="D9"/>
            <w:vAlign w:val="bottom"/>
          </w:tcPr>
          <w:p w:rsidR="00A9507F" w:rsidRPr="00163D95" w:rsidRDefault="00A9507F" w:rsidP="009266F5">
            <w:pPr>
              <w:spacing w:after="0" w:line="240" w:lineRule="auto"/>
              <w:jc w:val="center"/>
              <w:rPr>
                <w:rFonts w:ascii="Calibri" w:hAnsi="Calibri"/>
                <w:sz w:val="20"/>
                <w:szCs w:val="20"/>
              </w:rPr>
            </w:pPr>
            <w:r w:rsidRPr="00163D95">
              <w:rPr>
                <w:rFonts w:ascii="Calibri" w:hAnsi="Calibri"/>
                <w:sz w:val="20"/>
                <w:szCs w:val="20"/>
              </w:rPr>
              <w:t>1,545</w:t>
            </w:r>
          </w:p>
        </w:tc>
        <w:tc>
          <w:tcPr>
            <w:tcW w:w="918" w:type="dxa"/>
            <w:shd w:val="clear" w:color="auto" w:fill="D9D9D9" w:themeFill="background1" w:themeFillShade="D9"/>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78.9</w:t>
            </w:r>
          </w:p>
        </w:tc>
        <w:tc>
          <w:tcPr>
            <w:tcW w:w="919" w:type="dxa"/>
            <w:shd w:val="clear" w:color="auto" w:fill="D9D9D9" w:themeFill="background1" w:themeFillShade="D9"/>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79.1</w:t>
            </w:r>
          </w:p>
        </w:tc>
        <w:tc>
          <w:tcPr>
            <w:tcW w:w="919" w:type="dxa"/>
            <w:shd w:val="clear" w:color="auto" w:fill="D9D9D9" w:themeFill="background1" w:themeFillShade="D9"/>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79.8</w:t>
            </w:r>
          </w:p>
        </w:tc>
        <w:tc>
          <w:tcPr>
            <w:tcW w:w="919" w:type="dxa"/>
            <w:shd w:val="clear" w:color="auto" w:fill="D9D9D9" w:themeFill="background1" w:themeFillShade="D9"/>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80.0</w:t>
            </w:r>
          </w:p>
        </w:tc>
        <w:tc>
          <w:tcPr>
            <w:tcW w:w="1126" w:type="dxa"/>
            <w:shd w:val="clear" w:color="auto" w:fill="D9D9D9" w:themeFill="background1" w:themeFillShade="D9"/>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1.1</w:t>
            </w:r>
          </w:p>
        </w:tc>
        <w:tc>
          <w:tcPr>
            <w:tcW w:w="990" w:type="dxa"/>
            <w:shd w:val="clear" w:color="auto" w:fill="D9D9D9" w:themeFill="background1" w:themeFillShade="D9"/>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0.2</w:t>
            </w:r>
          </w:p>
        </w:tc>
      </w:tr>
      <w:tr w:rsidR="00A9507F" w:rsidRPr="009066CB" w:rsidTr="009266F5">
        <w:tc>
          <w:tcPr>
            <w:tcW w:w="461" w:type="dxa"/>
            <w:vMerge/>
            <w:vAlign w:val="center"/>
          </w:tcPr>
          <w:p w:rsidR="00A9507F" w:rsidRPr="00164FBF" w:rsidRDefault="00A9507F" w:rsidP="009266F5">
            <w:pPr>
              <w:spacing w:after="0" w:line="240" w:lineRule="auto"/>
              <w:jc w:val="center"/>
              <w:rPr>
                <w:rFonts w:ascii="Calibri" w:hAnsi="Calibri"/>
                <w:sz w:val="20"/>
                <w:szCs w:val="20"/>
              </w:rPr>
            </w:pPr>
          </w:p>
        </w:tc>
        <w:tc>
          <w:tcPr>
            <w:tcW w:w="757" w:type="dxa"/>
            <w:vMerge/>
            <w:shd w:val="clear" w:color="auto" w:fill="D9D9D9" w:themeFill="background1" w:themeFillShade="D9"/>
            <w:vAlign w:val="center"/>
          </w:tcPr>
          <w:p w:rsidR="00A9507F" w:rsidRPr="00A82F8F" w:rsidRDefault="00A9507F" w:rsidP="009266F5">
            <w:pPr>
              <w:spacing w:after="0" w:line="240" w:lineRule="auto"/>
              <w:jc w:val="center"/>
              <w:rPr>
                <w:rFonts w:ascii="Calibri" w:hAnsi="Calibri"/>
                <w:sz w:val="20"/>
                <w:szCs w:val="20"/>
              </w:rPr>
            </w:pPr>
          </w:p>
        </w:tc>
        <w:tc>
          <w:tcPr>
            <w:tcW w:w="870" w:type="dxa"/>
            <w:shd w:val="clear" w:color="auto" w:fill="D9D9D9" w:themeFill="background1" w:themeFillShade="D9"/>
          </w:tcPr>
          <w:p w:rsidR="00A9507F" w:rsidRPr="00A82F8F" w:rsidRDefault="00A9507F" w:rsidP="009266F5">
            <w:pPr>
              <w:spacing w:after="0" w:line="240" w:lineRule="auto"/>
              <w:rPr>
                <w:rFonts w:ascii="Calibri" w:hAnsi="Calibri"/>
                <w:sz w:val="20"/>
                <w:szCs w:val="20"/>
              </w:rPr>
            </w:pPr>
            <w:r w:rsidRPr="00A82F8F">
              <w:rPr>
                <w:rFonts w:ascii="Calibri" w:hAnsi="Calibri"/>
                <w:sz w:val="20"/>
                <w:szCs w:val="20"/>
              </w:rPr>
              <w:t>Lv 4&amp;5</w:t>
            </w:r>
          </w:p>
        </w:tc>
        <w:tc>
          <w:tcPr>
            <w:tcW w:w="1049" w:type="dxa"/>
            <w:shd w:val="clear" w:color="auto" w:fill="D9D9D9" w:themeFill="background1" w:themeFillShade="D9"/>
            <w:vAlign w:val="bottom"/>
          </w:tcPr>
          <w:p w:rsidR="00A9507F" w:rsidRPr="00163D95" w:rsidRDefault="00A9507F" w:rsidP="009266F5">
            <w:pPr>
              <w:spacing w:after="0" w:line="240" w:lineRule="auto"/>
              <w:jc w:val="center"/>
              <w:rPr>
                <w:rFonts w:ascii="Calibri" w:hAnsi="Calibri"/>
                <w:sz w:val="20"/>
                <w:szCs w:val="20"/>
              </w:rPr>
            </w:pPr>
            <w:r w:rsidRPr="00163D95">
              <w:rPr>
                <w:rFonts w:ascii="Calibri" w:hAnsi="Calibri"/>
                <w:sz w:val="20"/>
                <w:szCs w:val="20"/>
              </w:rPr>
              <w:t>1,500</w:t>
            </w:r>
          </w:p>
        </w:tc>
        <w:tc>
          <w:tcPr>
            <w:tcW w:w="918" w:type="dxa"/>
            <w:shd w:val="clear" w:color="auto" w:fill="D9D9D9" w:themeFill="background1" w:themeFillShade="D9"/>
            <w:vAlign w:val="bottom"/>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w:t>
            </w:r>
          </w:p>
        </w:tc>
        <w:tc>
          <w:tcPr>
            <w:tcW w:w="919" w:type="dxa"/>
            <w:shd w:val="clear" w:color="auto" w:fill="D9D9D9" w:themeFill="background1" w:themeFillShade="D9"/>
            <w:vAlign w:val="bottom"/>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w:t>
            </w:r>
          </w:p>
        </w:tc>
        <w:tc>
          <w:tcPr>
            <w:tcW w:w="919" w:type="dxa"/>
            <w:shd w:val="clear" w:color="auto" w:fill="D9D9D9" w:themeFill="background1" w:themeFillShade="D9"/>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49%</w:t>
            </w:r>
          </w:p>
        </w:tc>
        <w:tc>
          <w:tcPr>
            <w:tcW w:w="919" w:type="dxa"/>
            <w:shd w:val="clear" w:color="auto" w:fill="D9D9D9" w:themeFill="background1" w:themeFillShade="D9"/>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46%</w:t>
            </w:r>
          </w:p>
        </w:tc>
        <w:tc>
          <w:tcPr>
            <w:tcW w:w="1126" w:type="dxa"/>
            <w:shd w:val="clear" w:color="auto" w:fill="D9D9D9" w:themeFill="background1" w:themeFillShade="D9"/>
          </w:tcPr>
          <w:p w:rsidR="00A9507F" w:rsidRPr="00AA580B" w:rsidRDefault="00A9507F" w:rsidP="009266F5">
            <w:pPr>
              <w:spacing w:after="0" w:line="240" w:lineRule="auto"/>
              <w:jc w:val="center"/>
              <w:rPr>
                <w:rFonts w:ascii="Calibri" w:hAnsi="Calibri"/>
                <w:sz w:val="20"/>
                <w:szCs w:val="20"/>
              </w:rPr>
            </w:pPr>
            <w:r>
              <w:rPr>
                <w:rFonts w:ascii="Calibri" w:hAnsi="Calibri"/>
                <w:sz w:val="20"/>
                <w:szCs w:val="20"/>
              </w:rPr>
              <w:t>--</w:t>
            </w:r>
          </w:p>
        </w:tc>
        <w:tc>
          <w:tcPr>
            <w:tcW w:w="990" w:type="dxa"/>
            <w:shd w:val="clear" w:color="auto" w:fill="D9D9D9" w:themeFill="background1" w:themeFillShade="D9"/>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-3%</w:t>
            </w:r>
          </w:p>
        </w:tc>
      </w:tr>
      <w:tr w:rsidR="00A9507F" w:rsidRPr="009066CB" w:rsidTr="009266F5">
        <w:tc>
          <w:tcPr>
            <w:tcW w:w="461" w:type="dxa"/>
            <w:vMerge/>
            <w:vAlign w:val="center"/>
          </w:tcPr>
          <w:p w:rsidR="00A9507F" w:rsidRPr="00164FBF" w:rsidRDefault="00A9507F" w:rsidP="009266F5">
            <w:pPr>
              <w:spacing w:after="0" w:line="240" w:lineRule="auto"/>
              <w:jc w:val="center"/>
              <w:rPr>
                <w:rFonts w:ascii="Calibri" w:hAnsi="Calibri"/>
                <w:sz w:val="20"/>
                <w:szCs w:val="20"/>
              </w:rPr>
            </w:pPr>
          </w:p>
        </w:tc>
        <w:tc>
          <w:tcPr>
            <w:tcW w:w="757" w:type="dxa"/>
            <w:vMerge/>
            <w:shd w:val="clear" w:color="auto" w:fill="D9D9D9" w:themeFill="background1" w:themeFillShade="D9"/>
            <w:vAlign w:val="center"/>
          </w:tcPr>
          <w:p w:rsidR="00A9507F" w:rsidRPr="00A82F8F" w:rsidRDefault="00A9507F" w:rsidP="009266F5">
            <w:pPr>
              <w:spacing w:after="0" w:line="240" w:lineRule="auto"/>
              <w:jc w:val="center"/>
              <w:rPr>
                <w:rFonts w:ascii="Calibri" w:hAnsi="Calibri"/>
                <w:sz w:val="20"/>
                <w:szCs w:val="20"/>
              </w:rPr>
            </w:pPr>
          </w:p>
        </w:tc>
        <w:tc>
          <w:tcPr>
            <w:tcW w:w="870" w:type="dxa"/>
            <w:shd w:val="clear" w:color="auto" w:fill="D9D9D9" w:themeFill="background1" w:themeFillShade="D9"/>
          </w:tcPr>
          <w:p w:rsidR="00A9507F" w:rsidRPr="00A82F8F" w:rsidRDefault="00A9507F" w:rsidP="009266F5">
            <w:pPr>
              <w:spacing w:after="0" w:line="240" w:lineRule="auto"/>
              <w:rPr>
                <w:rFonts w:ascii="Calibri" w:hAnsi="Calibri"/>
                <w:sz w:val="20"/>
                <w:szCs w:val="20"/>
              </w:rPr>
            </w:pPr>
            <w:r w:rsidRPr="00A82F8F">
              <w:rPr>
                <w:rFonts w:ascii="Calibri" w:hAnsi="Calibri"/>
                <w:sz w:val="20"/>
                <w:szCs w:val="20"/>
              </w:rPr>
              <w:t>SGP</w:t>
            </w:r>
          </w:p>
        </w:tc>
        <w:tc>
          <w:tcPr>
            <w:tcW w:w="1049" w:type="dxa"/>
            <w:shd w:val="clear" w:color="auto" w:fill="D9D9D9" w:themeFill="background1" w:themeFillShade="D9"/>
            <w:vAlign w:val="bottom"/>
          </w:tcPr>
          <w:p w:rsidR="00A9507F" w:rsidRPr="00163D95" w:rsidRDefault="00A9507F" w:rsidP="009266F5">
            <w:pPr>
              <w:spacing w:after="0" w:line="240" w:lineRule="auto"/>
              <w:jc w:val="center"/>
              <w:rPr>
                <w:rFonts w:ascii="Calibri" w:hAnsi="Calibri"/>
                <w:sz w:val="20"/>
                <w:szCs w:val="20"/>
              </w:rPr>
            </w:pPr>
            <w:r w:rsidRPr="00163D95">
              <w:rPr>
                <w:rFonts w:ascii="Calibri" w:hAnsi="Calibri"/>
                <w:sz w:val="20"/>
                <w:szCs w:val="20"/>
              </w:rPr>
              <w:t>1,363</w:t>
            </w:r>
          </w:p>
        </w:tc>
        <w:tc>
          <w:tcPr>
            <w:tcW w:w="918" w:type="dxa"/>
            <w:shd w:val="clear" w:color="auto" w:fill="D9D9D9" w:themeFill="background1" w:themeFillShade="D9"/>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49.0</w:t>
            </w:r>
          </w:p>
        </w:tc>
        <w:tc>
          <w:tcPr>
            <w:tcW w:w="919" w:type="dxa"/>
            <w:shd w:val="clear" w:color="auto" w:fill="D9D9D9" w:themeFill="background1" w:themeFillShade="D9"/>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51.0</w:t>
            </w:r>
          </w:p>
        </w:tc>
        <w:tc>
          <w:tcPr>
            <w:tcW w:w="919" w:type="dxa"/>
            <w:shd w:val="clear" w:color="auto" w:fill="D9D9D9" w:themeFill="background1" w:themeFillShade="D9"/>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49.0</w:t>
            </w:r>
          </w:p>
        </w:tc>
        <w:tc>
          <w:tcPr>
            <w:tcW w:w="919" w:type="dxa"/>
            <w:shd w:val="clear" w:color="auto" w:fill="D9D9D9" w:themeFill="background1" w:themeFillShade="D9"/>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43.0</w:t>
            </w:r>
          </w:p>
        </w:tc>
        <w:tc>
          <w:tcPr>
            <w:tcW w:w="1126" w:type="dxa"/>
            <w:shd w:val="clear" w:color="auto" w:fill="D9D9D9" w:themeFill="background1" w:themeFillShade="D9"/>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-6.0</w:t>
            </w:r>
          </w:p>
        </w:tc>
        <w:tc>
          <w:tcPr>
            <w:tcW w:w="990" w:type="dxa"/>
            <w:shd w:val="clear" w:color="auto" w:fill="D9D9D9" w:themeFill="background1" w:themeFillShade="D9"/>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-6.0</w:t>
            </w:r>
          </w:p>
        </w:tc>
      </w:tr>
      <w:tr w:rsidR="00A9507F" w:rsidRPr="006E6CA2" w:rsidTr="009266F5">
        <w:tc>
          <w:tcPr>
            <w:tcW w:w="461" w:type="dxa"/>
            <w:vMerge w:val="restart"/>
            <w:vAlign w:val="center"/>
          </w:tcPr>
          <w:p w:rsidR="00A9507F" w:rsidRPr="00164FBF" w:rsidRDefault="00A9507F" w:rsidP="009266F5">
            <w:pPr>
              <w:spacing w:after="0" w:line="240" w:lineRule="auto"/>
              <w:jc w:val="center"/>
              <w:rPr>
                <w:rFonts w:ascii="Calibri" w:hAnsi="Calibri"/>
                <w:sz w:val="20"/>
                <w:szCs w:val="20"/>
              </w:rPr>
            </w:pPr>
            <w:r w:rsidRPr="00164FBF">
              <w:rPr>
                <w:rFonts w:ascii="Calibri" w:hAnsi="Calibri"/>
                <w:sz w:val="20"/>
                <w:szCs w:val="20"/>
              </w:rPr>
              <w:t>8</w:t>
            </w:r>
          </w:p>
        </w:tc>
        <w:tc>
          <w:tcPr>
            <w:tcW w:w="757" w:type="dxa"/>
            <w:vMerge w:val="restart"/>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MCAS</w:t>
            </w:r>
          </w:p>
        </w:tc>
        <w:tc>
          <w:tcPr>
            <w:tcW w:w="870" w:type="dxa"/>
          </w:tcPr>
          <w:p w:rsidR="00A9507F" w:rsidRPr="00A82F8F" w:rsidRDefault="00A9507F" w:rsidP="009266F5">
            <w:pPr>
              <w:spacing w:after="0" w:line="240" w:lineRule="auto"/>
              <w:rPr>
                <w:rFonts w:ascii="Calibri" w:hAnsi="Calibri"/>
                <w:sz w:val="20"/>
                <w:szCs w:val="20"/>
              </w:rPr>
            </w:pPr>
            <w:r w:rsidRPr="00A82F8F">
              <w:rPr>
                <w:rFonts w:ascii="Calibri" w:hAnsi="Calibri"/>
                <w:sz w:val="20"/>
                <w:szCs w:val="20"/>
              </w:rPr>
              <w:t>CPI</w:t>
            </w:r>
          </w:p>
        </w:tc>
        <w:tc>
          <w:tcPr>
            <w:tcW w:w="1049" w:type="dxa"/>
            <w:vAlign w:val="center"/>
          </w:tcPr>
          <w:p w:rsidR="00A9507F" w:rsidRPr="00163D95" w:rsidRDefault="00A9507F" w:rsidP="009266F5">
            <w:pPr>
              <w:spacing w:after="0" w:line="240" w:lineRule="auto"/>
              <w:jc w:val="center"/>
              <w:rPr>
                <w:rFonts w:ascii="Calibri" w:hAnsi="Calibri"/>
                <w:sz w:val="20"/>
                <w:szCs w:val="20"/>
              </w:rPr>
            </w:pPr>
            <w:r>
              <w:rPr>
                <w:rFonts w:ascii="Calibri" w:hAnsi="Calibri"/>
                <w:sz w:val="20"/>
                <w:szCs w:val="20"/>
              </w:rPr>
              <w:t>--</w:t>
            </w:r>
          </w:p>
        </w:tc>
        <w:tc>
          <w:tcPr>
            <w:tcW w:w="918" w:type="dxa"/>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79.5</w:t>
            </w:r>
          </w:p>
        </w:tc>
        <w:tc>
          <w:tcPr>
            <w:tcW w:w="919" w:type="dxa"/>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80.6</w:t>
            </w:r>
          </w:p>
        </w:tc>
        <w:tc>
          <w:tcPr>
            <w:tcW w:w="919" w:type="dxa"/>
            <w:vAlign w:val="center"/>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81.3</w:t>
            </w:r>
          </w:p>
        </w:tc>
        <w:tc>
          <w:tcPr>
            <w:tcW w:w="919" w:type="dxa"/>
            <w:vAlign w:val="center"/>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w:t>
            </w:r>
          </w:p>
        </w:tc>
        <w:tc>
          <w:tcPr>
            <w:tcW w:w="1126" w:type="dxa"/>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w:t>
            </w:r>
          </w:p>
        </w:tc>
        <w:tc>
          <w:tcPr>
            <w:tcW w:w="990" w:type="dxa"/>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w:t>
            </w:r>
          </w:p>
        </w:tc>
      </w:tr>
      <w:tr w:rsidR="00A9507F" w:rsidRPr="006E6CA2" w:rsidTr="009266F5">
        <w:tc>
          <w:tcPr>
            <w:tcW w:w="461" w:type="dxa"/>
            <w:vMerge/>
            <w:vAlign w:val="center"/>
          </w:tcPr>
          <w:p w:rsidR="00A9507F" w:rsidRPr="009066CB" w:rsidRDefault="00A9507F" w:rsidP="009266F5">
            <w:pPr>
              <w:spacing w:after="0" w:line="240" w:lineRule="auto"/>
              <w:jc w:val="center"/>
              <w:rPr>
                <w:rFonts w:ascii="Calibri" w:hAnsi="Calibri"/>
                <w:color w:val="FF0000"/>
                <w:sz w:val="20"/>
                <w:szCs w:val="20"/>
              </w:rPr>
            </w:pPr>
          </w:p>
        </w:tc>
        <w:tc>
          <w:tcPr>
            <w:tcW w:w="757" w:type="dxa"/>
            <w:vMerge/>
            <w:vAlign w:val="center"/>
          </w:tcPr>
          <w:p w:rsidR="00A9507F" w:rsidRPr="00A82F8F" w:rsidRDefault="00A9507F" w:rsidP="009266F5">
            <w:pPr>
              <w:spacing w:after="0" w:line="240" w:lineRule="auto"/>
              <w:jc w:val="center"/>
              <w:rPr>
                <w:rFonts w:ascii="Calibri" w:hAnsi="Calibri"/>
                <w:sz w:val="20"/>
                <w:szCs w:val="20"/>
              </w:rPr>
            </w:pPr>
          </w:p>
        </w:tc>
        <w:tc>
          <w:tcPr>
            <w:tcW w:w="870" w:type="dxa"/>
          </w:tcPr>
          <w:p w:rsidR="00A9507F" w:rsidRPr="00A82F8F" w:rsidRDefault="00A9507F" w:rsidP="009266F5">
            <w:pPr>
              <w:spacing w:after="0" w:line="240" w:lineRule="auto"/>
              <w:rPr>
                <w:rFonts w:ascii="Calibri" w:hAnsi="Calibri"/>
                <w:sz w:val="20"/>
                <w:szCs w:val="20"/>
              </w:rPr>
            </w:pPr>
            <w:r w:rsidRPr="00A82F8F">
              <w:rPr>
                <w:rFonts w:ascii="Calibri" w:hAnsi="Calibri"/>
                <w:sz w:val="20"/>
                <w:szCs w:val="20"/>
              </w:rPr>
              <w:t>P+</w:t>
            </w:r>
          </w:p>
        </w:tc>
        <w:tc>
          <w:tcPr>
            <w:tcW w:w="1049" w:type="dxa"/>
            <w:vAlign w:val="center"/>
          </w:tcPr>
          <w:p w:rsidR="00A9507F" w:rsidRPr="00163D95" w:rsidRDefault="00A9507F" w:rsidP="009266F5">
            <w:pPr>
              <w:spacing w:after="0" w:line="240" w:lineRule="auto"/>
              <w:jc w:val="center"/>
              <w:rPr>
                <w:rFonts w:ascii="Calibri" w:hAnsi="Calibri"/>
                <w:sz w:val="20"/>
                <w:szCs w:val="20"/>
              </w:rPr>
            </w:pPr>
            <w:r>
              <w:rPr>
                <w:rFonts w:ascii="Calibri" w:hAnsi="Calibri"/>
                <w:sz w:val="20"/>
                <w:szCs w:val="20"/>
              </w:rPr>
              <w:t>--</w:t>
            </w:r>
          </w:p>
        </w:tc>
        <w:tc>
          <w:tcPr>
            <w:tcW w:w="918" w:type="dxa"/>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59%</w:t>
            </w:r>
          </w:p>
        </w:tc>
        <w:tc>
          <w:tcPr>
            <w:tcW w:w="919" w:type="dxa"/>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61%</w:t>
            </w:r>
          </w:p>
        </w:tc>
        <w:tc>
          <w:tcPr>
            <w:tcW w:w="919" w:type="dxa"/>
            <w:vAlign w:val="center"/>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61%</w:t>
            </w:r>
          </w:p>
        </w:tc>
        <w:tc>
          <w:tcPr>
            <w:tcW w:w="919" w:type="dxa"/>
            <w:vAlign w:val="center"/>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w:t>
            </w:r>
          </w:p>
        </w:tc>
        <w:tc>
          <w:tcPr>
            <w:tcW w:w="1126" w:type="dxa"/>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w:t>
            </w:r>
          </w:p>
        </w:tc>
        <w:tc>
          <w:tcPr>
            <w:tcW w:w="990" w:type="dxa"/>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w:t>
            </w:r>
          </w:p>
        </w:tc>
      </w:tr>
      <w:tr w:rsidR="00A9507F" w:rsidRPr="006E6CA2" w:rsidTr="009266F5">
        <w:tc>
          <w:tcPr>
            <w:tcW w:w="461" w:type="dxa"/>
            <w:vMerge/>
            <w:vAlign w:val="center"/>
          </w:tcPr>
          <w:p w:rsidR="00A9507F" w:rsidRPr="009066CB" w:rsidRDefault="00A9507F" w:rsidP="009266F5">
            <w:pPr>
              <w:spacing w:after="0" w:line="240" w:lineRule="auto"/>
              <w:jc w:val="center"/>
              <w:rPr>
                <w:rFonts w:ascii="Calibri" w:hAnsi="Calibri"/>
                <w:color w:val="FF0000"/>
                <w:sz w:val="20"/>
                <w:szCs w:val="20"/>
              </w:rPr>
            </w:pPr>
          </w:p>
        </w:tc>
        <w:tc>
          <w:tcPr>
            <w:tcW w:w="757" w:type="dxa"/>
            <w:vMerge/>
            <w:vAlign w:val="center"/>
          </w:tcPr>
          <w:p w:rsidR="00A9507F" w:rsidRPr="00A82F8F" w:rsidRDefault="00A9507F" w:rsidP="009266F5">
            <w:pPr>
              <w:spacing w:after="0" w:line="240" w:lineRule="auto"/>
              <w:jc w:val="center"/>
              <w:rPr>
                <w:rFonts w:ascii="Calibri" w:hAnsi="Calibri"/>
                <w:sz w:val="20"/>
                <w:szCs w:val="20"/>
              </w:rPr>
            </w:pPr>
          </w:p>
        </w:tc>
        <w:tc>
          <w:tcPr>
            <w:tcW w:w="870" w:type="dxa"/>
          </w:tcPr>
          <w:p w:rsidR="00A9507F" w:rsidRPr="00A82F8F" w:rsidRDefault="00A9507F" w:rsidP="009266F5">
            <w:pPr>
              <w:spacing w:after="0" w:line="240" w:lineRule="auto"/>
              <w:rPr>
                <w:rFonts w:ascii="Calibri" w:hAnsi="Calibri"/>
                <w:sz w:val="20"/>
                <w:szCs w:val="20"/>
              </w:rPr>
            </w:pPr>
            <w:r w:rsidRPr="00A82F8F">
              <w:rPr>
                <w:rFonts w:ascii="Calibri" w:hAnsi="Calibri"/>
                <w:sz w:val="20"/>
                <w:szCs w:val="20"/>
              </w:rPr>
              <w:t>SGP</w:t>
            </w:r>
          </w:p>
        </w:tc>
        <w:tc>
          <w:tcPr>
            <w:tcW w:w="1049" w:type="dxa"/>
            <w:vAlign w:val="center"/>
          </w:tcPr>
          <w:p w:rsidR="00A9507F" w:rsidRPr="00163D95" w:rsidRDefault="00A9507F" w:rsidP="009266F5">
            <w:pPr>
              <w:spacing w:after="0" w:line="240" w:lineRule="auto"/>
              <w:jc w:val="center"/>
              <w:rPr>
                <w:rFonts w:ascii="Calibri" w:hAnsi="Calibri"/>
                <w:sz w:val="20"/>
                <w:szCs w:val="20"/>
              </w:rPr>
            </w:pPr>
            <w:r>
              <w:rPr>
                <w:rFonts w:ascii="Calibri" w:hAnsi="Calibri"/>
                <w:sz w:val="20"/>
                <w:szCs w:val="20"/>
              </w:rPr>
              <w:t>--</w:t>
            </w:r>
          </w:p>
        </w:tc>
        <w:tc>
          <w:tcPr>
            <w:tcW w:w="918" w:type="dxa"/>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45.0</w:t>
            </w:r>
          </w:p>
        </w:tc>
        <w:tc>
          <w:tcPr>
            <w:tcW w:w="919" w:type="dxa"/>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50.0</w:t>
            </w:r>
          </w:p>
        </w:tc>
        <w:tc>
          <w:tcPr>
            <w:tcW w:w="919" w:type="dxa"/>
            <w:vAlign w:val="center"/>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48.5</w:t>
            </w:r>
          </w:p>
        </w:tc>
        <w:tc>
          <w:tcPr>
            <w:tcW w:w="919" w:type="dxa"/>
            <w:vAlign w:val="center"/>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w:t>
            </w:r>
          </w:p>
        </w:tc>
        <w:tc>
          <w:tcPr>
            <w:tcW w:w="1126" w:type="dxa"/>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w:t>
            </w:r>
          </w:p>
        </w:tc>
        <w:tc>
          <w:tcPr>
            <w:tcW w:w="990" w:type="dxa"/>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w:t>
            </w:r>
          </w:p>
        </w:tc>
      </w:tr>
      <w:tr w:rsidR="00A9507F" w:rsidRPr="009066CB" w:rsidTr="009266F5">
        <w:tc>
          <w:tcPr>
            <w:tcW w:w="461" w:type="dxa"/>
            <w:vMerge/>
            <w:vAlign w:val="center"/>
          </w:tcPr>
          <w:p w:rsidR="00A9507F" w:rsidRPr="009066CB" w:rsidRDefault="00A9507F" w:rsidP="009266F5">
            <w:pPr>
              <w:spacing w:after="0" w:line="240" w:lineRule="auto"/>
              <w:jc w:val="center"/>
              <w:rPr>
                <w:rFonts w:ascii="Calibri" w:hAnsi="Calibri"/>
                <w:color w:val="FF0000"/>
                <w:sz w:val="20"/>
                <w:szCs w:val="20"/>
              </w:rPr>
            </w:pPr>
          </w:p>
        </w:tc>
        <w:tc>
          <w:tcPr>
            <w:tcW w:w="757" w:type="dxa"/>
            <w:vMerge w:val="restart"/>
            <w:shd w:val="clear" w:color="auto" w:fill="D9D9D9" w:themeFill="background1" w:themeFillShade="D9"/>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PARCC</w:t>
            </w:r>
          </w:p>
        </w:tc>
        <w:tc>
          <w:tcPr>
            <w:tcW w:w="870" w:type="dxa"/>
            <w:shd w:val="clear" w:color="auto" w:fill="D9D9D9" w:themeFill="background1" w:themeFillShade="D9"/>
          </w:tcPr>
          <w:p w:rsidR="00A9507F" w:rsidRPr="00A82F8F" w:rsidRDefault="00A9507F" w:rsidP="009266F5">
            <w:pPr>
              <w:spacing w:after="0" w:line="240" w:lineRule="auto"/>
              <w:rPr>
                <w:rFonts w:ascii="Calibri" w:hAnsi="Calibri"/>
                <w:sz w:val="20"/>
                <w:szCs w:val="20"/>
              </w:rPr>
            </w:pPr>
            <w:r w:rsidRPr="00A82F8F">
              <w:rPr>
                <w:rFonts w:ascii="Calibri" w:hAnsi="Calibri"/>
                <w:sz w:val="20"/>
                <w:szCs w:val="20"/>
              </w:rPr>
              <w:t>CPI</w:t>
            </w:r>
          </w:p>
        </w:tc>
        <w:tc>
          <w:tcPr>
            <w:tcW w:w="1049" w:type="dxa"/>
            <w:shd w:val="clear" w:color="auto" w:fill="D9D9D9" w:themeFill="background1" w:themeFillShade="D9"/>
            <w:vAlign w:val="bottom"/>
          </w:tcPr>
          <w:p w:rsidR="00A9507F" w:rsidRPr="00163D95" w:rsidRDefault="00A9507F" w:rsidP="009266F5">
            <w:pPr>
              <w:spacing w:after="0" w:line="240" w:lineRule="auto"/>
              <w:jc w:val="center"/>
              <w:rPr>
                <w:rFonts w:ascii="Calibri" w:hAnsi="Calibri"/>
                <w:sz w:val="20"/>
                <w:szCs w:val="20"/>
              </w:rPr>
            </w:pPr>
            <w:r w:rsidRPr="00163D95">
              <w:rPr>
                <w:rFonts w:ascii="Calibri" w:hAnsi="Calibri"/>
                <w:sz w:val="20"/>
                <w:szCs w:val="20"/>
              </w:rPr>
              <w:t>1,553</w:t>
            </w:r>
          </w:p>
        </w:tc>
        <w:tc>
          <w:tcPr>
            <w:tcW w:w="918" w:type="dxa"/>
            <w:shd w:val="clear" w:color="auto" w:fill="D9D9D9" w:themeFill="background1" w:themeFillShade="D9"/>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79.5</w:t>
            </w:r>
          </w:p>
        </w:tc>
        <w:tc>
          <w:tcPr>
            <w:tcW w:w="919" w:type="dxa"/>
            <w:shd w:val="clear" w:color="auto" w:fill="D9D9D9" w:themeFill="background1" w:themeFillShade="D9"/>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80.6</w:t>
            </w:r>
          </w:p>
        </w:tc>
        <w:tc>
          <w:tcPr>
            <w:tcW w:w="919" w:type="dxa"/>
            <w:shd w:val="clear" w:color="auto" w:fill="D9D9D9" w:themeFill="background1" w:themeFillShade="D9"/>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87.5</w:t>
            </w:r>
          </w:p>
        </w:tc>
        <w:tc>
          <w:tcPr>
            <w:tcW w:w="919" w:type="dxa"/>
            <w:shd w:val="clear" w:color="auto" w:fill="D9D9D9" w:themeFill="background1" w:themeFillShade="D9"/>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86.9</w:t>
            </w:r>
          </w:p>
        </w:tc>
        <w:tc>
          <w:tcPr>
            <w:tcW w:w="1126" w:type="dxa"/>
            <w:shd w:val="clear" w:color="auto" w:fill="D9D9D9" w:themeFill="background1" w:themeFillShade="D9"/>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7.4</w:t>
            </w:r>
          </w:p>
        </w:tc>
        <w:tc>
          <w:tcPr>
            <w:tcW w:w="990" w:type="dxa"/>
            <w:shd w:val="clear" w:color="auto" w:fill="D9D9D9" w:themeFill="background1" w:themeFillShade="D9"/>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-0.6</w:t>
            </w:r>
          </w:p>
        </w:tc>
      </w:tr>
      <w:tr w:rsidR="00A9507F" w:rsidRPr="009066CB" w:rsidTr="009266F5">
        <w:tc>
          <w:tcPr>
            <w:tcW w:w="461" w:type="dxa"/>
            <w:vMerge/>
            <w:vAlign w:val="center"/>
          </w:tcPr>
          <w:p w:rsidR="00A9507F" w:rsidRPr="009066CB" w:rsidRDefault="00A9507F" w:rsidP="009266F5">
            <w:pPr>
              <w:spacing w:after="0" w:line="240" w:lineRule="auto"/>
              <w:jc w:val="center"/>
              <w:rPr>
                <w:rFonts w:ascii="Calibri" w:hAnsi="Calibri"/>
                <w:color w:val="FF0000"/>
                <w:sz w:val="20"/>
                <w:szCs w:val="20"/>
              </w:rPr>
            </w:pPr>
          </w:p>
        </w:tc>
        <w:tc>
          <w:tcPr>
            <w:tcW w:w="757" w:type="dxa"/>
            <w:vMerge/>
            <w:shd w:val="clear" w:color="auto" w:fill="D9D9D9" w:themeFill="background1" w:themeFillShade="D9"/>
          </w:tcPr>
          <w:p w:rsidR="00A9507F" w:rsidRPr="009066CB" w:rsidRDefault="00A9507F" w:rsidP="009266F5">
            <w:pPr>
              <w:spacing w:after="0" w:line="240" w:lineRule="auto"/>
              <w:rPr>
                <w:rFonts w:ascii="Calibri" w:hAnsi="Calibri"/>
                <w:color w:val="FF0000"/>
                <w:sz w:val="20"/>
                <w:szCs w:val="20"/>
              </w:rPr>
            </w:pPr>
          </w:p>
        </w:tc>
        <w:tc>
          <w:tcPr>
            <w:tcW w:w="870" w:type="dxa"/>
            <w:shd w:val="clear" w:color="auto" w:fill="D9D9D9" w:themeFill="background1" w:themeFillShade="D9"/>
          </w:tcPr>
          <w:p w:rsidR="00A9507F" w:rsidRPr="00A82F8F" w:rsidRDefault="00A9507F" w:rsidP="009266F5">
            <w:pPr>
              <w:spacing w:after="0" w:line="240" w:lineRule="auto"/>
              <w:rPr>
                <w:rFonts w:ascii="Calibri" w:hAnsi="Calibri"/>
                <w:sz w:val="20"/>
                <w:szCs w:val="20"/>
              </w:rPr>
            </w:pPr>
            <w:r w:rsidRPr="00A82F8F">
              <w:rPr>
                <w:rFonts w:ascii="Calibri" w:hAnsi="Calibri"/>
                <w:sz w:val="20"/>
                <w:szCs w:val="20"/>
              </w:rPr>
              <w:t>Lv 4&amp;5</w:t>
            </w:r>
          </w:p>
        </w:tc>
        <w:tc>
          <w:tcPr>
            <w:tcW w:w="1049" w:type="dxa"/>
            <w:shd w:val="clear" w:color="auto" w:fill="D9D9D9" w:themeFill="background1" w:themeFillShade="D9"/>
            <w:vAlign w:val="bottom"/>
          </w:tcPr>
          <w:p w:rsidR="00A9507F" w:rsidRPr="00163D95" w:rsidRDefault="00A9507F" w:rsidP="009266F5">
            <w:pPr>
              <w:spacing w:after="0" w:line="240" w:lineRule="auto"/>
              <w:jc w:val="center"/>
              <w:rPr>
                <w:rFonts w:ascii="Calibri" w:hAnsi="Calibri"/>
                <w:sz w:val="20"/>
                <w:szCs w:val="20"/>
              </w:rPr>
            </w:pPr>
            <w:r w:rsidRPr="00163D95">
              <w:rPr>
                <w:rFonts w:ascii="Calibri" w:hAnsi="Calibri"/>
                <w:sz w:val="20"/>
                <w:szCs w:val="20"/>
              </w:rPr>
              <w:t>1,508</w:t>
            </w:r>
          </w:p>
        </w:tc>
        <w:tc>
          <w:tcPr>
            <w:tcW w:w="918" w:type="dxa"/>
            <w:shd w:val="clear" w:color="auto" w:fill="D9D9D9" w:themeFill="background1" w:themeFillShade="D9"/>
            <w:vAlign w:val="bottom"/>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w:t>
            </w:r>
          </w:p>
        </w:tc>
        <w:tc>
          <w:tcPr>
            <w:tcW w:w="919" w:type="dxa"/>
            <w:shd w:val="clear" w:color="auto" w:fill="D9D9D9" w:themeFill="background1" w:themeFillShade="D9"/>
            <w:vAlign w:val="bottom"/>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w:t>
            </w:r>
          </w:p>
        </w:tc>
        <w:tc>
          <w:tcPr>
            <w:tcW w:w="919" w:type="dxa"/>
            <w:shd w:val="clear" w:color="auto" w:fill="D9D9D9" w:themeFill="background1" w:themeFillShade="D9"/>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50%</w:t>
            </w:r>
          </w:p>
        </w:tc>
        <w:tc>
          <w:tcPr>
            <w:tcW w:w="919" w:type="dxa"/>
            <w:shd w:val="clear" w:color="auto" w:fill="D9D9D9" w:themeFill="background1" w:themeFillShade="D9"/>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50%</w:t>
            </w:r>
          </w:p>
        </w:tc>
        <w:tc>
          <w:tcPr>
            <w:tcW w:w="1126" w:type="dxa"/>
            <w:shd w:val="clear" w:color="auto" w:fill="D9D9D9" w:themeFill="background1" w:themeFillShade="D9"/>
          </w:tcPr>
          <w:p w:rsidR="00A9507F" w:rsidRPr="00AA580B" w:rsidRDefault="00A9507F" w:rsidP="009266F5">
            <w:pPr>
              <w:spacing w:after="0" w:line="240" w:lineRule="auto"/>
              <w:jc w:val="center"/>
              <w:rPr>
                <w:rFonts w:ascii="Calibri" w:hAnsi="Calibri"/>
                <w:sz w:val="20"/>
                <w:szCs w:val="20"/>
              </w:rPr>
            </w:pPr>
            <w:r>
              <w:rPr>
                <w:rFonts w:ascii="Calibri" w:hAnsi="Calibri"/>
                <w:sz w:val="20"/>
                <w:szCs w:val="20"/>
              </w:rPr>
              <w:t>--</w:t>
            </w:r>
          </w:p>
        </w:tc>
        <w:tc>
          <w:tcPr>
            <w:tcW w:w="990" w:type="dxa"/>
            <w:shd w:val="clear" w:color="auto" w:fill="D9D9D9" w:themeFill="background1" w:themeFillShade="D9"/>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0%</w:t>
            </w:r>
          </w:p>
        </w:tc>
      </w:tr>
      <w:tr w:rsidR="00A9507F" w:rsidRPr="009066CB" w:rsidTr="009266F5">
        <w:tc>
          <w:tcPr>
            <w:tcW w:w="461" w:type="dxa"/>
            <w:vMerge/>
            <w:vAlign w:val="center"/>
          </w:tcPr>
          <w:p w:rsidR="00A9507F" w:rsidRPr="009066CB" w:rsidRDefault="00A9507F" w:rsidP="009266F5">
            <w:pPr>
              <w:spacing w:after="0" w:line="240" w:lineRule="auto"/>
              <w:jc w:val="center"/>
              <w:rPr>
                <w:rFonts w:ascii="Calibri" w:hAnsi="Calibri"/>
                <w:color w:val="FF0000"/>
                <w:sz w:val="20"/>
                <w:szCs w:val="20"/>
              </w:rPr>
            </w:pPr>
          </w:p>
        </w:tc>
        <w:tc>
          <w:tcPr>
            <w:tcW w:w="757" w:type="dxa"/>
            <w:vMerge/>
            <w:shd w:val="clear" w:color="auto" w:fill="D9D9D9" w:themeFill="background1" w:themeFillShade="D9"/>
          </w:tcPr>
          <w:p w:rsidR="00A9507F" w:rsidRPr="009066CB" w:rsidRDefault="00A9507F" w:rsidP="009266F5">
            <w:pPr>
              <w:spacing w:after="0" w:line="240" w:lineRule="auto"/>
              <w:rPr>
                <w:rFonts w:ascii="Calibri" w:hAnsi="Calibri"/>
                <w:color w:val="FF0000"/>
                <w:sz w:val="20"/>
                <w:szCs w:val="20"/>
              </w:rPr>
            </w:pPr>
          </w:p>
        </w:tc>
        <w:tc>
          <w:tcPr>
            <w:tcW w:w="870" w:type="dxa"/>
            <w:shd w:val="clear" w:color="auto" w:fill="D9D9D9" w:themeFill="background1" w:themeFillShade="D9"/>
          </w:tcPr>
          <w:p w:rsidR="00A9507F" w:rsidRPr="00A82F8F" w:rsidRDefault="00A9507F" w:rsidP="009266F5">
            <w:pPr>
              <w:spacing w:after="0" w:line="240" w:lineRule="auto"/>
              <w:rPr>
                <w:rFonts w:ascii="Calibri" w:hAnsi="Calibri"/>
                <w:sz w:val="20"/>
                <w:szCs w:val="20"/>
              </w:rPr>
            </w:pPr>
            <w:r w:rsidRPr="00A82F8F">
              <w:rPr>
                <w:rFonts w:ascii="Calibri" w:hAnsi="Calibri"/>
                <w:sz w:val="20"/>
                <w:szCs w:val="20"/>
              </w:rPr>
              <w:t>SGP</w:t>
            </w:r>
          </w:p>
        </w:tc>
        <w:tc>
          <w:tcPr>
            <w:tcW w:w="1049" w:type="dxa"/>
            <w:shd w:val="clear" w:color="auto" w:fill="D9D9D9" w:themeFill="background1" w:themeFillShade="D9"/>
            <w:vAlign w:val="bottom"/>
          </w:tcPr>
          <w:p w:rsidR="00A9507F" w:rsidRPr="00163D95" w:rsidRDefault="00A9507F" w:rsidP="009266F5">
            <w:pPr>
              <w:spacing w:after="0" w:line="240" w:lineRule="auto"/>
              <w:jc w:val="center"/>
              <w:rPr>
                <w:rFonts w:ascii="Calibri" w:hAnsi="Calibri"/>
                <w:sz w:val="20"/>
                <w:szCs w:val="20"/>
              </w:rPr>
            </w:pPr>
            <w:r w:rsidRPr="00163D95">
              <w:rPr>
                <w:rFonts w:ascii="Calibri" w:hAnsi="Calibri"/>
                <w:sz w:val="20"/>
                <w:szCs w:val="20"/>
              </w:rPr>
              <w:t>1,373</w:t>
            </w:r>
          </w:p>
        </w:tc>
        <w:tc>
          <w:tcPr>
            <w:tcW w:w="918" w:type="dxa"/>
            <w:shd w:val="clear" w:color="auto" w:fill="D9D9D9" w:themeFill="background1" w:themeFillShade="D9"/>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45.0</w:t>
            </w:r>
          </w:p>
        </w:tc>
        <w:tc>
          <w:tcPr>
            <w:tcW w:w="919" w:type="dxa"/>
            <w:shd w:val="clear" w:color="auto" w:fill="D9D9D9" w:themeFill="background1" w:themeFillShade="D9"/>
            <w:vAlign w:val="center"/>
          </w:tcPr>
          <w:p w:rsidR="00A9507F" w:rsidRPr="00A82F8F" w:rsidRDefault="00A9507F" w:rsidP="009266F5">
            <w:pPr>
              <w:spacing w:after="0" w:line="240" w:lineRule="auto"/>
              <w:jc w:val="center"/>
              <w:rPr>
                <w:rFonts w:ascii="Calibri" w:hAnsi="Calibri"/>
                <w:sz w:val="20"/>
                <w:szCs w:val="20"/>
              </w:rPr>
            </w:pPr>
            <w:r w:rsidRPr="00A82F8F">
              <w:rPr>
                <w:rFonts w:ascii="Calibri" w:hAnsi="Calibri"/>
                <w:sz w:val="20"/>
                <w:szCs w:val="20"/>
              </w:rPr>
              <w:t>50.0</w:t>
            </w:r>
          </w:p>
        </w:tc>
        <w:tc>
          <w:tcPr>
            <w:tcW w:w="919" w:type="dxa"/>
            <w:shd w:val="clear" w:color="auto" w:fill="D9D9D9" w:themeFill="background1" w:themeFillShade="D9"/>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57.0</w:t>
            </w:r>
          </w:p>
        </w:tc>
        <w:tc>
          <w:tcPr>
            <w:tcW w:w="919" w:type="dxa"/>
            <w:shd w:val="clear" w:color="auto" w:fill="D9D9D9" w:themeFill="background1" w:themeFillShade="D9"/>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53.0</w:t>
            </w:r>
          </w:p>
        </w:tc>
        <w:tc>
          <w:tcPr>
            <w:tcW w:w="1126" w:type="dxa"/>
            <w:shd w:val="clear" w:color="auto" w:fill="D9D9D9" w:themeFill="background1" w:themeFillShade="D9"/>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8.0</w:t>
            </w:r>
          </w:p>
        </w:tc>
        <w:tc>
          <w:tcPr>
            <w:tcW w:w="990" w:type="dxa"/>
            <w:shd w:val="clear" w:color="auto" w:fill="D9D9D9" w:themeFill="background1" w:themeFillShade="D9"/>
            <w:vAlign w:val="bottom"/>
          </w:tcPr>
          <w:p w:rsidR="00A9507F" w:rsidRPr="00AA580B" w:rsidRDefault="00A9507F" w:rsidP="009266F5">
            <w:pPr>
              <w:spacing w:after="0" w:line="240" w:lineRule="auto"/>
              <w:jc w:val="center"/>
              <w:rPr>
                <w:rFonts w:ascii="Calibri" w:hAnsi="Calibri"/>
                <w:sz w:val="20"/>
                <w:szCs w:val="20"/>
              </w:rPr>
            </w:pPr>
            <w:r w:rsidRPr="00AA580B">
              <w:rPr>
                <w:rFonts w:ascii="Calibri" w:hAnsi="Calibri"/>
                <w:sz w:val="20"/>
                <w:szCs w:val="20"/>
              </w:rPr>
              <w:t>-4.0</w:t>
            </w:r>
          </w:p>
        </w:tc>
      </w:tr>
    </w:tbl>
    <w:p w:rsidR="00A9507F" w:rsidRDefault="00A9507F" w:rsidP="00A9507F">
      <w:pPr>
        <w:spacing w:after="0" w:line="240" w:lineRule="auto"/>
        <w:rPr>
          <w:rFonts w:ascii="Calibri" w:eastAsia="Times New Roman" w:hAnsi="Calibri" w:cs="Times New Roman"/>
          <w:sz w:val="20"/>
          <w:szCs w:val="20"/>
        </w:rPr>
      </w:pPr>
    </w:p>
    <w:p w:rsidR="00A9507F" w:rsidRDefault="00A9507F" w:rsidP="00A9507F">
      <w:pPr>
        <w:spacing w:after="0" w:line="240" w:lineRule="auto"/>
        <w:rPr>
          <w:rFonts w:ascii="Calibri" w:eastAsia="Times New Roman" w:hAnsi="Calibri" w:cs="Times New Roman"/>
          <w:sz w:val="20"/>
          <w:szCs w:val="20"/>
        </w:rPr>
      </w:pPr>
    </w:p>
    <w:p w:rsidR="00A9507F" w:rsidRDefault="00A9507F" w:rsidP="00A9507F">
      <w:pPr>
        <w:spacing w:after="0" w:line="240" w:lineRule="auto"/>
        <w:rPr>
          <w:rFonts w:ascii="Calibri" w:eastAsia="Times New Roman" w:hAnsi="Calibri" w:cs="Times New Roman"/>
          <w:sz w:val="20"/>
          <w:szCs w:val="20"/>
        </w:rPr>
      </w:pPr>
    </w:p>
    <w:p w:rsidR="00131E2D" w:rsidRPr="00B57E73" w:rsidRDefault="00131E2D" w:rsidP="00131E2D">
      <w:pPr>
        <w:spacing w:after="0"/>
        <w:rPr>
          <w:rFonts w:ascii="Calibri" w:eastAsia="Calibri" w:hAnsi="Calibri" w:cs="Times New Roman"/>
          <w:sz w:val="20"/>
        </w:rPr>
      </w:pPr>
    </w:p>
    <w:p w:rsidR="00F772DD" w:rsidRDefault="00F772DD">
      <w:pPr>
        <w:spacing w:after="0" w:line="240" w:lineRule="auto"/>
        <w:rPr>
          <w:rFonts w:ascii="Calibri" w:eastAsia="Calibri" w:hAnsi="Calibri" w:cs="Times New Roman"/>
          <w:sz w:val="20"/>
        </w:rPr>
      </w:pPr>
      <w:r>
        <w:rPr>
          <w:rFonts w:ascii="Calibri" w:eastAsia="Calibri" w:hAnsi="Calibri" w:cs="Times New Roman"/>
          <w:sz w:val="20"/>
        </w:rPr>
        <w:br w:type="page"/>
      </w:r>
    </w:p>
    <w:tbl>
      <w:tblPr>
        <w:tblStyle w:val="TableGrid"/>
        <w:tblW w:w="8928" w:type="dxa"/>
        <w:tblLook w:val="04A0"/>
      </w:tblPr>
      <w:tblGrid>
        <w:gridCol w:w="554"/>
        <w:gridCol w:w="724"/>
        <w:gridCol w:w="1396"/>
        <w:gridCol w:w="882"/>
        <w:gridCol w:w="883"/>
        <w:gridCol w:w="883"/>
        <w:gridCol w:w="883"/>
        <w:gridCol w:w="883"/>
        <w:gridCol w:w="884"/>
        <w:gridCol w:w="956"/>
      </w:tblGrid>
      <w:tr w:rsidR="00F772DD" w:rsidRPr="00F772DD" w:rsidTr="009266F5">
        <w:tc>
          <w:tcPr>
            <w:tcW w:w="8928" w:type="dxa"/>
            <w:gridSpan w:val="10"/>
            <w:tcBorders>
              <w:top w:val="nil"/>
              <w:left w:val="nil"/>
              <w:right w:val="nil"/>
            </w:tcBorders>
            <w:vAlign w:val="center"/>
          </w:tcPr>
          <w:p w:rsidR="00F772DD" w:rsidRPr="00F772DD" w:rsidRDefault="00F772DD" w:rsidP="00F772DD">
            <w:pPr>
              <w:spacing w:after="0" w:line="240" w:lineRule="auto"/>
              <w:jc w:val="center"/>
              <w:rPr>
                <w:rFonts w:ascii="Calibri" w:eastAsia="Calibri" w:hAnsi="Calibri"/>
                <w:b/>
                <w:sz w:val="20"/>
                <w:szCs w:val="20"/>
              </w:rPr>
            </w:pPr>
            <w:r w:rsidRPr="00F772DD">
              <w:rPr>
                <w:rFonts w:ascii="Calibri" w:eastAsia="Calibri" w:hAnsi="Calibri"/>
                <w:b/>
                <w:sz w:val="20"/>
                <w:szCs w:val="20"/>
              </w:rPr>
              <w:lastRenderedPageBreak/>
              <w:t xml:space="preserve">Table B2b: </w:t>
            </w:r>
            <w:r w:rsidRPr="00F772DD">
              <w:rPr>
                <w:rFonts w:ascii="Calibri" w:eastAsia="Calibri" w:hAnsi="Calibri" w:cs="Times New Roman"/>
                <w:b/>
                <w:sz w:val="20"/>
              </w:rPr>
              <w:t>Worcester</w:t>
            </w:r>
            <w:r w:rsidRPr="00F772DD">
              <w:rPr>
                <w:rFonts w:ascii="Calibri" w:eastAsia="Calibri" w:hAnsi="Calibri"/>
                <w:b/>
                <w:sz w:val="20"/>
                <w:szCs w:val="20"/>
              </w:rPr>
              <w:t xml:space="preserve"> Public Schools</w:t>
            </w:r>
          </w:p>
          <w:p w:rsidR="00F772DD" w:rsidRPr="00F772DD" w:rsidRDefault="00F772DD" w:rsidP="00F772DD">
            <w:pPr>
              <w:spacing w:after="0" w:line="240" w:lineRule="auto"/>
              <w:jc w:val="center"/>
              <w:rPr>
                <w:rFonts w:ascii="Calibri" w:eastAsia="Calibri" w:hAnsi="Calibri"/>
                <w:b/>
              </w:rPr>
            </w:pPr>
            <w:r w:rsidRPr="00F772DD">
              <w:rPr>
                <w:rFonts w:ascii="Calibri" w:eastAsia="Calibri" w:hAnsi="Calibri"/>
                <w:b/>
                <w:sz w:val="20"/>
                <w:szCs w:val="20"/>
              </w:rPr>
              <w:t>English Language Arts Performance, 2013–2016</w:t>
            </w:r>
            <w:r w:rsidRPr="00F772DD">
              <w:rPr>
                <w:rFonts w:ascii="Calibri" w:eastAsia="Calibri" w:hAnsi="Calibri"/>
                <w:b/>
                <w:sz w:val="20"/>
                <w:vertAlign w:val="superscript"/>
              </w:rPr>
              <w:footnoteReference w:id="23"/>
            </w:r>
          </w:p>
        </w:tc>
      </w:tr>
      <w:tr w:rsidR="00F772DD" w:rsidRPr="00F772DD" w:rsidTr="009266F5">
        <w:tc>
          <w:tcPr>
            <w:tcW w:w="1278" w:type="dxa"/>
            <w:gridSpan w:val="2"/>
            <w:vMerge w:val="restart"/>
            <w:vAlign w:val="center"/>
          </w:tcPr>
          <w:p w:rsidR="00F772DD" w:rsidRPr="00F772DD" w:rsidRDefault="00F772DD" w:rsidP="00F772DD">
            <w:pPr>
              <w:spacing w:after="0" w:line="240" w:lineRule="auto"/>
              <w:jc w:val="center"/>
              <w:rPr>
                <w:rFonts w:ascii="Calibri" w:hAnsi="Calibri"/>
                <w:b/>
                <w:sz w:val="20"/>
                <w:szCs w:val="20"/>
              </w:rPr>
            </w:pPr>
            <w:r w:rsidRPr="00F772DD">
              <w:rPr>
                <w:rFonts w:ascii="Calibri" w:hAnsi="Calibri"/>
                <w:b/>
                <w:sz w:val="20"/>
                <w:szCs w:val="20"/>
              </w:rPr>
              <w:t>Grade and Measure</w:t>
            </w:r>
          </w:p>
        </w:tc>
        <w:tc>
          <w:tcPr>
            <w:tcW w:w="1396" w:type="dxa"/>
            <w:vMerge w:val="restart"/>
            <w:vAlign w:val="center"/>
          </w:tcPr>
          <w:p w:rsidR="00F772DD" w:rsidRPr="00F772DD" w:rsidRDefault="00F772DD" w:rsidP="00F772DD">
            <w:pPr>
              <w:spacing w:after="0" w:line="240" w:lineRule="auto"/>
              <w:jc w:val="center"/>
              <w:rPr>
                <w:rFonts w:ascii="Calibri" w:hAnsi="Calibri"/>
                <w:b/>
                <w:sz w:val="20"/>
                <w:szCs w:val="20"/>
              </w:rPr>
            </w:pPr>
            <w:r w:rsidRPr="00F772DD">
              <w:rPr>
                <w:rFonts w:ascii="Calibri" w:hAnsi="Calibri"/>
                <w:b/>
                <w:sz w:val="20"/>
                <w:szCs w:val="20"/>
              </w:rPr>
              <w:t>Number Included (2016)</w:t>
            </w:r>
          </w:p>
        </w:tc>
        <w:tc>
          <w:tcPr>
            <w:tcW w:w="3531" w:type="dxa"/>
            <w:gridSpan w:val="4"/>
            <w:vMerge w:val="restart"/>
            <w:vAlign w:val="center"/>
          </w:tcPr>
          <w:p w:rsidR="00F772DD" w:rsidRPr="00F772DD" w:rsidRDefault="00F772DD" w:rsidP="00F772DD">
            <w:pPr>
              <w:spacing w:after="0" w:line="240" w:lineRule="auto"/>
              <w:jc w:val="center"/>
              <w:rPr>
                <w:rFonts w:ascii="Calibri" w:hAnsi="Calibri"/>
                <w:b/>
                <w:sz w:val="20"/>
                <w:szCs w:val="20"/>
              </w:rPr>
            </w:pPr>
            <w:r w:rsidRPr="00F772DD">
              <w:rPr>
                <w:rFonts w:ascii="Calibri" w:hAnsi="Calibri"/>
                <w:b/>
                <w:sz w:val="20"/>
                <w:szCs w:val="20"/>
              </w:rPr>
              <w:t>MCAS/Accountability Year</w:t>
            </w:r>
          </w:p>
        </w:tc>
        <w:tc>
          <w:tcPr>
            <w:tcW w:w="883" w:type="dxa"/>
            <w:shd w:val="clear" w:color="auto" w:fill="D9D9D9" w:themeFill="background1" w:themeFillShade="D9"/>
            <w:vAlign w:val="bottom"/>
          </w:tcPr>
          <w:p w:rsidR="00F772DD" w:rsidRPr="00F772DD" w:rsidRDefault="00F772DD" w:rsidP="00F772DD">
            <w:pPr>
              <w:spacing w:after="0" w:line="240" w:lineRule="auto"/>
              <w:jc w:val="center"/>
              <w:rPr>
                <w:rFonts w:ascii="Calibri" w:hAnsi="Calibri"/>
                <w:sz w:val="20"/>
                <w:szCs w:val="20"/>
              </w:rPr>
            </w:pPr>
          </w:p>
        </w:tc>
        <w:tc>
          <w:tcPr>
            <w:tcW w:w="1840" w:type="dxa"/>
            <w:gridSpan w:val="2"/>
            <w:vAlign w:val="bottom"/>
          </w:tcPr>
          <w:p w:rsidR="00F772DD" w:rsidRPr="00F772DD" w:rsidRDefault="00F772DD" w:rsidP="00F772DD">
            <w:pPr>
              <w:spacing w:after="0" w:line="240" w:lineRule="auto"/>
              <w:jc w:val="center"/>
              <w:rPr>
                <w:rFonts w:ascii="Calibri" w:hAnsi="Calibri"/>
                <w:b/>
                <w:sz w:val="20"/>
                <w:szCs w:val="20"/>
              </w:rPr>
            </w:pPr>
            <w:r w:rsidRPr="00F772DD">
              <w:rPr>
                <w:rFonts w:ascii="Calibri" w:hAnsi="Calibri"/>
                <w:b/>
                <w:sz w:val="20"/>
                <w:szCs w:val="20"/>
              </w:rPr>
              <w:t>Gains and Declines</w:t>
            </w:r>
          </w:p>
        </w:tc>
      </w:tr>
      <w:tr w:rsidR="00F772DD" w:rsidRPr="00F772DD" w:rsidTr="009266F5">
        <w:tc>
          <w:tcPr>
            <w:tcW w:w="1278" w:type="dxa"/>
            <w:gridSpan w:val="2"/>
            <w:vMerge/>
            <w:vAlign w:val="center"/>
          </w:tcPr>
          <w:p w:rsidR="00F772DD" w:rsidRPr="00F772DD" w:rsidRDefault="00F772DD" w:rsidP="00F772DD">
            <w:pPr>
              <w:spacing w:after="0" w:line="240" w:lineRule="auto"/>
              <w:rPr>
                <w:rFonts w:ascii="Calibri" w:hAnsi="Calibri"/>
                <w:sz w:val="20"/>
                <w:szCs w:val="20"/>
              </w:rPr>
            </w:pPr>
          </w:p>
        </w:tc>
        <w:tc>
          <w:tcPr>
            <w:tcW w:w="1396" w:type="dxa"/>
            <w:vMerge/>
            <w:vAlign w:val="bottom"/>
          </w:tcPr>
          <w:p w:rsidR="00F772DD" w:rsidRPr="00F772DD" w:rsidRDefault="00F772DD" w:rsidP="00F772DD">
            <w:pPr>
              <w:spacing w:after="0" w:line="240" w:lineRule="auto"/>
              <w:jc w:val="center"/>
              <w:rPr>
                <w:rFonts w:ascii="Calibri" w:hAnsi="Calibri"/>
                <w:sz w:val="20"/>
                <w:szCs w:val="20"/>
              </w:rPr>
            </w:pPr>
          </w:p>
        </w:tc>
        <w:tc>
          <w:tcPr>
            <w:tcW w:w="3531" w:type="dxa"/>
            <w:gridSpan w:val="4"/>
            <w:vMerge/>
            <w:vAlign w:val="bottom"/>
          </w:tcPr>
          <w:p w:rsidR="00F772DD" w:rsidRPr="00F772DD" w:rsidRDefault="00F772DD" w:rsidP="00F772DD">
            <w:pPr>
              <w:spacing w:after="0" w:line="240" w:lineRule="auto"/>
              <w:jc w:val="center"/>
              <w:rPr>
                <w:rFonts w:ascii="Calibri" w:hAnsi="Calibri"/>
                <w:sz w:val="20"/>
                <w:szCs w:val="20"/>
              </w:rPr>
            </w:pPr>
          </w:p>
        </w:tc>
        <w:tc>
          <w:tcPr>
            <w:tcW w:w="883" w:type="dxa"/>
            <w:shd w:val="clear" w:color="auto" w:fill="D9D9D9" w:themeFill="background1" w:themeFillShade="D9"/>
            <w:vAlign w:val="bottom"/>
          </w:tcPr>
          <w:p w:rsidR="00F772DD" w:rsidRPr="00F772DD" w:rsidRDefault="00F772DD" w:rsidP="00F772DD">
            <w:pPr>
              <w:spacing w:after="0" w:line="240" w:lineRule="auto"/>
              <w:jc w:val="center"/>
              <w:rPr>
                <w:rFonts w:ascii="Calibri" w:hAnsi="Calibri"/>
                <w:sz w:val="20"/>
                <w:szCs w:val="20"/>
              </w:rPr>
            </w:pPr>
          </w:p>
        </w:tc>
        <w:tc>
          <w:tcPr>
            <w:tcW w:w="884" w:type="dxa"/>
            <w:vMerge w:val="restart"/>
            <w:vAlign w:val="center"/>
          </w:tcPr>
          <w:p w:rsidR="00F772DD" w:rsidRPr="00F772DD" w:rsidRDefault="00F772DD" w:rsidP="00F772DD">
            <w:pPr>
              <w:spacing w:after="0" w:line="240" w:lineRule="auto"/>
              <w:jc w:val="center"/>
              <w:rPr>
                <w:rFonts w:ascii="Calibri" w:hAnsi="Calibri"/>
                <w:sz w:val="20"/>
                <w:szCs w:val="20"/>
              </w:rPr>
            </w:pPr>
            <w:r w:rsidRPr="00F772DD">
              <w:rPr>
                <w:rFonts w:ascii="Calibri" w:hAnsi="Calibri"/>
                <w:b/>
                <w:sz w:val="20"/>
                <w:szCs w:val="20"/>
              </w:rPr>
              <w:t>4-Year Trend</w:t>
            </w:r>
          </w:p>
        </w:tc>
        <w:tc>
          <w:tcPr>
            <w:tcW w:w="956" w:type="dxa"/>
            <w:vMerge w:val="restart"/>
            <w:vAlign w:val="center"/>
          </w:tcPr>
          <w:p w:rsidR="00F772DD" w:rsidRPr="00F772DD" w:rsidRDefault="00F772DD" w:rsidP="00F772DD">
            <w:pPr>
              <w:spacing w:after="0" w:line="240" w:lineRule="auto"/>
              <w:jc w:val="center"/>
              <w:rPr>
                <w:rFonts w:ascii="Calibri" w:hAnsi="Calibri"/>
                <w:sz w:val="20"/>
                <w:szCs w:val="20"/>
              </w:rPr>
            </w:pPr>
            <w:r w:rsidRPr="00F772DD">
              <w:rPr>
                <w:rFonts w:ascii="Calibri" w:hAnsi="Calibri"/>
                <w:b/>
                <w:sz w:val="20"/>
                <w:szCs w:val="20"/>
              </w:rPr>
              <w:t>2-Year Trend</w:t>
            </w:r>
          </w:p>
        </w:tc>
      </w:tr>
      <w:tr w:rsidR="00F772DD" w:rsidRPr="00F772DD" w:rsidTr="009266F5">
        <w:tc>
          <w:tcPr>
            <w:tcW w:w="1278" w:type="dxa"/>
            <w:gridSpan w:val="2"/>
            <w:vMerge/>
            <w:vAlign w:val="center"/>
          </w:tcPr>
          <w:p w:rsidR="00F772DD" w:rsidRPr="00F772DD" w:rsidRDefault="00F772DD" w:rsidP="00F772DD">
            <w:pPr>
              <w:spacing w:after="0" w:line="240" w:lineRule="auto"/>
              <w:rPr>
                <w:rFonts w:ascii="Calibri" w:hAnsi="Calibri"/>
                <w:sz w:val="20"/>
                <w:szCs w:val="20"/>
              </w:rPr>
            </w:pPr>
          </w:p>
        </w:tc>
        <w:tc>
          <w:tcPr>
            <w:tcW w:w="1396" w:type="dxa"/>
            <w:vMerge/>
            <w:vAlign w:val="bottom"/>
          </w:tcPr>
          <w:p w:rsidR="00F772DD" w:rsidRPr="00F772DD" w:rsidRDefault="00F772DD" w:rsidP="00F772DD">
            <w:pPr>
              <w:spacing w:after="0" w:line="240" w:lineRule="auto"/>
              <w:jc w:val="center"/>
              <w:rPr>
                <w:rFonts w:ascii="Calibri" w:hAnsi="Calibri"/>
                <w:sz w:val="20"/>
                <w:szCs w:val="20"/>
              </w:rPr>
            </w:pPr>
          </w:p>
        </w:tc>
        <w:tc>
          <w:tcPr>
            <w:tcW w:w="882" w:type="dxa"/>
            <w:vAlign w:val="center"/>
          </w:tcPr>
          <w:p w:rsidR="00F772DD" w:rsidRPr="00F772DD" w:rsidRDefault="00F772DD" w:rsidP="00F772DD">
            <w:pPr>
              <w:spacing w:after="0" w:line="240" w:lineRule="auto"/>
              <w:jc w:val="center"/>
              <w:rPr>
                <w:rFonts w:ascii="Calibri" w:hAnsi="Calibri"/>
                <w:b/>
                <w:sz w:val="20"/>
                <w:szCs w:val="20"/>
              </w:rPr>
            </w:pPr>
            <w:r w:rsidRPr="00F772DD">
              <w:rPr>
                <w:rFonts w:ascii="Calibri" w:hAnsi="Calibri"/>
                <w:b/>
                <w:sz w:val="20"/>
                <w:szCs w:val="20"/>
              </w:rPr>
              <w:t>2013</w:t>
            </w:r>
          </w:p>
        </w:tc>
        <w:tc>
          <w:tcPr>
            <w:tcW w:w="883" w:type="dxa"/>
            <w:vAlign w:val="center"/>
          </w:tcPr>
          <w:p w:rsidR="00F772DD" w:rsidRPr="00F772DD" w:rsidRDefault="00F772DD" w:rsidP="00F772DD">
            <w:pPr>
              <w:spacing w:after="0" w:line="240" w:lineRule="auto"/>
              <w:jc w:val="center"/>
              <w:rPr>
                <w:rFonts w:ascii="Calibri" w:hAnsi="Calibri"/>
                <w:b/>
                <w:sz w:val="20"/>
                <w:szCs w:val="20"/>
              </w:rPr>
            </w:pPr>
            <w:r w:rsidRPr="00F772DD">
              <w:rPr>
                <w:rFonts w:ascii="Calibri" w:hAnsi="Calibri"/>
                <w:b/>
                <w:sz w:val="20"/>
                <w:szCs w:val="20"/>
              </w:rPr>
              <w:t>2014</w:t>
            </w:r>
          </w:p>
        </w:tc>
        <w:tc>
          <w:tcPr>
            <w:tcW w:w="883" w:type="dxa"/>
            <w:vAlign w:val="center"/>
          </w:tcPr>
          <w:p w:rsidR="00F772DD" w:rsidRPr="00F772DD" w:rsidRDefault="00F772DD" w:rsidP="00F772DD">
            <w:pPr>
              <w:spacing w:after="0" w:line="240" w:lineRule="auto"/>
              <w:jc w:val="center"/>
              <w:rPr>
                <w:rFonts w:ascii="Calibri" w:hAnsi="Calibri"/>
                <w:b/>
                <w:sz w:val="20"/>
                <w:szCs w:val="20"/>
              </w:rPr>
            </w:pPr>
            <w:r w:rsidRPr="00F772DD">
              <w:rPr>
                <w:rFonts w:ascii="Calibri" w:hAnsi="Calibri"/>
                <w:b/>
                <w:sz w:val="20"/>
                <w:szCs w:val="20"/>
              </w:rPr>
              <w:t>2015</w:t>
            </w:r>
          </w:p>
        </w:tc>
        <w:tc>
          <w:tcPr>
            <w:tcW w:w="883" w:type="dxa"/>
            <w:vAlign w:val="center"/>
          </w:tcPr>
          <w:p w:rsidR="00F772DD" w:rsidRPr="00F772DD" w:rsidRDefault="00F772DD" w:rsidP="00F772DD">
            <w:pPr>
              <w:spacing w:after="0" w:line="240" w:lineRule="auto"/>
              <w:jc w:val="center"/>
              <w:rPr>
                <w:rFonts w:ascii="Calibri" w:hAnsi="Calibri"/>
                <w:b/>
                <w:sz w:val="20"/>
                <w:szCs w:val="20"/>
              </w:rPr>
            </w:pPr>
            <w:r w:rsidRPr="00F772DD">
              <w:rPr>
                <w:rFonts w:ascii="Calibri" w:hAnsi="Calibri"/>
                <w:b/>
                <w:sz w:val="20"/>
                <w:szCs w:val="20"/>
              </w:rPr>
              <w:t>2016</w:t>
            </w:r>
          </w:p>
        </w:tc>
        <w:tc>
          <w:tcPr>
            <w:tcW w:w="883" w:type="dxa"/>
            <w:shd w:val="clear" w:color="auto" w:fill="D9D9D9" w:themeFill="background1" w:themeFillShade="D9"/>
            <w:vAlign w:val="bottom"/>
          </w:tcPr>
          <w:p w:rsidR="00F772DD" w:rsidRPr="00F772DD" w:rsidRDefault="00F772DD" w:rsidP="00F772DD">
            <w:pPr>
              <w:spacing w:after="0" w:line="240" w:lineRule="auto"/>
              <w:jc w:val="center"/>
              <w:rPr>
                <w:rFonts w:ascii="Calibri" w:hAnsi="Calibri"/>
                <w:b/>
                <w:sz w:val="20"/>
                <w:szCs w:val="20"/>
              </w:rPr>
            </w:pPr>
            <w:r w:rsidRPr="00F772DD">
              <w:rPr>
                <w:rFonts w:ascii="Calibri" w:hAnsi="Calibri"/>
                <w:b/>
                <w:sz w:val="20"/>
                <w:szCs w:val="20"/>
              </w:rPr>
              <w:t>State (2016)</w:t>
            </w:r>
          </w:p>
        </w:tc>
        <w:tc>
          <w:tcPr>
            <w:tcW w:w="884" w:type="dxa"/>
            <w:vMerge/>
            <w:vAlign w:val="bottom"/>
          </w:tcPr>
          <w:p w:rsidR="00F772DD" w:rsidRPr="00F772DD" w:rsidRDefault="00F772DD" w:rsidP="00F772DD">
            <w:pPr>
              <w:spacing w:after="0" w:line="240" w:lineRule="auto"/>
              <w:jc w:val="center"/>
              <w:rPr>
                <w:rFonts w:ascii="Calibri" w:hAnsi="Calibri"/>
                <w:b/>
                <w:sz w:val="20"/>
                <w:szCs w:val="20"/>
              </w:rPr>
            </w:pPr>
          </w:p>
        </w:tc>
        <w:tc>
          <w:tcPr>
            <w:tcW w:w="956" w:type="dxa"/>
            <w:vMerge/>
            <w:vAlign w:val="bottom"/>
          </w:tcPr>
          <w:p w:rsidR="00F772DD" w:rsidRPr="00F772DD" w:rsidRDefault="00F772DD" w:rsidP="00F772DD">
            <w:pPr>
              <w:spacing w:after="0" w:line="240" w:lineRule="auto"/>
              <w:jc w:val="center"/>
              <w:rPr>
                <w:rFonts w:ascii="Calibri" w:hAnsi="Calibri"/>
                <w:b/>
                <w:sz w:val="20"/>
                <w:szCs w:val="20"/>
              </w:rPr>
            </w:pPr>
          </w:p>
        </w:tc>
      </w:tr>
      <w:tr w:rsidR="00F772DD" w:rsidRPr="00F772DD" w:rsidTr="009266F5">
        <w:tc>
          <w:tcPr>
            <w:tcW w:w="554" w:type="dxa"/>
            <w:vMerge w:val="restart"/>
            <w:vAlign w:val="center"/>
          </w:tcPr>
          <w:p w:rsidR="00F772DD" w:rsidRPr="00F772DD" w:rsidRDefault="00F772DD" w:rsidP="00F772DD">
            <w:pPr>
              <w:spacing w:after="0" w:line="240" w:lineRule="auto"/>
              <w:jc w:val="center"/>
              <w:rPr>
                <w:rFonts w:ascii="Calibri" w:hAnsi="Calibri"/>
                <w:sz w:val="20"/>
                <w:szCs w:val="20"/>
              </w:rPr>
            </w:pPr>
            <w:r w:rsidRPr="00F772DD">
              <w:rPr>
                <w:rFonts w:ascii="Calibri" w:hAnsi="Calibri"/>
                <w:sz w:val="20"/>
                <w:szCs w:val="20"/>
              </w:rPr>
              <w:t>10</w:t>
            </w:r>
          </w:p>
        </w:tc>
        <w:tc>
          <w:tcPr>
            <w:tcW w:w="724" w:type="dxa"/>
          </w:tcPr>
          <w:p w:rsidR="00F772DD" w:rsidRPr="00F772DD" w:rsidRDefault="00F772DD" w:rsidP="00F772DD">
            <w:pPr>
              <w:spacing w:after="0" w:line="240" w:lineRule="auto"/>
              <w:rPr>
                <w:rFonts w:ascii="Calibri" w:hAnsi="Calibri"/>
                <w:sz w:val="20"/>
                <w:szCs w:val="20"/>
              </w:rPr>
            </w:pPr>
            <w:r w:rsidRPr="00F772DD">
              <w:rPr>
                <w:rFonts w:ascii="Calibri" w:hAnsi="Calibri"/>
                <w:sz w:val="20"/>
                <w:szCs w:val="20"/>
              </w:rPr>
              <w:t>CPI</w:t>
            </w:r>
          </w:p>
        </w:tc>
        <w:tc>
          <w:tcPr>
            <w:tcW w:w="1396" w:type="dxa"/>
            <w:vAlign w:val="center"/>
          </w:tcPr>
          <w:p w:rsidR="00F772DD" w:rsidRPr="00F772DD" w:rsidRDefault="00F772DD" w:rsidP="00F772DD">
            <w:pPr>
              <w:spacing w:after="0" w:line="240" w:lineRule="auto"/>
              <w:jc w:val="center"/>
              <w:rPr>
                <w:rFonts w:ascii="Calibri" w:hAnsi="Calibri"/>
                <w:sz w:val="20"/>
                <w:szCs w:val="20"/>
              </w:rPr>
            </w:pPr>
            <w:r w:rsidRPr="00F772DD">
              <w:rPr>
                <w:rFonts w:ascii="Calibri" w:hAnsi="Calibri"/>
                <w:sz w:val="20"/>
                <w:szCs w:val="20"/>
              </w:rPr>
              <w:t>1,730</w:t>
            </w:r>
          </w:p>
        </w:tc>
        <w:tc>
          <w:tcPr>
            <w:tcW w:w="882" w:type="dxa"/>
            <w:vAlign w:val="center"/>
          </w:tcPr>
          <w:p w:rsidR="00F772DD" w:rsidRPr="00F772DD" w:rsidRDefault="00F772DD" w:rsidP="00F772DD">
            <w:pPr>
              <w:spacing w:after="0" w:line="240" w:lineRule="auto"/>
              <w:jc w:val="center"/>
              <w:rPr>
                <w:rFonts w:ascii="Calibri" w:hAnsi="Calibri"/>
                <w:sz w:val="20"/>
                <w:szCs w:val="20"/>
              </w:rPr>
            </w:pPr>
            <w:r w:rsidRPr="00F772DD">
              <w:rPr>
                <w:rFonts w:ascii="Calibri" w:hAnsi="Calibri"/>
                <w:sz w:val="20"/>
                <w:szCs w:val="20"/>
              </w:rPr>
              <w:t>92.1</w:t>
            </w:r>
          </w:p>
        </w:tc>
        <w:tc>
          <w:tcPr>
            <w:tcW w:w="883" w:type="dxa"/>
            <w:vAlign w:val="center"/>
          </w:tcPr>
          <w:p w:rsidR="00F772DD" w:rsidRPr="00F772DD" w:rsidRDefault="00F772DD" w:rsidP="00F772DD">
            <w:pPr>
              <w:spacing w:after="0" w:line="240" w:lineRule="auto"/>
              <w:jc w:val="center"/>
              <w:rPr>
                <w:rFonts w:ascii="Calibri" w:hAnsi="Calibri"/>
                <w:sz w:val="20"/>
                <w:szCs w:val="20"/>
              </w:rPr>
            </w:pPr>
            <w:r w:rsidRPr="00F772DD">
              <w:rPr>
                <w:rFonts w:ascii="Calibri" w:hAnsi="Calibri"/>
                <w:sz w:val="20"/>
                <w:szCs w:val="20"/>
              </w:rPr>
              <w:t>89.6</w:t>
            </w:r>
          </w:p>
        </w:tc>
        <w:tc>
          <w:tcPr>
            <w:tcW w:w="883" w:type="dxa"/>
            <w:vAlign w:val="center"/>
          </w:tcPr>
          <w:p w:rsidR="00F772DD" w:rsidRPr="00F772DD" w:rsidRDefault="00F772DD" w:rsidP="00F772DD">
            <w:pPr>
              <w:spacing w:after="0" w:line="240" w:lineRule="auto"/>
              <w:jc w:val="center"/>
              <w:rPr>
                <w:rFonts w:ascii="Calibri" w:hAnsi="Calibri"/>
                <w:sz w:val="20"/>
                <w:szCs w:val="20"/>
              </w:rPr>
            </w:pPr>
            <w:r w:rsidRPr="00F772DD">
              <w:rPr>
                <w:rFonts w:ascii="Calibri" w:hAnsi="Calibri"/>
                <w:sz w:val="20"/>
                <w:szCs w:val="20"/>
              </w:rPr>
              <w:t>92.0</w:t>
            </w:r>
          </w:p>
        </w:tc>
        <w:tc>
          <w:tcPr>
            <w:tcW w:w="883" w:type="dxa"/>
            <w:vAlign w:val="center"/>
          </w:tcPr>
          <w:p w:rsidR="00F772DD" w:rsidRPr="00F772DD" w:rsidRDefault="00F772DD" w:rsidP="00F772DD">
            <w:pPr>
              <w:spacing w:after="0" w:line="240" w:lineRule="auto"/>
              <w:jc w:val="center"/>
              <w:rPr>
                <w:rFonts w:ascii="Calibri" w:hAnsi="Calibri"/>
                <w:sz w:val="20"/>
                <w:szCs w:val="20"/>
              </w:rPr>
            </w:pPr>
            <w:r w:rsidRPr="00F772DD">
              <w:rPr>
                <w:rFonts w:ascii="Calibri" w:hAnsi="Calibri"/>
                <w:sz w:val="20"/>
                <w:szCs w:val="20"/>
              </w:rPr>
              <w:t>92.7</w:t>
            </w:r>
          </w:p>
        </w:tc>
        <w:tc>
          <w:tcPr>
            <w:tcW w:w="883" w:type="dxa"/>
            <w:shd w:val="clear" w:color="auto" w:fill="D9D9D9" w:themeFill="background1" w:themeFillShade="D9"/>
            <w:vAlign w:val="bottom"/>
          </w:tcPr>
          <w:p w:rsidR="00F772DD" w:rsidRPr="00F772DD" w:rsidRDefault="00F772DD" w:rsidP="00F772DD">
            <w:pPr>
              <w:spacing w:after="0" w:line="240" w:lineRule="auto"/>
              <w:jc w:val="center"/>
              <w:rPr>
                <w:rFonts w:ascii="Calibri" w:hAnsi="Calibri"/>
                <w:sz w:val="20"/>
                <w:szCs w:val="20"/>
              </w:rPr>
            </w:pPr>
            <w:r w:rsidRPr="00F772DD">
              <w:rPr>
                <w:rFonts w:ascii="Calibri" w:hAnsi="Calibri"/>
                <w:sz w:val="20"/>
                <w:szCs w:val="20"/>
              </w:rPr>
              <w:t>96.7</w:t>
            </w:r>
          </w:p>
        </w:tc>
        <w:tc>
          <w:tcPr>
            <w:tcW w:w="884" w:type="dxa"/>
            <w:vAlign w:val="center"/>
          </w:tcPr>
          <w:p w:rsidR="00F772DD" w:rsidRPr="00F772DD" w:rsidRDefault="00F772DD" w:rsidP="00F772DD">
            <w:pPr>
              <w:spacing w:after="0" w:line="240" w:lineRule="auto"/>
              <w:jc w:val="center"/>
              <w:rPr>
                <w:rFonts w:ascii="Calibri" w:hAnsi="Calibri"/>
                <w:sz w:val="20"/>
                <w:szCs w:val="20"/>
              </w:rPr>
            </w:pPr>
            <w:r w:rsidRPr="00F772DD">
              <w:rPr>
                <w:rFonts w:ascii="Calibri" w:hAnsi="Calibri"/>
                <w:sz w:val="20"/>
                <w:szCs w:val="20"/>
              </w:rPr>
              <w:t>0.6</w:t>
            </w:r>
          </w:p>
        </w:tc>
        <w:tc>
          <w:tcPr>
            <w:tcW w:w="956" w:type="dxa"/>
            <w:vAlign w:val="center"/>
          </w:tcPr>
          <w:p w:rsidR="00F772DD" w:rsidRPr="00F772DD" w:rsidRDefault="00F772DD" w:rsidP="00F772DD">
            <w:pPr>
              <w:spacing w:after="0" w:line="240" w:lineRule="auto"/>
              <w:jc w:val="center"/>
              <w:rPr>
                <w:rFonts w:ascii="Calibri" w:hAnsi="Calibri"/>
                <w:sz w:val="20"/>
                <w:szCs w:val="20"/>
              </w:rPr>
            </w:pPr>
            <w:r w:rsidRPr="00F772DD">
              <w:rPr>
                <w:rFonts w:ascii="Calibri" w:hAnsi="Calibri"/>
                <w:sz w:val="20"/>
                <w:szCs w:val="20"/>
              </w:rPr>
              <w:t>0.7</w:t>
            </w:r>
          </w:p>
        </w:tc>
      </w:tr>
      <w:tr w:rsidR="00F772DD" w:rsidRPr="00F772DD" w:rsidTr="009266F5">
        <w:tc>
          <w:tcPr>
            <w:tcW w:w="554" w:type="dxa"/>
            <w:vMerge/>
            <w:vAlign w:val="center"/>
          </w:tcPr>
          <w:p w:rsidR="00F772DD" w:rsidRPr="00F772DD" w:rsidRDefault="00F772DD" w:rsidP="00F772DD">
            <w:pPr>
              <w:spacing w:after="0" w:line="240" w:lineRule="auto"/>
              <w:jc w:val="center"/>
              <w:rPr>
                <w:rFonts w:ascii="Calibri" w:hAnsi="Calibri"/>
                <w:sz w:val="20"/>
                <w:szCs w:val="20"/>
              </w:rPr>
            </w:pPr>
          </w:p>
        </w:tc>
        <w:tc>
          <w:tcPr>
            <w:tcW w:w="724" w:type="dxa"/>
          </w:tcPr>
          <w:p w:rsidR="00F772DD" w:rsidRPr="00F772DD" w:rsidRDefault="00F772DD" w:rsidP="00F772DD">
            <w:pPr>
              <w:spacing w:after="0" w:line="240" w:lineRule="auto"/>
              <w:rPr>
                <w:rFonts w:ascii="Calibri" w:hAnsi="Calibri"/>
                <w:sz w:val="20"/>
                <w:szCs w:val="20"/>
              </w:rPr>
            </w:pPr>
            <w:r w:rsidRPr="00F772DD">
              <w:rPr>
                <w:rFonts w:ascii="Calibri" w:hAnsi="Calibri"/>
                <w:sz w:val="20"/>
                <w:szCs w:val="20"/>
              </w:rPr>
              <w:t>P+</w:t>
            </w:r>
          </w:p>
        </w:tc>
        <w:tc>
          <w:tcPr>
            <w:tcW w:w="1396" w:type="dxa"/>
            <w:vAlign w:val="center"/>
          </w:tcPr>
          <w:p w:rsidR="00F772DD" w:rsidRPr="00F772DD" w:rsidRDefault="00F772DD" w:rsidP="00F772DD">
            <w:pPr>
              <w:spacing w:after="0" w:line="240" w:lineRule="auto"/>
              <w:jc w:val="center"/>
              <w:rPr>
                <w:rFonts w:ascii="Calibri" w:hAnsi="Calibri"/>
                <w:sz w:val="20"/>
                <w:szCs w:val="20"/>
              </w:rPr>
            </w:pPr>
            <w:r w:rsidRPr="00F772DD">
              <w:rPr>
                <w:rFonts w:ascii="Calibri" w:hAnsi="Calibri"/>
                <w:sz w:val="20"/>
                <w:szCs w:val="20"/>
              </w:rPr>
              <w:t>1,730</w:t>
            </w:r>
          </w:p>
        </w:tc>
        <w:tc>
          <w:tcPr>
            <w:tcW w:w="882" w:type="dxa"/>
            <w:vAlign w:val="center"/>
          </w:tcPr>
          <w:p w:rsidR="00F772DD" w:rsidRPr="00F772DD" w:rsidRDefault="00F772DD" w:rsidP="00F772DD">
            <w:pPr>
              <w:spacing w:after="0" w:line="240" w:lineRule="auto"/>
              <w:jc w:val="center"/>
              <w:rPr>
                <w:rFonts w:ascii="Calibri" w:hAnsi="Calibri"/>
                <w:sz w:val="20"/>
                <w:szCs w:val="20"/>
              </w:rPr>
            </w:pPr>
            <w:r w:rsidRPr="00F772DD">
              <w:rPr>
                <w:rFonts w:ascii="Calibri" w:hAnsi="Calibri"/>
                <w:sz w:val="20"/>
                <w:szCs w:val="20"/>
              </w:rPr>
              <w:t>80%</w:t>
            </w:r>
          </w:p>
        </w:tc>
        <w:tc>
          <w:tcPr>
            <w:tcW w:w="883" w:type="dxa"/>
            <w:vAlign w:val="center"/>
          </w:tcPr>
          <w:p w:rsidR="00F772DD" w:rsidRPr="00F772DD" w:rsidRDefault="00F772DD" w:rsidP="00F772DD">
            <w:pPr>
              <w:spacing w:after="0" w:line="240" w:lineRule="auto"/>
              <w:jc w:val="center"/>
              <w:rPr>
                <w:rFonts w:ascii="Calibri" w:hAnsi="Calibri"/>
                <w:sz w:val="20"/>
                <w:szCs w:val="20"/>
              </w:rPr>
            </w:pPr>
            <w:r w:rsidRPr="00F772DD">
              <w:rPr>
                <w:rFonts w:ascii="Calibri" w:hAnsi="Calibri"/>
                <w:sz w:val="20"/>
                <w:szCs w:val="20"/>
              </w:rPr>
              <w:t>77%</w:t>
            </w:r>
          </w:p>
        </w:tc>
        <w:tc>
          <w:tcPr>
            <w:tcW w:w="883" w:type="dxa"/>
            <w:vAlign w:val="center"/>
          </w:tcPr>
          <w:p w:rsidR="00F772DD" w:rsidRPr="00F772DD" w:rsidRDefault="00F772DD" w:rsidP="00F772DD">
            <w:pPr>
              <w:spacing w:after="0" w:line="240" w:lineRule="auto"/>
              <w:jc w:val="center"/>
              <w:rPr>
                <w:rFonts w:ascii="Calibri" w:hAnsi="Calibri"/>
                <w:sz w:val="20"/>
                <w:szCs w:val="20"/>
              </w:rPr>
            </w:pPr>
            <w:r w:rsidRPr="00F772DD">
              <w:rPr>
                <w:rFonts w:ascii="Calibri" w:hAnsi="Calibri"/>
                <w:sz w:val="20"/>
                <w:szCs w:val="20"/>
              </w:rPr>
              <w:t>81%</w:t>
            </w:r>
          </w:p>
        </w:tc>
        <w:tc>
          <w:tcPr>
            <w:tcW w:w="883" w:type="dxa"/>
            <w:vAlign w:val="center"/>
          </w:tcPr>
          <w:p w:rsidR="00F772DD" w:rsidRPr="00F772DD" w:rsidRDefault="00F772DD" w:rsidP="00F772DD">
            <w:pPr>
              <w:spacing w:after="0" w:line="240" w:lineRule="auto"/>
              <w:jc w:val="center"/>
              <w:rPr>
                <w:rFonts w:ascii="Calibri" w:hAnsi="Calibri"/>
                <w:sz w:val="20"/>
                <w:szCs w:val="20"/>
              </w:rPr>
            </w:pPr>
            <w:r w:rsidRPr="00F772DD">
              <w:rPr>
                <w:rFonts w:ascii="Calibri" w:hAnsi="Calibri"/>
                <w:sz w:val="20"/>
                <w:szCs w:val="20"/>
              </w:rPr>
              <w:t>82%</w:t>
            </w:r>
          </w:p>
        </w:tc>
        <w:tc>
          <w:tcPr>
            <w:tcW w:w="883" w:type="dxa"/>
            <w:shd w:val="clear" w:color="auto" w:fill="D9D9D9" w:themeFill="background1" w:themeFillShade="D9"/>
            <w:vAlign w:val="bottom"/>
          </w:tcPr>
          <w:p w:rsidR="00F772DD" w:rsidRPr="00F772DD" w:rsidRDefault="00F772DD" w:rsidP="00F772DD">
            <w:pPr>
              <w:spacing w:after="0" w:line="240" w:lineRule="auto"/>
              <w:jc w:val="center"/>
              <w:rPr>
                <w:rFonts w:ascii="Calibri" w:hAnsi="Calibri"/>
                <w:sz w:val="20"/>
                <w:szCs w:val="20"/>
              </w:rPr>
            </w:pPr>
            <w:r w:rsidRPr="00F772DD">
              <w:rPr>
                <w:rFonts w:ascii="Calibri" w:hAnsi="Calibri"/>
                <w:sz w:val="20"/>
                <w:szCs w:val="20"/>
              </w:rPr>
              <w:t>91%</w:t>
            </w:r>
          </w:p>
        </w:tc>
        <w:tc>
          <w:tcPr>
            <w:tcW w:w="884" w:type="dxa"/>
            <w:vAlign w:val="center"/>
          </w:tcPr>
          <w:p w:rsidR="00F772DD" w:rsidRPr="00F772DD" w:rsidRDefault="00F772DD" w:rsidP="00F772DD">
            <w:pPr>
              <w:spacing w:after="0" w:line="240" w:lineRule="auto"/>
              <w:jc w:val="center"/>
              <w:rPr>
                <w:rFonts w:ascii="Calibri" w:hAnsi="Calibri"/>
                <w:sz w:val="20"/>
                <w:szCs w:val="20"/>
              </w:rPr>
            </w:pPr>
            <w:r w:rsidRPr="00F772DD">
              <w:rPr>
                <w:rFonts w:ascii="Calibri" w:hAnsi="Calibri"/>
                <w:sz w:val="20"/>
                <w:szCs w:val="20"/>
              </w:rPr>
              <w:t>2%</w:t>
            </w:r>
          </w:p>
        </w:tc>
        <w:tc>
          <w:tcPr>
            <w:tcW w:w="956" w:type="dxa"/>
            <w:vAlign w:val="center"/>
          </w:tcPr>
          <w:p w:rsidR="00F772DD" w:rsidRPr="00F772DD" w:rsidRDefault="00F772DD" w:rsidP="00F772DD">
            <w:pPr>
              <w:spacing w:after="0" w:line="240" w:lineRule="auto"/>
              <w:jc w:val="center"/>
              <w:rPr>
                <w:rFonts w:ascii="Calibri" w:hAnsi="Calibri"/>
                <w:sz w:val="20"/>
                <w:szCs w:val="20"/>
              </w:rPr>
            </w:pPr>
            <w:r w:rsidRPr="00F772DD">
              <w:rPr>
                <w:rFonts w:ascii="Calibri" w:hAnsi="Calibri"/>
                <w:sz w:val="20"/>
                <w:szCs w:val="20"/>
              </w:rPr>
              <w:t>1%</w:t>
            </w:r>
          </w:p>
        </w:tc>
      </w:tr>
      <w:tr w:rsidR="00F772DD" w:rsidRPr="00F772DD" w:rsidTr="009266F5">
        <w:tc>
          <w:tcPr>
            <w:tcW w:w="554" w:type="dxa"/>
            <w:vMerge/>
            <w:vAlign w:val="center"/>
          </w:tcPr>
          <w:p w:rsidR="00F772DD" w:rsidRPr="00F772DD" w:rsidRDefault="00F772DD" w:rsidP="00F772DD">
            <w:pPr>
              <w:spacing w:after="0" w:line="240" w:lineRule="auto"/>
              <w:jc w:val="center"/>
              <w:rPr>
                <w:rFonts w:ascii="Calibri" w:hAnsi="Calibri"/>
                <w:sz w:val="20"/>
                <w:szCs w:val="20"/>
              </w:rPr>
            </w:pPr>
          </w:p>
        </w:tc>
        <w:tc>
          <w:tcPr>
            <w:tcW w:w="724" w:type="dxa"/>
          </w:tcPr>
          <w:p w:rsidR="00F772DD" w:rsidRPr="00F772DD" w:rsidRDefault="00F772DD" w:rsidP="00F772DD">
            <w:pPr>
              <w:spacing w:after="0" w:line="240" w:lineRule="auto"/>
              <w:rPr>
                <w:rFonts w:ascii="Calibri" w:hAnsi="Calibri"/>
                <w:sz w:val="20"/>
                <w:szCs w:val="20"/>
              </w:rPr>
            </w:pPr>
            <w:r w:rsidRPr="00F772DD">
              <w:rPr>
                <w:rFonts w:ascii="Calibri" w:hAnsi="Calibri"/>
                <w:sz w:val="20"/>
                <w:szCs w:val="20"/>
              </w:rPr>
              <w:t>SGP</w:t>
            </w:r>
          </w:p>
        </w:tc>
        <w:tc>
          <w:tcPr>
            <w:tcW w:w="1396" w:type="dxa"/>
            <w:vAlign w:val="center"/>
          </w:tcPr>
          <w:p w:rsidR="00F772DD" w:rsidRPr="00F772DD" w:rsidRDefault="00F772DD" w:rsidP="00F772DD">
            <w:pPr>
              <w:spacing w:after="0" w:line="240" w:lineRule="auto"/>
              <w:jc w:val="center"/>
              <w:rPr>
                <w:rFonts w:ascii="Calibri" w:hAnsi="Calibri"/>
                <w:sz w:val="20"/>
                <w:szCs w:val="20"/>
              </w:rPr>
            </w:pPr>
            <w:r w:rsidRPr="00F772DD">
              <w:rPr>
                <w:rFonts w:ascii="Calibri" w:hAnsi="Calibri"/>
                <w:sz w:val="20"/>
                <w:szCs w:val="20"/>
              </w:rPr>
              <w:t>1,383</w:t>
            </w:r>
          </w:p>
        </w:tc>
        <w:tc>
          <w:tcPr>
            <w:tcW w:w="882" w:type="dxa"/>
            <w:vAlign w:val="center"/>
          </w:tcPr>
          <w:p w:rsidR="00F772DD" w:rsidRPr="00F772DD" w:rsidRDefault="00F772DD" w:rsidP="00F772DD">
            <w:pPr>
              <w:spacing w:after="0" w:line="240" w:lineRule="auto"/>
              <w:jc w:val="center"/>
              <w:rPr>
                <w:rFonts w:ascii="Calibri" w:hAnsi="Calibri"/>
                <w:sz w:val="20"/>
                <w:szCs w:val="20"/>
              </w:rPr>
            </w:pPr>
            <w:r w:rsidRPr="00F772DD">
              <w:rPr>
                <w:rFonts w:ascii="Calibri" w:hAnsi="Calibri"/>
                <w:sz w:val="20"/>
                <w:szCs w:val="20"/>
              </w:rPr>
              <w:t>57.0</w:t>
            </w:r>
          </w:p>
        </w:tc>
        <w:tc>
          <w:tcPr>
            <w:tcW w:w="883" w:type="dxa"/>
            <w:vAlign w:val="center"/>
          </w:tcPr>
          <w:p w:rsidR="00F772DD" w:rsidRPr="00F772DD" w:rsidRDefault="00F772DD" w:rsidP="00F772DD">
            <w:pPr>
              <w:spacing w:after="0" w:line="240" w:lineRule="auto"/>
              <w:jc w:val="center"/>
              <w:rPr>
                <w:rFonts w:ascii="Calibri" w:hAnsi="Calibri"/>
                <w:sz w:val="20"/>
                <w:szCs w:val="20"/>
              </w:rPr>
            </w:pPr>
            <w:r w:rsidRPr="00F772DD">
              <w:rPr>
                <w:rFonts w:ascii="Calibri" w:hAnsi="Calibri"/>
                <w:sz w:val="20"/>
                <w:szCs w:val="20"/>
              </w:rPr>
              <w:t>47.0</w:t>
            </w:r>
          </w:p>
        </w:tc>
        <w:tc>
          <w:tcPr>
            <w:tcW w:w="883" w:type="dxa"/>
            <w:vAlign w:val="center"/>
          </w:tcPr>
          <w:p w:rsidR="00F772DD" w:rsidRPr="00F772DD" w:rsidRDefault="00F772DD" w:rsidP="00F772DD">
            <w:pPr>
              <w:spacing w:after="0" w:line="240" w:lineRule="auto"/>
              <w:jc w:val="center"/>
              <w:rPr>
                <w:rFonts w:ascii="Calibri" w:hAnsi="Calibri"/>
                <w:sz w:val="20"/>
                <w:szCs w:val="20"/>
              </w:rPr>
            </w:pPr>
            <w:r w:rsidRPr="00F772DD">
              <w:rPr>
                <w:rFonts w:ascii="Calibri" w:hAnsi="Calibri"/>
                <w:sz w:val="20"/>
                <w:szCs w:val="20"/>
              </w:rPr>
              <w:t>52.0</w:t>
            </w:r>
          </w:p>
        </w:tc>
        <w:tc>
          <w:tcPr>
            <w:tcW w:w="883" w:type="dxa"/>
            <w:vAlign w:val="center"/>
          </w:tcPr>
          <w:p w:rsidR="00F772DD" w:rsidRPr="00F772DD" w:rsidRDefault="00F772DD" w:rsidP="00F772DD">
            <w:pPr>
              <w:spacing w:after="0" w:line="240" w:lineRule="auto"/>
              <w:jc w:val="center"/>
              <w:rPr>
                <w:rFonts w:ascii="Calibri" w:hAnsi="Calibri"/>
                <w:sz w:val="20"/>
                <w:szCs w:val="20"/>
              </w:rPr>
            </w:pPr>
            <w:r w:rsidRPr="00F772DD">
              <w:rPr>
                <w:rFonts w:ascii="Calibri" w:hAnsi="Calibri"/>
                <w:sz w:val="20"/>
                <w:szCs w:val="20"/>
              </w:rPr>
              <w:t>54.0</w:t>
            </w:r>
          </w:p>
        </w:tc>
        <w:tc>
          <w:tcPr>
            <w:tcW w:w="883" w:type="dxa"/>
            <w:shd w:val="clear" w:color="auto" w:fill="D9D9D9" w:themeFill="background1" w:themeFillShade="D9"/>
            <w:vAlign w:val="bottom"/>
          </w:tcPr>
          <w:p w:rsidR="00F772DD" w:rsidRPr="00F772DD" w:rsidRDefault="00F772DD" w:rsidP="00F772DD">
            <w:pPr>
              <w:spacing w:after="0" w:line="240" w:lineRule="auto"/>
              <w:jc w:val="center"/>
              <w:rPr>
                <w:rFonts w:ascii="Calibri" w:hAnsi="Calibri"/>
                <w:sz w:val="20"/>
                <w:szCs w:val="20"/>
              </w:rPr>
            </w:pPr>
            <w:r w:rsidRPr="00F772DD">
              <w:rPr>
                <w:rFonts w:ascii="Calibri" w:hAnsi="Calibri"/>
                <w:sz w:val="20"/>
                <w:szCs w:val="20"/>
              </w:rPr>
              <w:t>50.0</w:t>
            </w:r>
          </w:p>
        </w:tc>
        <w:tc>
          <w:tcPr>
            <w:tcW w:w="884" w:type="dxa"/>
            <w:vAlign w:val="center"/>
          </w:tcPr>
          <w:p w:rsidR="00F772DD" w:rsidRPr="00F772DD" w:rsidRDefault="00F772DD" w:rsidP="00F772DD">
            <w:pPr>
              <w:spacing w:after="0" w:line="240" w:lineRule="auto"/>
              <w:jc w:val="center"/>
              <w:rPr>
                <w:rFonts w:ascii="Calibri" w:hAnsi="Calibri"/>
                <w:sz w:val="20"/>
                <w:szCs w:val="20"/>
              </w:rPr>
            </w:pPr>
            <w:r w:rsidRPr="00F772DD">
              <w:rPr>
                <w:rFonts w:ascii="Calibri" w:hAnsi="Calibri"/>
                <w:sz w:val="20"/>
                <w:szCs w:val="20"/>
              </w:rPr>
              <w:t>-3.0</w:t>
            </w:r>
          </w:p>
        </w:tc>
        <w:tc>
          <w:tcPr>
            <w:tcW w:w="956" w:type="dxa"/>
            <w:vAlign w:val="center"/>
          </w:tcPr>
          <w:p w:rsidR="00F772DD" w:rsidRPr="00F772DD" w:rsidRDefault="00F772DD" w:rsidP="00F772DD">
            <w:pPr>
              <w:spacing w:after="0" w:line="240" w:lineRule="auto"/>
              <w:jc w:val="center"/>
              <w:rPr>
                <w:rFonts w:ascii="Calibri" w:hAnsi="Calibri"/>
                <w:sz w:val="20"/>
                <w:szCs w:val="20"/>
              </w:rPr>
            </w:pPr>
            <w:r w:rsidRPr="00F772DD">
              <w:rPr>
                <w:rFonts w:ascii="Calibri" w:hAnsi="Calibri"/>
                <w:sz w:val="20"/>
                <w:szCs w:val="20"/>
              </w:rPr>
              <w:t>2.0</w:t>
            </w:r>
          </w:p>
        </w:tc>
      </w:tr>
      <w:tr w:rsidR="00F772DD" w:rsidRPr="00F772DD" w:rsidTr="009266F5">
        <w:tc>
          <w:tcPr>
            <w:tcW w:w="554" w:type="dxa"/>
            <w:vMerge w:val="restart"/>
            <w:vAlign w:val="center"/>
          </w:tcPr>
          <w:p w:rsidR="00F772DD" w:rsidRPr="00F772DD" w:rsidRDefault="00F772DD" w:rsidP="00F772DD">
            <w:pPr>
              <w:spacing w:after="0" w:line="240" w:lineRule="auto"/>
              <w:jc w:val="center"/>
              <w:rPr>
                <w:rFonts w:ascii="Calibri" w:hAnsi="Calibri"/>
                <w:sz w:val="20"/>
                <w:szCs w:val="20"/>
              </w:rPr>
            </w:pPr>
            <w:r w:rsidRPr="00F772DD">
              <w:rPr>
                <w:rFonts w:ascii="Calibri" w:hAnsi="Calibri"/>
                <w:sz w:val="20"/>
                <w:szCs w:val="20"/>
              </w:rPr>
              <w:t>All</w:t>
            </w:r>
          </w:p>
        </w:tc>
        <w:tc>
          <w:tcPr>
            <w:tcW w:w="724" w:type="dxa"/>
          </w:tcPr>
          <w:p w:rsidR="00F772DD" w:rsidRPr="00F772DD" w:rsidRDefault="00F772DD" w:rsidP="00F772DD">
            <w:pPr>
              <w:spacing w:after="0" w:line="240" w:lineRule="auto"/>
              <w:rPr>
                <w:rFonts w:ascii="Calibri" w:hAnsi="Calibri"/>
                <w:sz w:val="20"/>
                <w:szCs w:val="20"/>
              </w:rPr>
            </w:pPr>
            <w:r w:rsidRPr="00F772DD">
              <w:rPr>
                <w:rFonts w:ascii="Calibri" w:hAnsi="Calibri"/>
                <w:sz w:val="20"/>
                <w:szCs w:val="20"/>
              </w:rPr>
              <w:t>CPI</w:t>
            </w:r>
          </w:p>
        </w:tc>
        <w:tc>
          <w:tcPr>
            <w:tcW w:w="1396" w:type="dxa"/>
            <w:vAlign w:val="center"/>
          </w:tcPr>
          <w:p w:rsidR="00F772DD" w:rsidRPr="00F772DD" w:rsidRDefault="00F772DD" w:rsidP="00F772DD">
            <w:pPr>
              <w:spacing w:after="0" w:line="240" w:lineRule="auto"/>
              <w:jc w:val="center"/>
              <w:rPr>
                <w:rFonts w:ascii="Calibri" w:hAnsi="Calibri"/>
                <w:sz w:val="20"/>
                <w:szCs w:val="20"/>
              </w:rPr>
            </w:pPr>
            <w:r w:rsidRPr="00F772DD">
              <w:rPr>
                <w:rFonts w:ascii="Calibri" w:hAnsi="Calibri"/>
                <w:sz w:val="20"/>
                <w:szCs w:val="20"/>
              </w:rPr>
              <w:t>12,107</w:t>
            </w:r>
          </w:p>
        </w:tc>
        <w:tc>
          <w:tcPr>
            <w:tcW w:w="882" w:type="dxa"/>
            <w:vAlign w:val="center"/>
          </w:tcPr>
          <w:p w:rsidR="00F772DD" w:rsidRPr="00F772DD" w:rsidRDefault="00F772DD" w:rsidP="00F772DD">
            <w:pPr>
              <w:spacing w:after="0" w:line="240" w:lineRule="auto"/>
              <w:jc w:val="center"/>
              <w:rPr>
                <w:rFonts w:ascii="Calibri" w:hAnsi="Calibri"/>
                <w:sz w:val="20"/>
                <w:szCs w:val="20"/>
              </w:rPr>
            </w:pPr>
            <w:r w:rsidRPr="00F772DD">
              <w:rPr>
                <w:rFonts w:ascii="Calibri" w:hAnsi="Calibri"/>
                <w:sz w:val="20"/>
                <w:szCs w:val="20"/>
              </w:rPr>
              <w:t>77.1</w:t>
            </w:r>
          </w:p>
        </w:tc>
        <w:tc>
          <w:tcPr>
            <w:tcW w:w="883" w:type="dxa"/>
            <w:vAlign w:val="center"/>
          </w:tcPr>
          <w:p w:rsidR="00F772DD" w:rsidRPr="00F772DD" w:rsidRDefault="00F772DD" w:rsidP="00F772DD">
            <w:pPr>
              <w:spacing w:after="0" w:line="240" w:lineRule="auto"/>
              <w:jc w:val="center"/>
              <w:rPr>
                <w:rFonts w:ascii="Calibri" w:hAnsi="Calibri"/>
                <w:sz w:val="20"/>
                <w:szCs w:val="20"/>
              </w:rPr>
            </w:pPr>
            <w:r w:rsidRPr="00F772DD">
              <w:rPr>
                <w:rFonts w:ascii="Calibri" w:hAnsi="Calibri"/>
                <w:sz w:val="20"/>
                <w:szCs w:val="20"/>
              </w:rPr>
              <w:t>77.1</w:t>
            </w:r>
          </w:p>
        </w:tc>
        <w:tc>
          <w:tcPr>
            <w:tcW w:w="883" w:type="dxa"/>
            <w:vAlign w:val="center"/>
          </w:tcPr>
          <w:p w:rsidR="00F772DD" w:rsidRPr="00F772DD" w:rsidRDefault="00F772DD" w:rsidP="00F772DD">
            <w:pPr>
              <w:spacing w:after="0" w:line="240" w:lineRule="auto"/>
              <w:jc w:val="center"/>
              <w:rPr>
                <w:rFonts w:ascii="Calibri" w:hAnsi="Calibri"/>
                <w:sz w:val="20"/>
                <w:szCs w:val="20"/>
              </w:rPr>
            </w:pPr>
            <w:r w:rsidRPr="00F772DD">
              <w:rPr>
                <w:rFonts w:ascii="Calibri" w:hAnsi="Calibri"/>
                <w:sz w:val="20"/>
                <w:szCs w:val="20"/>
              </w:rPr>
              <w:t>77.9</w:t>
            </w:r>
          </w:p>
        </w:tc>
        <w:tc>
          <w:tcPr>
            <w:tcW w:w="883" w:type="dxa"/>
            <w:vAlign w:val="center"/>
          </w:tcPr>
          <w:p w:rsidR="00F772DD" w:rsidRPr="00F772DD" w:rsidRDefault="00F772DD" w:rsidP="00F772DD">
            <w:pPr>
              <w:spacing w:after="0" w:line="240" w:lineRule="auto"/>
              <w:jc w:val="center"/>
              <w:rPr>
                <w:rFonts w:ascii="Calibri" w:hAnsi="Calibri"/>
                <w:sz w:val="20"/>
                <w:szCs w:val="20"/>
              </w:rPr>
            </w:pPr>
            <w:r w:rsidRPr="00F772DD">
              <w:rPr>
                <w:rFonts w:ascii="Calibri" w:hAnsi="Calibri"/>
                <w:sz w:val="20"/>
                <w:szCs w:val="20"/>
              </w:rPr>
              <w:t>79.5</w:t>
            </w:r>
          </w:p>
        </w:tc>
        <w:tc>
          <w:tcPr>
            <w:tcW w:w="883" w:type="dxa"/>
            <w:shd w:val="clear" w:color="auto" w:fill="D9D9D9" w:themeFill="background1" w:themeFillShade="D9"/>
            <w:vAlign w:val="bottom"/>
          </w:tcPr>
          <w:p w:rsidR="00F772DD" w:rsidRPr="00F772DD" w:rsidRDefault="00F772DD" w:rsidP="00F772DD">
            <w:pPr>
              <w:spacing w:after="0" w:line="240" w:lineRule="auto"/>
              <w:jc w:val="center"/>
              <w:rPr>
                <w:rFonts w:ascii="Calibri" w:hAnsi="Calibri"/>
                <w:sz w:val="20"/>
                <w:szCs w:val="20"/>
              </w:rPr>
            </w:pPr>
            <w:r w:rsidRPr="00F772DD">
              <w:rPr>
                <w:rFonts w:ascii="Calibri" w:hAnsi="Calibri"/>
                <w:sz w:val="20"/>
                <w:szCs w:val="20"/>
              </w:rPr>
              <w:t>87.2</w:t>
            </w:r>
          </w:p>
        </w:tc>
        <w:tc>
          <w:tcPr>
            <w:tcW w:w="884" w:type="dxa"/>
            <w:vAlign w:val="center"/>
          </w:tcPr>
          <w:p w:rsidR="00F772DD" w:rsidRPr="00F772DD" w:rsidRDefault="00F772DD" w:rsidP="00F772DD">
            <w:pPr>
              <w:spacing w:after="0" w:line="240" w:lineRule="auto"/>
              <w:jc w:val="center"/>
              <w:rPr>
                <w:rFonts w:ascii="Calibri" w:hAnsi="Calibri"/>
                <w:sz w:val="20"/>
                <w:szCs w:val="20"/>
              </w:rPr>
            </w:pPr>
            <w:r w:rsidRPr="00F772DD">
              <w:rPr>
                <w:rFonts w:ascii="Calibri" w:hAnsi="Calibri"/>
                <w:sz w:val="20"/>
                <w:szCs w:val="20"/>
              </w:rPr>
              <w:t>2.4</w:t>
            </w:r>
          </w:p>
        </w:tc>
        <w:tc>
          <w:tcPr>
            <w:tcW w:w="956" w:type="dxa"/>
            <w:vAlign w:val="center"/>
          </w:tcPr>
          <w:p w:rsidR="00F772DD" w:rsidRPr="00F772DD" w:rsidRDefault="00F772DD" w:rsidP="00F772DD">
            <w:pPr>
              <w:spacing w:after="0" w:line="240" w:lineRule="auto"/>
              <w:jc w:val="center"/>
              <w:rPr>
                <w:rFonts w:ascii="Calibri" w:hAnsi="Calibri"/>
                <w:sz w:val="20"/>
                <w:szCs w:val="20"/>
              </w:rPr>
            </w:pPr>
            <w:r w:rsidRPr="00F772DD">
              <w:rPr>
                <w:rFonts w:ascii="Calibri" w:hAnsi="Calibri"/>
                <w:sz w:val="20"/>
                <w:szCs w:val="20"/>
              </w:rPr>
              <w:t>1.6</w:t>
            </w:r>
          </w:p>
        </w:tc>
      </w:tr>
      <w:tr w:rsidR="00F772DD" w:rsidRPr="00F772DD" w:rsidTr="009266F5">
        <w:tc>
          <w:tcPr>
            <w:tcW w:w="554" w:type="dxa"/>
            <w:vMerge/>
          </w:tcPr>
          <w:p w:rsidR="00F772DD" w:rsidRPr="00F772DD" w:rsidRDefault="00F772DD" w:rsidP="00F772DD">
            <w:pPr>
              <w:spacing w:after="0" w:line="240" w:lineRule="auto"/>
              <w:rPr>
                <w:rFonts w:ascii="Calibri" w:hAnsi="Calibri"/>
                <w:sz w:val="20"/>
                <w:szCs w:val="20"/>
              </w:rPr>
            </w:pPr>
          </w:p>
        </w:tc>
        <w:tc>
          <w:tcPr>
            <w:tcW w:w="724" w:type="dxa"/>
          </w:tcPr>
          <w:p w:rsidR="00F772DD" w:rsidRPr="00F772DD" w:rsidRDefault="00F772DD" w:rsidP="00F772DD">
            <w:pPr>
              <w:spacing w:after="0" w:line="240" w:lineRule="auto"/>
              <w:rPr>
                <w:rFonts w:ascii="Calibri" w:hAnsi="Calibri"/>
                <w:sz w:val="20"/>
                <w:szCs w:val="20"/>
              </w:rPr>
            </w:pPr>
            <w:r w:rsidRPr="00F772DD">
              <w:rPr>
                <w:rFonts w:ascii="Calibri" w:hAnsi="Calibri"/>
                <w:sz w:val="20"/>
                <w:szCs w:val="20"/>
              </w:rPr>
              <w:t>P+</w:t>
            </w:r>
          </w:p>
        </w:tc>
        <w:tc>
          <w:tcPr>
            <w:tcW w:w="1396" w:type="dxa"/>
            <w:vAlign w:val="center"/>
          </w:tcPr>
          <w:p w:rsidR="00F772DD" w:rsidRPr="00F772DD" w:rsidRDefault="00F772DD" w:rsidP="00F772DD">
            <w:pPr>
              <w:spacing w:after="0" w:line="240" w:lineRule="auto"/>
              <w:jc w:val="center"/>
              <w:rPr>
                <w:rFonts w:ascii="Calibri" w:hAnsi="Calibri"/>
                <w:sz w:val="20"/>
                <w:szCs w:val="20"/>
              </w:rPr>
            </w:pPr>
            <w:r w:rsidRPr="00F772DD">
              <w:rPr>
                <w:rFonts w:ascii="Calibri" w:hAnsi="Calibri"/>
                <w:sz w:val="20"/>
                <w:szCs w:val="20"/>
              </w:rPr>
              <w:t>--</w:t>
            </w:r>
          </w:p>
        </w:tc>
        <w:tc>
          <w:tcPr>
            <w:tcW w:w="882" w:type="dxa"/>
            <w:vAlign w:val="center"/>
          </w:tcPr>
          <w:p w:rsidR="00F772DD" w:rsidRPr="00F772DD" w:rsidRDefault="00F772DD" w:rsidP="00F772DD">
            <w:pPr>
              <w:spacing w:after="0" w:line="240" w:lineRule="auto"/>
              <w:jc w:val="center"/>
              <w:rPr>
                <w:rFonts w:ascii="Calibri" w:hAnsi="Calibri"/>
                <w:sz w:val="20"/>
                <w:szCs w:val="20"/>
              </w:rPr>
            </w:pPr>
            <w:r w:rsidRPr="00F772DD">
              <w:rPr>
                <w:rFonts w:ascii="Calibri" w:hAnsi="Calibri"/>
                <w:sz w:val="20"/>
                <w:szCs w:val="20"/>
              </w:rPr>
              <w:t>51%</w:t>
            </w:r>
          </w:p>
        </w:tc>
        <w:tc>
          <w:tcPr>
            <w:tcW w:w="883" w:type="dxa"/>
            <w:vAlign w:val="center"/>
          </w:tcPr>
          <w:p w:rsidR="00F772DD" w:rsidRPr="00F772DD" w:rsidRDefault="00F772DD" w:rsidP="00F772DD">
            <w:pPr>
              <w:spacing w:after="0" w:line="240" w:lineRule="auto"/>
              <w:jc w:val="center"/>
              <w:rPr>
                <w:rFonts w:ascii="Calibri" w:hAnsi="Calibri"/>
                <w:sz w:val="20"/>
                <w:szCs w:val="20"/>
              </w:rPr>
            </w:pPr>
            <w:r w:rsidRPr="00F772DD">
              <w:rPr>
                <w:rFonts w:ascii="Calibri" w:hAnsi="Calibri"/>
                <w:sz w:val="20"/>
                <w:szCs w:val="20"/>
              </w:rPr>
              <w:t>52%</w:t>
            </w:r>
          </w:p>
        </w:tc>
        <w:tc>
          <w:tcPr>
            <w:tcW w:w="883" w:type="dxa"/>
            <w:vAlign w:val="center"/>
          </w:tcPr>
          <w:p w:rsidR="00F772DD" w:rsidRPr="00F772DD" w:rsidRDefault="00F772DD" w:rsidP="00F772DD">
            <w:pPr>
              <w:spacing w:after="0" w:line="240" w:lineRule="auto"/>
              <w:jc w:val="center"/>
              <w:rPr>
                <w:rFonts w:ascii="Calibri" w:hAnsi="Calibri"/>
                <w:sz w:val="20"/>
                <w:szCs w:val="20"/>
              </w:rPr>
            </w:pPr>
            <w:r w:rsidRPr="00F772DD">
              <w:rPr>
                <w:rFonts w:ascii="Calibri" w:hAnsi="Calibri"/>
                <w:sz w:val="20"/>
                <w:szCs w:val="20"/>
              </w:rPr>
              <w:t>--</w:t>
            </w:r>
          </w:p>
        </w:tc>
        <w:tc>
          <w:tcPr>
            <w:tcW w:w="883" w:type="dxa"/>
            <w:vAlign w:val="center"/>
          </w:tcPr>
          <w:p w:rsidR="00F772DD" w:rsidRPr="00F772DD" w:rsidRDefault="00F772DD" w:rsidP="00F772DD">
            <w:pPr>
              <w:spacing w:after="0" w:line="240" w:lineRule="auto"/>
              <w:jc w:val="center"/>
              <w:rPr>
                <w:rFonts w:ascii="Calibri" w:hAnsi="Calibri"/>
                <w:sz w:val="20"/>
                <w:szCs w:val="20"/>
              </w:rPr>
            </w:pPr>
            <w:r w:rsidRPr="00F772DD">
              <w:rPr>
                <w:rFonts w:ascii="Calibri" w:hAnsi="Calibri"/>
                <w:sz w:val="20"/>
                <w:szCs w:val="20"/>
              </w:rPr>
              <w:t>--</w:t>
            </w:r>
          </w:p>
        </w:tc>
        <w:tc>
          <w:tcPr>
            <w:tcW w:w="883" w:type="dxa"/>
            <w:shd w:val="clear" w:color="auto" w:fill="D9D9D9" w:themeFill="background1" w:themeFillShade="D9"/>
            <w:vAlign w:val="bottom"/>
          </w:tcPr>
          <w:p w:rsidR="00F772DD" w:rsidRPr="00F772DD" w:rsidRDefault="00F772DD" w:rsidP="00F772DD">
            <w:pPr>
              <w:spacing w:after="0" w:line="240" w:lineRule="auto"/>
              <w:jc w:val="center"/>
              <w:rPr>
                <w:rFonts w:ascii="Calibri" w:hAnsi="Calibri"/>
                <w:sz w:val="20"/>
                <w:szCs w:val="20"/>
              </w:rPr>
            </w:pPr>
            <w:r w:rsidRPr="00F772DD">
              <w:rPr>
                <w:rFonts w:ascii="Calibri" w:hAnsi="Calibri"/>
                <w:sz w:val="20"/>
                <w:szCs w:val="20"/>
              </w:rPr>
              <w:t>--</w:t>
            </w:r>
          </w:p>
        </w:tc>
        <w:tc>
          <w:tcPr>
            <w:tcW w:w="884" w:type="dxa"/>
            <w:vAlign w:val="center"/>
          </w:tcPr>
          <w:p w:rsidR="00F772DD" w:rsidRPr="00F772DD" w:rsidRDefault="00F772DD" w:rsidP="00F772DD">
            <w:pPr>
              <w:spacing w:after="0" w:line="240" w:lineRule="auto"/>
              <w:jc w:val="center"/>
              <w:rPr>
                <w:rFonts w:ascii="Calibri" w:hAnsi="Calibri"/>
                <w:sz w:val="20"/>
                <w:szCs w:val="20"/>
              </w:rPr>
            </w:pPr>
            <w:r w:rsidRPr="00F772DD">
              <w:rPr>
                <w:rFonts w:ascii="Calibri" w:hAnsi="Calibri"/>
                <w:sz w:val="20"/>
                <w:szCs w:val="20"/>
              </w:rPr>
              <w:t>--</w:t>
            </w:r>
          </w:p>
        </w:tc>
        <w:tc>
          <w:tcPr>
            <w:tcW w:w="956" w:type="dxa"/>
            <w:vAlign w:val="center"/>
          </w:tcPr>
          <w:p w:rsidR="00F772DD" w:rsidRPr="00F772DD" w:rsidRDefault="00F772DD" w:rsidP="00F772DD">
            <w:pPr>
              <w:spacing w:after="0" w:line="240" w:lineRule="auto"/>
              <w:jc w:val="center"/>
              <w:rPr>
                <w:rFonts w:ascii="Calibri" w:hAnsi="Calibri"/>
                <w:sz w:val="20"/>
                <w:szCs w:val="20"/>
              </w:rPr>
            </w:pPr>
            <w:r w:rsidRPr="00F772DD">
              <w:rPr>
                <w:rFonts w:ascii="Calibri" w:hAnsi="Calibri"/>
                <w:sz w:val="20"/>
                <w:szCs w:val="20"/>
              </w:rPr>
              <w:t>--</w:t>
            </w:r>
          </w:p>
        </w:tc>
      </w:tr>
      <w:tr w:rsidR="00F772DD" w:rsidRPr="00F772DD" w:rsidTr="009266F5">
        <w:tc>
          <w:tcPr>
            <w:tcW w:w="554" w:type="dxa"/>
            <w:vMerge/>
            <w:tcBorders>
              <w:bottom w:val="single" w:sz="4" w:space="0" w:color="auto"/>
            </w:tcBorders>
          </w:tcPr>
          <w:p w:rsidR="00F772DD" w:rsidRPr="00F772DD" w:rsidRDefault="00F772DD" w:rsidP="00F772DD">
            <w:pPr>
              <w:spacing w:after="0" w:line="240" w:lineRule="auto"/>
              <w:rPr>
                <w:rFonts w:ascii="Calibri" w:hAnsi="Calibri"/>
                <w:sz w:val="20"/>
                <w:szCs w:val="20"/>
              </w:rPr>
            </w:pPr>
          </w:p>
        </w:tc>
        <w:tc>
          <w:tcPr>
            <w:tcW w:w="724" w:type="dxa"/>
            <w:tcBorders>
              <w:bottom w:val="single" w:sz="4" w:space="0" w:color="auto"/>
            </w:tcBorders>
          </w:tcPr>
          <w:p w:rsidR="00F772DD" w:rsidRPr="00F772DD" w:rsidRDefault="00F772DD" w:rsidP="00F772DD">
            <w:pPr>
              <w:spacing w:after="0" w:line="240" w:lineRule="auto"/>
              <w:rPr>
                <w:rFonts w:ascii="Calibri" w:hAnsi="Calibri"/>
                <w:sz w:val="20"/>
                <w:szCs w:val="20"/>
              </w:rPr>
            </w:pPr>
            <w:r w:rsidRPr="00F772DD">
              <w:rPr>
                <w:rFonts w:ascii="Calibri" w:hAnsi="Calibri"/>
                <w:sz w:val="20"/>
                <w:szCs w:val="20"/>
              </w:rPr>
              <w:t>SGP</w:t>
            </w:r>
          </w:p>
        </w:tc>
        <w:tc>
          <w:tcPr>
            <w:tcW w:w="1396" w:type="dxa"/>
            <w:tcBorders>
              <w:bottom w:val="single" w:sz="4" w:space="0" w:color="auto"/>
            </w:tcBorders>
            <w:vAlign w:val="center"/>
          </w:tcPr>
          <w:p w:rsidR="00F772DD" w:rsidRPr="00F772DD" w:rsidRDefault="00F772DD" w:rsidP="00F772DD">
            <w:pPr>
              <w:spacing w:after="0" w:line="240" w:lineRule="auto"/>
              <w:jc w:val="center"/>
              <w:rPr>
                <w:rFonts w:ascii="Calibri" w:hAnsi="Calibri"/>
                <w:sz w:val="20"/>
                <w:szCs w:val="20"/>
              </w:rPr>
            </w:pPr>
            <w:r w:rsidRPr="00F772DD">
              <w:rPr>
                <w:rFonts w:ascii="Calibri" w:hAnsi="Calibri"/>
                <w:sz w:val="20"/>
                <w:szCs w:val="20"/>
              </w:rPr>
              <w:t>8,858</w:t>
            </w:r>
          </w:p>
        </w:tc>
        <w:tc>
          <w:tcPr>
            <w:tcW w:w="882" w:type="dxa"/>
            <w:tcBorders>
              <w:bottom w:val="single" w:sz="4" w:space="0" w:color="auto"/>
            </w:tcBorders>
            <w:vAlign w:val="center"/>
          </w:tcPr>
          <w:p w:rsidR="00F772DD" w:rsidRPr="00F772DD" w:rsidRDefault="00F772DD" w:rsidP="00F772DD">
            <w:pPr>
              <w:spacing w:after="0" w:line="240" w:lineRule="auto"/>
              <w:jc w:val="center"/>
              <w:rPr>
                <w:rFonts w:ascii="Calibri" w:hAnsi="Calibri"/>
                <w:sz w:val="20"/>
                <w:szCs w:val="20"/>
              </w:rPr>
            </w:pPr>
            <w:r w:rsidRPr="00F772DD">
              <w:rPr>
                <w:rFonts w:ascii="Calibri" w:hAnsi="Calibri"/>
                <w:sz w:val="20"/>
                <w:szCs w:val="20"/>
              </w:rPr>
              <w:t>51.0</w:t>
            </w:r>
          </w:p>
        </w:tc>
        <w:tc>
          <w:tcPr>
            <w:tcW w:w="883" w:type="dxa"/>
            <w:tcBorders>
              <w:bottom w:val="single" w:sz="4" w:space="0" w:color="auto"/>
            </w:tcBorders>
            <w:vAlign w:val="center"/>
          </w:tcPr>
          <w:p w:rsidR="00F772DD" w:rsidRPr="00F772DD" w:rsidRDefault="00F772DD" w:rsidP="00F772DD">
            <w:pPr>
              <w:spacing w:after="0" w:line="240" w:lineRule="auto"/>
              <w:jc w:val="center"/>
              <w:rPr>
                <w:rFonts w:ascii="Calibri" w:hAnsi="Calibri"/>
                <w:sz w:val="20"/>
                <w:szCs w:val="20"/>
              </w:rPr>
            </w:pPr>
            <w:r w:rsidRPr="00F772DD">
              <w:rPr>
                <w:rFonts w:ascii="Calibri" w:hAnsi="Calibri"/>
                <w:sz w:val="20"/>
                <w:szCs w:val="20"/>
              </w:rPr>
              <w:t>53.0</w:t>
            </w:r>
          </w:p>
        </w:tc>
        <w:tc>
          <w:tcPr>
            <w:tcW w:w="883" w:type="dxa"/>
            <w:tcBorders>
              <w:bottom w:val="single" w:sz="4" w:space="0" w:color="auto"/>
            </w:tcBorders>
            <w:vAlign w:val="center"/>
          </w:tcPr>
          <w:p w:rsidR="00F772DD" w:rsidRPr="00F772DD" w:rsidRDefault="00F772DD" w:rsidP="00F772DD">
            <w:pPr>
              <w:spacing w:after="0" w:line="240" w:lineRule="auto"/>
              <w:jc w:val="center"/>
              <w:rPr>
                <w:rFonts w:ascii="Calibri" w:hAnsi="Calibri"/>
                <w:sz w:val="20"/>
                <w:szCs w:val="20"/>
              </w:rPr>
            </w:pPr>
            <w:r w:rsidRPr="00F772DD">
              <w:rPr>
                <w:rFonts w:ascii="Calibri" w:hAnsi="Calibri"/>
                <w:sz w:val="20"/>
                <w:szCs w:val="20"/>
              </w:rPr>
              <w:t>51.0</w:t>
            </w:r>
          </w:p>
        </w:tc>
        <w:tc>
          <w:tcPr>
            <w:tcW w:w="883" w:type="dxa"/>
            <w:tcBorders>
              <w:bottom w:val="single" w:sz="4" w:space="0" w:color="auto"/>
            </w:tcBorders>
            <w:vAlign w:val="center"/>
          </w:tcPr>
          <w:p w:rsidR="00F772DD" w:rsidRPr="00F772DD" w:rsidRDefault="00F772DD" w:rsidP="00F772DD">
            <w:pPr>
              <w:spacing w:after="0" w:line="240" w:lineRule="auto"/>
              <w:jc w:val="center"/>
              <w:rPr>
                <w:rFonts w:ascii="Calibri" w:hAnsi="Calibri"/>
                <w:sz w:val="20"/>
                <w:szCs w:val="20"/>
              </w:rPr>
            </w:pPr>
            <w:r w:rsidRPr="00F772DD">
              <w:rPr>
                <w:rFonts w:ascii="Calibri" w:hAnsi="Calibri"/>
                <w:sz w:val="20"/>
                <w:szCs w:val="20"/>
              </w:rPr>
              <w:t>53.0</w:t>
            </w:r>
          </w:p>
        </w:tc>
        <w:tc>
          <w:tcPr>
            <w:tcW w:w="883" w:type="dxa"/>
            <w:tcBorders>
              <w:bottom w:val="single" w:sz="4" w:space="0" w:color="auto"/>
            </w:tcBorders>
            <w:shd w:val="clear" w:color="auto" w:fill="D9D9D9" w:themeFill="background1" w:themeFillShade="D9"/>
            <w:vAlign w:val="bottom"/>
          </w:tcPr>
          <w:p w:rsidR="00F772DD" w:rsidRPr="00F772DD" w:rsidRDefault="00F772DD" w:rsidP="00F772DD">
            <w:pPr>
              <w:spacing w:after="0" w:line="240" w:lineRule="auto"/>
              <w:jc w:val="center"/>
              <w:rPr>
                <w:rFonts w:ascii="Calibri" w:hAnsi="Calibri"/>
                <w:sz w:val="20"/>
                <w:szCs w:val="20"/>
              </w:rPr>
            </w:pPr>
            <w:r w:rsidRPr="00F772DD">
              <w:rPr>
                <w:rFonts w:ascii="Calibri" w:hAnsi="Calibri"/>
                <w:sz w:val="20"/>
                <w:szCs w:val="20"/>
              </w:rPr>
              <w:t>50.0</w:t>
            </w:r>
          </w:p>
        </w:tc>
        <w:tc>
          <w:tcPr>
            <w:tcW w:w="884" w:type="dxa"/>
            <w:tcBorders>
              <w:bottom w:val="single" w:sz="4" w:space="0" w:color="auto"/>
            </w:tcBorders>
            <w:vAlign w:val="center"/>
          </w:tcPr>
          <w:p w:rsidR="00F772DD" w:rsidRPr="00F772DD" w:rsidRDefault="00F772DD" w:rsidP="00F772DD">
            <w:pPr>
              <w:spacing w:after="0" w:line="240" w:lineRule="auto"/>
              <w:jc w:val="center"/>
              <w:rPr>
                <w:rFonts w:ascii="Calibri" w:hAnsi="Calibri"/>
                <w:sz w:val="20"/>
                <w:szCs w:val="20"/>
              </w:rPr>
            </w:pPr>
            <w:r w:rsidRPr="00F772DD">
              <w:rPr>
                <w:rFonts w:ascii="Calibri" w:hAnsi="Calibri"/>
                <w:sz w:val="20"/>
                <w:szCs w:val="20"/>
              </w:rPr>
              <w:t>2.0</w:t>
            </w:r>
          </w:p>
        </w:tc>
        <w:tc>
          <w:tcPr>
            <w:tcW w:w="956" w:type="dxa"/>
            <w:tcBorders>
              <w:bottom w:val="single" w:sz="4" w:space="0" w:color="auto"/>
            </w:tcBorders>
            <w:vAlign w:val="center"/>
          </w:tcPr>
          <w:p w:rsidR="00F772DD" w:rsidRPr="00F772DD" w:rsidRDefault="00F772DD" w:rsidP="00F772DD">
            <w:pPr>
              <w:spacing w:after="0" w:line="240" w:lineRule="auto"/>
              <w:jc w:val="center"/>
              <w:rPr>
                <w:rFonts w:ascii="Calibri" w:hAnsi="Calibri"/>
                <w:sz w:val="20"/>
                <w:szCs w:val="20"/>
              </w:rPr>
            </w:pPr>
            <w:r w:rsidRPr="00F772DD">
              <w:rPr>
                <w:rFonts w:ascii="Calibri" w:hAnsi="Calibri"/>
                <w:sz w:val="20"/>
                <w:szCs w:val="20"/>
              </w:rPr>
              <w:t>2.0</w:t>
            </w:r>
          </w:p>
        </w:tc>
      </w:tr>
    </w:tbl>
    <w:p w:rsidR="00131E2D" w:rsidRPr="00B57E73" w:rsidRDefault="00131E2D" w:rsidP="00131E2D">
      <w:pPr>
        <w:spacing w:after="0"/>
        <w:rPr>
          <w:rFonts w:ascii="Calibri" w:eastAsia="Calibri" w:hAnsi="Calibri" w:cs="Times New Roman"/>
          <w:sz w:val="20"/>
        </w:rPr>
      </w:pPr>
    </w:p>
    <w:p w:rsidR="00BD4A22" w:rsidRPr="005467AC" w:rsidRDefault="002F368B" w:rsidP="00BD4A22">
      <w:pPr>
        <w:spacing w:after="0" w:line="240" w:lineRule="auto"/>
        <w:jc w:val="center"/>
        <w:rPr>
          <w:rFonts w:ascii="Calibri" w:eastAsia="Calibri" w:hAnsi="Calibri" w:cs="Times New Roman"/>
          <w:b/>
          <w:sz w:val="20"/>
        </w:rPr>
      </w:pPr>
      <w:r>
        <w:rPr>
          <w:rFonts w:eastAsia="Calibri" w:cs="Times New Roman"/>
        </w:rPr>
        <w:br w:type="page"/>
      </w:r>
      <w:r w:rsidR="00BD4A22" w:rsidRPr="005467AC">
        <w:rPr>
          <w:rFonts w:ascii="Calibri" w:eastAsia="Calibri" w:hAnsi="Calibri" w:cs="Times New Roman"/>
          <w:b/>
          <w:sz w:val="20"/>
        </w:rPr>
        <w:lastRenderedPageBreak/>
        <w:t>Table B2</w:t>
      </w:r>
      <w:r w:rsidR="00BD4A22">
        <w:rPr>
          <w:rFonts w:ascii="Calibri" w:eastAsia="Calibri" w:hAnsi="Calibri" w:cs="Times New Roman"/>
          <w:b/>
          <w:sz w:val="20"/>
        </w:rPr>
        <w:t>c</w:t>
      </w:r>
      <w:r w:rsidR="00BD4A22" w:rsidRPr="005467AC">
        <w:rPr>
          <w:rFonts w:ascii="Calibri" w:eastAsia="Calibri" w:hAnsi="Calibri" w:cs="Times New Roman"/>
          <w:b/>
          <w:sz w:val="20"/>
        </w:rPr>
        <w:t>: Worcester Public Schools</w:t>
      </w:r>
    </w:p>
    <w:p w:rsidR="00BD4A22" w:rsidRPr="005467AC" w:rsidRDefault="00BD4A22" w:rsidP="00BD4A22">
      <w:pPr>
        <w:spacing w:after="0" w:line="240" w:lineRule="auto"/>
        <w:jc w:val="center"/>
        <w:rPr>
          <w:rFonts w:ascii="Calibri" w:eastAsia="Calibri" w:hAnsi="Calibri" w:cs="Times New Roman"/>
          <w:b/>
          <w:sz w:val="20"/>
        </w:rPr>
      </w:pPr>
      <w:r>
        <w:rPr>
          <w:rFonts w:ascii="Calibri" w:eastAsia="Calibri" w:hAnsi="Calibri" w:cs="Times New Roman"/>
          <w:b/>
          <w:sz w:val="20"/>
        </w:rPr>
        <w:t>Mathematics</w:t>
      </w:r>
      <w:r w:rsidRPr="005467AC">
        <w:rPr>
          <w:rFonts w:ascii="Calibri" w:eastAsia="Calibri" w:hAnsi="Calibri" w:cs="Times New Roman"/>
          <w:b/>
          <w:sz w:val="20"/>
        </w:rPr>
        <w:t xml:space="preserve"> Performance, 2013–2016</w:t>
      </w:r>
    </w:p>
    <w:tbl>
      <w:tblPr>
        <w:tblStyle w:val="TableGrid"/>
        <w:tblW w:w="8928" w:type="dxa"/>
        <w:tblLook w:val="04A0"/>
      </w:tblPr>
      <w:tblGrid>
        <w:gridCol w:w="461"/>
        <w:gridCol w:w="757"/>
        <w:gridCol w:w="870"/>
        <w:gridCol w:w="1049"/>
        <w:gridCol w:w="918"/>
        <w:gridCol w:w="919"/>
        <w:gridCol w:w="919"/>
        <w:gridCol w:w="919"/>
        <w:gridCol w:w="1126"/>
        <w:gridCol w:w="990"/>
      </w:tblGrid>
      <w:tr w:rsidR="00BD4A22" w:rsidRPr="005467AC" w:rsidTr="009266F5">
        <w:tc>
          <w:tcPr>
            <w:tcW w:w="2088" w:type="dxa"/>
            <w:gridSpan w:val="3"/>
            <w:vMerge w:val="restart"/>
            <w:vAlign w:val="center"/>
          </w:tcPr>
          <w:p w:rsidR="00BD4A22" w:rsidRPr="005467AC" w:rsidRDefault="00BD4A22" w:rsidP="009266F5">
            <w:pPr>
              <w:spacing w:after="0" w:line="240" w:lineRule="auto"/>
              <w:jc w:val="center"/>
              <w:rPr>
                <w:rFonts w:ascii="Calibri" w:hAnsi="Calibri"/>
                <w:b/>
                <w:sz w:val="20"/>
                <w:szCs w:val="20"/>
              </w:rPr>
            </w:pPr>
            <w:r w:rsidRPr="005467AC">
              <w:rPr>
                <w:rFonts w:ascii="Calibri" w:hAnsi="Calibri"/>
                <w:b/>
                <w:sz w:val="20"/>
                <w:szCs w:val="20"/>
              </w:rPr>
              <w:t>Grade and Measure</w:t>
            </w:r>
          </w:p>
        </w:tc>
        <w:tc>
          <w:tcPr>
            <w:tcW w:w="1049" w:type="dxa"/>
            <w:vMerge w:val="restart"/>
            <w:vAlign w:val="center"/>
          </w:tcPr>
          <w:p w:rsidR="00BD4A22" w:rsidRPr="005467AC" w:rsidRDefault="00BD4A22" w:rsidP="009266F5">
            <w:pPr>
              <w:spacing w:after="0" w:line="240" w:lineRule="auto"/>
              <w:jc w:val="center"/>
              <w:rPr>
                <w:rFonts w:ascii="Calibri" w:hAnsi="Calibri"/>
                <w:b/>
                <w:sz w:val="20"/>
                <w:szCs w:val="20"/>
              </w:rPr>
            </w:pPr>
            <w:r w:rsidRPr="005467AC">
              <w:rPr>
                <w:rFonts w:ascii="Calibri" w:hAnsi="Calibri"/>
                <w:b/>
                <w:sz w:val="20"/>
                <w:szCs w:val="20"/>
              </w:rPr>
              <w:t>Number Included (2016)</w:t>
            </w:r>
          </w:p>
        </w:tc>
        <w:tc>
          <w:tcPr>
            <w:tcW w:w="1837" w:type="dxa"/>
            <w:gridSpan w:val="2"/>
            <w:vMerge w:val="restart"/>
            <w:vAlign w:val="center"/>
          </w:tcPr>
          <w:p w:rsidR="00BD4A22" w:rsidRPr="005467AC" w:rsidRDefault="00BD4A22" w:rsidP="009266F5">
            <w:pPr>
              <w:spacing w:after="0" w:line="240" w:lineRule="auto"/>
              <w:jc w:val="center"/>
              <w:rPr>
                <w:rFonts w:ascii="Calibri" w:hAnsi="Calibri"/>
                <w:b/>
                <w:sz w:val="20"/>
                <w:szCs w:val="20"/>
              </w:rPr>
            </w:pPr>
            <w:r w:rsidRPr="005467AC">
              <w:rPr>
                <w:rFonts w:ascii="Calibri" w:hAnsi="Calibri"/>
                <w:b/>
                <w:sz w:val="20"/>
                <w:szCs w:val="20"/>
              </w:rPr>
              <w:t>MCAS Year</w:t>
            </w:r>
          </w:p>
        </w:tc>
        <w:tc>
          <w:tcPr>
            <w:tcW w:w="1838" w:type="dxa"/>
            <w:gridSpan w:val="2"/>
            <w:vMerge w:val="restart"/>
            <w:vAlign w:val="center"/>
          </w:tcPr>
          <w:p w:rsidR="00BD4A22" w:rsidRPr="005467AC" w:rsidRDefault="00BD4A22" w:rsidP="009266F5">
            <w:pPr>
              <w:spacing w:after="0" w:line="240" w:lineRule="auto"/>
              <w:jc w:val="center"/>
              <w:rPr>
                <w:rFonts w:ascii="Calibri" w:hAnsi="Calibri"/>
                <w:b/>
                <w:sz w:val="20"/>
                <w:szCs w:val="20"/>
              </w:rPr>
            </w:pPr>
            <w:r w:rsidRPr="005467AC">
              <w:rPr>
                <w:rFonts w:ascii="Calibri" w:hAnsi="Calibri"/>
                <w:b/>
                <w:sz w:val="20"/>
                <w:szCs w:val="20"/>
              </w:rPr>
              <w:t>MCAS/PARCC</w:t>
            </w:r>
          </w:p>
        </w:tc>
        <w:tc>
          <w:tcPr>
            <w:tcW w:w="2116" w:type="dxa"/>
            <w:gridSpan w:val="2"/>
          </w:tcPr>
          <w:p w:rsidR="00BD4A22" w:rsidRPr="005467AC" w:rsidRDefault="00BD4A22" w:rsidP="009266F5">
            <w:pPr>
              <w:spacing w:after="0" w:line="240" w:lineRule="auto"/>
              <w:rPr>
                <w:rFonts w:ascii="Calibri" w:hAnsi="Calibri"/>
                <w:b/>
                <w:sz w:val="20"/>
                <w:szCs w:val="20"/>
              </w:rPr>
            </w:pPr>
            <w:r w:rsidRPr="005467AC">
              <w:rPr>
                <w:rFonts w:ascii="Calibri" w:hAnsi="Calibri"/>
                <w:b/>
                <w:sz w:val="20"/>
                <w:szCs w:val="20"/>
              </w:rPr>
              <w:t>Gains and Declines</w:t>
            </w:r>
          </w:p>
        </w:tc>
      </w:tr>
      <w:tr w:rsidR="00BD4A22" w:rsidRPr="005467AC" w:rsidTr="009266F5">
        <w:trPr>
          <w:trHeight w:val="269"/>
        </w:trPr>
        <w:tc>
          <w:tcPr>
            <w:tcW w:w="2088" w:type="dxa"/>
            <w:gridSpan w:val="3"/>
            <w:vMerge/>
          </w:tcPr>
          <w:p w:rsidR="00BD4A22" w:rsidRPr="005467AC" w:rsidRDefault="00BD4A22" w:rsidP="009266F5">
            <w:pPr>
              <w:spacing w:after="0" w:line="240" w:lineRule="auto"/>
              <w:rPr>
                <w:rFonts w:ascii="Calibri" w:hAnsi="Calibri"/>
                <w:b/>
                <w:sz w:val="20"/>
                <w:szCs w:val="20"/>
              </w:rPr>
            </w:pPr>
          </w:p>
        </w:tc>
        <w:tc>
          <w:tcPr>
            <w:tcW w:w="1049" w:type="dxa"/>
            <w:vMerge/>
          </w:tcPr>
          <w:p w:rsidR="00BD4A22" w:rsidRPr="005467AC" w:rsidRDefault="00BD4A22" w:rsidP="009266F5">
            <w:pPr>
              <w:spacing w:after="0" w:line="240" w:lineRule="auto"/>
              <w:rPr>
                <w:rFonts w:ascii="Calibri" w:hAnsi="Calibri"/>
                <w:b/>
                <w:sz w:val="20"/>
                <w:szCs w:val="20"/>
              </w:rPr>
            </w:pPr>
          </w:p>
        </w:tc>
        <w:tc>
          <w:tcPr>
            <w:tcW w:w="1837" w:type="dxa"/>
            <w:gridSpan w:val="2"/>
            <w:vMerge/>
          </w:tcPr>
          <w:p w:rsidR="00BD4A22" w:rsidRPr="005467AC" w:rsidRDefault="00BD4A22" w:rsidP="009266F5">
            <w:pPr>
              <w:spacing w:after="0" w:line="240" w:lineRule="auto"/>
              <w:rPr>
                <w:rFonts w:ascii="Calibri" w:hAnsi="Calibri"/>
                <w:b/>
                <w:sz w:val="20"/>
                <w:szCs w:val="20"/>
              </w:rPr>
            </w:pPr>
          </w:p>
        </w:tc>
        <w:tc>
          <w:tcPr>
            <w:tcW w:w="1838" w:type="dxa"/>
            <w:gridSpan w:val="2"/>
            <w:vMerge/>
          </w:tcPr>
          <w:p w:rsidR="00BD4A22" w:rsidRPr="005467AC" w:rsidRDefault="00BD4A22" w:rsidP="009266F5">
            <w:pPr>
              <w:spacing w:after="0" w:line="240" w:lineRule="auto"/>
              <w:rPr>
                <w:rFonts w:ascii="Calibri" w:hAnsi="Calibri"/>
                <w:b/>
                <w:sz w:val="20"/>
                <w:szCs w:val="20"/>
              </w:rPr>
            </w:pPr>
          </w:p>
        </w:tc>
        <w:tc>
          <w:tcPr>
            <w:tcW w:w="1126" w:type="dxa"/>
            <w:vMerge w:val="restart"/>
          </w:tcPr>
          <w:p w:rsidR="00BD4A22" w:rsidRPr="005467AC" w:rsidRDefault="00BD4A22" w:rsidP="009266F5">
            <w:pPr>
              <w:spacing w:after="0" w:line="240" w:lineRule="auto"/>
              <w:jc w:val="center"/>
              <w:rPr>
                <w:rFonts w:ascii="Calibri" w:hAnsi="Calibri"/>
                <w:b/>
                <w:sz w:val="20"/>
                <w:szCs w:val="20"/>
              </w:rPr>
            </w:pPr>
            <w:r w:rsidRPr="00E34378">
              <w:rPr>
                <w:rFonts w:ascii="Calibri" w:hAnsi="Calibri"/>
                <w:b/>
                <w:sz w:val="20"/>
                <w:szCs w:val="20"/>
              </w:rPr>
              <w:t>4-Year Trend</w:t>
            </w:r>
          </w:p>
        </w:tc>
        <w:tc>
          <w:tcPr>
            <w:tcW w:w="990" w:type="dxa"/>
            <w:vMerge w:val="restart"/>
            <w:vAlign w:val="center"/>
          </w:tcPr>
          <w:p w:rsidR="00BD4A22" w:rsidRPr="005467AC" w:rsidRDefault="00BD4A22" w:rsidP="009266F5">
            <w:pPr>
              <w:spacing w:after="0" w:line="240" w:lineRule="auto"/>
              <w:jc w:val="center"/>
              <w:rPr>
                <w:rFonts w:ascii="Calibri" w:hAnsi="Calibri"/>
                <w:b/>
                <w:sz w:val="20"/>
                <w:szCs w:val="20"/>
              </w:rPr>
            </w:pPr>
            <w:r w:rsidRPr="005467AC">
              <w:rPr>
                <w:rFonts w:ascii="Calibri" w:hAnsi="Calibri"/>
                <w:b/>
                <w:sz w:val="20"/>
                <w:szCs w:val="20"/>
              </w:rPr>
              <w:t>2-Year Trend</w:t>
            </w:r>
          </w:p>
        </w:tc>
      </w:tr>
      <w:tr w:rsidR="00BD4A22" w:rsidRPr="005467AC" w:rsidTr="009266F5">
        <w:tc>
          <w:tcPr>
            <w:tcW w:w="2088" w:type="dxa"/>
            <w:gridSpan w:val="3"/>
            <w:vMerge/>
          </w:tcPr>
          <w:p w:rsidR="00BD4A22" w:rsidRPr="005467AC" w:rsidRDefault="00BD4A22" w:rsidP="009266F5">
            <w:pPr>
              <w:spacing w:after="0" w:line="240" w:lineRule="auto"/>
              <w:rPr>
                <w:rFonts w:ascii="Calibri" w:hAnsi="Calibri"/>
                <w:sz w:val="20"/>
                <w:szCs w:val="20"/>
              </w:rPr>
            </w:pPr>
          </w:p>
        </w:tc>
        <w:tc>
          <w:tcPr>
            <w:tcW w:w="1049" w:type="dxa"/>
            <w:vMerge/>
          </w:tcPr>
          <w:p w:rsidR="00BD4A22" w:rsidRPr="005467AC" w:rsidRDefault="00BD4A22" w:rsidP="009266F5">
            <w:pPr>
              <w:spacing w:after="0" w:line="240" w:lineRule="auto"/>
              <w:rPr>
                <w:rFonts w:ascii="Calibri" w:hAnsi="Calibri"/>
                <w:sz w:val="20"/>
                <w:szCs w:val="20"/>
              </w:rPr>
            </w:pPr>
          </w:p>
        </w:tc>
        <w:tc>
          <w:tcPr>
            <w:tcW w:w="918" w:type="dxa"/>
            <w:vAlign w:val="center"/>
          </w:tcPr>
          <w:p w:rsidR="00BD4A22" w:rsidRPr="005467AC" w:rsidRDefault="00BD4A22" w:rsidP="009266F5">
            <w:pPr>
              <w:spacing w:after="0" w:line="240" w:lineRule="auto"/>
              <w:jc w:val="center"/>
              <w:rPr>
                <w:rFonts w:ascii="Calibri" w:hAnsi="Calibri"/>
                <w:b/>
                <w:sz w:val="20"/>
                <w:szCs w:val="20"/>
              </w:rPr>
            </w:pPr>
            <w:r w:rsidRPr="005467AC">
              <w:rPr>
                <w:rFonts w:ascii="Calibri" w:hAnsi="Calibri"/>
                <w:b/>
                <w:sz w:val="20"/>
                <w:szCs w:val="20"/>
              </w:rPr>
              <w:t>2013</w:t>
            </w:r>
          </w:p>
        </w:tc>
        <w:tc>
          <w:tcPr>
            <w:tcW w:w="919" w:type="dxa"/>
            <w:vAlign w:val="center"/>
          </w:tcPr>
          <w:p w:rsidR="00BD4A22" w:rsidRPr="005467AC" w:rsidRDefault="00BD4A22" w:rsidP="009266F5">
            <w:pPr>
              <w:spacing w:after="0" w:line="240" w:lineRule="auto"/>
              <w:jc w:val="center"/>
              <w:rPr>
                <w:rFonts w:ascii="Calibri" w:hAnsi="Calibri"/>
                <w:b/>
                <w:sz w:val="20"/>
                <w:szCs w:val="20"/>
              </w:rPr>
            </w:pPr>
            <w:r w:rsidRPr="005467AC">
              <w:rPr>
                <w:rFonts w:ascii="Calibri" w:hAnsi="Calibri"/>
                <w:b/>
                <w:sz w:val="20"/>
                <w:szCs w:val="20"/>
              </w:rPr>
              <w:t>2014</w:t>
            </w:r>
          </w:p>
        </w:tc>
        <w:tc>
          <w:tcPr>
            <w:tcW w:w="919" w:type="dxa"/>
            <w:vAlign w:val="center"/>
          </w:tcPr>
          <w:p w:rsidR="00BD4A22" w:rsidRPr="005467AC" w:rsidRDefault="00BD4A22" w:rsidP="009266F5">
            <w:pPr>
              <w:spacing w:after="0" w:line="240" w:lineRule="auto"/>
              <w:jc w:val="center"/>
              <w:rPr>
                <w:rFonts w:ascii="Calibri" w:hAnsi="Calibri"/>
                <w:b/>
                <w:sz w:val="20"/>
                <w:szCs w:val="20"/>
              </w:rPr>
            </w:pPr>
            <w:r w:rsidRPr="005467AC">
              <w:rPr>
                <w:rFonts w:ascii="Calibri" w:hAnsi="Calibri"/>
                <w:b/>
                <w:sz w:val="20"/>
                <w:szCs w:val="20"/>
              </w:rPr>
              <w:t>2015</w:t>
            </w:r>
          </w:p>
        </w:tc>
        <w:tc>
          <w:tcPr>
            <w:tcW w:w="919" w:type="dxa"/>
            <w:vAlign w:val="center"/>
          </w:tcPr>
          <w:p w:rsidR="00BD4A22" w:rsidRPr="005467AC" w:rsidRDefault="00BD4A22" w:rsidP="009266F5">
            <w:pPr>
              <w:spacing w:after="0" w:line="240" w:lineRule="auto"/>
              <w:jc w:val="center"/>
              <w:rPr>
                <w:rFonts w:ascii="Calibri" w:hAnsi="Calibri"/>
                <w:b/>
                <w:sz w:val="20"/>
                <w:szCs w:val="20"/>
              </w:rPr>
            </w:pPr>
            <w:r w:rsidRPr="005467AC">
              <w:rPr>
                <w:rFonts w:ascii="Calibri" w:hAnsi="Calibri"/>
                <w:b/>
                <w:sz w:val="20"/>
                <w:szCs w:val="20"/>
              </w:rPr>
              <w:t>2016</w:t>
            </w:r>
          </w:p>
        </w:tc>
        <w:tc>
          <w:tcPr>
            <w:tcW w:w="1126" w:type="dxa"/>
            <w:vMerge/>
          </w:tcPr>
          <w:p w:rsidR="00BD4A22" w:rsidRPr="005467AC" w:rsidRDefault="00BD4A22" w:rsidP="009266F5">
            <w:pPr>
              <w:spacing w:after="0" w:line="240" w:lineRule="auto"/>
              <w:rPr>
                <w:rFonts w:ascii="Calibri" w:hAnsi="Calibri"/>
                <w:sz w:val="20"/>
                <w:szCs w:val="20"/>
              </w:rPr>
            </w:pPr>
          </w:p>
        </w:tc>
        <w:tc>
          <w:tcPr>
            <w:tcW w:w="990" w:type="dxa"/>
            <w:vMerge/>
          </w:tcPr>
          <w:p w:rsidR="00BD4A22" w:rsidRPr="005467AC" w:rsidRDefault="00BD4A22" w:rsidP="009266F5">
            <w:pPr>
              <w:spacing w:after="0" w:line="240" w:lineRule="auto"/>
              <w:rPr>
                <w:rFonts w:ascii="Calibri" w:hAnsi="Calibri"/>
                <w:sz w:val="20"/>
                <w:szCs w:val="20"/>
              </w:rPr>
            </w:pPr>
          </w:p>
        </w:tc>
      </w:tr>
      <w:tr w:rsidR="00BD4A22" w:rsidRPr="0066275B" w:rsidTr="009E7CC3">
        <w:trPr>
          <w:trHeight w:val="245"/>
        </w:trPr>
        <w:tc>
          <w:tcPr>
            <w:tcW w:w="461" w:type="dxa"/>
            <w:vMerge w:val="restart"/>
            <w:vAlign w:val="center"/>
          </w:tcPr>
          <w:p w:rsidR="00BD4A22" w:rsidRPr="00164FBF" w:rsidRDefault="00BD4A22" w:rsidP="009266F5">
            <w:pPr>
              <w:spacing w:after="0" w:line="240" w:lineRule="auto"/>
              <w:jc w:val="center"/>
              <w:rPr>
                <w:rFonts w:ascii="Calibri" w:hAnsi="Calibri"/>
                <w:sz w:val="20"/>
                <w:szCs w:val="20"/>
              </w:rPr>
            </w:pPr>
            <w:r w:rsidRPr="00164FBF">
              <w:rPr>
                <w:rFonts w:ascii="Calibri" w:hAnsi="Calibri"/>
                <w:sz w:val="20"/>
                <w:szCs w:val="20"/>
              </w:rPr>
              <w:t>3</w:t>
            </w:r>
          </w:p>
        </w:tc>
        <w:tc>
          <w:tcPr>
            <w:tcW w:w="757" w:type="dxa"/>
            <w:vMerge w:val="restart"/>
            <w:vAlign w:val="center"/>
          </w:tcPr>
          <w:p w:rsidR="00BD4A22" w:rsidRPr="006E6CA2" w:rsidRDefault="00BD4A22" w:rsidP="009266F5">
            <w:pPr>
              <w:spacing w:after="0" w:line="240" w:lineRule="auto"/>
              <w:jc w:val="center"/>
              <w:rPr>
                <w:rFonts w:ascii="Calibri" w:hAnsi="Calibri"/>
                <w:sz w:val="20"/>
                <w:szCs w:val="20"/>
              </w:rPr>
            </w:pPr>
            <w:r w:rsidRPr="006E6CA2">
              <w:rPr>
                <w:rFonts w:ascii="Calibri" w:hAnsi="Calibri"/>
                <w:sz w:val="20"/>
                <w:szCs w:val="20"/>
              </w:rPr>
              <w:t>MCAS</w:t>
            </w:r>
          </w:p>
        </w:tc>
        <w:tc>
          <w:tcPr>
            <w:tcW w:w="870" w:type="dxa"/>
          </w:tcPr>
          <w:p w:rsidR="00BD4A22" w:rsidRPr="00A82F8F" w:rsidRDefault="00BD4A22" w:rsidP="009266F5">
            <w:pPr>
              <w:spacing w:after="0" w:line="240" w:lineRule="auto"/>
              <w:rPr>
                <w:rFonts w:ascii="Calibri" w:hAnsi="Calibri"/>
                <w:sz w:val="20"/>
                <w:szCs w:val="20"/>
              </w:rPr>
            </w:pPr>
            <w:r w:rsidRPr="00A82F8F">
              <w:rPr>
                <w:rFonts w:ascii="Calibri" w:hAnsi="Calibri"/>
                <w:sz w:val="20"/>
                <w:szCs w:val="20"/>
              </w:rPr>
              <w:t>CPI</w:t>
            </w:r>
          </w:p>
        </w:tc>
        <w:tc>
          <w:tcPr>
            <w:tcW w:w="1049"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734</w:t>
            </w:r>
          </w:p>
        </w:tc>
        <w:tc>
          <w:tcPr>
            <w:tcW w:w="918"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70.3</w:t>
            </w:r>
          </w:p>
        </w:tc>
        <w:tc>
          <w:tcPr>
            <w:tcW w:w="919"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70.5</w:t>
            </w:r>
          </w:p>
        </w:tc>
        <w:tc>
          <w:tcPr>
            <w:tcW w:w="919"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72.8</w:t>
            </w:r>
          </w:p>
        </w:tc>
        <w:tc>
          <w:tcPr>
            <w:tcW w:w="919"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76.8</w:t>
            </w:r>
          </w:p>
        </w:tc>
        <w:tc>
          <w:tcPr>
            <w:tcW w:w="1126" w:type="dxa"/>
            <w:vAlign w:val="center"/>
          </w:tcPr>
          <w:p w:rsidR="00BD4A22" w:rsidRPr="0066275B" w:rsidRDefault="00BD4A22" w:rsidP="009266F5">
            <w:pPr>
              <w:spacing w:after="0" w:line="240" w:lineRule="auto"/>
              <w:jc w:val="center"/>
              <w:rPr>
                <w:rFonts w:ascii="Calibri" w:hAnsi="Calibri"/>
              </w:rPr>
            </w:pPr>
            <w:r w:rsidRPr="0066275B">
              <w:rPr>
                <w:rFonts w:ascii="Calibri" w:hAnsi="Calibri"/>
              </w:rPr>
              <w:t>6.5</w:t>
            </w:r>
          </w:p>
        </w:tc>
        <w:tc>
          <w:tcPr>
            <w:tcW w:w="990" w:type="dxa"/>
            <w:vAlign w:val="center"/>
          </w:tcPr>
          <w:p w:rsidR="00BD4A22" w:rsidRPr="0066275B" w:rsidRDefault="00BD4A22" w:rsidP="009266F5">
            <w:pPr>
              <w:spacing w:after="0" w:line="240" w:lineRule="auto"/>
              <w:jc w:val="center"/>
              <w:rPr>
                <w:rFonts w:ascii="Calibri" w:hAnsi="Calibri"/>
              </w:rPr>
            </w:pPr>
            <w:r w:rsidRPr="0066275B">
              <w:rPr>
                <w:rFonts w:ascii="Calibri" w:hAnsi="Calibri"/>
              </w:rPr>
              <w:t>4</w:t>
            </w:r>
          </w:p>
        </w:tc>
      </w:tr>
      <w:tr w:rsidR="00BD4A22" w:rsidRPr="0066275B" w:rsidTr="009E7CC3">
        <w:trPr>
          <w:trHeight w:val="245"/>
        </w:trPr>
        <w:tc>
          <w:tcPr>
            <w:tcW w:w="461" w:type="dxa"/>
            <w:vMerge/>
            <w:vAlign w:val="center"/>
          </w:tcPr>
          <w:p w:rsidR="00BD4A22" w:rsidRPr="00164FBF" w:rsidRDefault="00BD4A22" w:rsidP="009266F5">
            <w:pPr>
              <w:spacing w:after="0" w:line="240" w:lineRule="auto"/>
              <w:jc w:val="center"/>
              <w:rPr>
                <w:rFonts w:ascii="Calibri" w:hAnsi="Calibri"/>
                <w:sz w:val="20"/>
                <w:szCs w:val="20"/>
              </w:rPr>
            </w:pPr>
          </w:p>
        </w:tc>
        <w:tc>
          <w:tcPr>
            <w:tcW w:w="757" w:type="dxa"/>
            <w:vMerge/>
            <w:vAlign w:val="center"/>
          </w:tcPr>
          <w:p w:rsidR="00BD4A22" w:rsidRPr="006E6CA2" w:rsidRDefault="00BD4A22" w:rsidP="009266F5">
            <w:pPr>
              <w:spacing w:after="0" w:line="240" w:lineRule="auto"/>
              <w:jc w:val="center"/>
              <w:rPr>
                <w:rFonts w:ascii="Calibri" w:hAnsi="Calibri"/>
                <w:sz w:val="20"/>
                <w:szCs w:val="20"/>
              </w:rPr>
            </w:pPr>
          </w:p>
        </w:tc>
        <w:tc>
          <w:tcPr>
            <w:tcW w:w="870" w:type="dxa"/>
          </w:tcPr>
          <w:p w:rsidR="00BD4A22" w:rsidRPr="00A82F8F" w:rsidRDefault="00BD4A22" w:rsidP="009266F5">
            <w:pPr>
              <w:spacing w:after="0" w:line="240" w:lineRule="auto"/>
              <w:rPr>
                <w:rFonts w:ascii="Calibri" w:hAnsi="Calibri"/>
                <w:sz w:val="20"/>
                <w:szCs w:val="20"/>
              </w:rPr>
            </w:pPr>
            <w:r w:rsidRPr="00A82F8F">
              <w:rPr>
                <w:rFonts w:ascii="Calibri" w:hAnsi="Calibri"/>
                <w:sz w:val="20"/>
                <w:szCs w:val="20"/>
              </w:rPr>
              <w:t>P+</w:t>
            </w:r>
          </w:p>
        </w:tc>
        <w:tc>
          <w:tcPr>
            <w:tcW w:w="1049"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734</w:t>
            </w:r>
          </w:p>
        </w:tc>
        <w:tc>
          <w:tcPr>
            <w:tcW w:w="918"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43%</w:t>
            </w:r>
          </w:p>
        </w:tc>
        <w:tc>
          <w:tcPr>
            <w:tcW w:w="919"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46%</w:t>
            </w:r>
          </w:p>
        </w:tc>
        <w:tc>
          <w:tcPr>
            <w:tcW w:w="919"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50%</w:t>
            </w:r>
          </w:p>
        </w:tc>
        <w:tc>
          <w:tcPr>
            <w:tcW w:w="919"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53%</w:t>
            </w:r>
          </w:p>
        </w:tc>
        <w:tc>
          <w:tcPr>
            <w:tcW w:w="1126" w:type="dxa"/>
            <w:vAlign w:val="center"/>
          </w:tcPr>
          <w:p w:rsidR="00BD4A22" w:rsidRPr="0066275B" w:rsidRDefault="00BD4A22" w:rsidP="009266F5">
            <w:pPr>
              <w:spacing w:after="0" w:line="240" w:lineRule="auto"/>
              <w:jc w:val="center"/>
              <w:rPr>
                <w:rFonts w:ascii="Calibri" w:hAnsi="Calibri"/>
              </w:rPr>
            </w:pPr>
            <w:r w:rsidRPr="0066275B">
              <w:rPr>
                <w:rFonts w:ascii="Calibri" w:hAnsi="Calibri"/>
              </w:rPr>
              <w:t>10%</w:t>
            </w:r>
          </w:p>
        </w:tc>
        <w:tc>
          <w:tcPr>
            <w:tcW w:w="990" w:type="dxa"/>
            <w:vAlign w:val="center"/>
          </w:tcPr>
          <w:p w:rsidR="00BD4A22" w:rsidRPr="0066275B" w:rsidRDefault="00BD4A22" w:rsidP="009266F5">
            <w:pPr>
              <w:spacing w:after="0" w:line="240" w:lineRule="auto"/>
              <w:jc w:val="center"/>
              <w:rPr>
                <w:rFonts w:ascii="Calibri" w:hAnsi="Calibri"/>
              </w:rPr>
            </w:pPr>
            <w:r w:rsidRPr="0066275B">
              <w:rPr>
                <w:rFonts w:ascii="Calibri" w:hAnsi="Calibri"/>
              </w:rPr>
              <w:t>3%</w:t>
            </w:r>
          </w:p>
        </w:tc>
      </w:tr>
      <w:tr w:rsidR="00BD4A22" w:rsidRPr="0066275B" w:rsidTr="009E7CC3">
        <w:trPr>
          <w:trHeight w:val="245"/>
        </w:trPr>
        <w:tc>
          <w:tcPr>
            <w:tcW w:w="461" w:type="dxa"/>
            <w:vMerge/>
            <w:vAlign w:val="center"/>
          </w:tcPr>
          <w:p w:rsidR="00BD4A22" w:rsidRPr="00164FBF" w:rsidRDefault="00BD4A22" w:rsidP="009266F5">
            <w:pPr>
              <w:spacing w:after="0" w:line="240" w:lineRule="auto"/>
              <w:jc w:val="center"/>
              <w:rPr>
                <w:rFonts w:ascii="Calibri" w:hAnsi="Calibri"/>
                <w:sz w:val="20"/>
                <w:szCs w:val="20"/>
              </w:rPr>
            </w:pPr>
          </w:p>
        </w:tc>
        <w:tc>
          <w:tcPr>
            <w:tcW w:w="757" w:type="dxa"/>
            <w:vMerge w:val="restart"/>
            <w:shd w:val="clear" w:color="auto" w:fill="D9D9D9" w:themeFill="background1" w:themeFillShade="D9"/>
            <w:vAlign w:val="center"/>
          </w:tcPr>
          <w:p w:rsidR="00BD4A22" w:rsidRPr="00A82F8F" w:rsidRDefault="00BD4A22" w:rsidP="009266F5">
            <w:pPr>
              <w:spacing w:after="0" w:line="240" w:lineRule="auto"/>
              <w:jc w:val="center"/>
              <w:rPr>
                <w:rFonts w:ascii="Calibri" w:hAnsi="Calibri"/>
                <w:sz w:val="20"/>
                <w:szCs w:val="20"/>
              </w:rPr>
            </w:pPr>
            <w:r w:rsidRPr="00A82F8F">
              <w:rPr>
                <w:rFonts w:ascii="Calibri" w:hAnsi="Calibri"/>
                <w:sz w:val="20"/>
                <w:szCs w:val="20"/>
              </w:rPr>
              <w:t>PARCC</w:t>
            </w:r>
          </w:p>
        </w:tc>
        <w:tc>
          <w:tcPr>
            <w:tcW w:w="870" w:type="dxa"/>
            <w:shd w:val="clear" w:color="auto" w:fill="D9D9D9" w:themeFill="background1" w:themeFillShade="D9"/>
          </w:tcPr>
          <w:p w:rsidR="00BD4A22" w:rsidRPr="00A82F8F" w:rsidRDefault="00BD4A22" w:rsidP="009266F5">
            <w:pPr>
              <w:spacing w:after="0" w:line="240" w:lineRule="auto"/>
              <w:rPr>
                <w:rFonts w:ascii="Calibri" w:hAnsi="Calibri"/>
                <w:sz w:val="20"/>
                <w:szCs w:val="20"/>
              </w:rPr>
            </w:pPr>
            <w:r w:rsidRPr="00A82F8F">
              <w:rPr>
                <w:rFonts w:ascii="Calibri" w:hAnsi="Calibri"/>
                <w:sz w:val="20"/>
                <w:szCs w:val="20"/>
              </w:rPr>
              <w:t>CPI</w:t>
            </w:r>
          </w:p>
        </w:tc>
        <w:tc>
          <w:tcPr>
            <w:tcW w:w="1049" w:type="dxa"/>
            <w:shd w:val="clear" w:color="auto" w:fill="D9D9D9" w:themeFill="background1" w:themeFillShade="D9"/>
            <w:vAlign w:val="bottom"/>
          </w:tcPr>
          <w:p w:rsidR="00BD4A22" w:rsidRPr="005F47D0" w:rsidRDefault="00BD4A22" w:rsidP="009266F5">
            <w:pPr>
              <w:spacing w:after="0" w:line="240" w:lineRule="auto"/>
              <w:jc w:val="center"/>
              <w:rPr>
                <w:rFonts w:ascii="Calibri" w:hAnsi="Calibri"/>
                <w:sz w:val="20"/>
                <w:szCs w:val="20"/>
              </w:rPr>
            </w:pPr>
            <w:r>
              <w:rPr>
                <w:rFonts w:ascii="Calibri" w:hAnsi="Calibri"/>
                <w:sz w:val="20"/>
                <w:szCs w:val="20"/>
              </w:rPr>
              <w:t>1,088</w:t>
            </w:r>
          </w:p>
        </w:tc>
        <w:tc>
          <w:tcPr>
            <w:tcW w:w="918" w:type="dxa"/>
            <w:shd w:val="clear" w:color="auto" w:fill="D9D9D9" w:themeFill="background1" w:themeFillShade="D9"/>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70.3</w:t>
            </w:r>
          </w:p>
        </w:tc>
        <w:tc>
          <w:tcPr>
            <w:tcW w:w="919" w:type="dxa"/>
            <w:shd w:val="clear" w:color="auto" w:fill="D9D9D9" w:themeFill="background1" w:themeFillShade="D9"/>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70.5</w:t>
            </w:r>
          </w:p>
        </w:tc>
        <w:tc>
          <w:tcPr>
            <w:tcW w:w="919" w:type="dxa"/>
            <w:shd w:val="clear" w:color="auto" w:fill="D9D9D9" w:themeFill="background1" w:themeFillShade="D9"/>
            <w:vAlign w:val="bottom"/>
          </w:tcPr>
          <w:p w:rsidR="00BD4A22" w:rsidRPr="005F47D0" w:rsidRDefault="00BD4A22" w:rsidP="009266F5">
            <w:pPr>
              <w:spacing w:after="0" w:line="240" w:lineRule="auto"/>
              <w:jc w:val="center"/>
              <w:rPr>
                <w:rFonts w:ascii="Calibri" w:hAnsi="Calibri"/>
                <w:sz w:val="20"/>
                <w:szCs w:val="20"/>
              </w:rPr>
            </w:pPr>
            <w:r>
              <w:rPr>
                <w:rFonts w:ascii="Calibri" w:hAnsi="Calibri"/>
                <w:sz w:val="20"/>
                <w:szCs w:val="20"/>
              </w:rPr>
              <w:t>67.6</w:t>
            </w:r>
          </w:p>
        </w:tc>
        <w:tc>
          <w:tcPr>
            <w:tcW w:w="919" w:type="dxa"/>
            <w:shd w:val="clear" w:color="auto" w:fill="D9D9D9" w:themeFill="background1" w:themeFillShade="D9"/>
            <w:vAlign w:val="bottom"/>
          </w:tcPr>
          <w:p w:rsidR="00BD4A22" w:rsidRPr="005F47D0" w:rsidRDefault="00BD4A22" w:rsidP="009266F5">
            <w:pPr>
              <w:spacing w:after="0" w:line="240" w:lineRule="auto"/>
              <w:jc w:val="center"/>
              <w:rPr>
                <w:rFonts w:ascii="Calibri" w:hAnsi="Calibri"/>
                <w:sz w:val="20"/>
                <w:szCs w:val="20"/>
              </w:rPr>
            </w:pPr>
            <w:r>
              <w:rPr>
                <w:rFonts w:ascii="Calibri" w:hAnsi="Calibri"/>
                <w:sz w:val="20"/>
                <w:szCs w:val="20"/>
              </w:rPr>
              <w:t>71.7</w:t>
            </w:r>
          </w:p>
        </w:tc>
        <w:tc>
          <w:tcPr>
            <w:tcW w:w="1126" w:type="dxa"/>
            <w:shd w:val="clear" w:color="auto" w:fill="D9D9D9" w:themeFill="background1" w:themeFillShade="D9"/>
          </w:tcPr>
          <w:p w:rsidR="00BD4A22" w:rsidRPr="0066275B" w:rsidRDefault="00BD4A22" w:rsidP="009266F5">
            <w:pPr>
              <w:spacing w:after="0" w:line="240" w:lineRule="auto"/>
              <w:jc w:val="center"/>
              <w:rPr>
                <w:rFonts w:ascii="Calibri" w:hAnsi="Calibri"/>
              </w:rPr>
            </w:pPr>
            <w:r w:rsidRPr="0066275B">
              <w:rPr>
                <w:rFonts w:ascii="Calibri" w:hAnsi="Calibri"/>
              </w:rPr>
              <w:t>1.4</w:t>
            </w:r>
          </w:p>
        </w:tc>
        <w:tc>
          <w:tcPr>
            <w:tcW w:w="990" w:type="dxa"/>
            <w:shd w:val="clear" w:color="auto" w:fill="D9D9D9" w:themeFill="background1" w:themeFillShade="D9"/>
            <w:vAlign w:val="bottom"/>
          </w:tcPr>
          <w:p w:rsidR="00BD4A22" w:rsidRPr="0066275B" w:rsidRDefault="00BD4A22" w:rsidP="009266F5">
            <w:pPr>
              <w:spacing w:after="0" w:line="240" w:lineRule="auto"/>
              <w:jc w:val="center"/>
              <w:rPr>
                <w:rFonts w:ascii="Calibri" w:hAnsi="Calibri"/>
              </w:rPr>
            </w:pPr>
            <w:r w:rsidRPr="0066275B">
              <w:rPr>
                <w:rFonts w:ascii="Calibri" w:hAnsi="Calibri"/>
              </w:rPr>
              <w:t>4.1</w:t>
            </w:r>
          </w:p>
        </w:tc>
      </w:tr>
      <w:tr w:rsidR="00BD4A22" w:rsidRPr="0066275B" w:rsidTr="009E7CC3">
        <w:trPr>
          <w:trHeight w:val="245"/>
        </w:trPr>
        <w:tc>
          <w:tcPr>
            <w:tcW w:w="461" w:type="dxa"/>
            <w:vMerge/>
            <w:vAlign w:val="center"/>
          </w:tcPr>
          <w:p w:rsidR="00BD4A22" w:rsidRPr="00164FBF" w:rsidRDefault="00BD4A22" w:rsidP="009266F5">
            <w:pPr>
              <w:spacing w:after="0" w:line="240" w:lineRule="auto"/>
              <w:jc w:val="center"/>
              <w:rPr>
                <w:rFonts w:ascii="Calibri" w:hAnsi="Calibri"/>
                <w:sz w:val="20"/>
                <w:szCs w:val="20"/>
              </w:rPr>
            </w:pPr>
          </w:p>
        </w:tc>
        <w:tc>
          <w:tcPr>
            <w:tcW w:w="757" w:type="dxa"/>
            <w:vMerge/>
            <w:shd w:val="clear" w:color="auto" w:fill="D9D9D9" w:themeFill="background1" w:themeFillShade="D9"/>
            <w:vAlign w:val="center"/>
          </w:tcPr>
          <w:p w:rsidR="00BD4A22" w:rsidRPr="00A82F8F" w:rsidRDefault="00BD4A22" w:rsidP="009266F5">
            <w:pPr>
              <w:spacing w:after="0" w:line="240" w:lineRule="auto"/>
              <w:jc w:val="center"/>
              <w:rPr>
                <w:rFonts w:ascii="Calibri" w:hAnsi="Calibri"/>
                <w:sz w:val="20"/>
                <w:szCs w:val="20"/>
              </w:rPr>
            </w:pPr>
          </w:p>
        </w:tc>
        <w:tc>
          <w:tcPr>
            <w:tcW w:w="870" w:type="dxa"/>
            <w:shd w:val="clear" w:color="auto" w:fill="D9D9D9" w:themeFill="background1" w:themeFillShade="D9"/>
          </w:tcPr>
          <w:p w:rsidR="00BD4A22" w:rsidRPr="00A82F8F" w:rsidRDefault="00BD4A22" w:rsidP="009266F5">
            <w:pPr>
              <w:spacing w:after="0" w:line="240" w:lineRule="auto"/>
              <w:rPr>
                <w:rFonts w:ascii="Calibri" w:hAnsi="Calibri"/>
                <w:sz w:val="20"/>
                <w:szCs w:val="20"/>
              </w:rPr>
            </w:pPr>
            <w:r w:rsidRPr="00A82F8F">
              <w:rPr>
                <w:rFonts w:ascii="Calibri" w:hAnsi="Calibri"/>
                <w:sz w:val="20"/>
                <w:szCs w:val="20"/>
              </w:rPr>
              <w:t>Lv 4&amp;5</w:t>
            </w:r>
          </w:p>
        </w:tc>
        <w:tc>
          <w:tcPr>
            <w:tcW w:w="1049" w:type="dxa"/>
            <w:shd w:val="clear" w:color="auto" w:fill="D9D9D9" w:themeFill="background1" w:themeFillShade="D9"/>
            <w:vAlign w:val="bottom"/>
          </w:tcPr>
          <w:p w:rsidR="00BD4A22" w:rsidRPr="005F47D0" w:rsidRDefault="00BD4A22" w:rsidP="009266F5">
            <w:pPr>
              <w:spacing w:after="0" w:line="240" w:lineRule="auto"/>
              <w:jc w:val="center"/>
              <w:rPr>
                <w:rFonts w:ascii="Calibri" w:hAnsi="Calibri"/>
                <w:sz w:val="20"/>
                <w:szCs w:val="20"/>
              </w:rPr>
            </w:pPr>
            <w:r>
              <w:rPr>
                <w:rFonts w:ascii="Calibri" w:hAnsi="Calibri"/>
                <w:sz w:val="20"/>
                <w:szCs w:val="20"/>
              </w:rPr>
              <w:t>1,067</w:t>
            </w:r>
          </w:p>
        </w:tc>
        <w:tc>
          <w:tcPr>
            <w:tcW w:w="918" w:type="dxa"/>
            <w:shd w:val="clear" w:color="auto" w:fill="D9D9D9" w:themeFill="background1" w:themeFillShade="D9"/>
            <w:vAlign w:val="bottom"/>
          </w:tcPr>
          <w:p w:rsidR="00BD4A22" w:rsidRPr="005F47D0" w:rsidRDefault="00BD4A22" w:rsidP="009266F5">
            <w:pPr>
              <w:spacing w:after="0" w:line="240" w:lineRule="auto"/>
              <w:jc w:val="center"/>
              <w:rPr>
                <w:rFonts w:ascii="Calibri" w:hAnsi="Calibri"/>
                <w:sz w:val="20"/>
                <w:szCs w:val="20"/>
              </w:rPr>
            </w:pPr>
            <w:r>
              <w:rPr>
                <w:rFonts w:ascii="Calibri" w:hAnsi="Calibri"/>
                <w:sz w:val="20"/>
                <w:szCs w:val="20"/>
              </w:rPr>
              <w:t>--</w:t>
            </w:r>
          </w:p>
        </w:tc>
        <w:tc>
          <w:tcPr>
            <w:tcW w:w="919" w:type="dxa"/>
            <w:shd w:val="clear" w:color="auto" w:fill="D9D9D9" w:themeFill="background1" w:themeFillShade="D9"/>
            <w:vAlign w:val="bottom"/>
          </w:tcPr>
          <w:p w:rsidR="00BD4A22" w:rsidRPr="005F47D0" w:rsidRDefault="00BD4A22" w:rsidP="009266F5">
            <w:pPr>
              <w:spacing w:after="0" w:line="240" w:lineRule="auto"/>
              <w:jc w:val="center"/>
              <w:rPr>
                <w:rFonts w:ascii="Calibri" w:hAnsi="Calibri"/>
                <w:sz w:val="20"/>
                <w:szCs w:val="20"/>
              </w:rPr>
            </w:pPr>
            <w:r>
              <w:rPr>
                <w:rFonts w:ascii="Calibri" w:hAnsi="Calibri"/>
                <w:sz w:val="20"/>
                <w:szCs w:val="20"/>
              </w:rPr>
              <w:t>--</w:t>
            </w:r>
          </w:p>
        </w:tc>
        <w:tc>
          <w:tcPr>
            <w:tcW w:w="919" w:type="dxa"/>
            <w:shd w:val="clear" w:color="auto" w:fill="D9D9D9" w:themeFill="background1" w:themeFillShade="D9"/>
            <w:vAlign w:val="bottom"/>
          </w:tcPr>
          <w:p w:rsidR="00BD4A22" w:rsidRPr="005F47D0" w:rsidRDefault="00BD4A22" w:rsidP="009266F5">
            <w:pPr>
              <w:spacing w:after="0" w:line="240" w:lineRule="auto"/>
              <w:jc w:val="center"/>
              <w:rPr>
                <w:rFonts w:ascii="Calibri" w:hAnsi="Calibri"/>
                <w:sz w:val="20"/>
                <w:szCs w:val="20"/>
              </w:rPr>
            </w:pPr>
            <w:r>
              <w:rPr>
                <w:rFonts w:ascii="Calibri" w:hAnsi="Calibri"/>
                <w:sz w:val="20"/>
                <w:szCs w:val="20"/>
              </w:rPr>
              <w:t>29%</w:t>
            </w:r>
          </w:p>
        </w:tc>
        <w:tc>
          <w:tcPr>
            <w:tcW w:w="919" w:type="dxa"/>
            <w:shd w:val="clear" w:color="auto" w:fill="D9D9D9" w:themeFill="background1" w:themeFillShade="D9"/>
            <w:vAlign w:val="bottom"/>
          </w:tcPr>
          <w:p w:rsidR="00BD4A22" w:rsidRPr="005F47D0" w:rsidRDefault="00BD4A22" w:rsidP="009266F5">
            <w:pPr>
              <w:spacing w:after="0" w:line="240" w:lineRule="auto"/>
              <w:jc w:val="center"/>
              <w:rPr>
                <w:rFonts w:ascii="Calibri" w:hAnsi="Calibri"/>
                <w:sz w:val="20"/>
                <w:szCs w:val="20"/>
              </w:rPr>
            </w:pPr>
            <w:r>
              <w:rPr>
                <w:rFonts w:ascii="Calibri" w:hAnsi="Calibri"/>
                <w:sz w:val="20"/>
                <w:szCs w:val="20"/>
              </w:rPr>
              <w:t>34%</w:t>
            </w:r>
          </w:p>
        </w:tc>
        <w:tc>
          <w:tcPr>
            <w:tcW w:w="1126" w:type="dxa"/>
            <w:shd w:val="clear" w:color="auto" w:fill="D9D9D9" w:themeFill="background1" w:themeFillShade="D9"/>
          </w:tcPr>
          <w:p w:rsidR="00BD4A22" w:rsidRPr="0066275B" w:rsidRDefault="00BD4A22" w:rsidP="009266F5">
            <w:pPr>
              <w:spacing w:after="0" w:line="240" w:lineRule="auto"/>
              <w:jc w:val="center"/>
              <w:rPr>
                <w:rFonts w:ascii="Calibri" w:hAnsi="Calibri"/>
              </w:rPr>
            </w:pPr>
            <w:r w:rsidRPr="0066275B">
              <w:rPr>
                <w:rFonts w:ascii="Calibri" w:hAnsi="Calibri"/>
              </w:rPr>
              <w:t>--</w:t>
            </w:r>
          </w:p>
        </w:tc>
        <w:tc>
          <w:tcPr>
            <w:tcW w:w="990" w:type="dxa"/>
            <w:shd w:val="clear" w:color="auto" w:fill="D9D9D9" w:themeFill="background1" w:themeFillShade="D9"/>
            <w:vAlign w:val="bottom"/>
          </w:tcPr>
          <w:p w:rsidR="00BD4A22" w:rsidRPr="0066275B" w:rsidRDefault="00BD4A22" w:rsidP="009266F5">
            <w:pPr>
              <w:spacing w:after="0" w:line="240" w:lineRule="auto"/>
              <w:jc w:val="center"/>
              <w:rPr>
                <w:rFonts w:ascii="Calibri" w:hAnsi="Calibri"/>
              </w:rPr>
            </w:pPr>
            <w:r w:rsidRPr="0066275B">
              <w:rPr>
                <w:rFonts w:ascii="Calibri" w:hAnsi="Calibri"/>
              </w:rPr>
              <w:t>5%</w:t>
            </w:r>
          </w:p>
        </w:tc>
      </w:tr>
      <w:tr w:rsidR="00BD4A22" w:rsidRPr="0066275B" w:rsidTr="009E7CC3">
        <w:trPr>
          <w:trHeight w:val="245"/>
        </w:trPr>
        <w:tc>
          <w:tcPr>
            <w:tcW w:w="461" w:type="dxa"/>
            <w:vMerge w:val="restart"/>
            <w:vAlign w:val="center"/>
          </w:tcPr>
          <w:p w:rsidR="00BD4A22" w:rsidRPr="00164FBF" w:rsidRDefault="00BD4A22" w:rsidP="009266F5">
            <w:pPr>
              <w:spacing w:after="0" w:line="240" w:lineRule="auto"/>
              <w:jc w:val="center"/>
              <w:rPr>
                <w:rFonts w:ascii="Calibri" w:hAnsi="Calibri"/>
                <w:sz w:val="20"/>
                <w:szCs w:val="20"/>
              </w:rPr>
            </w:pPr>
            <w:r w:rsidRPr="00164FBF">
              <w:rPr>
                <w:rFonts w:ascii="Calibri" w:hAnsi="Calibri"/>
                <w:sz w:val="20"/>
                <w:szCs w:val="20"/>
              </w:rPr>
              <w:t>4</w:t>
            </w:r>
          </w:p>
        </w:tc>
        <w:tc>
          <w:tcPr>
            <w:tcW w:w="757" w:type="dxa"/>
            <w:vMerge w:val="restart"/>
            <w:vAlign w:val="center"/>
          </w:tcPr>
          <w:p w:rsidR="00BD4A22" w:rsidRPr="00A82F8F" w:rsidRDefault="00BD4A22" w:rsidP="009266F5">
            <w:pPr>
              <w:spacing w:after="0" w:line="240" w:lineRule="auto"/>
              <w:jc w:val="center"/>
              <w:rPr>
                <w:rFonts w:ascii="Calibri" w:hAnsi="Calibri"/>
                <w:sz w:val="20"/>
                <w:szCs w:val="20"/>
              </w:rPr>
            </w:pPr>
            <w:r w:rsidRPr="00A82F8F">
              <w:rPr>
                <w:rFonts w:ascii="Calibri" w:hAnsi="Calibri"/>
                <w:sz w:val="20"/>
                <w:szCs w:val="20"/>
              </w:rPr>
              <w:t>MCAS</w:t>
            </w:r>
          </w:p>
        </w:tc>
        <w:tc>
          <w:tcPr>
            <w:tcW w:w="870" w:type="dxa"/>
          </w:tcPr>
          <w:p w:rsidR="00BD4A22" w:rsidRPr="00A82F8F" w:rsidRDefault="00BD4A22" w:rsidP="009266F5">
            <w:pPr>
              <w:spacing w:after="0" w:line="240" w:lineRule="auto"/>
              <w:rPr>
                <w:rFonts w:ascii="Calibri" w:hAnsi="Calibri"/>
                <w:sz w:val="20"/>
                <w:szCs w:val="20"/>
              </w:rPr>
            </w:pPr>
            <w:r w:rsidRPr="00A82F8F">
              <w:rPr>
                <w:rFonts w:ascii="Calibri" w:hAnsi="Calibri"/>
                <w:sz w:val="20"/>
                <w:szCs w:val="20"/>
              </w:rPr>
              <w:t>CPI</w:t>
            </w:r>
          </w:p>
        </w:tc>
        <w:tc>
          <w:tcPr>
            <w:tcW w:w="1049"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748</w:t>
            </w:r>
          </w:p>
        </w:tc>
        <w:tc>
          <w:tcPr>
            <w:tcW w:w="918"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67.7</w:t>
            </w:r>
          </w:p>
        </w:tc>
        <w:tc>
          <w:tcPr>
            <w:tcW w:w="919"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65.5</w:t>
            </w:r>
          </w:p>
        </w:tc>
        <w:tc>
          <w:tcPr>
            <w:tcW w:w="919"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67</w:t>
            </w:r>
            <w:r>
              <w:rPr>
                <w:rFonts w:ascii="Calibri" w:hAnsi="Calibri"/>
                <w:color w:val="000000"/>
                <w:sz w:val="20"/>
                <w:szCs w:val="20"/>
              </w:rPr>
              <w:t>.0</w:t>
            </w:r>
          </w:p>
        </w:tc>
        <w:tc>
          <w:tcPr>
            <w:tcW w:w="919"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72.1</w:t>
            </w:r>
          </w:p>
        </w:tc>
        <w:tc>
          <w:tcPr>
            <w:tcW w:w="1126" w:type="dxa"/>
            <w:vAlign w:val="center"/>
          </w:tcPr>
          <w:p w:rsidR="00BD4A22" w:rsidRPr="0066275B" w:rsidRDefault="00BD4A22" w:rsidP="009266F5">
            <w:pPr>
              <w:spacing w:after="0" w:line="240" w:lineRule="auto"/>
              <w:jc w:val="center"/>
              <w:rPr>
                <w:rFonts w:ascii="Calibri" w:hAnsi="Calibri"/>
              </w:rPr>
            </w:pPr>
            <w:r w:rsidRPr="0066275B">
              <w:rPr>
                <w:rFonts w:ascii="Calibri" w:hAnsi="Calibri"/>
              </w:rPr>
              <w:t>4.4</w:t>
            </w:r>
          </w:p>
        </w:tc>
        <w:tc>
          <w:tcPr>
            <w:tcW w:w="990" w:type="dxa"/>
            <w:vAlign w:val="center"/>
          </w:tcPr>
          <w:p w:rsidR="00BD4A22" w:rsidRPr="0066275B" w:rsidRDefault="00BD4A22" w:rsidP="009266F5">
            <w:pPr>
              <w:spacing w:after="0" w:line="240" w:lineRule="auto"/>
              <w:jc w:val="center"/>
              <w:rPr>
                <w:rFonts w:ascii="Calibri" w:hAnsi="Calibri"/>
              </w:rPr>
            </w:pPr>
            <w:r w:rsidRPr="0066275B">
              <w:rPr>
                <w:rFonts w:ascii="Calibri" w:hAnsi="Calibri"/>
              </w:rPr>
              <w:t>5.1</w:t>
            </w:r>
          </w:p>
        </w:tc>
      </w:tr>
      <w:tr w:rsidR="00BD4A22" w:rsidRPr="0066275B" w:rsidTr="009E7CC3">
        <w:trPr>
          <w:trHeight w:val="245"/>
        </w:trPr>
        <w:tc>
          <w:tcPr>
            <w:tcW w:w="461" w:type="dxa"/>
            <w:vMerge/>
            <w:vAlign w:val="center"/>
          </w:tcPr>
          <w:p w:rsidR="00BD4A22" w:rsidRPr="00164FBF" w:rsidRDefault="00BD4A22" w:rsidP="009266F5">
            <w:pPr>
              <w:spacing w:after="0" w:line="240" w:lineRule="auto"/>
              <w:jc w:val="center"/>
              <w:rPr>
                <w:rFonts w:ascii="Calibri" w:hAnsi="Calibri"/>
                <w:sz w:val="20"/>
                <w:szCs w:val="20"/>
              </w:rPr>
            </w:pPr>
          </w:p>
        </w:tc>
        <w:tc>
          <w:tcPr>
            <w:tcW w:w="757" w:type="dxa"/>
            <w:vMerge/>
            <w:vAlign w:val="center"/>
          </w:tcPr>
          <w:p w:rsidR="00BD4A22" w:rsidRPr="00A82F8F" w:rsidRDefault="00BD4A22" w:rsidP="009266F5">
            <w:pPr>
              <w:spacing w:after="0" w:line="240" w:lineRule="auto"/>
              <w:jc w:val="center"/>
              <w:rPr>
                <w:rFonts w:ascii="Calibri" w:hAnsi="Calibri"/>
                <w:sz w:val="20"/>
                <w:szCs w:val="20"/>
              </w:rPr>
            </w:pPr>
          </w:p>
        </w:tc>
        <w:tc>
          <w:tcPr>
            <w:tcW w:w="870" w:type="dxa"/>
          </w:tcPr>
          <w:p w:rsidR="00BD4A22" w:rsidRPr="00A82F8F" w:rsidRDefault="00BD4A22" w:rsidP="009266F5">
            <w:pPr>
              <w:spacing w:after="0" w:line="240" w:lineRule="auto"/>
              <w:rPr>
                <w:rFonts w:ascii="Calibri" w:hAnsi="Calibri"/>
                <w:sz w:val="20"/>
                <w:szCs w:val="20"/>
              </w:rPr>
            </w:pPr>
            <w:r w:rsidRPr="00A82F8F">
              <w:rPr>
                <w:rFonts w:ascii="Calibri" w:hAnsi="Calibri"/>
                <w:sz w:val="20"/>
                <w:szCs w:val="20"/>
              </w:rPr>
              <w:t>P+</w:t>
            </w:r>
          </w:p>
        </w:tc>
        <w:tc>
          <w:tcPr>
            <w:tcW w:w="1049"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748</w:t>
            </w:r>
          </w:p>
        </w:tc>
        <w:tc>
          <w:tcPr>
            <w:tcW w:w="918"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31%</w:t>
            </w:r>
          </w:p>
        </w:tc>
        <w:tc>
          <w:tcPr>
            <w:tcW w:w="919"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30%</w:t>
            </w:r>
          </w:p>
        </w:tc>
        <w:tc>
          <w:tcPr>
            <w:tcW w:w="919"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31%</w:t>
            </w:r>
          </w:p>
        </w:tc>
        <w:tc>
          <w:tcPr>
            <w:tcW w:w="919"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38%</w:t>
            </w:r>
          </w:p>
        </w:tc>
        <w:tc>
          <w:tcPr>
            <w:tcW w:w="1126" w:type="dxa"/>
            <w:vAlign w:val="center"/>
          </w:tcPr>
          <w:p w:rsidR="00BD4A22" w:rsidRPr="0066275B" w:rsidRDefault="00BD4A22" w:rsidP="009266F5">
            <w:pPr>
              <w:spacing w:after="0" w:line="240" w:lineRule="auto"/>
              <w:jc w:val="center"/>
              <w:rPr>
                <w:rFonts w:ascii="Calibri" w:hAnsi="Calibri"/>
              </w:rPr>
            </w:pPr>
            <w:r w:rsidRPr="0066275B">
              <w:rPr>
                <w:rFonts w:ascii="Calibri" w:hAnsi="Calibri"/>
              </w:rPr>
              <w:t>7%</w:t>
            </w:r>
          </w:p>
        </w:tc>
        <w:tc>
          <w:tcPr>
            <w:tcW w:w="990" w:type="dxa"/>
            <w:vAlign w:val="center"/>
          </w:tcPr>
          <w:p w:rsidR="00BD4A22" w:rsidRPr="0066275B" w:rsidRDefault="00BD4A22" w:rsidP="009266F5">
            <w:pPr>
              <w:spacing w:after="0" w:line="240" w:lineRule="auto"/>
              <w:jc w:val="center"/>
              <w:rPr>
                <w:rFonts w:ascii="Calibri" w:hAnsi="Calibri"/>
              </w:rPr>
            </w:pPr>
            <w:r w:rsidRPr="0066275B">
              <w:rPr>
                <w:rFonts w:ascii="Calibri" w:hAnsi="Calibri"/>
              </w:rPr>
              <w:t>7%</w:t>
            </w:r>
          </w:p>
        </w:tc>
      </w:tr>
      <w:tr w:rsidR="00BD4A22" w:rsidRPr="0066275B" w:rsidTr="009E7CC3">
        <w:trPr>
          <w:trHeight w:val="245"/>
        </w:trPr>
        <w:tc>
          <w:tcPr>
            <w:tcW w:w="461" w:type="dxa"/>
            <w:vMerge/>
            <w:vAlign w:val="center"/>
          </w:tcPr>
          <w:p w:rsidR="00BD4A22" w:rsidRPr="00164FBF" w:rsidRDefault="00BD4A22" w:rsidP="009266F5">
            <w:pPr>
              <w:spacing w:after="0" w:line="240" w:lineRule="auto"/>
              <w:jc w:val="center"/>
              <w:rPr>
                <w:rFonts w:ascii="Calibri" w:hAnsi="Calibri"/>
                <w:sz w:val="20"/>
                <w:szCs w:val="20"/>
              </w:rPr>
            </w:pPr>
          </w:p>
        </w:tc>
        <w:tc>
          <w:tcPr>
            <w:tcW w:w="757" w:type="dxa"/>
            <w:vMerge/>
            <w:vAlign w:val="center"/>
          </w:tcPr>
          <w:p w:rsidR="00BD4A22" w:rsidRPr="00A82F8F" w:rsidRDefault="00BD4A22" w:rsidP="009266F5">
            <w:pPr>
              <w:spacing w:after="0" w:line="240" w:lineRule="auto"/>
              <w:jc w:val="center"/>
              <w:rPr>
                <w:rFonts w:ascii="Calibri" w:hAnsi="Calibri"/>
                <w:sz w:val="20"/>
                <w:szCs w:val="20"/>
              </w:rPr>
            </w:pPr>
          </w:p>
        </w:tc>
        <w:tc>
          <w:tcPr>
            <w:tcW w:w="870" w:type="dxa"/>
          </w:tcPr>
          <w:p w:rsidR="00BD4A22" w:rsidRPr="00A82F8F" w:rsidRDefault="00BD4A22" w:rsidP="009266F5">
            <w:pPr>
              <w:spacing w:after="0" w:line="240" w:lineRule="auto"/>
              <w:rPr>
                <w:rFonts w:ascii="Calibri" w:hAnsi="Calibri"/>
                <w:sz w:val="20"/>
                <w:szCs w:val="20"/>
              </w:rPr>
            </w:pPr>
            <w:r w:rsidRPr="00A82F8F">
              <w:rPr>
                <w:rFonts w:ascii="Calibri" w:hAnsi="Calibri"/>
                <w:sz w:val="20"/>
                <w:szCs w:val="20"/>
              </w:rPr>
              <w:t>SGP</w:t>
            </w:r>
          </w:p>
        </w:tc>
        <w:tc>
          <w:tcPr>
            <w:tcW w:w="1049"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682</w:t>
            </w:r>
          </w:p>
        </w:tc>
        <w:tc>
          <w:tcPr>
            <w:tcW w:w="918"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50.0</w:t>
            </w:r>
          </w:p>
        </w:tc>
        <w:tc>
          <w:tcPr>
            <w:tcW w:w="919"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42.5</w:t>
            </w:r>
          </w:p>
        </w:tc>
        <w:tc>
          <w:tcPr>
            <w:tcW w:w="919"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44.0</w:t>
            </w:r>
          </w:p>
        </w:tc>
        <w:tc>
          <w:tcPr>
            <w:tcW w:w="919"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53.0</w:t>
            </w:r>
          </w:p>
        </w:tc>
        <w:tc>
          <w:tcPr>
            <w:tcW w:w="1126" w:type="dxa"/>
            <w:vAlign w:val="center"/>
          </w:tcPr>
          <w:p w:rsidR="00BD4A22" w:rsidRPr="0066275B" w:rsidRDefault="00BD4A22" w:rsidP="009266F5">
            <w:pPr>
              <w:spacing w:after="0" w:line="240" w:lineRule="auto"/>
              <w:jc w:val="center"/>
              <w:rPr>
                <w:rFonts w:ascii="Calibri" w:hAnsi="Calibri"/>
              </w:rPr>
            </w:pPr>
            <w:r w:rsidRPr="0066275B">
              <w:rPr>
                <w:rFonts w:ascii="Calibri" w:hAnsi="Calibri"/>
              </w:rPr>
              <w:t>3.0</w:t>
            </w:r>
          </w:p>
        </w:tc>
        <w:tc>
          <w:tcPr>
            <w:tcW w:w="990" w:type="dxa"/>
            <w:vAlign w:val="center"/>
          </w:tcPr>
          <w:p w:rsidR="00BD4A22" w:rsidRPr="0066275B" w:rsidRDefault="00BD4A22" w:rsidP="009266F5">
            <w:pPr>
              <w:spacing w:after="0" w:line="240" w:lineRule="auto"/>
              <w:jc w:val="center"/>
              <w:rPr>
                <w:rFonts w:ascii="Calibri" w:hAnsi="Calibri"/>
              </w:rPr>
            </w:pPr>
            <w:r w:rsidRPr="0066275B">
              <w:rPr>
                <w:rFonts w:ascii="Calibri" w:hAnsi="Calibri"/>
              </w:rPr>
              <w:t>9.0</w:t>
            </w:r>
          </w:p>
        </w:tc>
      </w:tr>
      <w:tr w:rsidR="00BD4A22" w:rsidRPr="0066275B" w:rsidTr="009E7CC3">
        <w:trPr>
          <w:trHeight w:val="245"/>
        </w:trPr>
        <w:tc>
          <w:tcPr>
            <w:tcW w:w="461" w:type="dxa"/>
            <w:vMerge/>
            <w:vAlign w:val="center"/>
          </w:tcPr>
          <w:p w:rsidR="00BD4A22" w:rsidRPr="00164FBF" w:rsidRDefault="00BD4A22" w:rsidP="009266F5">
            <w:pPr>
              <w:spacing w:after="0" w:line="240" w:lineRule="auto"/>
              <w:jc w:val="center"/>
              <w:rPr>
                <w:rFonts w:ascii="Calibri" w:hAnsi="Calibri"/>
                <w:sz w:val="20"/>
                <w:szCs w:val="20"/>
              </w:rPr>
            </w:pPr>
          </w:p>
        </w:tc>
        <w:tc>
          <w:tcPr>
            <w:tcW w:w="757" w:type="dxa"/>
            <w:vMerge w:val="restart"/>
            <w:shd w:val="clear" w:color="auto" w:fill="D9D9D9" w:themeFill="background1" w:themeFillShade="D9"/>
            <w:vAlign w:val="center"/>
          </w:tcPr>
          <w:p w:rsidR="00BD4A22" w:rsidRPr="00A82F8F" w:rsidRDefault="00BD4A22" w:rsidP="009266F5">
            <w:pPr>
              <w:spacing w:after="0" w:line="240" w:lineRule="auto"/>
              <w:jc w:val="center"/>
              <w:rPr>
                <w:rFonts w:ascii="Calibri" w:hAnsi="Calibri"/>
                <w:sz w:val="20"/>
                <w:szCs w:val="20"/>
              </w:rPr>
            </w:pPr>
            <w:r w:rsidRPr="00A82F8F">
              <w:rPr>
                <w:rFonts w:ascii="Calibri" w:hAnsi="Calibri"/>
                <w:sz w:val="20"/>
                <w:szCs w:val="20"/>
              </w:rPr>
              <w:t>PARCC</w:t>
            </w:r>
          </w:p>
        </w:tc>
        <w:tc>
          <w:tcPr>
            <w:tcW w:w="870" w:type="dxa"/>
            <w:shd w:val="clear" w:color="auto" w:fill="D9D9D9" w:themeFill="background1" w:themeFillShade="D9"/>
          </w:tcPr>
          <w:p w:rsidR="00BD4A22" w:rsidRPr="00A82F8F" w:rsidRDefault="00BD4A22" w:rsidP="009266F5">
            <w:pPr>
              <w:spacing w:after="0" w:line="240" w:lineRule="auto"/>
              <w:rPr>
                <w:rFonts w:ascii="Calibri" w:hAnsi="Calibri"/>
                <w:sz w:val="20"/>
                <w:szCs w:val="20"/>
              </w:rPr>
            </w:pPr>
            <w:r w:rsidRPr="00A82F8F">
              <w:rPr>
                <w:rFonts w:ascii="Calibri" w:hAnsi="Calibri"/>
                <w:sz w:val="20"/>
                <w:szCs w:val="20"/>
              </w:rPr>
              <w:t>CPI</w:t>
            </w:r>
          </w:p>
        </w:tc>
        <w:tc>
          <w:tcPr>
            <w:tcW w:w="1049" w:type="dxa"/>
            <w:shd w:val="clear" w:color="auto" w:fill="D9D9D9" w:themeFill="background1" w:themeFillShade="D9"/>
            <w:vAlign w:val="bottom"/>
          </w:tcPr>
          <w:p w:rsidR="00BD4A22" w:rsidRPr="005F47D0" w:rsidRDefault="00BD4A22" w:rsidP="009266F5">
            <w:pPr>
              <w:spacing w:after="0" w:line="240" w:lineRule="auto"/>
              <w:jc w:val="center"/>
              <w:rPr>
                <w:rFonts w:ascii="Calibri" w:hAnsi="Calibri"/>
                <w:sz w:val="20"/>
                <w:szCs w:val="20"/>
              </w:rPr>
            </w:pPr>
            <w:r>
              <w:rPr>
                <w:rFonts w:ascii="Calibri" w:hAnsi="Calibri"/>
                <w:sz w:val="20"/>
                <w:szCs w:val="20"/>
              </w:rPr>
              <w:t>1,127</w:t>
            </w:r>
          </w:p>
        </w:tc>
        <w:tc>
          <w:tcPr>
            <w:tcW w:w="918" w:type="dxa"/>
            <w:shd w:val="clear" w:color="auto" w:fill="D9D9D9" w:themeFill="background1" w:themeFillShade="D9"/>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67.7</w:t>
            </w:r>
          </w:p>
        </w:tc>
        <w:tc>
          <w:tcPr>
            <w:tcW w:w="919" w:type="dxa"/>
            <w:shd w:val="clear" w:color="auto" w:fill="D9D9D9" w:themeFill="background1" w:themeFillShade="D9"/>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65.5</w:t>
            </w:r>
          </w:p>
        </w:tc>
        <w:tc>
          <w:tcPr>
            <w:tcW w:w="919" w:type="dxa"/>
            <w:shd w:val="clear" w:color="auto" w:fill="D9D9D9" w:themeFill="background1" w:themeFillShade="D9"/>
            <w:vAlign w:val="bottom"/>
          </w:tcPr>
          <w:p w:rsidR="00BD4A22" w:rsidRPr="005F47D0" w:rsidRDefault="00BD4A22" w:rsidP="009266F5">
            <w:pPr>
              <w:spacing w:after="0" w:line="240" w:lineRule="auto"/>
              <w:jc w:val="center"/>
              <w:rPr>
                <w:rFonts w:ascii="Calibri" w:hAnsi="Calibri"/>
                <w:sz w:val="20"/>
                <w:szCs w:val="20"/>
              </w:rPr>
            </w:pPr>
            <w:r>
              <w:rPr>
                <w:rFonts w:ascii="Calibri" w:hAnsi="Calibri"/>
                <w:sz w:val="20"/>
                <w:szCs w:val="20"/>
              </w:rPr>
              <w:t>63.4</w:t>
            </w:r>
          </w:p>
        </w:tc>
        <w:tc>
          <w:tcPr>
            <w:tcW w:w="919" w:type="dxa"/>
            <w:shd w:val="clear" w:color="auto" w:fill="D9D9D9" w:themeFill="background1" w:themeFillShade="D9"/>
            <w:vAlign w:val="bottom"/>
          </w:tcPr>
          <w:p w:rsidR="00BD4A22" w:rsidRPr="005F47D0" w:rsidRDefault="00BD4A22" w:rsidP="009266F5">
            <w:pPr>
              <w:spacing w:after="0" w:line="240" w:lineRule="auto"/>
              <w:jc w:val="center"/>
              <w:rPr>
                <w:rFonts w:ascii="Calibri" w:hAnsi="Calibri"/>
                <w:sz w:val="20"/>
                <w:szCs w:val="20"/>
              </w:rPr>
            </w:pPr>
            <w:r>
              <w:rPr>
                <w:rFonts w:ascii="Calibri" w:hAnsi="Calibri"/>
                <w:sz w:val="20"/>
                <w:szCs w:val="20"/>
              </w:rPr>
              <w:t>59.9</w:t>
            </w:r>
          </w:p>
        </w:tc>
        <w:tc>
          <w:tcPr>
            <w:tcW w:w="1126" w:type="dxa"/>
            <w:shd w:val="clear" w:color="auto" w:fill="D9D9D9" w:themeFill="background1" w:themeFillShade="D9"/>
          </w:tcPr>
          <w:p w:rsidR="00BD4A22" w:rsidRPr="0066275B" w:rsidRDefault="00BD4A22" w:rsidP="009266F5">
            <w:pPr>
              <w:spacing w:after="0" w:line="240" w:lineRule="auto"/>
              <w:jc w:val="center"/>
              <w:rPr>
                <w:rFonts w:ascii="Calibri" w:hAnsi="Calibri"/>
              </w:rPr>
            </w:pPr>
            <w:r w:rsidRPr="0066275B">
              <w:rPr>
                <w:rFonts w:ascii="Calibri" w:hAnsi="Calibri"/>
              </w:rPr>
              <w:t>-7.8</w:t>
            </w:r>
          </w:p>
        </w:tc>
        <w:tc>
          <w:tcPr>
            <w:tcW w:w="990" w:type="dxa"/>
            <w:shd w:val="clear" w:color="auto" w:fill="D9D9D9" w:themeFill="background1" w:themeFillShade="D9"/>
            <w:vAlign w:val="bottom"/>
          </w:tcPr>
          <w:p w:rsidR="00BD4A22" w:rsidRPr="0066275B" w:rsidRDefault="00BD4A22" w:rsidP="009266F5">
            <w:pPr>
              <w:spacing w:after="0" w:line="240" w:lineRule="auto"/>
              <w:jc w:val="center"/>
              <w:rPr>
                <w:rFonts w:ascii="Calibri" w:hAnsi="Calibri"/>
              </w:rPr>
            </w:pPr>
            <w:r w:rsidRPr="0066275B">
              <w:rPr>
                <w:rFonts w:ascii="Calibri" w:hAnsi="Calibri"/>
              </w:rPr>
              <w:t>-3.5</w:t>
            </w:r>
          </w:p>
        </w:tc>
      </w:tr>
      <w:tr w:rsidR="00BD4A22" w:rsidRPr="0066275B" w:rsidTr="009E7CC3">
        <w:trPr>
          <w:trHeight w:val="245"/>
        </w:trPr>
        <w:tc>
          <w:tcPr>
            <w:tcW w:w="461" w:type="dxa"/>
            <w:vMerge/>
            <w:vAlign w:val="center"/>
          </w:tcPr>
          <w:p w:rsidR="00BD4A22" w:rsidRPr="00164FBF" w:rsidRDefault="00BD4A22" w:rsidP="009266F5">
            <w:pPr>
              <w:spacing w:after="0" w:line="240" w:lineRule="auto"/>
              <w:jc w:val="center"/>
              <w:rPr>
                <w:rFonts w:ascii="Calibri" w:hAnsi="Calibri"/>
                <w:sz w:val="20"/>
                <w:szCs w:val="20"/>
              </w:rPr>
            </w:pPr>
          </w:p>
        </w:tc>
        <w:tc>
          <w:tcPr>
            <w:tcW w:w="757" w:type="dxa"/>
            <w:vMerge/>
            <w:shd w:val="clear" w:color="auto" w:fill="D9D9D9" w:themeFill="background1" w:themeFillShade="D9"/>
            <w:vAlign w:val="center"/>
          </w:tcPr>
          <w:p w:rsidR="00BD4A22" w:rsidRPr="00A82F8F" w:rsidRDefault="00BD4A22" w:rsidP="009266F5">
            <w:pPr>
              <w:spacing w:after="0" w:line="240" w:lineRule="auto"/>
              <w:jc w:val="center"/>
              <w:rPr>
                <w:rFonts w:ascii="Calibri" w:hAnsi="Calibri"/>
                <w:sz w:val="20"/>
                <w:szCs w:val="20"/>
              </w:rPr>
            </w:pPr>
          </w:p>
        </w:tc>
        <w:tc>
          <w:tcPr>
            <w:tcW w:w="870" w:type="dxa"/>
            <w:shd w:val="clear" w:color="auto" w:fill="D9D9D9" w:themeFill="background1" w:themeFillShade="D9"/>
          </w:tcPr>
          <w:p w:rsidR="00BD4A22" w:rsidRPr="00A82F8F" w:rsidRDefault="00BD4A22" w:rsidP="009266F5">
            <w:pPr>
              <w:spacing w:after="0" w:line="240" w:lineRule="auto"/>
              <w:rPr>
                <w:rFonts w:ascii="Calibri" w:hAnsi="Calibri"/>
                <w:sz w:val="20"/>
                <w:szCs w:val="20"/>
              </w:rPr>
            </w:pPr>
            <w:r w:rsidRPr="00A82F8F">
              <w:rPr>
                <w:rFonts w:ascii="Calibri" w:hAnsi="Calibri"/>
                <w:sz w:val="20"/>
                <w:szCs w:val="20"/>
              </w:rPr>
              <w:t>Lv 4&amp;5</w:t>
            </w:r>
          </w:p>
        </w:tc>
        <w:tc>
          <w:tcPr>
            <w:tcW w:w="1049" w:type="dxa"/>
            <w:shd w:val="clear" w:color="auto" w:fill="D9D9D9" w:themeFill="background1" w:themeFillShade="D9"/>
            <w:vAlign w:val="bottom"/>
          </w:tcPr>
          <w:p w:rsidR="00BD4A22" w:rsidRPr="005F47D0" w:rsidRDefault="00BD4A22" w:rsidP="009266F5">
            <w:pPr>
              <w:spacing w:after="0" w:line="240" w:lineRule="auto"/>
              <w:jc w:val="center"/>
              <w:rPr>
                <w:rFonts w:ascii="Calibri" w:hAnsi="Calibri"/>
                <w:sz w:val="20"/>
                <w:szCs w:val="20"/>
              </w:rPr>
            </w:pPr>
            <w:r>
              <w:rPr>
                <w:rFonts w:ascii="Calibri" w:hAnsi="Calibri"/>
                <w:sz w:val="20"/>
                <w:szCs w:val="20"/>
              </w:rPr>
              <w:t>1,099</w:t>
            </w:r>
          </w:p>
        </w:tc>
        <w:tc>
          <w:tcPr>
            <w:tcW w:w="918" w:type="dxa"/>
            <w:shd w:val="clear" w:color="auto" w:fill="D9D9D9" w:themeFill="background1" w:themeFillShade="D9"/>
            <w:vAlign w:val="center"/>
          </w:tcPr>
          <w:p w:rsidR="00BD4A22" w:rsidRPr="005F47D0" w:rsidRDefault="00BD4A22" w:rsidP="009266F5">
            <w:pPr>
              <w:spacing w:after="0" w:line="240" w:lineRule="auto"/>
              <w:jc w:val="center"/>
              <w:rPr>
                <w:rFonts w:ascii="Calibri" w:hAnsi="Calibri"/>
                <w:color w:val="000000"/>
                <w:sz w:val="20"/>
                <w:szCs w:val="20"/>
              </w:rPr>
            </w:pPr>
            <w:r>
              <w:rPr>
                <w:rFonts w:ascii="Calibri" w:hAnsi="Calibri"/>
                <w:color w:val="000000"/>
                <w:sz w:val="20"/>
                <w:szCs w:val="20"/>
              </w:rPr>
              <w:t>--</w:t>
            </w:r>
          </w:p>
        </w:tc>
        <w:tc>
          <w:tcPr>
            <w:tcW w:w="919" w:type="dxa"/>
            <w:shd w:val="clear" w:color="auto" w:fill="D9D9D9" w:themeFill="background1" w:themeFillShade="D9"/>
            <w:vAlign w:val="center"/>
          </w:tcPr>
          <w:p w:rsidR="00BD4A22" w:rsidRPr="005F47D0" w:rsidRDefault="00BD4A22" w:rsidP="009266F5">
            <w:pPr>
              <w:spacing w:after="0" w:line="240" w:lineRule="auto"/>
              <w:jc w:val="center"/>
              <w:rPr>
                <w:rFonts w:ascii="Calibri" w:hAnsi="Calibri"/>
                <w:color w:val="000000"/>
                <w:sz w:val="20"/>
                <w:szCs w:val="20"/>
              </w:rPr>
            </w:pPr>
            <w:r>
              <w:rPr>
                <w:rFonts w:ascii="Calibri" w:hAnsi="Calibri"/>
                <w:color w:val="000000"/>
                <w:sz w:val="20"/>
                <w:szCs w:val="20"/>
              </w:rPr>
              <w:t>--</w:t>
            </w:r>
          </w:p>
        </w:tc>
        <w:tc>
          <w:tcPr>
            <w:tcW w:w="919" w:type="dxa"/>
            <w:shd w:val="clear" w:color="auto" w:fill="D9D9D9" w:themeFill="background1" w:themeFillShade="D9"/>
            <w:vAlign w:val="bottom"/>
          </w:tcPr>
          <w:p w:rsidR="00BD4A22" w:rsidRPr="005F47D0" w:rsidRDefault="00BD4A22" w:rsidP="009266F5">
            <w:pPr>
              <w:spacing w:after="0" w:line="240" w:lineRule="auto"/>
              <w:jc w:val="center"/>
              <w:rPr>
                <w:rFonts w:ascii="Calibri" w:hAnsi="Calibri"/>
                <w:sz w:val="20"/>
                <w:szCs w:val="20"/>
              </w:rPr>
            </w:pPr>
            <w:r>
              <w:rPr>
                <w:rFonts w:ascii="Calibri" w:hAnsi="Calibri"/>
                <w:sz w:val="20"/>
                <w:szCs w:val="20"/>
              </w:rPr>
              <w:t>27%</w:t>
            </w:r>
          </w:p>
        </w:tc>
        <w:tc>
          <w:tcPr>
            <w:tcW w:w="919" w:type="dxa"/>
            <w:shd w:val="clear" w:color="auto" w:fill="D9D9D9" w:themeFill="background1" w:themeFillShade="D9"/>
            <w:vAlign w:val="bottom"/>
          </w:tcPr>
          <w:p w:rsidR="00BD4A22" w:rsidRPr="005F47D0" w:rsidRDefault="00BD4A22" w:rsidP="009266F5">
            <w:pPr>
              <w:spacing w:after="0" w:line="240" w:lineRule="auto"/>
              <w:jc w:val="center"/>
              <w:rPr>
                <w:rFonts w:ascii="Calibri" w:hAnsi="Calibri"/>
                <w:sz w:val="20"/>
                <w:szCs w:val="20"/>
              </w:rPr>
            </w:pPr>
            <w:r>
              <w:rPr>
                <w:rFonts w:ascii="Calibri" w:hAnsi="Calibri"/>
                <w:sz w:val="20"/>
                <w:szCs w:val="20"/>
              </w:rPr>
              <w:t>27%</w:t>
            </w:r>
          </w:p>
        </w:tc>
        <w:tc>
          <w:tcPr>
            <w:tcW w:w="1126" w:type="dxa"/>
            <w:shd w:val="clear" w:color="auto" w:fill="D9D9D9" w:themeFill="background1" w:themeFillShade="D9"/>
          </w:tcPr>
          <w:p w:rsidR="00BD4A22" w:rsidRPr="0066275B" w:rsidRDefault="00BD4A22" w:rsidP="009266F5">
            <w:pPr>
              <w:spacing w:after="0" w:line="240" w:lineRule="auto"/>
              <w:jc w:val="center"/>
              <w:rPr>
                <w:rFonts w:ascii="Calibri" w:hAnsi="Calibri"/>
              </w:rPr>
            </w:pPr>
            <w:r w:rsidRPr="0066275B">
              <w:rPr>
                <w:rFonts w:ascii="Calibri" w:hAnsi="Calibri"/>
              </w:rPr>
              <w:t>--</w:t>
            </w:r>
          </w:p>
        </w:tc>
        <w:tc>
          <w:tcPr>
            <w:tcW w:w="990" w:type="dxa"/>
            <w:shd w:val="clear" w:color="auto" w:fill="D9D9D9" w:themeFill="background1" w:themeFillShade="D9"/>
            <w:vAlign w:val="bottom"/>
          </w:tcPr>
          <w:p w:rsidR="00BD4A22" w:rsidRPr="0066275B" w:rsidRDefault="00BD4A22" w:rsidP="009266F5">
            <w:pPr>
              <w:spacing w:after="0" w:line="240" w:lineRule="auto"/>
              <w:jc w:val="center"/>
              <w:rPr>
                <w:rFonts w:ascii="Calibri" w:hAnsi="Calibri"/>
              </w:rPr>
            </w:pPr>
            <w:r w:rsidRPr="0066275B">
              <w:rPr>
                <w:rFonts w:ascii="Calibri" w:hAnsi="Calibri"/>
              </w:rPr>
              <w:t>0%</w:t>
            </w:r>
          </w:p>
        </w:tc>
      </w:tr>
      <w:tr w:rsidR="00BD4A22" w:rsidRPr="0066275B" w:rsidTr="009E7CC3">
        <w:trPr>
          <w:trHeight w:val="245"/>
        </w:trPr>
        <w:tc>
          <w:tcPr>
            <w:tcW w:w="461" w:type="dxa"/>
            <w:vMerge/>
            <w:vAlign w:val="center"/>
          </w:tcPr>
          <w:p w:rsidR="00BD4A22" w:rsidRPr="00164FBF" w:rsidRDefault="00BD4A22" w:rsidP="009266F5">
            <w:pPr>
              <w:spacing w:after="0" w:line="240" w:lineRule="auto"/>
              <w:jc w:val="center"/>
              <w:rPr>
                <w:rFonts w:ascii="Calibri" w:hAnsi="Calibri"/>
                <w:sz w:val="20"/>
                <w:szCs w:val="20"/>
              </w:rPr>
            </w:pPr>
          </w:p>
        </w:tc>
        <w:tc>
          <w:tcPr>
            <w:tcW w:w="757" w:type="dxa"/>
            <w:vMerge/>
            <w:shd w:val="clear" w:color="auto" w:fill="D9D9D9" w:themeFill="background1" w:themeFillShade="D9"/>
            <w:vAlign w:val="center"/>
          </w:tcPr>
          <w:p w:rsidR="00BD4A22" w:rsidRPr="00A82F8F" w:rsidRDefault="00BD4A22" w:rsidP="009266F5">
            <w:pPr>
              <w:spacing w:after="0" w:line="240" w:lineRule="auto"/>
              <w:jc w:val="center"/>
              <w:rPr>
                <w:rFonts w:ascii="Calibri" w:hAnsi="Calibri"/>
                <w:sz w:val="20"/>
                <w:szCs w:val="20"/>
              </w:rPr>
            </w:pPr>
          </w:p>
        </w:tc>
        <w:tc>
          <w:tcPr>
            <w:tcW w:w="870" w:type="dxa"/>
            <w:shd w:val="clear" w:color="auto" w:fill="D9D9D9" w:themeFill="background1" w:themeFillShade="D9"/>
          </w:tcPr>
          <w:p w:rsidR="00BD4A22" w:rsidRPr="00A82F8F" w:rsidRDefault="00BD4A22" w:rsidP="009266F5">
            <w:pPr>
              <w:spacing w:after="0" w:line="240" w:lineRule="auto"/>
              <w:rPr>
                <w:rFonts w:ascii="Calibri" w:hAnsi="Calibri"/>
                <w:sz w:val="20"/>
                <w:szCs w:val="20"/>
              </w:rPr>
            </w:pPr>
            <w:r w:rsidRPr="00A82F8F">
              <w:rPr>
                <w:rFonts w:ascii="Calibri" w:hAnsi="Calibri"/>
                <w:sz w:val="20"/>
                <w:szCs w:val="20"/>
              </w:rPr>
              <w:t>SGP</w:t>
            </w:r>
          </w:p>
        </w:tc>
        <w:tc>
          <w:tcPr>
            <w:tcW w:w="1049" w:type="dxa"/>
            <w:shd w:val="clear" w:color="auto" w:fill="D9D9D9" w:themeFill="background1" w:themeFillShade="D9"/>
            <w:vAlign w:val="bottom"/>
          </w:tcPr>
          <w:p w:rsidR="00BD4A22" w:rsidRPr="005F47D0" w:rsidRDefault="00BD4A22" w:rsidP="009266F5">
            <w:pPr>
              <w:spacing w:after="0" w:line="240" w:lineRule="auto"/>
              <w:jc w:val="center"/>
              <w:rPr>
                <w:rFonts w:ascii="Calibri" w:hAnsi="Calibri"/>
                <w:sz w:val="20"/>
                <w:szCs w:val="20"/>
              </w:rPr>
            </w:pPr>
            <w:r>
              <w:rPr>
                <w:rFonts w:ascii="Calibri" w:hAnsi="Calibri"/>
                <w:sz w:val="20"/>
                <w:szCs w:val="20"/>
              </w:rPr>
              <w:t>987</w:t>
            </w:r>
          </w:p>
        </w:tc>
        <w:tc>
          <w:tcPr>
            <w:tcW w:w="918" w:type="dxa"/>
            <w:shd w:val="clear" w:color="auto" w:fill="D9D9D9" w:themeFill="background1" w:themeFillShade="D9"/>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50.0</w:t>
            </w:r>
          </w:p>
        </w:tc>
        <w:tc>
          <w:tcPr>
            <w:tcW w:w="919" w:type="dxa"/>
            <w:shd w:val="clear" w:color="auto" w:fill="D9D9D9" w:themeFill="background1" w:themeFillShade="D9"/>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42.5</w:t>
            </w:r>
          </w:p>
        </w:tc>
        <w:tc>
          <w:tcPr>
            <w:tcW w:w="919" w:type="dxa"/>
            <w:shd w:val="clear" w:color="auto" w:fill="D9D9D9" w:themeFill="background1" w:themeFillShade="D9"/>
            <w:vAlign w:val="bottom"/>
          </w:tcPr>
          <w:p w:rsidR="00BD4A22" w:rsidRPr="005F47D0" w:rsidRDefault="00BD4A22" w:rsidP="009266F5">
            <w:pPr>
              <w:spacing w:after="0" w:line="240" w:lineRule="auto"/>
              <w:jc w:val="center"/>
              <w:rPr>
                <w:rFonts w:ascii="Calibri" w:hAnsi="Calibri"/>
                <w:sz w:val="20"/>
                <w:szCs w:val="20"/>
              </w:rPr>
            </w:pPr>
            <w:r>
              <w:rPr>
                <w:rFonts w:ascii="Calibri" w:hAnsi="Calibri"/>
                <w:sz w:val="20"/>
                <w:szCs w:val="20"/>
              </w:rPr>
              <w:t>44.0</w:t>
            </w:r>
          </w:p>
        </w:tc>
        <w:tc>
          <w:tcPr>
            <w:tcW w:w="919" w:type="dxa"/>
            <w:shd w:val="clear" w:color="auto" w:fill="D9D9D9" w:themeFill="background1" w:themeFillShade="D9"/>
            <w:vAlign w:val="bottom"/>
          </w:tcPr>
          <w:p w:rsidR="00BD4A22" w:rsidRPr="005F47D0" w:rsidRDefault="00BD4A22" w:rsidP="009266F5">
            <w:pPr>
              <w:spacing w:after="0" w:line="240" w:lineRule="auto"/>
              <w:jc w:val="center"/>
              <w:rPr>
                <w:rFonts w:ascii="Calibri" w:hAnsi="Calibri"/>
                <w:sz w:val="20"/>
                <w:szCs w:val="20"/>
              </w:rPr>
            </w:pPr>
            <w:r>
              <w:rPr>
                <w:rFonts w:ascii="Calibri" w:hAnsi="Calibri"/>
                <w:sz w:val="20"/>
                <w:szCs w:val="20"/>
              </w:rPr>
              <w:t>36.0</w:t>
            </w:r>
          </w:p>
        </w:tc>
        <w:tc>
          <w:tcPr>
            <w:tcW w:w="1126" w:type="dxa"/>
            <w:shd w:val="clear" w:color="auto" w:fill="D9D9D9" w:themeFill="background1" w:themeFillShade="D9"/>
          </w:tcPr>
          <w:p w:rsidR="00BD4A22" w:rsidRPr="0066275B" w:rsidRDefault="00BD4A22" w:rsidP="009266F5">
            <w:pPr>
              <w:spacing w:after="0" w:line="240" w:lineRule="auto"/>
              <w:jc w:val="center"/>
              <w:rPr>
                <w:rFonts w:ascii="Calibri" w:hAnsi="Calibri"/>
              </w:rPr>
            </w:pPr>
            <w:r w:rsidRPr="0066275B">
              <w:rPr>
                <w:rFonts w:ascii="Calibri" w:hAnsi="Calibri"/>
              </w:rPr>
              <w:t>-14.0</w:t>
            </w:r>
          </w:p>
        </w:tc>
        <w:tc>
          <w:tcPr>
            <w:tcW w:w="990" w:type="dxa"/>
            <w:shd w:val="clear" w:color="auto" w:fill="D9D9D9" w:themeFill="background1" w:themeFillShade="D9"/>
            <w:vAlign w:val="bottom"/>
          </w:tcPr>
          <w:p w:rsidR="00BD4A22" w:rsidRPr="0066275B" w:rsidRDefault="00BD4A22" w:rsidP="009266F5">
            <w:pPr>
              <w:spacing w:after="0" w:line="240" w:lineRule="auto"/>
              <w:jc w:val="center"/>
              <w:rPr>
                <w:rFonts w:ascii="Calibri" w:hAnsi="Calibri"/>
              </w:rPr>
            </w:pPr>
            <w:r w:rsidRPr="0066275B">
              <w:rPr>
                <w:rFonts w:ascii="Calibri" w:hAnsi="Calibri"/>
              </w:rPr>
              <w:t>-8.0</w:t>
            </w:r>
          </w:p>
        </w:tc>
      </w:tr>
      <w:tr w:rsidR="00BD4A22" w:rsidRPr="0066275B" w:rsidTr="009E7CC3">
        <w:trPr>
          <w:trHeight w:val="245"/>
        </w:trPr>
        <w:tc>
          <w:tcPr>
            <w:tcW w:w="461" w:type="dxa"/>
            <w:vMerge w:val="restart"/>
            <w:vAlign w:val="center"/>
          </w:tcPr>
          <w:p w:rsidR="00BD4A22" w:rsidRPr="00164FBF" w:rsidRDefault="00BD4A22" w:rsidP="009266F5">
            <w:pPr>
              <w:spacing w:after="0" w:line="240" w:lineRule="auto"/>
              <w:jc w:val="center"/>
              <w:rPr>
                <w:rFonts w:ascii="Calibri" w:hAnsi="Calibri"/>
                <w:sz w:val="20"/>
                <w:szCs w:val="20"/>
              </w:rPr>
            </w:pPr>
            <w:r w:rsidRPr="00164FBF">
              <w:rPr>
                <w:rFonts w:ascii="Calibri" w:hAnsi="Calibri"/>
                <w:sz w:val="20"/>
                <w:szCs w:val="20"/>
              </w:rPr>
              <w:t>5</w:t>
            </w:r>
          </w:p>
        </w:tc>
        <w:tc>
          <w:tcPr>
            <w:tcW w:w="757" w:type="dxa"/>
            <w:vMerge w:val="restart"/>
            <w:vAlign w:val="center"/>
          </w:tcPr>
          <w:p w:rsidR="00BD4A22" w:rsidRPr="00A82F8F" w:rsidRDefault="00BD4A22" w:rsidP="009266F5">
            <w:pPr>
              <w:spacing w:after="0" w:line="240" w:lineRule="auto"/>
              <w:jc w:val="center"/>
              <w:rPr>
                <w:rFonts w:ascii="Calibri" w:hAnsi="Calibri"/>
                <w:sz w:val="20"/>
                <w:szCs w:val="20"/>
              </w:rPr>
            </w:pPr>
            <w:r w:rsidRPr="00A82F8F">
              <w:rPr>
                <w:rFonts w:ascii="Calibri" w:hAnsi="Calibri"/>
                <w:sz w:val="20"/>
                <w:szCs w:val="20"/>
              </w:rPr>
              <w:t>MCAS</w:t>
            </w:r>
          </w:p>
        </w:tc>
        <w:tc>
          <w:tcPr>
            <w:tcW w:w="870" w:type="dxa"/>
          </w:tcPr>
          <w:p w:rsidR="00BD4A22" w:rsidRPr="00A82F8F" w:rsidRDefault="00BD4A22" w:rsidP="009266F5">
            <w:pPr>
              <w:spacing w:after="0" w:line="240" w:lineRule="auto"/>
              <w:rPr>
                <w:rFonts w:ascii="Calibri" w:hAnsi="Calibri"/>
                <w:sz w:val="20"/>
                <w:szCs w:val="20"/>
              </w:rPr>
            </w:pPr>
            <w:r w:rsidRPr="00A82F8F">
              <w:rPr>
                <w:rFonts w:ascii="Calibri" w:hAnsi="Calibri"/>
                <w:sz w:val="20"/>
                <w:szCs w:val="20"/>
              </w:rPr>
              <w:t>CPI</w:t>
            </w:r>
          </w:p>
        </w:tc>
        <w:tc>
          <w:tcPr>
            <w:tcW w:w="1049"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702</w:t>
            </w:r>
          </w:p>
        </w:tc>
        <w:tc>
          <w:tcPr>
            <w:tcW w:w="918"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67.8</w:t>
            </w:r>
          </w:p>
        </w:tc>
        <w:tc>
          <w:tcPr>
            <w:tcW w:w="919"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65.1</w:t>
            </w:r>
          </w:p>
        </w:tc>
        <w:tc>
          <w:tcPr>
            <w:tcW w:w="919"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71.9</w:t>
            </w:r>
          </w:p>
        </w:tc>
        <w:tc>
          <w:tcPr>
            <w:tcW w:w="919"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73.1</w:t>
            </w:r>
          </w:p>
        </w:tc>
        <w:tc>
          <w:tcPr>
            <w:tcW w:w="1126" w:type="dxa"/>
            <w:vAlign w:val="center"/>
          </w:tcPr>
          <w:p w:rsidR="00BD4A22" w:rsidRPr="0066275B" w:rsidRDefault="00BD4A22" w:rsidP="009266F5">
            <w:pPr>
              <w:spacing w:after="0" w:line="240" w:lineRule="auto"/>
              <w:jc w:val="center"/>
              <w:rPr>
                <w:rFonts w:ascii="Calibri" w:hAnsi="Calibri"/>
              </w:rPr>
            </w:pPr>
            <w:r w:rsidRPr="0066275B">
              <w:rPr>
                <w:rFonts w:ascii="Calibri" w:hAnsi="Calibri"/>
              </w:rPr>
              <w:t>5.3</w:t>
            </w:r>
          </w:p>
        </w:tc>
        <w:tc>
          <w:tcPr>
            <w:tcW w:w="990" w:type="dxa"/>
            <w:vAlign w:val="center"/>
          </w:tcPr>
          <w:p w:rsidR="00BD4A22" w:rsidRPr="0066275B" w:rsidRDefault="00BD4A22" w:rsidP="009266F5">
            <w:pPr>
              <w:spacing w:after="0" w:line="240" w:lineRule="auto"/>
              <w:jc w:val="center"/>
              <w:rPr>
                <w:rFonts w:ascii="Calibri" w:hAnsi="Calibri"/>
              </w:rPr>
            </w:pPr>
            <w:r w:rsidRPr="0066275B">
              <w:rPr>
                <w:rFonts w:ascii="Calibri" w:hAnsi="Calibri"/>
              </w:rPr>
              <w:t>1.2</w:t>
            </w:r>
          </w:p>
        </w:tc>
      </w:tr>
      <w:tr w:rsidR="00BD4A22" w:rsidRPr="0066275B" w:rsidTr="009E7CC3">
        <w:trPr>
          <w:trHeight w:val="245"/>
        </w:trPr>
        <w:tc>
          <w:tcPr>
            <w:tcW w:w="461" w:type="dxa"/>
            <w:vMerge/>
            <w:vAlign w:val="center"/>
          </w:tcPr>
          <w:p w:rsidR="00BD4A22" w:rsidRPr="00164FBF" w:rsidRDefault="00BD4A22" w:rsidP="009266F5">
            <w:pPr>
              <w:spacing w:after="0" w:line="240" w:lineRule="auto"/>
              <w:jc w:val="center"/>
              <w:rPr>
                <w:rFonts w:ascii="Calibri" w:hAnsi="Calibri"/>
                <w:sz w:val="20"/>
                <w:szCs w:val="20"/>
              </w:rPr>
            </w:pPr>
          </w:p>
        </w:tc>
        <w:tc>
          <w:tcPr>
            <w:tcW w:w="757" w:type="dxa"/>
            <w:vMerge/>
            <w:vAlign w:val="center"/>
          </w:tcPr>
          <w:p w:rsidR="00BD4A22" w:rsidRPr="00A82F8F" w:rsidRDefault="00BD4A22" w:rsidP="009266F5">
            <w:pPr>
              <w:spacing w:after="0" w:line="240" w:lineRule="auto"/>
              <w:jc w:val="center"/>
              <w:rPr>
                <w:rFonts w:ascii="Calibri" w:hAnsi="Calibri"/>
                <w:sz w:val="20"/>
                <w:szCs w:val="20"/>
              </w:rPr>
            </w:pPr>
          </w:p>
        </w:tc>
        <w:tc>
          <w:tcPr>
            <w:tcW w:w="870" w:type="dxa"/>
          </w:tcPr>
          <w:p w:rsidR="00BD4A22" w:rsidRPr="00A82F8F" w:rsidRDefault="00BD4A22" w:rsidP="009266F5">
            <w:pPr>
              <w:spacing w:after="0" w:line="240" w:lineRule="auto"/>
              <w:rPr>
                <w:rFonts w:ascii="Calibri" w:hAnsi="Calibri"/>
                <w:sz w:val="20"/>
                <w:szCs w:val="20"/>
              </w:rPr>
            </w:pPr>
            <w:r w:rsidRPr="00A82F8F">
              <w:rPr>
                <w:rFonts w:ascii="Calibri" w:hAnsi="Calibri"/>
                <w:sz w:val="20"/>
                <w:szCs w:val="20"/>
              </w:rPr>
              <w:t>P+</w:t>
            </w:r>
          </w:p>
        </w:tc>
        <w:tc>
          <w:tcPr>
            <w:tcW w:w="1049"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702</w:t>
            </w:r>
          </w:p>
        </w:tc>
        <w:tc>
          <w:tcPr>
            <w:tcW w:w="918"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43%</w:t>
            </w:r>
          </w:p>
        </w:tc>
        <w:tc>
          <w:tcPr>
            <w:tcW w:w="919"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38%</w:t>
            </w:r>
          </w:p>
        </w:tc>
        <w:tc>
          <w:tcPr>
            <w:tcW w:w="919"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46%</w:t>
            </w:r>
          </w:p>
        </w:tc>
        <w:tc>
          <w:tcPr>
            <w:tcW w:w="919"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45%</w:t>
            </w:r>
          </w:p>
        </w:tc>
        <w:tc>
          <w:tcPr>
            <w:tcW w:w="1126" w:type="dxa"/>
            <w:vAlign w:val="center"/>
          </w:tcPr>
          <w:p w:rsidR="00BD4A22" w:rsidRPr="0066275B" w:rsidRDefault="00BD4A22" w:rsidP="009266F5">
            <w:pPr>
              <w:spacing w:after="0" w:line="240" w:lineRule="auto"/>
              <w:jc w:val="center"/>
              <w:rPr>
                <w:rFonts w:ascii="Calibri" w:hAnsi="Calibri"/>
              </w:rPr>
            </w:pPr>
            <w:r w:rsidRPr="0066275B">
              <w:rPr>
                <w:rFonts w:ascii="Calibri" w:hAnsi="Calibri"/>
              </w:rPr>
              <w:t>2%</w:t>
            </w:r>
          </w:p>
        </w:tc>
        <w:tc>
          <w:tcPr>
            <w:tcW w:w="990" w:type="dxa"/>
            <w:vAlign w:val="center"/>
          </w:tcPr>
          <w:p w:rsidR="00BD4A22" w:rsidRPr="0066275B" w:rsidRDefault="00BD4A22" w:rsidP="009266F5">
            <w:pPr>
              <w:spacing w:after="0" w:line="240" w:lineRule="auto"/>
              <w:jc w:val="center"/>
              <w:rPr>
                <w:rFonts w:ascii="Calibri" w:hAnsi="Calibri"/>
              </w:rPr>
            </w:pPr>
            <w:r w:rsidRPr="0066275B">
              <w:rPr>
                <w:rFonts w:ascii="Calibri" w:hAnsi="Calibri"/>
              </w:rPr>
              <w:t>-1%</w:t>
            </w:r>
          </w:p>
        </w:tc>
      </w:tr>
      <w:tr w:rsidR="00BD4A22" w:rsidRPr="0066275B" w:rsidTr="009E7CC3">
        <w:trPr>
          <w:trHeight w:val="245"/>
        </w:trPr>
        <w:tc>
          <w:tcPr>
            <w:tcW w:w="461" w:type="dxa"/>
            <w:vMerge/>
            <w:vAlign w:val="center"/>
          </w:tcPr>
          <w:p w:rsidR="00BD4A22" w:rsidRPr="00164FBF" w:rsidRDefault="00BD4A22" w:rsidP="009266F5">
            <w:pPr>
              <w:spacing w:after="0" w:line="240" w:lineRule="auto"/>
              <w:jc w:val="center"/>
              <w:rPr>
                <w:rFonts w:ascii="Calibri" w:hAnsi="Calibri"/>
                <w:sz w:val="20"/>
                <w:szCs w:val="20"/>
              </w:rPr>
            </w:pPr>
          </w:p>
        </w:tc>
        <w:tc>
          <w:tcPr>
            <w:tcW w:w="757" w:type="dxa"/>
            <w:vMerge/>
            <w:vAlign w:val="center"/>
          </w:tcPr>
          <w:p w:rsidR="00BD4A22" w:rsidRPr="00A82F8F" w:rsidRDefault="00BD4A22" w:rsidP="009266F5">
            <w:pPr>
              <w:spacing w:after="0" w:line="240" w:lineRule="auto"/>
              <w:jc w:val="center"/>
              <w:rPr>
                <w:rFonts w:ascii="Calibri" w:hAnsi="Calibri"/>
                <w:sz w:val="20"/>
                <w:szCs w:val="20"/>
              </w:rPr>
            </w:pPr>
          </w:p>
        </w:tc>
        <w:tc>
          <w:tcPr>
            <w:tcW w:w="870" w:type="dxa"/>
          </w:tcPr>
          <w:p w:rsidR="00BD4A22" w:rsidRPr="00A82F8F" w:rsidRDefault="00BD4A22" w:rsidP="009266F5">
            <w:pPr>
              <w:spacing w:after="0" w:line="240" w:lineRule="auto"/>
              <w:rPr>
                <w:rFonts w:ascii="Calibri" w:hAnsi="Calibri"/>
                <w:sz w:val="20"/>
                <w:szCs w:val="20"/>
              </w:rPr>
            </w:pPr>
            <w:r w:rsidRPr="00A82F8F">
              <w:rPr>
                <w:rFonts w:ascii="Calibri" w:hAnsi="Calibri"/>
                <w:sz w:val="20"/>
                <w:szCs w:val="20"/>
              </w:rPr>
              <w:t>SGP</w:t>
            </w:r>
          </w:p>
        </w:tc>
        <w:tc>
          <w:tcPr>
            <w:tcW w:w="1049"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633</w:t>
            </w:r>
          </w:p>
        </w:tc>
        <w:tc>
          <w:tcPr>
            <w:tcW w:w="918"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53.0</w:t>
            </w:r>
          </w:p>
        </w:tc>
        <w:tc>
          <w:tcPr>
            <w:tcW w:w="919"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49.0</w:t>
            </w:r>
          </w:p>
        </w:tc>
        <w:tc>
          <w:tcPr>
            <w:tcW w:w="919"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60.0</w:t>
            </w:r>
          </w:p>
        </w:tc>
        <w:tc>
          <w:tcPr>
            <w:tcW w:w="919"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65.0</w:t>
            </w:r>
          </w:p>
        </w:tc>
        <w:tc>
          <w:tcPr>
            <w:tcW w:w="1126" w:type="dxa"/>
            <w:vAlign w:val="center"/>
          </w:tcPr>
          <w:p w:rsidR="00BD4A22" w:rsidRPr="0066275B" w:rsidRDefault="00BD4A22" w:rsidP="009266F5">
            <w:pPr>
              <w:spacing w:after="0" w:line="240" w:lineRule="auto"/>
              <w:jc w:val="center"/>
              <w:rPr>
                <w:rFonts w:ascii="Calibri" w:hAnsi="Calibri"/>
              </w:rPr>
            </w:pPr>
            <w:r w:rsidRPr="0066275B">
              <w:rPr>
                <w:rFonts w:ascii="Calibri" w:hAnsi="Calibri"/>
              </w:rPr>
              <w:t>12.0</w:t>
            </w:r>
          </w:p>
        </w:tc>
        <w:tc>
          <w:tcPr>
            <w:tcW w:w="990" w:type="dxa"/>
            <w:vAlign w:val="center"/>
          </w:tcPr>
          <w:p w:rsidR="00BD4A22" w:rsidRPr="0066275B" w:rsidRDefault="00BD4A22" w:rsidP="009266F5">
            <w:pPr>
              <w:spacing w:after="0" w:line="240" w:lineRule="auto"/>
              <w:jc w:val="center"/>
              <w:rPr>
                <w:rFonts w:ascii="Calibri" w:hAnsi="Calibri"/>
              </w:rPr>
            </w:pPr>
            <w:r w:rsidRPr="0066275B">
              <w:rPr>
                <w:rFonts w:ascii="Calibri" w:hAnsi="Calibri"/>
              </w:rPr>
              <w:t>5.0</w:t>
            </w:r>
          </w:p>
        </w:tc>
      </w:tr>
      <w:tr w:rsidR="00BD4A22" w:rsidRPr="0066275B" w:rsidTr="009E7CC3">
        <w:trPr>
          <w:trHeight w:val="245"/>
        </w:trPr>
        <w:tc>
          <w:tcPr>
            <w:tcW w:w="461" w:type="dxa"/>
            <w:vMerge/>
            <w:vAlign w:val="center"/>
          </w:tcPr>
          <w:p w:rsidR="00BD4A22" w:rsidRPr="00164FBF" w:rsidRDefault="00BD4A22" w:rsidP="009266F5">
            <w:pPr>
              <w:spacing w:after="0" w:line="240" w:lineRule="auto"/>
              <w:jc w:val="center"/>
              <w:rPr>
                <w:rFonts w:ascii="Calibri" w:hAnsi="Calibri"/>
                <w:sz w:val="20"/>
                <w:szCs w:val="20"/>
              </w:rPr>
            </w:pPr>
          </w:p>
        </w:tc>
        <w:tc>
          <w:tcPr>
            <w:tcW w:w="757" w:type="dxa"/>
            <w:vMerge w:val="restart"/>
            <w:shd w:val="clear" w:color="auto" w:fill="D9D9D9" w:themeFill="background1" w:themeFillShade="D9"/>
            <w:vAlign w:val="center"/>
          </w:tcPr>
          <w:p w:rsidR="00BD4A22" w:rsidRPr="00A82F8F" w:rsidRDefault="00BD4A22" w:rsidP="009266F5">
            <w:pPr>
              <w:spacing w:after="0" w:line="240" w:lineRule="auto"/>
              <w:jc w:val="center"/>
              <w:rPr>
                <w:rFonts w:ascii="Calibri" w:hAnsi="Calibri"/>
                <w:sz w:val="20"/>
                <w:szCs w:val="20"/>
              </w:rPr>
            </w:pPr>
            <w:r w:rsidRPr="00A82F8F">
              <w:rPr>
                <w:rFonts w:ascii="Calibri" w:hAnsi="Calibri"/>
                <w:sz w:val="20"/>
                <w:szCs w:val="20"/>
              </w:rPr>
              <w:t>PARCC</w:t>
            </w:r>
          </w:p>
        </w:tc>
        <w:tc>
          <w:tcPr>
            <w:tcW w:w="870" w:type="dxa"/>
            <w:shd w:val="clear" w:color="auto" w:fill="D9D9D9" w:themeFill="background1" w:themeFillShade="D9"/>
          </w:tcPr>
          <w:p w:rsidR="00BD4A22" w:rsidRPr="00A82F8F" w:rsidRDefault="00BD4A22" w:rsidP="009266F5">
            <w:pPr>
              <w:spacing w:after="0" w:line="240" w:lineRule="auto"/>
              <w:rPr>
                <w:rFonts w:ascii="Calibri" w:hAnsi="Calibri"/>
                <w:sz w:val="20"/>
                <w:szCs w:val="20"/>
              </w:rPr>
            </w:pPr>
            <w:r w:rsidRPr="00A82F8F">
              <w:rPr>
                <w:rFonts w:ascii="Calibri" w:hAnsi="Calibri"/>
                <w:sz w:val="20"/>
                <w:szCs w:val="20"/>
              </w:rPr>
              <w:t>CPI</w:t>
            </w:r>
          </w:p>
        </w:tc>
        <w:tc>
          <w:tcPr>
            <w:tcW w:w="1049" w:type="dxa"/>
            <w:shd w:val="clear" w:color="auto" w:fill="D9D9D9" w:themeFill="background1" w:themeFillShade="D9"/>
            <w:vAlign w:val="bottom"/>
          </w:tcPr>
          <w:p w:rsidR="00BD4A22" w:rsidRPr="005F47D0" w:rsidRDefault="00BD4A22" w:rsidP="009266F5">
            <w:pPr>
              <w:spacing w:after="0" w:line="240" w:lineRule="auto"/>
              <w:jc w:val="center"/>
              <w:rPr>
                <w:rFonts w:ascii="Calibri" w:hAnsi="Calibri"/>
                <w:sz w:val="20"/>
                <w:szCs w:val="20"/>
              </w:rPr>
            </w:pPr>
            <w:r>
              <w:rPr>
                <w:rFonts w:ascii="Calibri" w:hAnsi="Calibri"/>
                <w:sz w:val="20"/>
                <w:szCs w:val="20"/>
              </w:rPr>
              <w:t>1,074</w:t>
            </w:r>
          </w:p>
        </w:tc>
        <w:tc>
          <w:tcPr>
            <w:tcW w:w="918" w:type="dxa"/>
            <w:shd w:val="clear" w:color="auto" w:fill="D9D9D9" w:themeFill="background1" w:themeFillShade="D9"/>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67.8</w:t>
            </w:r>
          </w:p>
        </w:tc>
        <w:tc>
          <w:tcPr>
            <w:tcW w:w="919" w:type="dxa"/>
            <w:shd w:val="clear" w:color="auto" w:fill="D9D9D9" w:themeFill="background1" w:themeFillShade="D9"/>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65.1</w:t>
            </w:r>
          </w:p>
        </w:tc>
        <w:tc>
          <w:tcPr>
            <w:tcW w:w="919" w:type="dxa"/>
            <w:shd w:val="clear" w:color="auto" w:fill="D9D9D9" w:themeFill="background1" w:themeFillShade="D9"/>
            <w:vAlign w:val="bottom"/>
          </w:tcPr>
          <w:p w:rsidR="00BD4A22" w:rsidRPr="005F47D0" w:rsidRDefault="00BD4A22" w:rsidP="009266F5">
            <w:pPr>
              <w:spacing w:after="0" w:line="240" w:lineRule="auto"/>
              <w:jc w:val="center"/>
              <w:rPr>
                <w:rFonts w:ascii="Calibri" w:hAnsi="Calibri"/>
                <w:sz w:val="20"/>
                <w:szCs w:val="20"/>
              </w:rPr>
            </w:pPr>
            <w:r>
              <w:rPr>
                <w:rFonts w:ascii="Calibri" w:hAnsi="Calibri"/>
                <w:sz w:val="20"/>
                <w:szCs w:val="20"/>
              </w:rPr>
              <w:t>60.4</w:t>
            </w:r>
          </w:p>
        </w:tc>
        <w:tc>
          <w:tcPr>
            <w:tcW w:w="919" w:type="dxa"/>
            <w:shd w:val="clear" w:color="auto" w:fill="D9D9D9" w:themeFill="background1" w:themeFillShade="D9"/>
            <w:vAlign w:val="bottom"/>
          </w:tcPr>
          <w:p w:rsidR="00BD4A22" w:rsidRPr="005F47D0" w:rsidRDefault="00BD4A22" w:rsidP="009266F5">
            <w:pPr>
              <w:spacing w:after="0" w:line="240" w:lineRule="auto"/>
              <w:jc w:val="center"/>
              <w:rPr>
                <w:rFonts w:ascii="Calibri" w:hAnsi="Calibri"/>
                <w:sz w:val="20"/>
                <w:szCs w:val="20"/>
              </w:rPr>
            </w:pPr>
            <w:r>
              <w:rPr>
                <w:rFonts w:ascii="Calibri" w:hAnsi="Calibri"/>
                <w:sz w:val="20"/>
                <w:szCs w:val="20"/>
              </w:rPr>
              <w:t>61.5</w:t>
            </w:r>
          </w:p>
        </w:tc>
        <w:tc>
          <w:tcPr>
            <w:tcW w:w="1126" w:type="dxa"/>
            <w:shd w:val="clear" w:color="auto" w:fill="D9D9D9" w:themeFill="background1" w:themeFillShade="D9"/>
          </w:tcPr>
          <w:p w:rsidR="00BD4A22" w:rsidRPr="0066275B" w:rsidRDefault="00BD4A22" w:rsidP="009266F5">
            <w:pPr>
              <w:spacing w:after="0" w:line="240" w:lineRule="auto"/>
              <w:jc w:val="center"/>
              <w:rPr>
                <w:rFonts w:ascii="Calibri" w:hAnsi="Calibri"/>
              </w:rPr>
            </w:pPr>
            <w:r w:rsidRPr="0066275B">
              <w:rPr>
                <w:rFonts w:ascii="Calibri" w:hAnsi="Calibri"/>
              </w:rPr>
              <w:t>-6.3</w:t>
            </w:r>
          </w:p>
        </w:tc>
        <w:tc>
          <w:tcPr>
            <w:tcW w:w="990" w:type="dxa"/>
            <w:shd w:val="clear" w:color="auto" w:fill="D9D9D9" w:themeFill="background1" w:themeFillShade="D9"/>
            <w:vAlign w:val="bottom"/>
          </w:tcPr>
          <w:p w:rsidR="00BD4A22" w:rsidRPr="0066275B" w:rsidRDefault="00BD4A22" w:rsidP="009266F5">
            <w:pPr>
              <w:spacing w:after="0" w:line="240" w:lineRule="auto"/>
              <w:jc w:val="center"/>
              <w:rPr>
                <w:rFonts w:ascii="Calibri" w:hAnsi="Calibri"/>
              </w:rPr>
            </w:pPr>
            <w:r w:rsidRPr="0066275B">
              <w:rPr>
                <w:rFonts w:ascii="Calibri" w:hAnsi="Calibri"/>
              </w:rPr>
              <w:t>1.1</w:t>
            </w:r>
          </w:p>
        </w:tc>
      </w:tr>
      <w:tr w:rsidR="00BD4A22" w:rsidRPr="0066275B" w:rsidTr="009E7CC3">
        <w:trPr>
          <w:trHeight w:val="245"/>
        </w:trPr>
        <w:tc>
          <w:tcPr>
            <w:tcW w:w="461" w:type="dxa"/>
            <w:vMerge/>
            <w:vAlign w:val="center"/>
          </w:tcPr>
          <w:p w:rsidR="00BD4A22" w:rsidRPr="00164FBF" w:rsidRDefault="00BD4A22" w:rsidP="009266F5">
            <w:pPr>
              <w:spacing w:after="0" w:line="240" w:lineRule="auto"/>
              <w:jc w:val="center"/>
              <w:rPr>
                <w:rFonts w:ascii="Calibri" w:hAnsi="Calibri"/>
                <w:sz w:val="20"/>
                <w:szCs w:val="20"/>
              </w:rPr>
            </w:pPr>
          </w:p>
        </w:tc>
        <w:tc>
          <w:tcPr>
            <w:tcW w:w="757" w:type="dxa"/>
            <w:vMerge/>
            <w:shd w:val="clear" w:color="auto" w:fill="D9D9D9" w:themeFill="background1" w:themeFillShade="D9"/>
            <w:vAlign w:val="center"/>
          </w:tcPr>
          <w:p w:rsidR="00BD4A22" w:rsidRPr="00A82F8F" w:rsidRDefault="00BD4A22" w:rsidP="009266F5">
            <w:pPr>
              <w:spacing w:after="0" w:line="240" w:lineRule="auto"/>
              <w:jc w:val="center"/>
              <w:rPr>
                <w:rFonts w:ascii="Calibri" w:hAnsi="Calibri"/>
                <w:sz w:val="20"/>
                <w:szCs w:val="20"/>
              </w:rPr>
            </w:pPr>
          </w:p>
        </w:tc>
        <w:tc>
          <w:tcPr>
            <w:tcW w:w="870" w:type="dxa"/>
            <w:shd w:val="clear" w:color="auto" w:fill="D9D9D9" w:themeFill="background1" w:themeFillShade="D9"/>
          </w:tcPr>
          <w:p w:rsidR="00BD4A22" w:rsidRPr="00A82F8F" w:rsidRDefault="00BD4A22" w:rsidP="009266F5">
            <w:pPr>
              <w:spacing w:after="0" w:line="240" w:lineRule="auto"/>
              <w:rPr>
                <w:rFonts w:ascii="Calibri" w:hAnsi="Calibri"/>
                <w:sz w:val="20"/>
                <w:szCs w:val="20"/>
              </w:rPr>
            </w:pPr>
            <w:r w:rsidRPr="00A82F8F">
              <w:rPr>
                <w:rFonts w:ascii="Calibri" w:hAnsi="Calibri"/>
                <w:sz w:val="20"/>
                <w:szCs w:val="20"/>
              </w:rPr>
              <w:t>Lv 4&amp;5</w:t>
            </w:r>
          </w:p>
        </w:tc>
        <w:tc>
          <w:tcPr>
            <w:tcW w:w="1049" w:type="dxa"/>
            <w:shd w:val="clear" w:color="auto" w:fill="D9D9D9" w:themeFill="background1" w:themeFillShade="D9"/>
            <w:vAlign w:val="bottom"/>
          </w:tcPr>
          <w:p w:rsidR="00BD4A22" w:rsidRPr="005F47D0" w:rsidRDefault="00BD4A22" w:rsidP="009266F5">
            <w:pPr>
              <w:spacing w:after="0" w:line="240" w:lineRule="auto"/>
              <w:jc w:val="center"/>
              <w:rPr>
                <w:rFonts w:ascii="Calibri" w:hAnsi="Calibri"/>
                <w:sz w:val="20"/>
                <w:szCs w:val="20"/>
              </w:rPr>
            </w:pPr>
            <w:r>
              <w:rPr>
                <w:rFonts w:ascii="Calibri" w:hAnsi="Calibri"/>
                <w:sz w:val="20"/>
                <w:szCs w:val="20"/>
              </w:rPr>
              <w:t>1,038</w:t>
            </w:r>
          </w:p>
        </w:tc>
        <w:tc>
          <w:tcPr>
            <w:tcW w:w="918" w:type="dxa"/>
            <w:shd w:val="clear" w:color="auto" w:fill="D9D9D9" w:themeFill="background1" w:themeFillShade="D9"/>
            <w:vAlign w:val="center"/>
          </w:tcPr>
          <w:p w:rsidR="00BD4A22" w:rsidRPr="005F47D0" w:rsidRDefault="00BD4A22" w:rsidP="009266F5">
            <w:pPr>
              <w:spacing w:after="0" w:line="240" w:lineRule="auto"/>
              <w:jc w:val="center"/>
              <w:rPr>
                <w:rFonts w:ascii="Calibri" w:hAnsi="Calibri"/>
                <w:color w:val="000000"/>
                <w:sz w:val="20"/>
                <w:szCs w:val="20"/>
              </w:rPr>
            </w:pPr>
            <w:r>
              <w:rPr>
                <w:rFonts w:ascii="Calibri" w:hAnsi="Calibri"/>
                <w:color w:val="000000"/>
                <w:sz w:val="20"/>
                <w:szCs w:val="20"/>
              </w:rPr>
              <w:t>--</w:t>
            </w:r>
          </w:p>
        </w:tc>
        <w:tc>
          <w:tcPr>
            <w:tcW w:w="919" w:type="dxa"/>
            <w:shd w:val="clear" w:color="auto" w:fill="D9D9D9" w:themeFill="background1" w:themeFillShade="D9"/>
            <w:vAlign w:val="center"/>
          </w:tcPr>
          <w:p w:rsidR="00BD4A22" w:rsidRPr="005F47D0" w:rsidRDefault="00BD4A22" w:rsidP="009266F5">
            <w:pPr>
              <w:spacing w:after="0" w:line="240" w:lineRule="auto"/>
              <w:jc w:val="center"/>
              <w:rPr>
                <w:rFonts w:ascii="Calibri" w:hAnsi="Calibri"/>
                <w:color w:val="000000"/>
                <w:sz w:val="20"/>
                <w:szCs w:val="20"/>
              </w:rPr>
            </w:pPr>
            <w:r>
              <w:rPr>
                <w:rFonts w:ascii="Calibri" w:hAnsi="Calibri"/>
                <w:color w:val="000000"/>
                <w:sz w:val="20"/>
                <w:szCs w:val="20"/>
              </w:rPr>
              <w:t>--</w:t>
            </w:r>
          </w:p>
        </w:tc>
        <w:tc>
          <w:tcPr>
            <w:tcW w:w="919" w:type="dxa"/>
            <w:shd w:val="clear" w:color="auto" w:fill="D9D9D9" w:themeFill="background1" w:themeFillShade="D9"/>
            <w:vAlign w:val="bottom"/>
          </w:tcPr>
          <w:p w:rsidR="00BD4A22" w:rsidRPr="005F47D0" w:rsidRDefault="00BD4A22" w:rsidP="009266F5">
            <w:pPr>
              <w:spacing w:after="0" w:line="240" w:lineRule="auto"/>
              <w:jc w:val="center"/>
              <w:rPr>
                <w:rFonts w:ascii="Calibri" w:hAnsi="Calibri"/>
                <w:sz w:val="20"/>
                <w:szCs w:val="20"/>
              </w:rPr>
            </w:pPr>
            <w:r>
              <w:rPr>
                <w:rFonts w:ascii="Calibri" w:hAnsi="Calibri"/>
                <w:sz w:val="20"/>
                <w:szCs w:val="20"/>
              </w:rPr>
              <w:t>23%</w:t>
            </w:r>
          </w:p>
        </w:tc>
        <w:tc>
          <w:tcPr>
            <w:tcW w:w="919" w:type="dxa"/>
            <w:shd w:val="clear" w:color="auto" w:fill="D9D9D9" w:themeFill="background1" w:themeFillShade="D9"/>
            <w:vAlign w:val="bottom"/>
          </w:tcPr>
          <w:p w:rsidR="00BD4A22" w:rsidRPr="005F47D0" w:rsidRDefault="00BD4A22" w:rsidP="009266F5">
            <w:pPr>
              <w:spacing w:after="0" w:line="240" w:lineRule="auto"/>
              <w:jc w:val="center"/>
              <w:rPr>
                <w:rFonts w:ascii="Calibri" w:hAnsi="Calibri"/>
                <w:sz w:val="20"/>
                <w:szCs w:val="20"/>
              </w:rPr>
            </w:pPr>
            <w:r>
              <w:rPr>
                <w:rFonts w:ascii="Calibri" w:hAnsi="Calibri"/>
                <w:sz w:val="20"/>
                <w:szCs w:val="20"/>
              </w:rPr>
              <w:t>27%</w:t>
            </w:r>
          </w:p>
        </w:tc>
        <w:tc>
          <w:tcPr>
            <w:tcW w:w="1126" w:type="dxa"/>
            <w:shd w:val="clear" w:color="auto" w:fill="D9D9D9" w:themeFill="background1" w:themeFillShade="D9"/>
          </w:tcPr>
          <w:p w:rsidR="00BD4A22" w:rsidRPr="0066275B" w:rsidRDefault="00BD4A22" w:rsidP="009266F5">
            <w:pPr>
              <w:spacing w:after="0" w:line="240" w:lineRule="auto"/>
              <w:jc w:val="center"/>
              <w:rPr>
                <w:rFonts w:ascii="Calibri" w:hAnsi="Calibri"/>
              </w:rPr>
            </w:pPr>
            <w:r w:rsidRPr="0066275B">
              <w:rPr>
                <w:rFonts w:ascii="Calibri" w:hAnsi="Calibri"/>
              </w:rPr>
              <w:t>--</w:t>
            </w:r>
          </w:p>
        </w:tc>
        <w:tc>
          <w:tcPr>
            <w:tcW w:w="990" w:type="dxa"/>
            <w:shd w:val="clear" w:color="auto" w:fill="D9D9D9" w:themeFill="background1" w:themeFillShade="D9"/>
            <w:vAlign w:val="bottom"/>
          </w:tcPr>
          <w:p w:rsidR="00BD4A22" w:rsidRPr="0066275B" w:rsidRDefault="00BD4A22" w:rsidP="009266F5">
            <w:pPr>
              <w:spacing w:after="0" w:line="240" w:lineRule="auto"/>
              <w:jc w:val="center"/>
              <w:rPr>
                <w:rFonts w:ascii="Calibri" w:hAnsi="Calibri"/>
              </w:rPr>
            </w:pPr>
            <w:r w:rsidRPr="0066275B">
              <w:rPr>
                <w:rFonts w:ascii="Calibri" w:hAnsi="Calibri"/>
              </w:rPr>
              <w:t>4%</w:t>
            </w:r>
          </w:p>
        </w:tc>
      </w:tr>
      <w:tr w:rsidR="00BD4A22" w:rsidRPr="0066275B" w:rsidTr="009E7CC3">
        <w:trPr>
          <w:trHeight w:val="245"/>
        </w:trPr>
        <w:tc>
          <w:tcPr>
            <w:tcW w:w="461" w:type="dxa"/>
            <w:vMerge/>
            <w:vAlign w:val="center"/>
          </w:tcPr>
          <w:p w:rsidR="00BD4A22" w:rsidRPr="00164FBF" w:rsidRDefault="00BD4A22" w:rsidP="009266F5">
            <w:pPr>
              <w:spacing w:after="0" w:line="240" w:lineRule="auto"/>
              <w:jc w:val="center"/>
              <w:rPr>
                <w:rFonts w:ascii="Calibri" w:hAnsi="Calibri"/>
                <w:sz w:val="20"/>
                <w:szCs w:val="20"/>
              </w:rPr>
            </w:pPr>
          </w:p>
        </w:tc>
        <w:tc>
          <w:tcPr>
            <w:tcW w:w="757" w:type="dxa"/>
            <w:vMerge/>
            <w:shd w:val="clear" w:color="auto" w:fill="D9D9D9" w:themeFill="background1" w:themeFillShade="D9"/>
            <w:vAlign w:val="center"/>
          </w:tcPr>
          <w:p w:rsidR="00BD4A22" w:rsidRPr="00A82F8F" w:rsidRDefault="00BD4A22" w:rsidP="009266F5">
            <w:pPr>
              <w:spacing w:after="0" w:line="240" w:lineRule="auto"/>
              <w:jc w:val="center"/>
              <w:rPr>
                <w:rFonts w:ascii="Calibri" w:hAnsi="Calibri"/>
                <w:sz w:val="20"/>
                <w:szCs w:val="20"/>
              </w:rPr>
            </w:pPr>
          </w:p>
        </w:tc>
        <w:tc>
          <w:tcPr>
            <w:tcW w:w="870" w:type="dxa"/>
            <w:shd w:val="clear" w:color="auto" w:fill="D9D9D9" w:themeFill="background1" w:themeFillShade="D9"/>
          </w:tcPr>
          <w:p w:rsidR="00BD4A22" w:rsidRPr="00A82F8F" w:rsidRDefault="00BD4A22" w:rsidP="009266F5">
            <w:pPr>
              <w:spacing w:after="0" w:line="240" w:lineRule="auto"/>
              <w:rPr>
                <w:rFonts w:ascii="Calibri" w:hAnsi="Calibri"/>
                <w:sz w:val="20"/>
                <w:szCs w:val="20"/>
              </w:rPr>
            </w:pPr>
            <w:r w:rsidRPr="00A82F8F">
              <w:rPr>
                <w:rFonts w:ascii="Calibri" w:hAnsi="Calibri"/>
                <w:sz w:val="20"/>
                <w:szCs w:val="20"/>
              </w:rPr>
              <w:t>SGP</w:t>
            </w:r>
          </w:p>
        </w:tc>
        <w:tc>
          <w:tcPr>
            <w:tcW w:w="1049" w:type="dxa"/>
            <w:shd w:val="clear" w:color="auto" w:fill="D9D9D9" w:themeFill="background1" w:themeFillShade="D9"/>
            <w:vAlign w:val="bottom"/>
          </w:tcPr>
          <w:p w:rsidR="00BD4A22" w:rsidRPr="005F47D0" w:rsidRDefault="00BD4A22" w:rsidP="009266F5">
            <w:pPr>
              <w:spacing w:after="0" w:line="240" w:lineRule="auto"/>
              <w:jc w:val="center"/>
              <w:rPr>
                <w:rFonts w:ascii="Calibri" w:hAnsi="Calibri"/>
                <w:sz w:val="20"/>
                <w:szCs w:val="20"/>
              </w:rPr>
            </w:pPr>
            <w:r>
              <w:rPr>
                <w:rFonts w:ascii="Calibri" w:hAnsi="Calibri"/>
                <w:sz w:val="20"/>
                <w:szCs w:val="20"/>
              </w:rPr>
              <w:t>901</w:t>
            </w:r>
          </w:p>
        </w:tc>
        <w:tc>
          <w:tcPr>
            <w:tcW w:w="918" w:type="dxa"/>
            <w:shd w:val="clear" w:color="auto" w:fill="D9D9D9" w:themeFill="background1" w:themeFillShade="D9"/>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53.0</w:t>
            </w:r>
          </w:p>
        </w:tc>
        <w:tc>
          <w:tcPr>
            <w:tcW w:w="919" w:type="dxa"/>
            <w:shd w:val="clear" w:color="auto" w:fill="D9D9D9" w:themeFill="background1" w:themeFillShade="D9"/>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49.0</w:t>
            </w:r>
          </w:p>
        </w:tc>
        <w:tc>
          <w:tcPr>
            <w:tcW w:w="919" w:type="dxa"/>
            <w:shd w:val="clear" w:color="auto" w:fill="D9D9D9" w:themeFill="background1" w:themeFillShade="D9"/>
            <w:vAlign w:val="bottom"/>
          </w:tcPr>
          <w:p w:rsidR="00BD4A22" w:rsidRPr="005F47D0" w:rsidRDefault="00BD4A22" w:rsidP="009266F5">
            <w:pPr>
              <w:spacing w:after="0" w:line="240" w:lineRule="auto"/>
              <w:jc w:val="center"/>
              <w:rPr>
                <w:rFonts w:ascii="Calibri" w:hAnsi="Calibri"/>
                <w:sz w:val="20"/>
                <w:szCs w:val="20"/>
              </w:rPr>
            </w:pPr>
            <w:r>
              <w:rPr>
                <w:rFonts w:ascii="Calibri" w:hAnsi="Calibri"/>
                <w:sz w:val="20"/>
                <w:szCs w:val="20"/>
              </w:rPr>
              <w:t>43.0</w:t>
            </w:r>
          </w:p>
        </w:tc>
        <w:tc>
          <w:tcPr>
            <w:tcW w:w="919" w:type="dxa"/>
            <w:shd w:val="clear" w:color="auto" w:fill="D9D9D9" w:themeFill="background1" w:themeFillShade="D9"/>
            <w:vAlign w:val="bottom"/>
          </w:tcPr>
          <w:p w:rsidR="00BD4A22" w:rsidRPr="005F47D0" w:rsidRDefault="00BD4A22" w:rsidP="009266F5">
            <w:pPr>
              <w:spacing w:after="0" w:line="240" w:lineRule="auto"/>
              <w:jc w:val="center"/>
              <w:rPr>
                <w:rFonts w:ascii="Calibri" w:hAnsi="Calibri"/>
                <w:sz w:val="20"/>
                <w:szCs w:val="20"/>
              </w:rPr>
            </w:pPr>
            <w:r>
              <w:rPr>
                <w:rFonts w:ascii="Calibri" w:hAnsi="Calibri"/>
                <w:sz w:val="20"/>
                <w:szCs w:val="20"/>
              </w:rPr>
              <w:t>41.0</w:t>
            </w:r>
          </w:p>
        </w:tc>
        <w:tc>
          <w:tcPr>
            <w:tcW w:w="1126" w:type="dxa"/>
            <w:shd w:val="clear" w:color="auto" w:fill="D9D9D9" w:themeFill="background1" w:themeFillShade="D9"/>
          </w:tcPr>
          <w:p w:rsidR="00BD4A22" w:rsidRPr="0066275B" w:rsidRDefault="00BD4A22" w:rsidP="009266F5">
            <w:pPr>
              <w:spacing w:after="0" w:line="240" w:lineRule="auto"/>
              <w:jc w:val="center"/>
              <w:rPr>
                <w:rFonts w:ascii="Calibri" w:hAnsi="Calibri"/>
              </w:rPr>
            </w:pPr>
            <w:r w:rsidRPr="0066275B">
              <w:rPr>
                <w:rFonts w:ascii="Calibri" w:hAnsi="Calibri"/>
              </w:rPr>
              <w:t>-12.0</w:t>
            </w:r>
          </w:p>
        </w:tc>
        <w:tc>
          <w:tcPr>
            <w:tcW w:w="990" w:type="dxa"/>
            <w:shd w:val="clear" w:color="auto" w:fill="D9D9D9" w:themeFill="background1" w:themeFillShade="D9"/>
            <w:vAlign w:val="bottom"/>
          </w:tcPr>
          <w:p w:rsidR="00BD4A22" w:rsidRPr="0066275B" w:rsidRDefault="00BD4A22" w:rsidP="009266F5">
            <w:pPr>
              <w:spacing w:after="0" w:line="240" w:lineRule="auto"/>
              <w:jc w:val="center"/>
              <w:rPr>
                <w:rFonts w:ascii="Calibri" w:hAnsi="Calibri"/>
              </w:rPr>
            </w:pPr>
            <w:r w:rsidRPr="0066275B">
              <w:rPr>
                <w:rFonts w:ascii="Calibri" w:hAnsi="Calibri"/>
              </w:rPr>
              <w:t>-2.0</w:t>
            </w:r>
          </w:p>
        </w:tc>
      </w:tr>
      <w:tr w:rsidR="00BD4A22" w:rsidRPr="0066275B" w:rsidTr="009E7CC3">
        <w:trPr>
          <w:trHeight w:val="245"/>
        </w:trPr>
        <w:tc>
          <w:tcPr>
            <w:tcW w:w="461" w:type="dxa"/>
            <w:vMerge w:val="restart"/>
            <w:vAlign w:val="center"/>
          </w:tcPr>
          <w:p w:rsidR="00BD4A22" w:rsidRPr="00164FBF" w:rsidRDefault="00BD4A22" w:rsidP="009266F5">
            <w:pPr>
              <w:spacing w:after="0" w:line="240" w:lineRule="auto"/>
              <w:jc w:val="center"/>
              <w:rPr>
                <w:rFonts w:ascii="Calibri" w:hAnsi="Calibri"/>
                <w:sz w:val="20"/>
                <w:szCs w:val="20"/>
              </w:rPr>
            </w:pPr>
            <w:r w:rsidRPr="00164FBF">
              <w:rPr>
                <w:rFonts w:ascii="Calibri" w:hAnsi="Calibri"/>
                <w:sz w:val="20"/>
                <w:szCs w:val="20"/>
              </w:rPr>
              <w:t>6</w:t>
            </w:r>
          </w:p>
        </w:tc>
        <w:tc>
          <w:tcPr>
            <w:tcW w:w="757" w:type="dxa"/>
            <w:vMerge w:val="restart"/>
            <w:vAlign w:val="center"/>
          </w:tcPr>
          <w:p w:rsidR="00BD4A22" w:rsidRPr="00A82F8F" w:rsidRDefault="00BD4A22" w:rsidP="009266F5">
            <w:pPr>
              <w:spacing w:after="0" w:line="240" w:lineRule="auto"/>
              <w:jc w:val="center"/>
              <w:rPr>
                <w:rFonts w:ascii="Calibri" w:hAnsi="Calibri"/>
                <w:sz w:val="20"/>
                <w:szCs w:val="20"/>
              </w:rPr>
            </w:pPr>
            <w:r w:rsidRPr="00A82F8F">
              <w:rPr>
                <w:rFonts w:ascii="Calibri" w:hAnsi="Calibri"/>
                <w:sz w:val="20"/>
                <w:szCs w:val="20"/>
              </w:rPr>
              <w:t>MCAS</w:t>
            </w:r>
          </w:p>
        </w:tc>
        <w:tc>
          <w:tcPr>
            <w:tcW w:w="870" w:type="dxa"/>
          </w:tcPr>
          <w:p w:rsidR="00BD4A22" w:rsidRPr="00A82F8F" w:rsidRDefault="00BD4A22" w:rsidP="009266F5">
            <w:pPr>
              <w:spacing w:after="0" w:line="240" w:lineRule="auto"/>
              <w:rPr>
                <w:rFonts w:ascii="Calibri" w:hAnsi="Calibri"/>
                <w:sz w:val="20"/>
                <w:szCs w:val="20"/>
              </w:rPr>
            </w:pPr>
            <w:r w:rsidRPr="00A82F8F">
              <w:rPr>
                <w:rFonts w:ascii="Calibri" w:hAnsi="Calibri"/>
                <w:sz w:val="20"/>
                <w:szCs w:val="20"/>
              </w:rPr>
              <w:t>CPI</w:t>
            </w:r>
          </w:p>
        </w:tc>
        <w:tc>
          <w:tcPr>
            <w:tcW w:w="1049"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639</w:t>
            </w:r>
          </w:p>
        </w:tc>
        <w:tc>
          <w:tcPr>
            <w:tcW w:w="918"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69.8</w:t>
            </w:r>
          </w:p>
        </w:tc>
        <w:tc>
          <w:tcPr>
            <w:tcW w:w="919"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70.9</w:t>
            </w:r>
          </w:p>
        </w:tc>
        <w:tc>
          <w:tcPr>
            <w:tcW w:w="919"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77.4</w:t>
            </w:r>
          </w:p>
        </w:tc>
        <w:tc>
          <w:tcPr>
            <w:tcW w:w="919"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76.6</w:t>
            </w:r>
          </w:p>
        </w:tc>
        <w:tc>
          <w:tcPr>
            <w:tcW w:w="1126" w:type="dxa"/>
            <w:vAlign w:val="center"/>
          </w:tcPr>
          <w:p w:rsidR="00BD4A22" w:rsidRPr="0066275B" w:rsidRDefault="00BD4A22" w:rsidP="009266F5">
            <w:pPr>
              <w:spacing w:after="0" w:line="240" w:lineRule="auto"/>
              <w:jc w:val="center"/>
              <w:rPr>
                <w:rFonts w:ascii="Calibri" w:hAnsi="Calibri"/>
              </w:rPr>
            </w:pPr>
            <w:r w:rsidRPr="0066275B">
              <w:rPr>
                <w:rFonts w:ascii="Calibri" w:hAnsi="Calibri"/>
              </w:rPr>
              <w:t>6.8</w:t>
            </w:r>
          </w:p>
        </w:tc>
        <w:tc>
          <w:tcPr>
            <w:tcW w:w="990" w:type="dxa"/>
            <w:vAlign w:val="center"/>
          </w:tcPr>
          <w:p w:rsidR="00BD4A22" w:rsidRPr="0066275B" w:rsidRDefault="00BD4A22" w:rsidP="009266F5">
            <w:pPr>
              <w:spacing w:after="0" w:line="240" w:lineRule="auto"/>
              <w:jc w:val="center"/>
              <w:rPr>
                <w:rFonts w:ascii="Calibri" w:hAnsi="Calibri"/>
              </w:rPr>
            </w:pPr>
            <w:r w:rsidRPr="0066275B">
              <w:rPr>
                <w:rFonts w:ascii="Calibri" w:hAnsi="Calibri"/>
              </w:rPr>
              <w:t>-0.8</w:t>
            </w:r>
          </w:p>
        </w:tc>
      </w:tr>
      <w:tr w:rsidR="00BD4A22" w:rsidRPr="0066275B" w:rsidTr="009E7CC3">
        <w:trPr>
          <w:trHeight w:val="245"/>
        </w:trPr>
        <w:tc>
          <w:tcPr>
            <w:tcW w:w="461" w:type="dxa"/>
            <w:vMerge/>
            <w:vAlign w:val="center"/>
          </w:tcPr>
          <w:p w:rsidR="00BD4A22" w:rsidRPr="00164FBF" w:rsidRDefault="00BD4A22" w:rsidP="009266F5">
            <w:pPr>
              <w:spacing w:after="0" w:line="240" w:lineRule="auto"/>
              <w:jc w:val="center"/>
              <w:rPr>
                <w:rFonts w:ascii="Calibri" w:hAnsi="Calibri"/>
                <w:sz w:val="20"/>
                <w:szCs w:val="20"/>
              </w:rPr>
            </w:pPr>
          </w:p>
        </w:tc>
        <w:tc>
          <w:tcPr>
            <w:tcW w:w="757" w:type="dxa"/>
            <w:vMerge/>
            <w:vAlign w:val="center"/>
          </w:tcPr>
          <w:p w:rsidR="00BD4A22" w:rsidRPr="00A82F8F" w:rsidRDefault="00BD4A22" w:rsidP="009266F5">
            <w:pPr>
              <w:spacing w:after="0" w:line="240" w:lineRule="auto"/>
              <w:jc w:val="center"/>
              <w:rPr>
                <w:rFonts w:ascii="Calibri" w:hAnsi="Calibri"/>
                <w:sz w:val="20"/>
                <w:szCs w:val="20"/>
              </w:rPr>
            </w:pPr>
          </w:p>
        </w:tc>
        <w:tc>
          <w:tcPr>
            <w:tcW w:w="870" w:type="dxa"/>
          </w:tcPr>
          <w:p w:rsidR="00BD4A22" w:rsidRPr="00A82F8F" w:rsidRDefault="00BD4A22" w:rsidP="009266F5">
            <w:pPr>
              <w:spacing w:after="0" w:line="240" w:lineRule="auto"/>
              <w:rPr>
                <w:rFonts w:ascii="Calibri" w:hAnsi="Calibri"/>
                <w:sz w:val="20"/>
                <w:szCs w:val="20"/>
              </w:rPr>
            </w:pPr>
            <w:r w:rsidRPr="00A82F8F">
              <w:rPr>
                <w:rFonts w:ascii="Calibri" w:hAnsi="Calibri"/>
                <w:sz w:val="20"/>
                <w:szCs w:val="20"/>
              </w:rPr>
              <w:t>P+</w:t>
            </w:r>
          </w:p>
        </w:tc>
        <w:tc>
          <w:tcPr>
            <w:tcW w:w="1049"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639</w:t>
            </w:r>
          </w:p>
        </w:tc>
        <w:tc>
          <w:tcPr>
            <w:tcW w:w="918"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45%</w:t>
            </w:r>
          </w:p>
        </w:tc>
        <w:tc>
          <w:tcPr>
            <w:tcW w:w="919"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45%</w:t>
            </w:r>
          </w:p>
        </w:tc>
        <w:tc>
          <w:tcPr>
            <w:tcW w:w="919"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54%</w:t>
            </w:r>
          </w:p>
        </w:tc>
        <w:tc>
          <w:tcPr>
            <w:tcW w:w="919"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52%</w:t>
            </w:r>
          </w:p>
        </w:tc>
        <w:tc>
          <w:tcPr>
            <w:tcW w:w="1126" w:type="dxa"/>
            <w:vAlign w:val="center"/>
          </w:tcPr>
          <w:p w:rsidR="00BD4A22" w:rsidRPr="0066275B" w:rsidRDefault="00BD4A22" w:rsidP="009266F5">
            <w:pPr>
              <w:spacing w:after="0" w:line="240" w:lineRule="auto"/>
              <w:jc w:val="center"/>
              <w:rPr>
                <w:rFonts w:ascii="Calibri" w:hAnsi="Calibri"/>
              </w:rPr>
            </w:pPr>
            <w:r w:rsidRPr="0066275B">
              <w:rPr>
                <w:rFonts w:ascii="Calibri" w:hAnsi="Calibri"/>
              </w:rPr>
              <w:t>7%</w:t>
            </w:r>
          </w:p>
        </w:tc>
        <w:tc>
          <w:tcPr>
            <w:tcW w:w="990" w:type="dxa"/>
            <w:vAlign w:val="center"/>
          </w:tcPr>
          <w:p w:rsidR="00BD4A22" w:rsidRPr="0066275B" w:rsidRDefault="00BD4A22" w:rsidP="009266F5">
            <w:pPr>
              <w:spacing w:after="0" w:line="240" w:lineRule="auto"/>
              <w:jc w:val="center"/>
              <w:rPr>
                <w:rFonts w:ascii="Calibri" w:hAnsi="Calibri"/>
              </w:rPr>
            </w:pPr>
            <w:r w:rsidRPr="0066275B">
              <w:rPr>
                <w:rFonts w:ascii="Calibri" w:hAnsi="Calibri"/>
              </w:rPr>
              <w:t>-2%</w:t>
            </w:r>
          </w:p>
        </w:tc>
      </w:tr>
      <w:tr w:rsidR="00BD4A22" w:rsidRPr="0066275B" w:rsidTr="009E7CC3">
        <w:trPr>
          <w:trHeight w:val="245"/>
        </w:trPr>
        <w:tc>
          <w:tcPr>
            <w:tcW w:w="461" w:type="dxa"/>
            <w:vMerge/>
            <w:vAlign w:val="center"/>
          </w:tcPr>
          <w:p w:rsidR="00BD4A22" w:rsidRPr="00164FBF" w:rsidRDefault="00BD4A22" w:rsidP="009266F5">
            <w:pPr>
              <w:spacing w:after="0" w:line="240" w:lineRule="auto"/>
              <w:jc w:val="center"/>
              <w:rPr>
                <w:rFonts w:ascii="Calibri" w:hAnsi="Calibri"/>
                <w:sz w:val="20"/>
                <w:szCs w:val="20"/>
              </w:rPr>
            </w:pPr>
          </w:p>
        </w:tc>
        <w:tc>
          <w:tcPr>
            <w:tcW w:w="757" w:type="dxa"/>
            <w:vMerge/>
            <w:vAlign w:val="center"/>
          </w:tcPr>
          <w:p w:rsidR="00BD4A22" w:rsidRPr="00A82F8F" w:rsidRDefault="00BD4A22" w:rsidP="009266F5">
            <w:pPr>
              <w:spacing w:after="0" w:line="240" w:lineRule="auto"/>
              <w:jc w:val="center"/>
              <w:rPr>
                <w:rFonts w:ascii="Calibri" w:hAnsi="Calibri"/>
                <w:sz w:val="20"/>
                <w:szCs w:val="20"/>
              </w:rPr>
            </w:pPr>
          </w:p>
        </w:tc>
        <w:tc>
          <w:tcPr>
            <w:tcW w:w="870" w:type="dxa"/>
          </w:tcPr>
          <w:p w:rsidR="00BD4A22" w:rsidRPr="00A82F8F" w:rsidRDefault="00BD4A22" w:rsidP="009266F5">
            <w:pPr>
              <w:spacing w:after="0" w:line="240" w:lineRule="auto"/>
              <w:rPr>
                <w:rFonts w:ascii="Calibri" w:hAnsi="Calibri"/>
                <w:sz w:val="20"/>
                <w:szCs w:val="20"/>
              </w:rPr>
            </w:pPr>
            <w:r w:rsidRPr="00A82F8F">
              <w:rPr>
                <w:rFonts w:ascii="Calibri" w:hAnsi="Calibri"/>
                <w:sz w:val="20"/>
                <w:szCs w:val="20"/>
              </w:rPr>
              <w:t>SGP</w:t>
            </w:r>
          </w:p>
        </w:tc>
        <w:tc>
          <w:tcPr>
            <w:tcW w:w="1049"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569</w:t>
            </w:r>
          </w:p>
        </w:tc>
        <w:tc>
          <w:tcPr>
            <w:tcW w:w="918"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57.0</w:t>
            </w:r>
          </w:p>
        </w:tc>
        <w:tc>
          <w:tcPr>
            <w:tcW w:w="919"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59.5</w:t>
            </w:r>
          </w:p>
        </w:tc>
        <w:tc>
          <w:tcPr>
            <w:tcW w:w="919"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64.0</w:t>
            </w:r>
          </w:p>
        </w:tc>
        <w:tc>
          <w:tcPr>
            <w:tcW w:w="919"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67.0</w:t>
            </w:r>
          </w:p>
        </w:tc>
        <w:tc>
          <w:tcPr>
            <w:tcW w:w="1126" w:type="dxa"/>
            <w:vAlign w:val="center"/>
          </w:tcPr>
          <w:p w:rsidR="00BD4A22" w:rsidRPr="0066275B" w:rsidRDefault="00BD4A22" w:rsidP="009266F5">
            <w:pPr>
              <w:spacing w:after="0" w:line="240" w:lineRule="auto"/>
              <w:jc w:val="center"/>
              <w:rPr>
                <w:rFonts w:ascii="Calibri" w:hAnsi="Calibri"/>
              </w:rPr>
            </w:pPr>
            <w:r w:rsidRPr="0066275B">
              <w:rPr>
                <w:rFonts w:ascii="Calibri" w:hAnsi="Calibri"/>
              </w:rPr>
              <w:t>10.0</w:t>
            </w:r>
          </w:p>
        </w:tc>
        <w:tc>
          <w:tcPr>
            <w:tcW w:w="990" w:type="dxa"/>
            <w:vAlign w:val="center"/>
          </w:tcPr>
          <w:p w:rsidR="00BD4A22" w:rsidRPr="0066275B" w:rsidRDefault="00BD4A22" w:rsidP="009266F5">
            <w:pPr>
              <w:spacing w:after="0" w:line="240" w:lineRule="auto"/>
              <w:jc w:val="center"/>
              <w:rPr>
                <w:rFonts w:ascii="Calibri" w:hAnsi="Calibri"/>
              </w:rPr>
            </w:pPr>
            <w:r w:rsidRPr="0066275B">
              <w:rPr>
                <w:rFonts w:ascii="Calibri" w:hAnsi="Calibri"/>
              </w:rPr>
              <w:t>3.0</w:t>
            </w:r>
          </w:p>
        </w:tc>
      </w:tr>
      <w:tr w:rsidR="00BD4A22" w:rsidRPr="0066275B" w:rsidTr="009E7CC3">
        <w:trPr>
          <w:trHeight w:val="245"/>
        </w:trPr>
        <w:tc>
          <w:tcPr>
            <w:tcW w:w="461" w:type="dxa"/>
            <w:vMerge/>
            <w:vAlign w:val="center"/>
          </w:tcPr>
          <w:p w:rsidR="00BD4A22" w:rsidRPr="00164FBF" w:rsidRDefault="00BD4A22" w:rsidP="009266F5">
            <w:pPr>
              <w:spacing w:after="0" w:line="240" w:lineRule="auto"/>
              <w:jc w:val="center"/>
              <w:rPr>
                <w:rFonts w:ascii="Calibri" w:hAnsi="Calibri"/>
                <w:sz w:val="20"/>
                <w:szCs w:val="20"/>
              </w:rPr>
            </w:pPr>
          </w:p>
        </w:tc>
        <w:tc>
          <w:tcPr>
            <w:tcW w:w="757" w:type="dxa"/>
            <w:vMerge w:val="restart"/>
            <w:shd w:val="clear" w:color="auto" w:fill="D9D9D9" w:themeFill="background1" w:themeFillShade="D9"/>
            <w:vAlign w:val="center"/>
          </w:tcPr>
          <w:p w:rsidR="00BD4A22" w:rsidRPr="00A82F8F" w:rsidRDefault="00BD4A22" w:rsidP="009266F5">
            <w:pPr>
              <w:spacing w:after="0" w:line="240" w:lineRule="auto"/>
              <w:jc w:val="center"/>
              <w:rPr>
                <w:rFonts w:ascii="Calibri" w:hAnsi="Calibri"/>
                <w:sz w:val="20"/>
                <w:szCs w:val="20"/>
              </w:rPr>
            </w:pPr>
            <w:r w:rsidRPr="00A82F8F">
              <w:rPr>
                <w:rFonts w:ascii="Calibri" w:hAnsi="Calibri"/>
                <w:sz w:val="20"/>
                <w:szCs w:val="20"/>
              </w:rPr>
              <w:t>PARCC</w:t>
            </w:r>
          </w:p>
        </w:tc>
        <w:tc>
          <w:tcPr>
            <w:tcW w:w="870" w:type="dxa"/>
            <w:shd w:val="clear" w:color="auto" w:fill="D9D9D9" w:themeFill="background1" w:themeFillShade="D9"/>
          </w:tcPr>
          <w:p w:rsidR="00BD4A22" w:rsidRPr="00A82F8F" w:rsidRDefault="00BD4A22" w:rsidP="009266F5">
            <w:pPr>
              <w:spacing w:after="0" w:line="240" w:lineRule="auto"/>
              <w:rPr>
                <w:rFonts w:ascii="Calibri" w:hAnsi="Calibri"/>
                <w:sz w:val="20"/>
                <w:szCs w:val="20"/>
              </w:rPr>
            </w:pPr>
            <w:r w:rsidRPr="00A82F8F">
              <w:rPr>
                <w:rFonts w:ascii="Calibri" w:hAnsi="Calibri"/>
                <w:sz w:val="20"/>
                <w:szCs w:val="20"/>
              </w:rPr>
              <w:t>CPI</w:t>
            </w:r>
          </w:p>
        </w:tc>
        <w:tc>
          <w:tcPr>
            <w:tcW w:w="1049" w:type="dxa"/>
            <w:shd w:val="clear" w:color="auto" w:fill="D9D9D9" w:themeFill="background1" w:themeFillShade="D9"/>
            <w:vAlign w:val="bottom"/>
          </w:tcPr>
          <w:p w:rsidR="00BD4A22" w:rsidRPr="005F47D0" w:rsidRDefault="00BD4A22" w:rsidP="009266F5">
            <w:pPr>
              <w:spacing w:after="0" w:line="240" w:lineRule="auto"/>
              <w:jc w:val="center"/>
              <w:rPr>
                <w:rFonts w:ascii="Calibri" w:hAnsi="Calibri"/>
                <w:sz w:val="20"/>
                <w:szCs w:val="20"/>
              </w:rPr>
            </w:pPr>
            <w:r>
              <w:rPr>
                <w:rFonts w:ascii="Calibri" w:hAnsi="Calibri"/>
                <w:sz w:val="20"/>
                <w:szCs w:val="20"/>
              </w:rPr>
              <w:t>1,041</w:t>
            </w:r>
          </w:p>
        </w:tc>
        <w:tc>
          <w:tcPr>
            <w:tcW w:w="918" w:type="dxa"/>
            <w:shd w:val="clear" w:color="auto" w:fill="D9D9D9" w:themeFill="background1" w:themeFillShade="D9"/>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69.8</w:t>
            </w:r>
          </w:p>
        </w:tc>
        <w:tc>
          <w:tcPr>
            <w:tcW w:w="919" w:type="dxa"/>
            <w:shd w:val="clear" w:color="auto" w:fill="D9D9D9" w:themeFill="background1" w:themeFillShade="D9"/>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70.9</w:t>
            </w:r>
          </w:p>
        </w:tc>
        <w:tc>
          <w:tcPr>
            <w:tcW w:w="919" w:type="dxa"/>
            <w:shd w:val="clear" w:color="auto" w:fill="D9D9D9" w:themeFill="background1" w:themeFillShade="D9"/>
            <w:vAlign w:val="bottom"/>
          </w:tcPr>
          <w:p w:rsidR="00BD4A22" w:rsidRPr="005F47D0" w:rsidRDefault="00BD4A22" w:rsidP="009266F5">
            <w:pPr>
              <w:spacing w:after="0" w:line="240" w:lineRule="auto"/>
              <w:jc w:val="center"/>
              <w:rPr>
                <w:rFonts w:ascii="Calibri" w:hAnsi="Calibri"/>
                <w:sz w:val="20"/>
                <w:szCs w:val="20"/>
              </w:rPr>
            </w:pPr>
            <w:r>
              <w:rPr>
                <w:rFonts w:ascii="Calibri" w:hAnsi="Calibri"/>
                <w:sz w:val="20"/>
                <w:szCs w:val="20"/>
              </w:rPr>
              <w:t>62.6</w:t>
            </w:r>
          </w:p>
        </w:tc>
        <w:tc>
          <w:tcPr>
            <w:tcW w:w="919" w:type="dxa"/>
            <w:shd w:val="clear" w:color="auto" w:fill="D9D9D9" w:themeFill="background1" w:themeFillShade="D9"/>
            <w:vAlign w:val="bottom"/>
          </w:tcPr>
          <w:p w:rsidR="00BD4A22" w:rsidRPr="005F47D0" w:rsidRDefault="00BD4A22" w:rsidP="009266F5">
            <w:pPr>
              <w:spacing w:after="0" w:line="240" w:lineRule="auto"/>
              <w:jc w:val="center"/>
              <w:rPr>
                <w:rFonts w:ascii="Calibri" w:hAnsi="Calibri"/>
                <w:sz w:val="20"/>
                <w:szCs w:val="20"/>
              </w:rPr>
            </w:pPr>
            <w:r>
              <w:rPr>
                <w:rFonts w:ascii="Calibri" w:hAnsi="Calibri"/>
                <w:sz w:val="20"/>
                <w:szCs w:val="20"/>
              </w:rPr>
              <w:t>64.3</w:t>
            </w:r>
          </w:p>
        </w:tc>
        <w:tc>
          <w:tcPr>
            <w:tcW w:w="1126" w:type="dxa"/>
            <w:shd w:val="clear" w:color="auto" w:fill="D9D9D9" w:themeFill="background1" w:themeFillShade="D9"/>
          </w:tcPr>
          <w:p w:rsidR="00BD4A22" w:rsidRPr="0066275B" w:rsidRDefault="00BD4A22" w:rsidP="009266F5">
            <w:pPr>
              <w:spacing w:after="0" w:line="240" w:lineRule="auto"/>
              <w:jc w:val="center"/>
              <w:rPr>
                <w:rFonts w:ascii="Calibri" w:hAnsi="Calibri"/>
              </w:rPr>
            </w:pPr>
            <w:r w:rsidRPr="0066275B">
              <w:rPr>
                <w:rFonts w:ascii="Calibri" w:hAnsi="Calibri"/>
              </w:rPr>
              <w:t>-5.5</w:t>
            </w:r>
          </w:p>
        </w:tc>
        <w:tc>
          <w:tcPr>
            <w:tcW w:w="990" w:type="dxa"/>
            <w:shd w:val="clear" w:color="auto" w:fill="D9D9D9" w:themeFill="background1" w:themeFillShade="D9"/>
            <w:vAlign w:val="bottom"/>
          </w:tcPr>
          <w:p w:rsidR="00BD4A22" w:rsidRPr="0066275B" w:rsidRDefault="00BD4A22" w:rsidP="009266F5">
            <w:pPr>
              <w:spacing w:after="0" w:line="240" w:lineRule="auto"/>
              <w:jc w:val="center"/>
              <w:rPr>
                <w:rFonts w:ascii="Calibri" w:hAnsi="Calibri"/>
              </w:rPr>
            </w:pPr>
            <w:r w:rsidRPr="0066275B">
              <w:rPr>
                <w:rFonts w:ascii="Calibri" w:hAnsi="Calibri"/>
              </w:rPr>
              <w:t>1.7</w:t>
            </w:r>
          </w:p>
        </w:tc>
      </w:tr>
      <w:tr w:rsidR="00BD4A22" w:rsidRPr="0066275B" w:rsidTr="009E7CC3">
        <w:trPr>
          <w:trHeight w:val="245"/>
        </w:trPr>
        <w:tc>
          <w:tcPr>
            <w:tcW w:w="461" w:type="dxa"/>
            <w:vMerge/>
            <w:vAlign w:val="center"/>
          </w:tcPr>
          <w:p w:rsidR="00BD4A22" w:rsidRPr="00164FBF" w:rsidRDefault="00BD4A22" w:rsidP="009266F5">
            <w:pPr>
              <w:spacing w:after="0" w:line="240" w:lineRule="auto"/>
              <w:jc w:val="center"/>
              <w:rPr>
                <w:rFonts w:ascii="Calibri" w:hAnsi="Calibri"/>
                <w:sz w:val="20"/>
                <w:szCs w:val="20"/>
              </w:rPr>
            </w:pPr>
          </w:p>
        </w:tc>
        <w:tc>
          <w:tcPr>
            <w:tcW w:w="757" w:type="dxa"/>
            <w:vMerge/>
            <w:shd w:val="clear" w:color="auto" w:fill="D9D9D9" w:themeFill="background1" w:themeFillShade="D9"/>
            <w:vAlign w:val="center"/>
          </w:tcPr>
          <w:p w:rsidR="00BD4A22" w:rsidRPr="00A82F8F" w:rsidRDefault="00BD4A22" w:rsidP="009266F5">
            <w:pPr>
              <w:spacing w:after="0" w:line="240" w:lineRule="auto"/>
              <w:jc w:val="center"/>
              <w:rPr>
                <w:rFonts w:ascii="Calibri" w:hAnsi="Calibri"/>
                <w:sz w:val="20"/>
                <w:szCs w:val="20"/>
              </w:rPr>
            </w:pPr>
          </w:p>
        </w:tc>
        <w:tc>
          <w:tcPr>
            <w:tcW w:w="870" w:type="dxa"/>
            <w:shd w:val="clear" w:color="auto" w:fill="D9D9D9" w:themeFill="background1" w:themeFillShade="D9"/>
          </w:tcPr>
          <w:p w:rsidR="00BD4A22" w:rsidRPr="00A82F8F" w:rsidRDefault="00BD4A22" w:rsidP="009266F5">
            <w:pPr>
              <w:spacing w:after="0" w:line="240" w:lineRule="auto"/>
              <w:rPr>
                <w:rFonts w:ascii="Calibri" w:hAnsi="Calibri"/>
                <w:sz w:val="20"/>
                <w:szCs w:val="20"/>
              </w:rPr>
            </w:pPr>
            <w:r w:rsidRPr="00A82F8F">
              <w:rPr>
                <w:rFonts w:ascii="Calibri" w:hAnsi="Calibri"/>
                <w:sz w:val="20"/>
                <w:szCs w:val="20"/>
              </w:rPr>
              <w:t>Lv 4&amp;5</w:t>
            </w:r>
          </w:p>
        </w:tc>
        <w:tc>
          <w:tcPr>
            <w:tcW w:w="1049" w:type="dxa"/>
            <w:shd w:val="clear" w:color="auto" w:fill="D9D9D9" w:themeFill="background1" w:themeFillShade="D9"/>
            <w:vAlign w:val="bottom"/>
          </w:tcPr>
          <w:p w:rsidR="00BD4A22" w:rsidRPr="005F47D0" w:rsidRDefault="00BD4A22" w:rsidP="009266F5">
            <w:pPr>
              <w:spacing w:after="0" w:line="240" w:lineRule="auto"/>
              <w:jc w:val="center"/>
              <w:rPr>
                <w:rFonts w:ascii="Calibri" w:hAnsi="Calibri"/>
                <w:sz w:val="20"/>
                <w:szCs w:val="20"/>
              </w:rPr>
            </w:pPr>
            <w:r>
              <w:rPr>
                <w:rFonts w:ascii="Calibri" w:hAnsi="Calibri"/>
                <w:sz w:val="20"/>
                <w:szCs w:val="20"/>
              </w:rPr>
              <w:t>1,011</w:t>
            </w:r>
          </w:p>
        </w:tc>
        <w:tc>
          <w:tcPr>
            <w:tcW w:w="918" w:type="dxa"/>
            <w:shd w:val="clear" w:color="auto" w:fill="D9D9D9" w:themeFill="background1" w:themeFillShade="D9"/>
            <w:vAlign w:val="center"/>
          </w:tcPr>
          <w:p w:rsidR="00BD4A22" w:rsidRPr="005F47D0" w:rsidRDefault="00BD4A22" w:rsidP="009266F5">
            <w:pPr>
              <w:spacing w:after="0" w:line="240" w:lineRule="auto"/>
              <w:jc w:val="center"/>
              <w:rPr>
                <w:rFonts w:ascii="Calibri" w:hAnsi="Calibri"/>
                <w:color w:val="000000"/>
                <w:sz w:val="20"/>
                <w:szCs w:val="20"/>
              </w:rPr>
            </w:pPr>
            <w:r>
              <w:rPr>
                <w:rFonts w:ascii="Calibri" w:hAnsi="Calibri"/>
                <w:color w:val="000000"/>
                <w:sz w:val="20"/>
                <w:szCs w:val="20"/>
              </w:rPr>
              <w:t>--</w:t>
            </w:r>
          </w:p>
        </w:tc>
        <w:tc>
          <w:tcPr>
            <w:tcW w:w="919" w:type="dxa"/>
            <w:shd w:val="clear" w:color="auto" w:fill="D9D9D9" w:themeFill="background1" w:themeFillShade="D9"/>
            <w:vAlign w:val="center"/>
          </w:tcPr>
          <w:p w:rsidR="00BD4A22" w:rsidRPr="005F47D0" w:rsidRDefault="00BD4A22" w:rsidP="009266F5">
            <w:pPr>
              <w:spacing w:after="0" w:line="240" w:lineRule="auto"/>
              <w:jc w:val="center"/>
              <w:rPr>
                <w:rFonts w:ascii="Calibri" w:hAnsi="Calibri"/>
                <w:color w:val="000000"/>
                <w:sz w:val="20"/>
                <w:szCs w:val="20"/>
              </w:rPr>
            </w:pPr>
            <w:r>
              <w:rPr>
                <w:rFonts w:ascii="Calibri" w:hAnsi="Calibri"/>
                <w:color w:val="000000"/>
                <w:sz w:val="20"/>
                <w:szCs w:val="20"/>
              </w:rPr>
              <w:t>--</w:t>
            </w:r>
          </w:p>
        </w:tc>
        <w:tc>
          <w:tcPr>
            <w:tcW w:w="919" w:type="dxa"/>
            <w:shd w:val="clear" w:color="auto" w:fill="D9D9D9" w:themeFill="background1" w:themeFillShade="D9"/>
            <w:vAlign w:val="bottom"/>
          </w:tcPr>
          <w:p w:rsidR="00BD4A22" w:rsidRPr="005F47D0" w:rsidRDefault="00BD4A22" w:rsidP="009266F5">
            <w:pPr>
              <w:spacing w:after="0" w:line="240" w:lineRule="auto"/>
              <w:jc w:val="center"/>
              <w:rPr>
                <w:rFonts w:ascii="Calibri" w:hAnsi="Calibri"/>
                <w:sz w:val="20"/>
                <w:szCs w:val="20"/>
              </w:rPr>
            </w:pPr>
            <w:r>
              <w:rPr>
                <w:rFonts w:ascii="Calibri" w:hAnsi="Calibri"/>
                <w:sz w:val="20"/>
                <w:szCs w:val="20"/>
              </w:rPr>
              <w:t>24%</w:t>
            </w:r>
          </w:p>
        </w:tc>
        <w:tc>
          <w:tcPr>
            <w:tcW w:w="919" w:type="dxa"/>
            <w:shd w:val="clear" w:color="auto" w:fill="D9D9D9" w:themeFill="background1" w:themeFillShade="D9"/>
            <w:vAlign w:val="bottom"/>
          </w:tcPr>
          <w:p w:rsidR="00BD4A22" w:rsidRPr="005F47D0" w:rsidRDefault="00BD4A22" w:rsidP="009266F5">
            <w:pPr>
              <w:spacing w:after="0" w:line="240" w:lineRule="auto"/>
              <w:jc w:val="center"/>
              <w:rPr>
                <w:rFonts w:ascii="Calibri" w:hAnsi="Calibri"/>
                <w:sz w:val="20"/>
                <w:szCs w:val="20"/>
              </w:rPr>
            </w:pPr>
            <w:r>
              <w:rPr>
                <w:rFonts w:ascii="Calibri" w:hAnsi="Calibri"/>
                <w:sz w:val="20"/>
                <w:szCs w:val="20"/>
              </w:rPr>
              <w:t>30%</w:t>
            </w:r>
          </w:p>
        </w:tc>
        <w:tc>
          <w:tcPr>
            <w:tcW w:w="1126" w:type="dxa"/>
            <w:shd w:val="clear" w:color="auto" w:fill="D9D9D9" w:themeFill="background1" w:themeFillShade="D9"/>
          </w:tcPr>
          <w:p w:rsidR="00BD4A22" w:rsidRPr="0066275B" w:rsidRDefault="00BD4A22" w:rsidP="009266F5">
            <w:pPr>
              <w:spacing w:after="0" w:line="240" w:lineRule="auto"/>
              <w:jc w:val="center"/>
              <w:rPr>
                <w:rFonts w:ascii="Calibri" w:hAnsi="Calibri"/>
              </w:rPr>
            </w:pPr>
            <w:r w:rsidRPr="0066275B">
              <w:rPr>
                <w:rFonts w:ascii="Calibri" w:hAnsi="Calibri"/>
              </w:rPr>
              <w:t>--</w:t>
            </w:r>
          </w:p>
        </w:tc>
        <w:tc>
          <w:tcPr>
            <w:tcW w:w="990" w:type="dxa"/>
            <w:shd w:val="clear" w:color="auto" w:fill="D9D9D9" w:themeFill="background1" w:themeFillShade="D9"/>
            <w:vAlign w:val="bottom"/>
          </w:tcPr>
          <w:p w:rsidR="00BD4A22" w:rsidRPr="0066275B" w:rsidRDefault="00BD4A22" w:rsidP="009266F5">
            <w:pPr>
              <w:spacing w:after="0" w:line="240" w:lineRule="auto"/>
              <w:jc w:val="center"/>
              <w:rPr>
                <w:rFonts w:ascii="Calibri" w:hAnsi="Calibri"/>
              </w:rPr>
            </w:pPr>
            <w:r w:rsidRPr="0066275B">
              <w:rPr>
                <w:rFonts w:ascii="Calibri" w:hAnsi="Calibri"/>
              </w:rPr>
              <w:t>6%</w:t>
            </w:r>
          </w:p>
        </w:tc>
      </w:tr>
      <w:tr w:rsidR="00BD4A22" w:rsidRPr="0066275B" w:rsidTr="009E7CC3">
        <w:trPr>
          <w:trHeight w:val="245"/>
        </w:trPr>
        <w:tc>
          <w:tcPr>
            <w:tcW w:w="461" w:type="dxa"/>
            <w:vMerge/>
            <w:vAlign w:val="center"/>
          </w:tcPr>
          <w:p w:rsidR="00BD4A22" w:rsidRPr="00164FBF" w:rsidRDefault="00BD4A22" w:rsidP="009266F5">
            <w:pPr>
              <w:spacing w:after="0" w:line="240" w:lineRule="auto"/>
              <w:jc w:val="center"/>
              <w:rPr>
                <w:rFonts w:ascii="Calibri" w:hAnsi="Calibri"/>
                <w:sz w:val="20"/>
                <w:szCs w:val="20"/>
              </w:rPr>
            </w:pPr>
          </w:p>
        </w:tc>
        <w:tc>
          <w:tcPr>
            <w:tcW w:w="757" w:type="dxa"/>
            <w:vMerge/>
            <w:shd w:val="clear" w:color="auto" w:fill="D9D9D9" w:themeFill="background1" w:themeFillShade="D9"/>
            <w:vAlign w:val="center"/>
          </w:tcPr>
          <w:p w:rsidR="00BD4A22" w:rsidRPr="00A82F8F" w:rsidRDefault="00BD4A22" w:rsidP="009266F5">
            <w:pPr>
              <w:spacing w:after="0" w:line="240" w:lineRule="auto"/>
              <w:jc w:val="center"/>
              <w:rPr>
                <w:rFonts w:ascii="Calibri" w:hAnsi="Calibri"/>
                <w:sz w:val="20"/>
                <w:szCs w:val="20"/>
              </w:rPr>
            </w:pPr>
          </w:p>
        </w:tc>
        <w:tc>
          <w:tcPr>
            <w:tcW w:w="870" w:type="dxa"/>
            <w:shd w:val="clear" w:color="auto" w:fill="D9D9D9" w:themeFill="background1" w:themeFillShade="D9"/>
          </w:tcPr>
          <w:p w:rsidR="00BD4A22" w:rsidRPr="00A82F8F" w:rsidRDefault="00BD4A22" w:rsidP="009266F5">
            <w:pPr>
              <w:spacing w:after="0" w:line="240" w:lineRule="auto"/>
              <w:rPr>
                <w:rFonts w:ascii="Calibri" w:hAnsi="Calibri"/>
                <w:sz w:val="20"/>
                <w:szCs w:val="20"/>
              </w:rPr>
            </w:pPr>
            <w:r w:rsidRPr="00A82F8F">
              <w:rPr>
                <w:rFonts w:ascii="Calibri" w:hAnsi="Calibri"/>
                <w:sz w:val="20"/>
                <w:szCs w:val="20"/>
              </w:rPr>
              <w:t>SGP</w:t>
            </w:r>
          </w:p>
        </w:tc>
        <w:tc>
          <w:tcPr>
            <w:tcW w:w="1049" w:type="dxa"/>
            <w:shd w:val="clear" w:color="auto" w:fill="D9D9D9" w:themeFill="background1" w:themeFillShade="D9"/>
            <w:vAlign w:val="bottom"/>
          </w:tcPr>
          <w:p w:rsidR="00BD4A22" w:rsidRPr="005F47D0" w:rsidRDefault="00BD4A22" w:rsidP="009266F5">
            <w:pPr>
              <w:spacing w:after="0" w:line="240" w:lineRule="auto"/>
              <w:jc w:val="center"/>
              <w:rPr>
                <w:rFonts w:ascii="Calibri" w:hAnsi="Calibri"/>
                <w:sz w:val="20"/>
                <w:szCs w:val="20"/>
              </w:rPr>
            </w:pPr>
            <w:r>
              <w:rPr>
                <w:rFonts w:ascii="Calibri" w:hAnsi="Calibri"/>
                <w:sz w:val="20"/>
                <w:szCs w:val="20"/>
              </w:rPr>
              <w:t>903</w:t>
            </w:r>
          </w:p>
        </w:tc>
        <w:tc>
          <w:tcPr>
            <w:tcW w:w="918" w:type="dxa"/>
            <w:shd w:val="clear" w:color="auto" w:fill="D9D9D9" w:themeFill="background1" w:themeFillShade="D9"/>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57.0</w:t>
            </w:r>
          </w:p>
        </w:tc>
        <w:tc>
          <w:tcPr>
            <w:tcW w:w="919" w:type="dxa"/>
            <w:shd w:val="clear" w:color="auto" w:fill="D9D9D9" w:themeFill="background1" w:themeFillShade="D9"/>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59.5</w:t>
            </w:r>
          </w:p>
        </w:tc>
        <w:tc>
          <w:tcPr>
            <w:tcW w:w="919" w:type="dxa"/>
            <w:shd w:val="clear" w:color="auto" w:fill="D9D9D9" w:themeFill="background1" w:themeFillShade="D9"/>
            <w:vAlign w:val="bottom"/>
          </w:tcPr>
          <w:p w:rsidR="00BD4A22" w:rsidRPr="005F47D0" w:rsidRDefault="00BD4A22" w:rsidP="009266F5">
            <w:pPr>
              <w:spacing w:after="0" w:line="240" w:lineRule="auto"/>
              <w:jc w:val="center"/>
              <w:rPr>
                <w:rFonts w:ascii="Calibri" w:hAnsi="Calibri"/>
                <w:sz w:val="20"/>
                <w:szCs w:val="20"/>
              </w:rPr>
            </w:pPr>
            <w:r>
              <w:rPr>
                <w:rFonts w:ascii="Calibri" w:hAnsi="Calibri"/>
                <w:sz w:val="20"/>
                <w:szCs w:val="20"/>
              </w:rPr>
              <w:t>49.0</w:t>
            </w:r>
          </w:p>
        </w:tc>
        <w:tc>
          <w:tcPr>
            <w:tcW w:w="919" w:type="dxa"/>
            <w:shd w:val="clear" w:color="auto" w:fill="D9D9D9" w:themeFill="background1" w:themeFillShade="D9"/>
            <w:vAlign w:val="bottom"/>
          </w:tcPr>
          <w:p w:rsidR="00BD4A22" w:rsidRPr="005F47D0" w:rsidRDefault="00BD4A22" w:rsidP="009266F5">
            <w:pPr>
              <w:spacing w:after="0" w:line="240" w:lineRule="auto"/>
              <w:jc w:val="center"/>
              <w:rPr>
                <w:rFonts w:ascii="Calibri" w:hAnsi="Calibri"/>
                <w:sz w:val="20"/>
                <w:szCs w:val="20"/>
              </w:rPr>
            </w:pPr>
            <w:r>
              <w:rPr>
                <w:rFonts w:ascii="Calibri" w:hAnsi="Calibri"/>
                <w:sz w:val="20"/>
                <w:szCs w:val="20"/>
              </w:rPr>
              <w:t>57.0</w:t>
            </w:r>
          </w:p>
        </w:tc>
        <w:tc>
          <w:tcPr>
            <w:tcW w:w="1126" w:type="dxa"/>
            <w:shd w:val="clear" w:color="auto" w:fill="D9D9D9" w:themeFill="background1" w:themeFillShade="D9"/>
          </w:tcPr>
          <w:p w:rsidR="00BD4A22" w:rsidRPr="0066275B" w:rsidRDefault="00BD4A22" w:rsidP="009266F5">
            <w:pPr>
              <w:spacing w:after="0" w:line="240" w:lineRule="auto"/>
              <w:jc w:val="center"/>
              <w:rPr>
                <w:rFonts w:ascii="Calibri" w:hAnsi="Calibri"/>
              </w:rPr>
            </w:pPr>
            <w:r w:rsidRPr="0066275B">
              <w:rPr>
                <w:rFonts w:ascii="Calibri" w:hAnsi="Calibri"/>
              </w:rPr>
              <w:t>0.0</w:t>
            </w:r>
          </w:p>
        </w:tc>
        <w:tc>
          <w:tcPr>
            <w:tcW w:w="990" w:type="dxa"/>
            <w:shd w:val="clear" w:color="auto" w:fill="D9D9D9" w:themeFill="background1" w:themeFillShade="D9"/>
            <w:vAlign w:val="bottom"/>
          </w:tcPr>
          <w:p w:rsidR="00BD4A22" w:rsidRPr="0066275B" w:rsidRDefault="00BD4A22" w:rsidP="009266F5">
            <w:pPr>
              <w:spacing w:after="0" w:line="240" w:lineRule="auto"/>
              <w:jc w:val="center"/>
              <w:rPr>
                <w:rFonts w:ascii="Calibri" w:hAnsi="Calibri"/>
              </w:rPr>
            </w:pPr>
            <w:r w:rsidRPr="0066275B">
              <w:rPr>
                <w:rFonts w:ascii="Calibri" w:hAnsi="Calibri"/>
              </w:rPr>
              <w:t>8.0</w:t>
            </w:r>
          </w:p>
        </w:tc>
      </w:tr>
      <w:tr w:rsidR="00BD4A22" w:rsidRPr="0066275B" w:rsidTr="009E7CC3">
        <w:trPr>
          <w:trHeight w:val="245"/>
        </w:trPr>
        <w:tc>
          <w:tcPr>
            <w:tcW w:w="461" w:type="dxa"/>
            <w:vMerge w:val="restart"/>
            <w:vAlign w:val="center"/>
          </w:tcPr>
          <w:p w:rsidR="00BD4A22" w:rsidRPr="00164FBF" w:rsidRDefault="00BD4A22" w:rsidP="009266F5">
            <w:pPr>
              <w:spacing w:after="0" w:line="240" w:lineRule="auto"/>
              <w:jc w:val="center"/>
              <w:rPr>
                <w:rFonts w:ascii="Calibri" w:hAnsi="Calibri"/>
                <w:sz w:val="20"/>
                <w:szCs w:val="20"/>
              </w:rPr>
            </w:pPr>
            <w:r w:rsidRPr="00164FBF">
              <w:rPr>
                <w:rFonts w:ascii="Calibri" w:hAnsi="Calibri"/>
                <w:sz w:val="20"/>
                <w:szCs w:val="20"/>
              </w:rPr>
              <w:t>7</w:t>
            </w:r>
          </w:p>
        </w:tc>
        <w:tc>
          <w:tcPr>
            <w:tcW w:w="757" w:type="dxa"/>
            <w:vMerge w:val="restart"/>
            <w:vAlign w:val="center"/>
          </w:tcPr>
          <w:p w:rsidR="00BD4A22" w:rsidRPr="00A82F8F" w:rsidRDefault="00BD4A22" w:rsidP="009266F5">
            <w:pPr>
              <w:spacing w:after="0" w:line="240" w:lineRule="auto"/>
              <w:jc w:val="center"/>
              <w:rPr>
                <w:rFonts w:ascii="Calibri" w:hAnsi="Calibri"/>
                <w:sz w:val="20"/>
                <w:szCs w:val="20"/>
              </w:rPr>
            </w:pPr>
            <w:r w:rsidRPr="00A82F8F">
              <w:rPr>
                <w:rFonts w:ascii="Calibri" w:hAnsi="Calibri"/>
                <w:sz w:val="20"/>
                <w:szCs w:val="20"/>
              </w:rPr>
              <w:t>MCAS</w:t>
            </w:r>
          </w:p>
        </w:tc>
        <w:tc>
          <w:tcPr>
            <w:tcW w:w="870" w:type="dxa"/>
          </w:tcPr>
          <w:p w:rsidR="00BD4A22" w:rsidRPr="00A82F8F" w:rsidRDefault="00BD4A22" w:rsidP="009266F5">
            <w:pPr>
              <w:spacing w:after="0" w:line="240" w:lineRule="auto"/>
              <w:rPr>
                <w:rFonts w:ascii="Calibri" w:hAnsi="Calibri"/>
                <w:sz w:val="20"/>
                <w:szCs w:val="20"/>
              </w:rPr>
            </w:pPr>
            <w:r w:rsidRPr="00A82F8F">
              <w:rPr>
                <w:rFonts w:ascii="Calibri" w:hAnsi="Calibri"/>
                <w:sz w:val="20"/>
                <w:szCs w:val="20"/>
              </w:rPr>
              <w:t>CPI</w:t>
            </w:r>
          </w:p>
        </w:tc>
        <w:tc>
          <w:tcPr>
            <w:tcW w:w="1049" w:type="dxa"/>
            <w:vAlign w:val="center"/>
          </w:tcPr>
          <w:p w:rsidR="00BD4A22" w:rsidRPr="005F47D0" w:rsidRDefault="00BD4A22" w:rsidP="009266F5">
            <w:pPr>
              <w:spacing w:after="0" w:line="240" w:lineRule="auto"/>
              <w:jc w:val="center"/>
              <w:rPr>
                <w:rFonts w:ascii="Calibri" w:hAnsi="Calibri"/>
                <w:color w:val="000000"/>
                <w:sz w:val="20"/>
                <w:szCs w:val="20"/>
              </w:rPr>
            </w:pPr>
            <w:r>
              <w:rPr>
                <w:rFonts w:ascii="Calibri" w:hAnsi="Calibri"/>
                <w:color w:val="000000"/>
                <w:sz w:val="20"/>
                <w:szCs w:val="20"/>
              </w:rPr>
              <w:t>--</w:t>
            </w:r>
          </w:p>
        </w:tc>
        <w:tc>
          <w:tcPr>
            <w:tcW w:w="918"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60.9</w:t>
            </w:r>
          </w:p>
        </w:tc>
        <w:tc>
          <w:tcPr>
            <w:tcW w:w="919"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54.9</w:t>
            </w:r>
          </w:p>
        </w:tc>
        <w:tc>
          <w:tcPr>
            <w:tcW w:w="919"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53.6</w:t>
            </w:r>
          </w:p>
        </w:tc>
        <w:tc>
          <w:tcPr>
            <w:tcW w:w="919" w:type="dxa"/>
            <w:vAlign w:val="center"/>
          </w:tcPr>
          <w:p w:rsidR="00BD4A22" w:rsidRPr="005F47D0" w:rsidRDefault="00BD4A22" w:rsidP="009266F5">
            <w:pPr>
              <w:spacing w:after="0" w:line="240" w:lineRule="auto"/>
              <w:jc w:val="center"/>
              <w:rPr>
                <w:rFonts w:ascii="Calibri" w:hAnsi="Calibri"/>
                <w:color w:val="000000"/>
                <w:sz w:val="20"/>
                <w:szCs w:val="20"/>
              </w:rPr>
            </w:pPr>
            <w:r>
              <w:rPr>
                <w:rFonts w:ascii="Calibri" w:hAnsi="Calibri"/>
                <w:color w:val="000000"/>
                <w:sz w:val="20"/>
                <w:szCs w:val="20"/>
              </w:rPr>
              <w:t>--</w:t>
            </w:r>
          </w:p>
        </w:tc>
        <w:tc>
          <w:tcPr>
            <w:tcW w:w="1126" w:type="dxa"/>
            <w:vAlign w:val="center"/>
          </w:tcPr>
          <w:p w:rsidR="00BD4A22" w:rsidRPr="0066275B" w:rsidRDefault="00BD4A22" w:rsidP="009266F5">
            <w:pPr>
              <w:spacing w:after="0" w:line="240" w:lineRule="auto"/>
              <w:jc w:val="center"/>
              <w:rPr>
                <w:rFonts w:ascii="Calibri" w:hAnsi="Calibri"/>
              </w:rPr>
            </w:pPr>
            <w:r w:rsidRPr="0066275B">
              <w:rPr>
                <w:rFonts w:ascii="Calibri" w:hAnsi="Calibri"/>
              </w:rPr>
              <w:t>--</w:t>
            </w:r>
          </w:p>
        </w:tc>
        <w:tc>
          <w:tcPr>
            <w:tcW w:w="990" w:type="dxa"/>
            <w:vAlign w:val="center"/>
          </w:tcPr>
          <w:p w:rsidR="00BD4A22" w:rsidRPr="0066275B" w:rsidRDefault="00BD4A22" w:rsidP="009266F5">
            <w:pPr>
              <w:spacing w:after="0" w:line="240" w:lineRule="auto"/>
              <w:jc w:val="center"/>
              <w:rPr>
                <w:rFonts w:ascii="Calibri" w:hAnsi="Calibri"/>
              </w:rPr>
            </w:pPr>
            <w:r w:rsidRPr="0066275B">
              <w:rPr>
                <w:rFonts w:ascii="Calibri" w:hAnsi="Calibri"/>
              </w:rPr>
              <w:t>--</w:t>
            </w:r>
          </w:p>
        </w:tc>
      </w:tr>
      <w:tr w:rsidR="00BD4A22" w:rsidRPr="0066275B" w:rsidTr="009E7CC3">
        <w:trPr>
          <w:trHeight w:val="245"/>
        </w:trPr>
        <w:tc>
          <w:tcPr>
            <w:tcW w:w="461" w:type="dxa"/>
            <w:vMerge/>
            <w:vAlign w:val="center"/>
          </w:tcPr>
          <w:p w:rsidR="00BD4A22" w:rsidRPr="00164FBF" w:rsidRDefault="00BD4A22" w:rsidP="009266F5">
            <w:pPr>
              <w:spacing w:after="0" w:line="240" w:lineRule="auto"/>
              <w:jc w:val="center"/>
              <w:rPr>
                <w:rFonts w:ascii="Calibri" w:hAnsi="Calibri"/>
                <w:sz w:val="20"/>
                <w:szCs w:val="20"/>
              </w:rPr>
            </w:pPr>
          </w:p>
        </w:tc>
        <w:tc>
          <w:tcPr>
            <w:tcW w:w="757" w:type="dxa"/>
            <w:vMerge/>
            <w:vAlign w:val="center"/>
          </w:tcPr>
          <w:p w:rsidR="00BD4A22" w:rsidRPr="00A82F8F" w:rsidRDefault="00BD4A22" w:rsidP="009266F5">
            <w:pPr>
              <w:spacing w:after="0" w:line="240" w:lineRule="auto"/>
              <w:jc w:val="center"/>
              <w:rPr>
                <w:rFonts w:ascii="Calibri" w:hAnsi="Calibri"/>
                <w:sz w:val="20"/>
                <w:szCs w:val="20"/>
              </w:rPr>
            </w:pPr>
          </w:p>
        </w:tc>
        <w:tc>
          <w:tcPr>
            <w:tcW w:w="870" w:type="dxa"/>
          </w:tcPr>
          <w:p w:rsidR="00BD4A22" w:rsidRPr="00A82F8F" w:rsidRDefault="00BD4A22" w:rsidP="009266F5">
            <w:pPr>
              <w:spacing w:after="0" w:line="240" w:lineRule="auto"/>
              <w:rPr>
                <w:rFonts w:ascii="Calibri" w:hAnsi="Calibri"/>
                <w:sz w:val="20"/>
                <w:szCs w:val="20"/>
              </w:rPr>
            </w:pPr>
            <w:r w:rsidRPr="00A82F8F">
              <w:rPr>
                <w:rFonts w:ascii="Calibri" w:hAnsi="Calibri"/>
                <w:sz w:val="20"/>
                <w:szCs w:val="20"/>
              </w:rPr>
              <w:t>P+</w:t>
            </w:r>
          </w:p>
        </w:tc>
        <w:tc>
          <w:tcPr>
            <w:tcW w:w="1049" w:type="dxa"/>
            <w:vAlign w:val="center"/>
          </w:tcPr>
          <w:p w:rsidR="00BD4A22" w:rsidRPr="005F47D0" w:rsidRDefault="00BD4A22" w:rsidP="009266F5">
            <w:pPr>
              <w:spacing w:after="0" w:line="240" w:lineRule="auto"/>
              <w:jc w:val="center"/>
              <w:rPr>
                <w:rFonts w:ascii="Calibri" w:hAnsi="Calibri"/>
                <w:color w:val="000000"/>
                <w:sz w:val="20"/>
                <w:szCs w:val="20"/>
              </w:rPr>
            </w:pPr>
            <w:r>
              <w:rPr>
                <w:rFonts w:ascii="Calibri" w:hAnsi="Calibri"/>
                <w:color w:val="000000"/>
                <w:sz w:val="20"/>
                <w:szCs w:val="20"/>
              </w:rPr>
              <w:t>--</w:t>
            </w:r>
          </w:p>
        </w:tc>
        <w:tc>
          <w:tcPr>
            <w:tcW w:w="918"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34%</w:t>
            </w:r>
          </w:p>
        </w:tc>
        <w:tc>
          <w:tcPr>
            <w:tcW w:w="919"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29%</w:t>
            </w:r>
          </w:p>
        </w:tc>
        <w:tc>
          <w:tcPr>
            <w:tcW w:w="919"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26%</w:t>
            </w:r>
          </w:p>
        </w:tc>
        <w:tc>
          <w:tcPr>
            <w:tcW w:w="919" w:type="dxa"/>
            <w:vAlign w:val="center"/>
          </w:tcPr>
          <w:p w:rsidR="00BD4A22" w:rsidRPr="005F47D0" w:rsidRDefault="00BD4A22" w:rsidP="009266F5">
            <w:pPr>
              <w:spacing w:after="0" w:line="240" w:lineRule="auto"/>
              <w:jc w:val="center"/>
              <w:rPr>
                <w:rFonts w:ascii="Calibri" w:hAnsi="Calibri"/>
                <w:color w:val="000000"/>
                <w:sz w:val="20"/>
                <w:szCs w:val="20"/>
              </w:rPr>
            </w:pPr>
            <w:r>
              <w:rPr>
                <w:rFonts w:ascii="Calibri" w:hAnsi="Calibri"/>
                <w:color w:val="000000"/>
                <w:sz w:val="20"/>
                <w:szCs w:val="20"/>
              </w:rPr>
              <w:t>--</w:t>
            </w:r>
          </w:p>
        </w:tc>
        <w:tc>
          <w:tcPr>
            <w:tcW w:w="1126" w:type="dxa"/>
            <w:vAlign w:val="center"/>
          </w:tcPr>
          <w:p w:rsidR="00BD4A22" w:rsidRPr="0066275B" w:rsidRDefault="00BD4A22" w:rsidP="009266F5">
            <w:pPr>
              <w:spacing w:after="0" w:line="240" w:lineRule="auto"/>
              <w:jc w:val="center"/>
              <w:rPr>
                <w:rFonts w:ascii="Calibri" w:hAnsi="Calibri"/>
              </w:rPr>
            </w:pPr>
            <w:r w:rsidRPr="0066275B">
              <w:rPr>
                <w:rFonts w:ascii="Calibri" w:hAnsi="Calibri"/>
              </w:rPr>
              <w:t>--</w:t>
            </w:r>
          </w:p>
        </w:tc>
        <w:tc>
          <w:tcPr>
            <w:tcW w:w="990" w:type="dxa"/>
            <w:vAlign w:val="center"/>
          </w:tcPr>
          <w:p w:rsidR="00BD4A22" w:rsidRPr="0066275B" w:rsidRDefault="00BD4A22" w:rsidP="009266F5">
            <w:pPr>
              <w:spacing w:after="0" w:line="240" w:lineRule="auto"/>
              <w:jc w:val="center"/>
              <w:rPr>
                <w:rFonts w:ascii="Calibri" w:hAnsi="Calibri"/>
              </w:rPr>
            </w:pPr>
            <w:r w:rsidRPr="0066275B">
              <w:rPr>
                <w:rFonts w:ascii="Calibri" w:hAnsi="Calibri"/>
              </w:rPr>
              <w:t>--</w:t>
            </w:r>
          </w:p>
        </w:tc>
      </w:tr>
      <w:tr w:rsidR="00BD4A22" w:rsidRPr="0066275B" w:rsidTr="009E7CC3">
        <w:trPr>
          <w:trHeight w:val="245"/>
        </w:trPr>
        <w:tc>
          <w:tcPr>
            <w:tcW w:w="461" w:type="dxa"/>
            <w:vMerge/>
            <w:vAlign w:val="center"/>
          </w:tcPr>
          <w:p w:rsidR="00BD4A22" w:rsidRPr="00164FBF" w:rsidRDefault="00BD4A22" w:rsidP="009266F5">
            <w:pPr>
              <w:spacing w:after="0" w:line="240" w:lineRule="auto"/>
              <w:jc w:val="center"/>
              <w:rPr>
                <w:rFonts w:ascii="Calibri" w:hAnsi="Calibri"/>
                <w:sz w:val="20"/>
                <w:szCs w:val="20"/>
              </w:rPr>
            </w:pPr>
          </w:p>
        </w:tc>
        <w:tc>
          <w:tcPr>
            <w:tcW w:w="757" w:type="dxa"/>
            <w:vMerge/>
            <w:vAlign w:val="center"/>
          </w:tcPr>
          <w:p w:rsidR="00BD4A22" w:rsidRPr="00A82F8F" w:rsidRDefault="00BD4A22" w:rsidP="009266F5">
            <w:pPr>
              <w:spacing w:after="0" w:line="240" w:lineRule="auto"/>
              <w:jc w:val="center"/>
              <w:rPr>
                <w:rFonts w:ascii="Calibri" w:hAnsi="Calibri"/>
                <w:sz w:val="20"/>
                <w:szCs w:val="20"/>
              </w:rPr>
            </w:pPr>
          </w:p>
        </w:tc>
        <w:tc>
          <w:tcPr>
            <w:tcW w:w="870" w:type="dxa"/>
          </w:tcPr>
          <w:p w:rsidR="00BD4A22" w:rsidRPr="00A82F8F" w:rsidRDefault="00BD4A22" w:rsidP="009266F5">
            <w:pPr>
              <w:spacing w:after="0" w:line="240" w:lineRule="auto"/>
              <w:rPr>
                <w:rFonts w:ascii="Calibri" w:hAnsi="Calibri"/>
                <w:sz w:val="20"/>
                <w:szCs w:val="20"/>
              </w:rPr>
            </w:pPr>
            <w:r w:rsidRPr="00A82F8F">
              <w:rPr>
                <w:rFonts w:ascii="Calibri" w:hAnsi="Calibri"/>
                <w:sz w:val="20"/>
                <w:szCs w:val="20"/>
              </w:rPr>
              <w:t>SGP</w:t>
            </w:r>
          </w:p>
        </w:tc>
        <w:tc>
          <w:tcPr>
            <w:tcW w:w="1049" w:type="dxa"/>
            <w:vAlign w:val="center"/>
          </w:tcPr>
          <w:p w:rsidR="00BD4A22" w:rsidRPr="005F47D0" w:rsidRDefault="00BD4A22" w:rsidP="009266F5">
            <w:pPr>
              <w:spacing w:after="0" w:line="240" w:lineRule="auto"/>
              <w:jc w:val="center"/>
              <w:rPr>
                <w:rFonts w:ascii="Calibri" w:hAnsi="Calibri"/>
                <w:color w:val="000000"/>
                <w:sz w:val="20"/>
                <w:szCs w:val="20"/>
              </w:rPr>
            </w:pPr>
            <w:r>
              <w:rPr>
                <w:rFonts w:ascii="Calibri" w:hAnsi="Calibri"/>
                <w:color w:val="000000"/>
                <w:sz w:val="20"/>
                <w:szCs w:val="20"/>
              </w:rPr>
              <w:t>--</w:t>
            </w:r>
          </w:p>
        </w:tc>
        <w:tc>
          <w:tcPr>
            <w:tcW w:w="918"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41.0</w:t>
            </w:r>
          </w:p>
        </w:tc>
        <w:tc>
          <w:tcPr>
            <w:tcW w:w="919"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42.0</w:t>
            </w:r>
          </w:p>
        </w:tc>
        <w:tc>
          <w:tcPr>
            <w:tcW w:w="919"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23.0</w:t>
            </w:r>
          </w:p>
        </w:tc>
        <w:tc>
          <w:tcPr>
            <w:tcW w:w="919" w:type="dxa"/>
            <w:vAlign w:val="center"/>
          </w:tcPr>
          <w:p w:rsidR="00BD4A22" w:rsidRPr="005F47D0" w:rsidRDefault="00BD4A22" w:rsidP="009266F5">
            <w:pPr>
              <w:spacing w:after="0" w:line="240" w:lineRule="auto"/>
              <w:jc w:val="center"/>
              <w:rPr>
                <w:rFonts w:ascii="Calibri" w:hAnsi="Calibri"/>
                <w:color w:val="000000"/>
                <w:sz w:val="20"/>
                <w:szCs w:val="20"/>
              </w:rPr>
            </w:pPr>
            <w:r>
              <w:rPr>
                <w:rFonts w:ascii="Calibri" w:hAnsi="Calibri"/>
                <w:color w:val="000000"/>
                <w:sz w:val="20"/>
                <w:szCs w:val="20"/>
              </w:rPr>
              <w:t>--</w:t>
            </w:r>
          </w:p>
        </w:tc>
        <w:tc>
          <w:tcPr>
            <w:tcW w:w="1126" w:type="dxa"/>
            <w:vAlign w:val="center"/>
          </w:tcPr>
          <w:p w:rsidR="00BD4A22" w:rsidRPr="0066275B" w:rsidRDefault="00BD4A22" w:rsidP="009266F5">
            <w:pPr>
              <w:spacing w:after="0" w:line="240" w:lineRule="auto"/>
              <w:jc w:val="center"/>
              <w:rPr>
                <w:rFonts w:ascii="Calibri" w:hAnsi="Calibri"/>
              </w:rPr>
            </w:pPr>
            <w:r w:rsidRPr="0066275B">
              <w:rPr>
                <w:rFonts w:ascii="Calibri" w:hAnsi="Calibri"/>
              </w:rPr>
              <w:t>--</w:t>
            </w:r>
          </w:p>
        </w:tc>
        <w:tc>
          <w:tcPr>
            <w:tcW w:w="990" w:type="dxa"/>
            <w:vAlign w:val="center"/>
          </w:tcPr>
          <w:p w:rsidR="00BD4A22" w:rsidRPr="0066275B" w:rsidRDefault="00BD4A22" w:rsidP="009266F5">
            <w:pPr>
              <w:spacing w:after="0" w:line="240" w:lineRule="auto"/>
              <w:jc w:val="center"/>
              <w:rPr>
                <w:rFonts w:ascii="Calibri" w:hAnsi="Calibri"/>
              </w:rPr>
            </w:pPr>
            <w:r w:rsidRPr="0066275B">
              <w:rPr>
                <w:rFonts w:ascii="Calibri" w:hAnsi="Calibri"/>
              </w:rPr>
              <w:t>--</w:t>
            </w:r>
          </w:p>
        </w:tc>
      </w:tr>
      <w:tr w:rsidR="00BD4A22" w:rsidRPr="0066275B" w:rsidTr="009E7CC3">
        <w:trPr>
          <w:trHeight w:val="245"/>
        </w:trPr>
        <w:tc>
          <w:tcPr>
            <w:tcW w:w="461" w:type="dxa"/>
            <w:vMerge/>
            <w:vAlign w:val="center"/>
          </w:tcPr>
          <w:p w:rsidR="00BD4A22" w:rsidRPr="00164FBF" w:rsidRDefault="00BD4A22" w:rsidP="009266F5">
            <w:pPr>
              <w:spacing w:after="0" w:line="240" w:lineRule="auto"/>
              <w:jc w:val="center"/>
              <w:rPr>
                <w:rFonts w:ascii="Calibri" w:hAnsi="Calibri"/>
                <w:sz w:val="20"/>
                <w:szCs w:val="20"/>
              </w:rPr>
            </w:pPr>
          </w:p>
        </w:tc>
        <w:tc>
          <w:tcPr>
            <w:tcW w:w="757" w:type="dxa"/>
            <w:vMerge w:val="restart"/>
            <w:shd w:val="clear" w:color="auto" w:fill="D9D9D9" w:themeFill="background1" w:themeFillShade="D9"/>
            <w:vAlign w:val="center"/>
          </w:tcPr>
          <w:p w:rsidR="00BD4A22" w:rsidRPr="00A82F8F" w:rsidRDefault="00BD4A22" w:rsidP="009266F5">
            <w:pPr>
              <w:spacing w:after="0" w:line="240" w:lineRule="auto"/>
              <w:jc w:val="center"/>
              <w:rPr>
                <w:rFonts w:ascii="Calibri" w:hAnsi="Calibri"/>
                <w:sz w:val="20"/>
                <w:szCs w:val="20"/>
              </w:rPr>
            </w:pPr>
            <w:r w:rsidRPr="00A82F8F">
              <w:rPr>
                <w:rFonts w:ascii="Calibri" w:hAnsi="Calibri"/>
                <w:sz w:val="20"/>
                <w:szCs w:val="20"/>
              </w:rPr>
              <w:t>PARCC</w:t>
            </w:r>
          </w:p>
        </w:tc>
        <w:tc>
          <w:tcPr>
            <w:tcW w:w="870" w:type="dxa"/>
            <w:shd w:val="clear" w:color="auto" w:fill="D9D9D9" w:themeFill="background1" w:themeFillShade="D9"/>
          </w:tcPr>
          <w:p w:rsidR="00BD4A22" w:rsidRPr="00A82F8F" w:rsidRDefault="00BD4A22" w:rsidP="009266F5">
            <w:pPr>
              <w:spacing w:after="0" w:line="240" w:lineRule="auto"/>
              <w:rPr>
                <w:rFonts w:ascii="Calibri" w:hAnsi="Calibri"/>
                <w:sz w:val="20"/>
                <w:szCs w:val="20"/>
              </w:rPr>
            </w:pPr>
            <w:r w:rsidRPr="00A82F8F">
              <w:rPr>
                <w:rFonts w:ascii="Calibri" w:hAnsi="Calibri"/>
                <w:sz w:val="20"/>
                <w:szCs w:val="20"/>
              </w:rPr>
              <w:t>CPI</w:t>
            </w:r>
          </w:p>
        </w:tc>
        <w:tc>
          <w:tcPr>
            <w:tcW w:w="1049" w:type="dxa"/>
            <w:shd w:val="clear" w:color="auto" w:fill="D9D9D9" w:themeFill="background1" w:themeFillShade="D9"/>
            <w:vAlign w:val="bottom"/>
          </w:tcPr>
          <w:p w:rsidR="00BD4A22" w:rsidRPr="005F47D0" w:rsidRDefault="00BD4A22" w:rsidP="009266F5">
            <w:pPr>
              <w:spacing w:after="0" w:line="240" w:lineRule="auto"/>
              <w:jc w:val="center"/>
              <w:rPr>
                <w:rFonts w:ascii="Calibri" w:hAnsi="Calibri"/>
                <w:sz w:val="20"/>
                <w:szCs w:val="20"/>
              </w:rPr>
            </w:pPr>
            <w:r>
              <w:rPr>
                <w:rFonts w:ascii="Calibri" w:hAnsi="Calibri"/>
                <w:sz w:val="20"/>
                <w:szCs w:val="20"/>
              </w:rPr>
              <w:t>1,541</w:t>
            </w:r>
          </w:p>
        </w:tc>
        <w:tc>
          <w:tcPr>
            <w:tcW w:w="918" w:type="dxa"/>
            <w:shd w:val="clear" w:color="auto" w:fill="D9D9D9" w:themeFill="background1" w:themeFillShade="D9"/>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60.9</w:t>
            </w:r>
          </w:p>
        </w:tc>
        <w:tc>
          <w:tcPr>
            <w:tcW w:w="919" w:type="dxa"/>
            <w:shd w:val="clear" w:color="auto" w:fill="D9D9D9" w:themeFill="background1" w:themeFillShade="D9"/>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54.9</w:t>
            </w:r>
          </w:p>
        </w:tc>
        <w:tc>
          <w:tcPr>
            <w:tcW w:w="919" w:type="dxa"/>
            <w:shd w:val="clear" w:color="auto" w:fill="D9D9D9" w:themeFill="background1" w:themeFillShade="D9"/>
            <w:vAlign w:val="bottom"/>
          </w:tcPr>
          <w:p w:rsidR="00BD4A22" w:rsidRPr="005F47D0" w:rsidRDefault="00BD4A22" w:rsidP="009266F5">
            <w:pPr>
              <w:spacing w:after="0" w:line="240" w:lineRule="auto"/>
              <w:jc w:val="center"/>
              <w:rPr>
                <w:rFonts w:ascii="Calibri" w:hAnsi="Calibri"/>
                <w:sz w:val="20"/>
                <w:szCs w:val="20"/>
              </w:rPr>
            </w:pPr>
            <w:r>
              <w:rPr>
                <w:rFonts w:ascii="Calibri" w:hAnsi="Calibri"/>
                <w:sz w:val="20"/>
                <w:szCs w:val="20"/>
              </w:rPr>
              <w:t>61.8</w:t>
            </w:r>
          </w:p>
        </w:tc>
        <w:tc>
          <w:tcPr>
            <w:tcW w:w="919" w:type="dxa"/>
            <w:shd w:val="clear" w:color="auto" w:fill="D9D9D9" w:themeFill="background1" w:themeFillShade="D9"/>
            <w:vAlign w:val="bottom"/>
          </w:tcPr>
          <w:p w:rsidR="00BD4A22" w:rsidRPr="005F47D0" w:rsidRDefault="00BD4A22" w:rsidP="009266F5">
            <w:pPr>
              <w:spacing w:after="0" w:line="240" w:lineRule="auto"/>
              <w:jc w:val="center"/>
              <w:rPr>
                <w:rFonts w:ascii="Calibri" w:hAnsi="Calibri"/>
                <w:sz w:val="20"/>
                <w:szCs w:val="20"/>
              </w:rPr>
            </w:pPr>
            <w:r>
              <w:rPr>
                <w:rFonts w:ascii="Calibri" w:hAnsi="Calibri"/>
                <w:sz w:val="20"/>
                <w:szCs w:val="20"/>
              </w:rPr>
              <w:t>60.0</w:t>
            </w:r>
          </w:p>
        </w:tc>
        <w:tc>
          <w:tcPr>
            <w:tcW w:w="1126" w:type="dxa"/>
            <w:shd w:val="clear" w:color="auto" w:fill="D9D9D9" w:themeFill="background1" w:themeFillShade="D9"/>
          </w:tcPr>
          <w:p w:rsidR="00BD4A22" w:rsidRPr="0066275B" w:rsidRDefault="00BD4A22" w:rsidP="009266F5">
            <w:pPr>
              <w:spacing w:after="0" w:line="240" w:lineRule="auto"/>
              <w:jc w:val="center"/>
              <w:rPr>
                <w:rFonts w:ascii="Calibri" w:hAnsi="Calibri"/>
              </w:rPr>
            </w:pPr>
            <w:r w:rsidRPr="0066275B">
              <w:rPr>
                <w:rFonts w:ascii="Calibri" w:hAnsi="Calibri"/>
              </w:rPr>
              <w:t>-0.9</w:t>
            </w:r>
          </w:p>
        </w:tc>
        <w:tc>
          <w:tcPr>
            <w:tcW w:w="990" w:type="dxa"/>
            <w:shd w:val="clear" w:color="auto" w:fill="D9D9D9" w:themeFill="background1" w:themeFillShade="D9"/>
            <w:vAlign w:val="bottom"/>
          </w:tcPr>
          <w:p w:rsidR="00BD4A22" w:rsidRPr="0066275B" w:rsidRDefault="00BD4A22" w:rsidP="009266F5">
            <w:pPr>
              <w:spacing w:after="0" w:line="240" w:lineRule="auto"/>
              <w:jc w:val="center"/>
              <w:rPr>
                <w:rFonts w:ascii="Calibri" w:hAnsi="Calibri"/>
              </w:rPr>
            </w:pPr>
            <w:r w:rsidRPr="0066275B">
              <w:rPr>
                <w:rFonts w:ascii="Calibri" w:hAnsi="Calibri"/>
              </w:rPr>
              <w:t>-1.8</w:t>
            </w:r>
          </w:p>
        </w:tc>
      </w:tr>
      <w:tr w:rsidR="00BD4A22" w:rsidRPr="0066275B" w:rsidTr="009E7CC3">
        <w:trPr>
          <w:trHeight w:val="245"/>
        </w:trPr>
        <w:tc>
          <w:tcPr>
            <w:tcW w:w="461" w:type="dxa"/>
            <w:vMerge/>
            <w:vAlign w:val="center"/>
          </w:tcPr>
          <w:p w:rsidR="00BD4A22" w:rsidRPr="00164FBF" w:rsidRDefault="00BD4A22" w:rsidP="009266F5">
            <w:pPr>
              <w:spacing w:after="0" w:line="240" w:lineRule="auto"/>
              <w:jc w:val="center"/>
              <w:rPr>
                <w:rFonts w:ascii="Calibri" w:hAnsi="Calibri"/>
                <w:sz w:val="20"/>
                <w:szCs w:val="20"/>
              </w:rPr>
            </w:pPr>
          </w:p>
        </w:tc>
        <w:tc>
          <w:tcPr>
            <w:tcW w:w="757" w:type="dxa"/>
            <w:vMerge/>
            <w:shd w:val="clear" w:color="auto" w:fill="D9D9D9" w:themeFill="background1" w:themeFillShade="D9"/>
            <w:vAlign w:val="center"/>
          </w:tcPr>
          <w:p w:rsidR="00BD4A22" w:rsidRPr="00A82F8F" w:rsidRDefault="00BD4A22" w:rsidP="009266F5">
            <w:pPr>
              <w:spacing w:after="0" w:line="240" w:lineRule="auto"/>
              <w:jc w:val="center"/>
              <w:rPr>
                <w:rFonts w:ascii="Calibri" w:hAnsi="Calibri"/>
                <w:sz w:val="20"/>
                <w:szCs w:val="20"/>
              </w:rPr>
            </w:pPr>
          </w:p>
        </w:tc>
        <w:tc>
          <w:tcPr>
            <w:tcW w:w="870" w:type="dxa"/>
            <w:shd w:val="clear" w:color="auto" w:fill="D9D9D9" w:themeFill="background1" w:themeFillShade="D9"/>
          </w:tcPr>
          <w:p w:rsidR="00BD4A22" w:rsidRPr="00A82F8F" w:rsidRDefault="00BD4A22" w:rsidP="009266F5">
            <w:pPr>
              <w:spacing w:after="0" w:line="240" w:lineRule="auto"/>
              <w:rPr>
                <w:rFonts w:ascii="Calibri" w:hAnsi="Calibri"/>
                <w:sz w:val="20"/>
                <w:szCs w:val="20"/>
              </w:rPr>
            </w:pPr>
            <w:r w:rsidRPr="00A82F8F">
              <w:rPr>
                <w:rFonts w:ascii="Calibri" w:hAnsi="Calibri"/>
                <w:sz w:val="20"/>
                <w:szCs w:val="20"/>
              </w:rPr>
              <w:t>Lv 4&amp;5</w:t>
            </w:r>
          </w:p>
        </w:tc>
        <w:tc>
          <w:tcPr>
            <w:tcW w:w="1049" w:type="dxa"/>
            <w:shd w:val="clear" w:color="auto" w:fill="D9D9D9" w:themeFill="background1" w:themeFillShade="D9"/>
            <w:vAlign w:val="bottom"/>
          </w:tcPr>
          <w:p w:rsidR="00BD4A22" w:rsidRPr="005F47D0" w:rsidRDefault="00BD4A22" w:rsidP="009266F5">
            <w:pPr>
              <w:spacing w:after="0" w:line="240" w:lineRule="auto"/>
              <w:jc w:val="center"/>
              <w:rPr>
                <w:rFonts w:ascii="Calibri" w:hAnsi="Calibri"/>
                <w:sz w:val="20"/>
                <w:szCs w:val="20"/>
              </w:rPr>
            </w:pPr>
            <w:r>
              <w:rPr>
                <w:rFonts w:ascii="Calibri" w:hAnsi="Calibri"/>
                <w:sz w:val="20"/>
                <w:szCs w:val="20"/>
              </w:rPr>
              <w:t>1,496</w:t>
            </w:r>
          </w:p>
        </w:tc>
        <w:tc>
          <w:tcPr>
            <w:tcW w:w="918" w:type="dxa"/>
            <w:shd w:val="clear" w:color="auto" w:fill="D9D9D9" w:themeFill="background1" w:themeFillShade="D9"/>
            <w:vAlign w:val="center"/>
          </w:tcPr>
          <w:p w:rsidR="00BD4A22" w:rsidRPr="005F47D0" w:rsidRDefault="00BD4A22" w:rsidP="009266F5">
            <w:pPr>
              <w:spacing w:after="0" w:line="240" w:lineRule="auto"/>
              <w:jc w:val="center"/>
              <w:rPr>
                <w:rFonts w:ascii="Calibri" w:hAnsi="Calibri"/>
                <w:color w:val="000000"/>
                <w:sz w:val="20"/>
                <w:szCs w:val="20"/>
              </w:rPr>
            </w:pPr>
            <w:r>
              <w:rPr>
                <w:rFonts w:ascii="Calibri" w:hAnsi="Calibri"/>
                <w:color w:val="000000"/>
                <w:sz w:val="20"/>
                <w:szCs w:val="20"/>
              </w:rPr>
              <w:t>--</w:t>
            </w:r>
          </w:p>
        </w:tc>
        <w:tc>
          <w:tcPr>
            <w:tcW w:w="919" w:type="dxa"/>
            <w:shd w:val="clear" w:color="auto" w:fill="D9D9D9" w:themeFill="background1" w:themeFillShade="D9"/>
            <w:vAlign w:val="center"/>
          </w:tcPr>
          <w:p w:rsidR="00BD4A22" w:rsidRPr="005F47D0" w:rsidRDefault="00BD4A22" w:rsidP="009266F5">
            <w:pPr>
              <w:spacing w:after="0" w:line="240" w:lineRule="auto"/>
              <w:jc w:val="center"/>
              <w:rPr>
                <w:rFonts w:ascii="Calibri" w:hAnsi="Calibri"/>
                <w:color w:val="000000"/>
                <w:sz w:val="20"/>
                <w:szCs w:val="20"/>
              </w:rPr>
            </w:pPr>
            <w:r>
              <w:rPr>
                <w:rFonts w:ascii="Calibri" w:hAnsi="Calibri"/>
                <w:color w:val="000000"/>
                <w:sz w:val="20"/>
                <w:szCs w:val="20"/>
              </w:rPr>
              <w:t>--</w:t>
            </w:r>
          </w:p>
        </w:tc>
        <w:tc>
          <w:tcPr>
            <w:tcW w:w="919" w:type="dxa"/>
            <w:shd w:val="clear" w:color="auto" w:fill="D9D9D9" w:themeFill="background1" w:themeFillShade="D9"/>
            <w:vAlign w:val="bottom"/>
          </w:tcPr>
          <w:p w:rsidR="00BD4A22" w:rsidRPr="005F47D0" w:rsidRDefault="00BD4A22" w:rsidP="009266F5">
            <w:pPr>
              <w:spacing w:after="0" w:line="240" w:lineRule="auto"/>
              <w:jc w:val="center"/>
              <w:rPr>
                <w:rFonts w:ascii="Calibri" w:hAnsi="Calibri"/>
                <w:sz w:val="20"/>
                <w:szCs w:val="20"/>
              </w:rPr>
            </w:pPr>
            <w:r>
              <w:rPr>
                <w:rFonts w:ascii="Calibri" w:hAnsi="Calibri"/>
                <w:sz w:val="20"/>
                <w:szCs w:val="20"/>
              </w:rPr>
              <w:t>31%</w:t>
            </w:r>
          </w:p>
        </w:tc>
        <w:tc>
          <w:tcPr>
            <w:tcW w:w="919" w:type="dxa"/>
            <w:shd w:val="clear" w:color="auto" w:fill="D9D9D9" w:themeFill="background1" w:themeFillShade="D9"/>
            <w:vAlign w:val="bottom"/>
          </w:tcPr>
          <w:p w:rsidR="00BD4A22" w:rsidRPr="005F47D0" w:rsidRDefault="00BD4A22" w:rsidP="009266F5">
            <w:pPr>
              <w:spacing w:after="0" w:line="240" w:lineRule="auto"/>
              <w:jc w:val="center"/>
              <w:rPr>
                <w:rFonts w:ascii="Calibri" w:hAnsi="Calibri"/>
                <w:sz w:val="20"/>
                <w:szCs w:val="20"/>
              </w:rPr>
            </w:pPr>
            <w:r>
              <w:rPr>
                <w:rFonts w:ascii="Calibri" w:hAnsi="Calibri"/>
                <w:sz w:val="20"/>
                <w:szCs w:val="20"/>
              </w:rPr>
              <w:t>30%</w:t>
            </w:r>
          </w:p>
        </w:tc>
        <w:tc>
          <w:tcPr>
            <w:tcW w:w="1126" w:type="dxa"/>
            <w:shd w:val="clear" w:color="auto" w:fill="D9D9D9" w:themeFill="background1" w:themeFillShade="D9"/>
          </w:tcPr>
          <w:p w:rsidR="00BD4A22" w:rsidRPr="0066275B" w:rsidRDefault="00BD4A22" w:rsidP="009266F5">
            <w:pPr>
              <w:spacing w:after="0" w:line="240" w:lineRule="auto"/>
              <w:jc w:val="center"/>
              <w:rPr>
                <w:rFonts w:ascii="Calibri" w:hAnsi="Calibri"/>
              </w:rPr>
            </w:pPr>
            <w:r w:rsidRPr="0066275B">
              <w:rPr>
                <w:rFonts w:ascii="Calibri" w:hAnsi="Calibri"/>
              </w:rPr>
              <w:t>--</w:t>
            </w:r>
          </w:p>
        </w:tc>
        <w:tc>
          <w:tcPr>
            <w:tcW w:w="990" w:type="dxa"/>
            <w:shd w:val="clear" w:color="auto" w:fill="D9D9D9" w:themeFill="background1" w:themeFillShade="D9"/>
            <w:vAlign w:val="bottom"/>
          </w:tcPr>
          <w:p w:rsidR="00BD4A22" w:rsidRPr="0066275B" w:rsidRDefault="00BD4A22" w:rsidP="009266F5">
            <w:pPr>
              <w:spacing w:after="0" w:line="240" w:lineRule="auto"/>
              <w:jc w:val="center"/>
              <w:rPr>
                <w:rFonts w:ascii="Calibri" w:hAnsi="Calibri"/>
              </w:rPr>
            </w:pPr>
            <w:r w:rsidRPr="0066275B">
              <w:rPr>
                <w:rFonts w:ascii="Calibri" w:hAnsi="Calibri"/>
              </w:rPr>
              <w:t>-1%</w:t>
            </w:r>
          </w:p>
        </w:tc>
      </w:tr>
      <w:tr w:rsidR="00BD4A22" w:rsidRPr="0066275B" w:rsidTr="009E7CC3">
        <w:trPr>
          <w:trHeight w:val="245"/>
        </w:trPr>
        <w:tc>
          <w:tcPr>
            <w:tcW w:w="461" w:type="dxa"/>
            <w:vMerge/>
            <w:vAlign w:val="center"/>
          </w:tcPr>
          <w:p w:rsidR="00BD4A22" w:rsidRPr="00164FBF" w:rsidRDefault="00BD4A22" w:rsidP="009266F5">
            <w:pPr>
              <w:spacing w:after="0" w:line="240" w:lineRule="auto"/>
              <w:jc w:val="center"/>
              <w:rPr>
                <w:rFonts w:ascii="Calibri" w:hAnsi="Calibri"/>
                <w:sz w:val="20"/>
                <w:szCs w:val="20"/>
              </w:rPr>
            </w:pPr>
          </w:p>
        </w:tc>
        <w:tc>
          <w:tcPr>
            <w:tcW w:w="757" w:type="dxa"/>
            <w:vMerge/>
            <w:shd w:val="clear" w:color="auto" w:fill="D9D9D9" w:themeFill="background1" w:themeFillShade="D9"/>
            <w:vAlign w:val="center"/>
          </w:tcPr>
          <w:p w:rsidR="00BD4A22" w:rsidRPr="00A82F8F" w:rsidRDefault="00BD4A22" w:rsidP="009266F5">
            <w:pPr>
              <w:spacing w:after="0" w:line="240" w:lineRule="auto"/>
              <w:jc w:val="center"/>
              <w:rPr>
                <w:rFonts w:ascii="Calibri" w:hAnsi="Calibri"/>
                <w:sz w:val="20"/>
                <w:szCs w:val="20"/>
              </w:rPr>
            </w:pPr>
          </w:p>
        </w:tc>
        <w:tc>
          <w:tcPr>
            <w:tcW w:w="870" w:type="dxa"/>
            <w:shd w:val="clear" w:color="auto" w:fill="D9D9D9" w:themeFill="background1" w:themeFillShade="D9"/>
          </w:tcPr>
          <w:p w:rsidR="00BD4A22" w:rsidRPr="00A82F8F" w:rsidRDefault="00BD4A22" w:rsidP="009266F5">
            <w:pPr>
              <w:spacing w:after="0" w:line="240" w:lineRule="auto"/>
              <w:rPr>
                <w:rFonts w:ascii="Calibri" w:hAnsi="Calibri"/>
                <w:sz w:val="20"/>
                <w:szCs w:val="20"/>
              </w:rPr>
            </w:pPr>
            <w:r w:rsidRPr="00A82F8F">
              <w:rPr>
                <w:rFonts w:ascii="Calibri" w:hAnsi="Calibri"/>
                <w:sz w:val="20"/>
                <w:szCs w:val="20"/>
              </w:rPr>
              <w:t>SGP</w:t>
            </w:r>
          </w:p>
        </w:tc>
        <w:tc>
          <w:tcPr>
            <w:tcW w:w="1049" w:type="dxa"/>
            <w:shd w:val="clear" w:color="auto" w:fill="D9D9D9" w:themeFill="background1" w:themeFillShade="D9"/>
            <w:vAlign w:val="bottom"/>
          </w:tcPr>
          <w:p w:rsidR="00BD4A22" w:rsidRPr="005F47D0" w:rsidRDefault="00BD4A22" w:rsidP="009266F5">
            <w:pPr>
              <w:spacing w:after="0" w:line="240" w:lineRule="auto"/>
              <w:jc w:val="center"/>
              <w:rPr>
                <w:rFonts w:ascii="Calibri" w:hAnsi="Calibri"/>
                <w:sz w:val="20"/>
                <w:szCs w:val="20"/>
              </w:rPr>
            </w:pPr>
            <w:r>
              <w:rPr>
                <w:rFonts w:ascii="Calibri" w:hAnsi="Calibri"/>
                <w:sz w:val="20"/>
                <w:szCs w:val="20"/>
              </w:rPr>
              <w:t>1,348</w:t>
            </w:r>
          </w:p>
        </w:tc>
        <w:tc>
          <w:tcPr>
            <w:tcW w:w="918" w:type="dxa"/>
            <w:shd w:val="clear" w:color="auto" w:fill="D9D9D9" w:themeFill="background1" w:themeFillShade="D9"/>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41.0</w:t>
            </w:r>
          </w:p>
        </w:tc>
        <w:tc>
          <w:tcPr>
            <w:tcW w:w="919" w:type="dxa"/>
            <w:shd w:val="clear" w:color="auto" w:fill="D9D9D9" w:themeFill="background1" w:themeFillShade="D9"/>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42.0</w:t>
            </w:r>
          </w:p>
        </w:tc>
        <w:tc>
          <w:tcPr>
            <w:tcW w:w="919" w:type="dxa"/>
            <w:shd w:val="clear" w:color="auto" w:fill="D9D9D9" w:themeFill="background1" w:themeFillShade="D9"/>
            <w:vAlign w:val="bottom"/>
          </w:tcPr>
          <w:p w:rsidR="00BD4A22" w:rsidRPr="005F47D0" w:rsidRDefault="00BD4A22" w:rsidP="009266F5">
            <w:pPr>
              <w:spacing w:after="0" w:line="240" w:lineRule="auto"/>
              <w:jc w:val="center"/>
              <w:rPr>
                <w:rFonts w:ascii="Calibri" w:hAnsi="Calibri"/>
                <w:sz w:val="20"/>
                <w:szCs w:val="20"/>
              </w:rPr>
            </w:pPr>
            <w:r>
              <w:rPr>
                <w:rFonts w:ascii="Calibri" w:hAnsi="Calibri"/>
                <w:sz w:val="20"/>
                <w:szCs w:val="20"/>
              </w:rPr>
              <w:t>50.0</w:t>
            </w:r>
          </w:p>
        </w:tc>
        <w:tc>
          <w:tcPr>
            <w:tcW w:w="919" w:type="dxa"/>
            <w:shd w:val="clear" w:color="auto" w:fill="D9D9D9" w:themeFill="background1" w:themeFillShade="D9"/>
            <w:vAlign w:val="bottom"/>
          </w:tcPr>
          <w:p w:rsidR="00BD4A22" w:rsidRPr="005F47D0" w:rsidRDefault="00BD4A22" w:rsidP="009266F5">
            <w:pPr>
              <w:spacing w:after="0" w:line="240" w:lineRule="auto"/>
              <w:jc w:val="center"/>
              <w:rPr>
                <w:rFonts w:ascii="Calibri" w:hAnsi="Calibri"/>
                <w:sz w:val="20"/>
                <w:szCs w:val="20"/>
              </w:rPr>
            </w:pPr>
            <w:r>
              <w:rPr>
                <w:rFonts w:ascii="Calibri" w:hAnsi="Calibri"/>
                <w:sz w:val="20"/>
                <w:szCs w:val="20"/>
              </w:rPr>
              <w:t>48.0</w:t>
            </w:r>
          </w:p>
        </w:tc>
        <w:tc>
          <w:tcPr>
            <w:tcW w:w="1126" w:type="dxa"/>
            <w:shd w:val="clear" w:color="auto" w:fill="D9D9D9" w:themeFill="background1" w:themeFillShade="D9"/>
          </w:tcPr>
          <w:p w:rsidR="00BD4A22" w:rsidRPr="0066275B" w:rsidRDefault="00BD4A22" w:rsidP="009266F5">
            <w:pPr>
              <w:spacing w:after="0" w:line="240" w:lineRule="auto"/>
              <w:jc w:val="center"/>
              <w:rPr>
                <w:rFonts w:ascii="Calibri" w:hAnsi="Calibri"/>
              </w:rPr>
            </w:pPr>
            <w:r w:rsidRPr="0066275B">
              <w:rPr>
                <w:rFonts w:ascii="Calibri" w:hAnsi="Calibri"/>
              </w:rPr>
              <w:t>7.0</w:t>
            </w:r>
          </w:p>
        </w:tc>
        <w:tc>
          <w:tcPr>
            <w:tcW w:w="990" w:type="dxa"/>
            <w:shd w:val="clear" w:color="auto" w:fill="D9D9D9" w:themeFill="background1" w:themeFillShade="D9"/>
            <w:vAlign w:val="bottom"/>
          </w:tcPr>
          <w:p w:rsidR="00BD4A22" w:rsidRPr="0066275B" w:rsidRDefault="00BD4A22" w:rsidP="009266F5">
            <w:pPr>
              <w:spacing w:after="0" w:line="240" w:lineRule="auto"/>
              <w:jc w:val="center"/>
              <w:rPr>
                <w:rFonts w:ascii="Calibri" w:hAnsi="Calibri"/>
              </w:rPr>
            </w:pPr>
            <w:r w:rsidRPr="0066275B">
              <w:rPr>
                <w:rFonts w:ascii="Calibri" w:hAnsi="Calibri"/>
              </w:rPr>
              <w:t>-2.0</w:t>
            </w:r>
          </w:p>
        </w:tc>
      </w:tr>
      <w:tr w:rsidR="00BD4A22" w:rsidRPr="0066275B" w:rsidTr="009E7CC3">
        <w:trPr>
          <w:trHeight w:val="245"/>
        </w:trPr>
        <w:tc>
          <w:tcPr>
            <w:tcW w:w="461" w:type="dxa"/>
            <w:vMerge w:val="restart"/>
            <w:vAlign w:val="center"/>
          </w:tcPr>
          <w:p w:rsidR="00BD4A22" w:rsidRPr="00164FBF" w:rsidRDefault="00BD4A22" w:rsidP="009266F5">
            <w:pPr>
              <w:spacing w:after="0" w:line="240" w:lineRule="auto"/>
              <w:jc w:val="center"/>
              <w:rPr>
                <w:rFonts w:ascii="Calibri" w:hAnsi="Calibri"/>
                <w:sz w:val="20"/>
                <w:szCs w:val="20"/>
              </w:rPr>
            </w:pPr>
            <w:r w:rsidRPr="00164FBF">
              <w:rPr>
                <w:rFonts w:ascii="Calibri" w:hAnsi="Calibri"/>
                <w:sz w:val="20"/>
                <w:szCs w:val="20"/>
              </w:rPr>
              <w:t>8</w:t>
            </w:r>
          </w:p>
        </w:tc>
        <w:tc>
          <w:tcPr>
            <w:tcW w:w="757" w:type="dxa"/>
            <w:vMerge w:val="restart"/>
            <w:vAlign w:val="center"/>
          </w:tcPr>
          <w:p w:rsidR="00BD4A22" w:rsidRPr="00A82F8F" w:rsidRDefault="00BD4A22" w:rsidP="009266F5">
            <w:pPr>
              <w:spacing w:after="0" w:line="240" w:lineRule="auto"/>
              <w:jc w:val="center"/>
              <w:rPr>
                <w:rFonts w:ascii="Calibri" w:hAnsi="Calibri"/>
                <w:sz w:val="20"/>
                <w:szCs w:val="20"/>
              </w:rPr>
            </w:pPr>
            <w:r w:rsidRPr="00A82F8F">
              <w:rPr>
                <w:rFonts w:ascii="Calibri" w:hAnsi="Calibri"/>
                <w:sz w:val="20"/>
                <w:szCs w:val="20"/>
              </w:rPr>
              <w:t>MCAS</w:t>
            </w:r>
          </w:p>
        </w:tc>
        <w:tc>
          <w:tcPr>
            <w:tcW w:w="870" w:type="dxa"/>
          </w:tcPr>
          <w:p w:rsidR="00BD4A22" w:rsidRPr="00A82F8F" w:rsidRDefault="00BD4A22" w:rsidP="009266F5">
            <w:pPr>
              <w:spacing w:after="0" w:line="240" w:lineRule="auto"/>
              <w:rPr>
                <w:rFonts w:ascii="Calibri" w:hAnsi="Calibri"/>
                <w:sz w:val="20"/>
                <w:szCs w:val="20"/>
              </w:rPr>
            </w:pPr>
            <w:r w:rsidRPr="00A82F8F">
              <w:rPr>
                <w:rFonts w:ascii="Calibri" w:hAnsi="Calibri"/>
                <w:sz w:val="20"/>
                <w:szCs w:val="20"/>
              </w:rPr>
              <w:t>CPI</w:t>
            </w:r>
          </w:p>
        </w:tc>
        <w:tc>
          <w:tcPr>
            <w:tcW w:w="1049" w:type="dxa"/>
            <w:vAlign w:val="center"/>
          </w:tcPr>
          <w:p w:rsidR="00BD4A22" w:rsidRPr="005F47D0" w:rsidRDefault="00BD4A22" w:rsidP="009266F5">
            <w:pPr>
              <w:spacing w:after="0" w:line="240" w:lineRule="auto"/>
              <w:jc w:val="center"/>
              <w:rPr>
                <w:rFonts w:ascii="Calibri" w:hAnsi="Calibri"/>
                <w:color w:val="000000"/>
                <w:sz w:val="20"/>
                <w:szCs w:val="20"/>
              </w:rPr>
            </w:pPr>
            <w:r>
              <w:rPr>
                <w:rFonts w:ascii="Calibri" w:hAnsi="Calibri"/>
                <w:color w:val="000000"/>
                <w:sz w:val="20"/>
                <w:szCs w:val="20"/>
              </w:rPr>
              <w:t>--</w:t>
            </w:r>
          </w:p>
        </w:tc>
        <w:tc>
          <w:tcPr>
            <w:tcW w:w="918"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59.7</w:t>
            </w:r>
          </w:p>
        </w:tc>
        <w:tc>
          <w:tcPr>
            <w:tcW w:w="919"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57.7</w:t>
            </w:r>
          </w:p>
        </w:tc>
        <w:tc>
          <w:tcPr>
            <w:tcW w:w="919"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52.9</w:t>
            </w:r>
          </w:p>
        </w:tc>
        <w:tc>
          <w:tcPr>
            <w:tcW w:w="919" w:type="dxa"/>
            <w:vAlign w:val="center"/>
          </w:tcPr>
          <w:p w:rsidR="00BD4A22" w:rsidRPr="005F47D0" w:rsidRDefault="00BD4A22" w:rsidP="009266F5">
            <w:pPr>
              <w:spacing w:after="0" w:line="240" w:lineRule="auto"/>
              <w:jc w:val="center"/>
              <w:rPr>
                <w:rFonts w:ascii="Calibri" w:hAnsi="Calibri"/>
                <w:color w:val="000000"/>
                <w:sz w:val="20"/>
                <w:szCs w:val="20"/>
              </w:rPr>
            </w:pPr>
            <w:r>
              <w:rPr>
                <w:rFonts w:ascii="Calibri" w:hAnsi="Calibri"/>
                <w:color w:val="000000"/>
                <w:sz w:val="20"/>
                <w:szCs w:val="20"/>
              </w:rPr>
              <w:t>--</w:t>
            </w:r>
          </w:p>
        </w:tc>
        <w:tc>
          <w:tcPr>
            <w:tcW w:w="1126" w:type="dxa"/>
            <w:vAlign w:val="center"/>
          </w:tcPr>
          <w:p w:rsidR="00BD4A22" w:rsidRPr="0066275B" w:rsidRDefault="00BD4A22" w:rsidP="009266F5">
            <w:pPr>
              <w:spacing w:after="0" w:line="240" w:lineRule="auto"/>
              <w:jc w:val="center"/>
              <w:rPr>
                <w:rFonts w:ascii="Calibri" w:hAnsi="Calibri"/>
              </w:rPr>
            </w:pPr>
            <w:r w:rsidRPr="0066275B">
              <w:rPr>
                <w:rFonts w:ascii="Calibri" w:hAnsi="Calibri"/>
              </w:rPr>
              <w:t>--</w:t>
            </w:r>
          </w:p>
        </w:tc>
        <w:tc>
          <w:tcPr>
            <w:tcW w:w="990" w:type="dxa"/>
            <w:vAlign w:val="center"/>
          </w:tcPr>
          <w:p w:rsidR="00BD4A22" w:rsidRPr="0066275B" w:rsidRDefault="00BD4A22" w:rsidP="009266F5">
            <w:pPr>
              <w:spacing w:after="0" w:line="240" w:lineRule="auto"/>
              <w:jc w:val="center"/>
              <w:rPr>
                <w:rFonts w:ascii="Calibri" w:hAnsi="Calibri"/>
              </w:rPr>
            </w:pPr>
            <w:r w:rsidRPr="0066275B">
              <w:rPr>
                <w:rFonts w:ascii="Calibri" w:hAnsi="Calibri"/>
              </w:rPr>
              <w:t>--</w:t>
            </w:r>
          </w:p>
        </w:tc>
      </w:tr>
      <w:tr w:rsidR="00BD4A22" w:rsidRPr="0066275B" w:rsidTr="009E7CC3">
        <w:trPr>
          <w:trHeight w:val="245"/>
        </w:trPr>
        <w:tc>
          <w:tcPr>
            <w:tcW w:w="461" w:type="dxa"/>
            <w:vMerge/>
            <w:vAlign w:val="center"/>
          </w:tcPr>
          <w:p w:rsidR="00BD4A22" w:rsidRPr="009066CB" w:rsidRDefault="00BD4A22" w:rsidP="009266F5">
            <w:pPr>
              <w:spacing w:after="0" w:line="240" w:lineRule="auto"/>
              <w:jc w:val="center"/>
              <w:rPr>
                <w:rFonts w:ascii="Calibri" w:hAnsi="Calibri"/>
                <w:color w:val="FF0000"/>
                <w:sz w:val="20"/>
                <w:szCs w:val="20"/>
              </w:rPr>
            </w:pPr>
          </w:p>
        </w:tc>
        <w:tc>
          <w:tcPr>
            <w:tcW w:w="757" w:type="dxa"/>
            <w:vMerge/>
            <w:vAlign w:val="center"/>
          </w:tcPr>
          <w:p w:rsidR="00BD4A22" w:rsidRPr="00A82F8F" w:rsidRDefault="00BD4A22" w:rsidP="009266F5">
            <w:pPr>
              <w:spacing w:after="0" w:line="240" w:lineRule="auto"/>
              <w:jc w:val="center"/>
              <w:rPr>
                <w:rFonts w:ascii="Calibri" w:hAnsi="Calibri"/>
                <w:sz w:val="20"/>
                <w:szCs w:val="20"/>
              </w:rPr>
            </w:pPr>
          </w:p>
        </w:tc>
        <w:tc>
          <w:tcPr>
            <w:tcW w:w="870" w:type="dxa"/>
          </w:tcPr>
          <w:p w:rsidR="00BD4A22" w:rsidRPr="00A82F8F" w:rsidRDefault="00BD4A22" w:rsidP="009266F5">
            <w:pPr>
              <w:spacing w:after="0" w:line="240" w:lineRule="auto"/>
              <w:rPr>
                <w:rFonts w:ascii="Calibri" w:hAnsi="Calibri"/>
                <w:sz w:val="20"/>
                <w:szCs w:val="20"/>
              </w:rPr>
            </w:pPr>
            <w:r w:rsidRPr="00A82F8F">
              <w:rPr>
                <w:rFonts w:ascii="Calibri" w:hAnsi="Calibri"/>
                <w:sz w:val="20"/>
                <w:szCs w:val="20"/>
              </w:rPr>
              <w:t>P+</w:t>
            </w:r>
          </w:p>
        </w:tc>
        <w:tc>
          <w:tcPr>
            <w:tcW w:w="1049" w:type="dxa"/>
            <w:vAlign w:val="center"/>
          </w:tcPr>
          <w:p w:rsidR="00BD4A22" w:rsidRPr="005F47D0" w:rsidRDefault="00BD4A22" w:rsidP="009266F5">
            <w:pPr>
              <w:spacing w:after="0" w:line="240" w:lineRule="auto"/>
              <w:jc w:val="center"/>
              <w:rPr>
                <w:rFonts w:ascii="Calibri" w:hAnsi="Calibri"/>
                <w:color w:val="000000"/>
                <w:sz w:val="20"/>
                <w:szCs w:val="20"/>
              </w:rPr>
            </w:pPr>
            <w:r>
              <w:rPr>
                <w:rFonts w:ascii="Calibri" w:hAnsi="Calibri"/>
                <w:color w:val="000000"/>
                <w:sz w:val="20"/>
                <w:szCs w:val="20"/>
              </w:rPr>
              <w:t>--</w:t>
            </w:r>
          </w:p>
        </w:tc>
        <w:tc>
          <w:tcPr>
            <w:tcW w:w="918"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33%</w:t>
            </w:r>
          </w:p>
        </w:tc>
        <w:tc>
          <w:tcPr>
            <w:tcW w:w="919"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29%</w:t>
            </w:r>
          </w:p>
        </w:tc>
        <w:tc>
          <w:tcPr>
            <w:tcW w:w="919"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28%</w:t>
            </w:r>
          </w:p>
        </w:tc>
        <w:tc>
          <w:tcPr>
            <w:tcW w:w="919" w:type="dxa"/>
            <w:vAlign w:val="center"/>
          </w:tcPr>
          <w:p w:rsidR="00BD4A22" w:rsidRPr="005F47D0" w:rsidRDefault="00BD4A22" w:rsidP="009266F5">
            <w:pPr>
              <w:spacing w:after="0" w:line="240" w:lineRule="auto"/>
              <w:jc w:val="center"/>
              <w:rPr>
                <w:rFonts w:ascii="Calibri" w:hAnsi="Calibri"/>
                <w:color w:val="000000"/>
                <w:sz w:val="20"/>
                <w:szCs w:val="20"/>
              </w:rPr>
            </w:pPr>
            <w:r>
              <w:rPr>
                <w:rFonts w:ascii="Calibri" w:hAnsi="Calibri"/>
                <w:color w:val="000000"/>
                <w:sz w:val="20"/>
                <w:szCs w:val="20"/>
              </w:rPr>
              <w:t>--</w:t>
            </w:r>
          </w:p>
        </w:tc>
        <w:tc>
          <w:tcPr>
            <w:tcW w:w="1126" w:type="dxa"/>
            <w:vAlign w:val="center"/>
          </w:tcPr>
          <w:p w:rsidR="00BD4A22" w:rsidRPr="0066275B" w:rsidRDefault="00BD4A22" w:rsidP="009266F5">
            <w:pPr>
              <w:spacing w:after="0" w:line="240" w:lineRule="auto"/>
              <w:jc w:val="center"/>
              <w:rPr>
                <w:rFonts w:ascii="Calibri" w:hAnsi="Calibri"/>
              </w:rPr>
            </w:pPr>
            <w:r w:rsidRPr="0066275B">
              <w:rPr>
                <w:rFonts w:ascii="Calibri" w:hAnsi="Calibri"/>
              </w:rPr>
              <w:t>--</w:t>
            </w:r>
          </w:p>
        </w:tc>
        <w:tc>
          <w:tcPr>
            <w:tcW w:w="990" w:type="dxa"/>
            <w:vAlign w:val="center"/>
          </w:tcPr>
          <w:p w:rsidR="00BD4A22" w:rsidRPr="0066275B" w:rsidRDefault="00BD4A22" w:rsidP="009266F5">
            <w:pPr>
              <w:spacing w:after="0" w:line="240" w:lineRule="auto"/>
              <w:jc w:val="center"/>
              <w:rPr>
                <w:rFonts w:ascii="Calibri" w:hAnsi="Calibri"/>
              </w:rPr>
            </w:pPr>
            <w:r w:rsidRPr="0066275B">
              <w:rPr>
                <w:rFonts w:ascii="Calibri" w:hAnsi="Calibri"/>
              </w:rPr>
              <w:t>--</w:t>
            </w:r>
          </w:p>
        </w:tc>
      </w:tr>
      <w:tr w:rsidR="00BD4A22" w:rsidRPr="0066275B" w:rsidTr="009E7CC3">
        <w:trPr>
          <w:trHeight w:val="245"/>
        </w:trPr>
        <w:tc>
          <w:tcPr>
            <w:tcW w:w="461" w:type="dxa"/>
            <w:vMerge/>
            <w:vAlign w:val="center"/>
          </w:tcPr>
          <w:p w:rsidR="00BD4A22" w:rsidRPr="009066CB" w:rsidRDefault="00BD4A22" w:rsidP="009266F5">
            <w:pPr>
              <w:spacing w:after="0" w:line="240" w:lineRule="auto"/>
              <w:jc w:val="center"/>
              <w:rPr>
                <w:rFonts w:ascii="Calibri" w:hAnsi="Calibri"/>
                <w:color w:val="FF0000"/>
                <w:sz w:val="20"/>
                <w:szCs w:val="20"/>
              </w:rPr>
            </w:pPr>
          </w:p>
        </w:tc>
        <w:tc>
          <w:tcPr>
            <w:tcW w:w="757" w:type="dxa"/>
            <w:vMerge/>
            <w:vAlign w:val="center"/>
          </w:tcPr>
          <w:p w:rsidR="00BD4A22" w:rsidRPr="00A82F8F" w:rsidRDefault="00BD4A22" w:rsidP="009266F5">
            <w:pPr>
              <w:spacing w:after="0" w:line="240" w:lineRule="auto"/>
              <w:jc w:val="center"/>
              <w:rPr>
                <w:rFonts w:ascii="Calibri" w:hAnsi="Calibri"/>
                <w:sz w:val="20"/>
                <w:szCs w:val="20"/>
              </w:rPr>
            </w:pPr>
          </w:p>
        </w:tc>
        <w:tc>
          <w:tcPr>
            <w:tcW w:w="870" w:type="dxa"/>
          </w:tcPr>
          <w:p w:rsidR="00BD4A22" w:rsidRPr="00A82F8F" w:rsidRDefault="00BD4A22" w:rsidP="009266F5">
            <w:pPr>
              <w:spacing w:after="0" w:line="240" w:lineRule="auto"/>
              <w:rPr>
                <w:rFonts w:ascii="Calibri" w:hAnsi="Calibri"/>
                <w:sz w:val="20"/>
                <w:szCs w:val="20"/>
              </w:rPr>
            </w:pPr>
            <w:r w:rsidRPr="00A82F8F">
              <w:rPr>
                <w:rFonts w:ascii="Calibri" w:hAnsi="Calibri"/>
                <w:sz w:val="20"/>
                <w:szCs w:val="20"/>
              </w:rPr>
              <w:t>SGP</w:t>
            </w:r>
          </w:p>
        </w:tc>
        <w:tc>
          <w:tcPr>
            <w:tcW w:w="1049" w:type="dxa"/>
            <w:vAlign w:val="center"/>
          </w:tcPr>
          <w:p w:rsidR="00BD4A22" w:rsidRPr="005F47D0" w:rsidRDefault="00BD4A22" w:rsidP="009266F5">
            <w:pPr>
              <w:spacing w:after="0" w:line="240" w:lineRule="auto"/>
              <w:jc w:val="center"/>
              <w:rPr>
                <w:rFonts w:ascii="Calibri" w:hAnsi="Calibri"/>
                <w:color w:val="000000"/>
                <w:sz w:val="20"/>
                <w:szCs w:val="20"/>
              </w:rPr>
            </w:pPr>
            <w:r>
              <w:rPr>
                <w:rFonts w:ascii="Calibri" w:hAnsi="Calibri"/>
                <w:color w:val="000000"/>
                <w:sz w:val="20"/>
                <w:szCs w:val="20"/>
              </w:rPr>
              <w:t>--</w:t>
            </w:r>
          </w:p>
        </w:tc>
        <w:tc>
          <w:tcPr>
            <w:tcW w:w="918"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42.0</w:t>
            </w:r>
          </w:p>
        </w:tc>
        <w:tc>
          <w:tcPr>
            <w:tcW w:w="919"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38.0</w:t>
            </w:r>
          </w:p>
        </w:tc>
        <w:tc>
          <w:tcPr>
            <w:tcW w:w="919" w:type="dxa"/>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37.0</w:t>
            </w:r>
          </w:p>
        </w:tc>
        <w:tc>
          <w:tcPr>
            <w:tcW w:w="919" w:type="dxa"/>
            <w:vAlign w:val="center"/>
          </w:tcPr>
          <w:p w:rsidR="00BD4A22" w:rsidRPr="005F47D0" w:rsidRDefault="00BD4A22" w:rsidP="009266F5">
            <w:pPr>
              <w:spacing w:after="0" w:line="240" w:lineRule="auto"/>
              <w:jc w:val="center"/>
              <w:rPr>
                <w:rFonts w:ascii="Calibri" w:hAnsi="Calibri"/>
                <w:color w:val="000000"/>
                <w:sz w:val="20"/>
                <w:szCs w:val="20"/>
              </w:rPr>
            </w:pPr>
            <w:r>
              <w:rPr>
                <w:rFonts w:ascii="Calibri" w:hAnsi="Calibri"/>
                <w:color w:val="000000"/>
                <w:sz w:val="20"/>
                <w:szCs w:val="20"/>
              </w:rPr>
              <w:t>--</w:t>
            </w:r>
          </w:p>
        </w:tc>
        <w:tc>
          <w:tcPr>
            <w:tcW w:w="1126" w:type="dxa"/>
            <w:vAlign w:val="center"/>
          </w:tcPr>
          <w:p w:rsidR="00BD4A22" w:rsidRPr="0066275B" w:rsidRDefault="00BD4A22" w:rsidP="009266F5">
            <w:pPr>
              <w:spacing w:after="0" w:line="240" w:lineRule="auto"/>
              <w:jc w:val="center"/>
              <w:rPr>
                <w:rFonts w:ascii="Calibri" w:hAnsi="Calibri"/>
              </w:rPr>
            </w:pPr>
            <w:r w:rsidRPr="0066275B">
              <w:rPr>
                <w:rFonts w:ascii="Calibri" w:hAnsi="Calibri"/>
              </w:rPr>
              <w:t>--</w:t>
            </w:r>
          </w:p>
        </w:tc>
        <w:tc>
          <w:tcPr>
            <w:tcW w:w="990" w:type="dxa"/>
            <w:vAlign w:val="center"/>
          </w:tcPr>
          <w:p w:rsidR="00BD4A22" w:rsidRPr="0066275B" w:rsidRDefault="00BD4A22" w:rsidP="009266F5">
            <w:pPr>
              <w:spacing w:after="0" w:line="240" w:lineRule="auto"/>
              <w:jc w:val="center"/>
              <w:rPr>
                <w:rFonts w:ascii="Calibri" w:hAnsi="Calibri"/>
              </w:rPr>
            </w:pPr>
            <w:r w:rsidRPr="0066275B">
              <w:rPr>
                <w:rFonts w:ascii="Calibri" w:hAnsi="Calibri"/>
              </w:rPr>
              <w:t>--</w:t>
            </w:r>
          </w:p>
        </w:tc>
      </w:tr>
      <w:tr w:rsidR="00BD4A22" w:rsidRPr="0066275B" w:rsidTr="009E7CC3">
        <w:trPr>
          <w:trHeight w:val="245"/>
        </w:trPr>
        <w:tc>
          <w:tcPr>
            <w:tcW w:w="461" w:type="dxa"/>
            <w:vMerge/>
            <w:vAlign w:val="center"/>
          </w:tcPr>
          <w:p w:rsidR="00BD4A22" w:rsidRPr="009066CB" w:rsidRDefault="00BD4A22" w:rsidP="009266F5">
            <w:pPr>
              <w:spacing w:after="0" w:line="240" w:lineRule="auto"/>
              <w:jc w:val="center"/>
              <w:rPr>
                <w:rFonts w:ascii="Calibri" w:hAnsi="Calibri"/>
                <w:color w:val="FF0000"/>
                <w:sz w:val="20"/>
                <w:szCs w:val="20"/>
              </w:rPr>
            </w:pPr>
          </w:p>
        </w:tc>
        <w:tc>
          <w:tcPr>
            <w:tcW w:w="757" w:type="dxa"/>
            <w:vMerge w:val="restart"/>
            <w:shd w:val="clear" w:color="auto" w:fill="D9D9D9" w:themeFill="background1" w:themeFillShade="D9"/>
            <w:vAlign w:val="center"/>
          </w:tcPr>
          <w:p w:rsidR="00BD4A22" w:rsidRPr="00A82F8F" w:rsidRDefault="00BD4A22" w:rsidP="009266F5">
            <w:pPr>
              <w:spacing w:after="0" w:line="240" w:lineRule="auto"/>
              <w:jc w:val="center"/>
              <w:rPr>
                <w:rFonts w:ascii="Calibri" w:hAnsi="Calibri"/>
                <w:sz w:val="20"/>
                <w:szCs w:val="20"/>
              </w:rPr>
            </w:pPr>
            <w:r w:rsidRPr="00A82F8F">
              <w:rPr>
                <w:rFonts w:ascii="Calibri" w:hAnsi="Calibri"/>
                <w:sz w:val="20"/>
                <w:szCs w:val="20"/>
              </w:rPr>
              <w:t>PARCC</w:t>
            </w:r>
          </w:p>
        </w:tc>
        <w:tc>
          <w:tcPr>
            <w:tcW w:w="870" w:type="dxa"/>
            <w:shd w:val="clear" w:color="auto" w:fill="D9D9D9" w:themeFill="background1" w:themeFillShade="D9"/>
          </w:tcPr>
          <w:p w:rsidR="00BD4A22" w:rsidRPr="00A82F8F" w:rsidRDefault="00BD4A22" w:rsidP="009266F5">
            <w:pPr>
              <w:spacing w:after="0" w:line="240" w:lineRule="auto"/>
              <w:rPr>
                <w:rFonts w:ascii="Calibri" w:hAnsi="Calibri"/>
                <w:sz w:val="20"/>
                <w:szCs w:val="20"/>
              </w:rPr>
            </w:pPr>
            <w:r w:rsidRPr="00A82F8F">
              <w:rPr>
                <w:rFonts w:ascii="Calibri" w:hAnsi="Calibri"/>
                <w:sz w:val="20"/>
                <w:szCs w:val="20"/>
              </w:rPr>
              <w:t>CPI</w:t>
            </w:r>
          </w:p>
        </w:tc>
        <w:tc>
          <w:tcPr>
            <w:tcW w:w="1049" w:type="dxa"/>
            <w:shd w:val="clear" w:color="auto" w:fill="D9D9D9" w:themeFill="background1" w:themeFillShade="D9"/>
            <w:vAlign w:val="bottom"/>
          </w:tcPr>
          <w:p w:rsidR="00BD4A22" w:rsidRPr="005F47D0" w:rsidRDefault="00BD4A22" w:rsidP="009266F5">
            <w:pPr>
              <w:spacing w:after="0" w:line="240" w:lineRule="auto"/>
              <w:jc w:val="center"/>
              <w:rPr>
                <w:rFonts w:ascii="Calibri" w:hAnsi="Calibri"/>
                <w:sz w:val="20"/>
                <w:szCs w:val="20"/>
              </w:rPr>
            </w:pPr>
            <w:r>
              <w:rPr>
                <w:rFonts w:ascii="Calibri" w:hAnsi="Calibri"/>
                <w:sz w:val="20"/>
                <w:szCs w:val="20"/>
              </w:rPr>
              <w:t>1,508</w:t>
            </w:r>
          </w:p>
        </w:tc>
        <w:tc>
          <w:tcPr>
            <w:tcW w:w="918" w:type="dxa"/>
            <w:shd w:val="clear" w:color="auto" w:fill="D9D9D9" w:themeFill="background1" w:themeFillShade="D9"/>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59.7</w:t>
            </w:r>
          </w:p>
        </w:tc>
        <w:tc>
          <w:tcPr>
            <w:tcW w:w="919" w:type="dxa"/>
            <w:shd w:val="clear" w:color="auto" w:fill="D9D9D9" w:themeFill="background1" w:themeFillShade="D9"/>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57.7</w:t>
            </w:r>
          </w:p>
        </w:tc>
        <w:tc>
          <w:tcPr>
            <w:tcW w:w="919" w:type="dxa"/>
            <w:shd w:val="clear" w:color="auto" w:fill="D9D9D9" w:themeFill="background1" w:themeFillShade="D9"/>
            <w:vAlign w:val="bottom"/>
          </w:tcPr>
          <w:p w:rsidR="00BD4A22" w:rsidRPr="005F47D0" w:rsidRDefault="00BD4A22" w:rsidP="009266F5">
            <w:pPr>
              <w:spacing w:after="0" w:line="240" w:lineRule="auto"/>
              <w:jc w:val="center"/>
              <w:rPr>
                <w:rFonts w:ascii="Calibri" w:hAnsi="Calibri"/>
                <w:sz w:val="20"/>
                <w:szCs w:val="20"/>
              </w:rPr>
            </w:pPr>
            <w:r>
              <w:rPr>
                <w:rFonts w:ascii="Calibri" w:hAnsi="Calibri"/>
                <w:sz w:val="20"/>
                <w:szCs w:val="20"/>
              </w:rPr>
              <w:t>64.0</w:t>
            </w:r>
          </w:p>
        </w:tc>
        <w:tc>
          <w:tcPr>
            <w:tcW w:w="919" w:type="dxa"/>
            <w:shd w:val="clear" w:color="auto" w:fill="D9D9D9" w:themeFill="background1" w:themeFillShade="D9"/>
            <w:vAlign w:val="bottom"/>
          </w:tcPr>
          <w:p w:rsidR="00BD4A22" w:rsidRPr="005F47D0" w:rsidRDefault="00BD4A22" w:rsidP="009266F5">
            <w:pPr>
              <w:spacing w:after="0" w:line="240" w:lineRule="auto"/>
              <w:jc w:val="center"/>
              <w:rPr>
                <w:rFonts w:ascii="Calibri" w:hAnsi="Calibri"/>
                <w:sz w:val="20"/>
                <w:szCs w:val="20"/>
              </w:rPr>
            </w:pPr>
            <w:r>
              <w:rPr>
                <w:rFonts w:ascii="Calibri" w:hAnsi="Calibri"/>
                <w:sz w:val="20"/>
                <w:szCs w:val="20"/>
              </w:rPr>
              <w:t>65.7</w:t>
            </w:r>
          </w:p>
        </w:tc>
        <w:tc>
          <w:tcPr>
            <w:tcW w:w="1126" w:type="dxa"/>
            <w:shd w:val="clear" w:color="auto" w:fill="D9D9D9" w:themeFill="background1" w:themeFillShade="D9"/>
          </w:tcPr>
          <w:p w:rsidR="00BD4A22" w:rsidRPr="0066275B" w:rsidRDefault="00BD4A22" w:rsidP="009266F5">
            <w:pPr>
              <w:spacing w:after="0" w:line="240" w:lineRule="auto"/>
              <w:jc w:val="center"/>
              <w:rPr>
                <w:rFonts w:ascii="Calibri" w:hAnsi="Calibri"/>
              </w:rPr>
            </w:pPr>
            <w:r w:rsidRPr="0066275B">
              <w:rPr>
                <w:rFonts w:ascii="Calibri" w:hAnsi="Calibri"/>
              </w:rPr>
              <w:t>6.0</w:t>
            </w:r>
          </w:p>
        </w:tc>
        <w:tc>
          <w:tcPr>
            <w:tcW w:w="990" w:type="dxa"/>
            <w:shd w:val="clear" w:color="auto" w:fill="D9D9D9" w:themeFill="background1" w:themeFillShade="D9"/>
            <w:vAlign w:val="bottom"/>
          </w:tcPr>
          <w:p w:rsidR="00BD4A22" w:rsidRPr="0066275B" w:rsidRDefault="00BD4A22" w:rsidP="009266F5">
            <w:pPr>
              <w:spacing w:after="0" w:line="240" w:lineRule="auto"/>
              <w:jc w:val="center"/>
              <w:rPr>
                <w:rFonts w:ascii="Calibri" w:hAnsi="Calibri"/>
              </w:rPr>
            </w:pPr>
            <w:r w:rsidRPr="0066275B">
              <w:rPr>
                <w:rFonts w:ascii="Calibri" w:hAnsi="Calibri"/>
              </w:rPr>
              <w:t>1.7</w:t>
            </w:r>
          </w:p>
        </w:tc>
      </w:tr>
      <w:tr w:rsidR="00BD4A22" w:rsidRPr="0066275B" w:rsidTr="009E7CC3">
        <w:trPr>
          <w:trHeight w:val="245"/>
        </w:trPr>
        <w:tc>
          <w:tcPr>
            <w:tcW w:w="461" w:type="dxa"/>
            <w:vMerge/>
            <w:vAlign w:val="center"/>
          </w:tcPr>
          <w:p w:rsidR="00BD4A22" w:rsidRPr="009066CB" w:rsidRDefault="00BD4A22" w:rsidP="009266F5">
            <w:pPr>
              <w:spacing w:after="0" w:line="240" w:lineRule="auto"/>
              <w:jc w:val="center"/>
              <w:rPr>
                <w:rFonts w:ascii="Calibri" w:hAnsi="Calibri"/>
                <w:color w:val="FF0000"/>
                <w:sz w:val="20"/>
                <w:szCs w:val="20"/>
              </w:rPr>
            </w:pPr>
          </w:p>
        </w:tc>
        <w:tc>
          <w:tcPr>
            <w:tcW w:w="757" w:type="dxa"/>
            <w:vMerge/>
            <w:shd w:val="clear" w:color="auto" w:fill="D9D9D9" w:themeFill="background1" w:themeFillShade="D9"/>
          </w:tcPr>
          <w:p w:rsidR="00BD4A22" w:rsidRPr="009066CB" w:rsidRDefault="00BD4A22" w:rsidP="009266F5">
            <w:pPr>
              <w:spacing w:after="0" w:line="240" w:lineRule="auto"/>
              <w:rPr>
                <w:rFonts w:ascii="Calibri" w:hAnsi="Calibri"/>
                <w:color w:val="FF0000"/>
                <w:sz w:val="20"/>
                <w:szCs w:val="20"/>
              </w:rPr>
            </w:pPr>
          </w:p>
        </w:tc>
        <w:tc>
          <w:tcPr>
            <w:tcW w:w="870" w:type="dxa"/>
            <w:shd w:val="clear" w:color="auto" w:fill="D9D9D9" w:themeFill="background1" w:themeFillShade="D9"/>
          </w:tcPr>
          <w:p w:rsidR="00BD4A22" w:rsidRPr="00A82F8F" w:rsidRDefault="00BD4A22" w:rsidP="009266F5">
            <w:pPr>
              <w:spacing w:after="0" w:line="240" w:lineRule="auto"/>
              <w:rPr>
                <w:rFonts w:ascii="Calibri" w:hAnsi="Calibri"/>
                <w:sz w:val="20"/>
                <w:szCs w:val="20"/>
              </w:rPr>
            </w:pPr>
            <w:r w:rsidRPr="00A82F8F">
              <w:rPr>
                <w:rFonts w:ascii="Calibri" w:hAnsi="Calibri"/>
                <w:sz w:val="20"/>
                <w:szCs w:val="20"/>
              </w:rPr>
              <w:t>Lv 4&amp;5</w:t>
            </w:r>
          </w:p>
        </w:tc>
        <w:tc>
          <w:tcPr>
            <w:tcW w:w="1049" w:type="dxa"/>
            <w:shd w:val="clear" w:color="auto" w:fill="D9D9D9" w:themeFill="background1" w:themeFillShade="D9"/>
            <w:vAlign w:val="bottom"/>
          </w:tcPr>
          <w:p w:rsidR="00BD4A22" w:rsidRPr="005F47D0" w:rsidRDefault="00BD4A22" w:rsidP="009266F5">
            <w:pPr>
              <w:spacing w:after="0" w:line="240" w:lineRule="auto"/>
              <w:jc w:val="center"/>
              <w:rPr>
                <w:rFonts w:ascii="Calibri" w:hAnsi="Calibri"/>
                <w:sz w:val="20"/>
                <w:szCs w:val="20"/>
              </w:rPr>
            </w:pPr>
            <w:r>
              <w:rPr>
                <w:rFonts w:ascii="Calibri" w:hAnsi="Calibri"/>
                <w:sz w:val="20"/>
                <w:szCs w:val="20"/>
              </w:rPr>
              <w:t>1,465</w:t>
            </w:r>
          </w:p>
        </w:tc>
        <w:tc>
          <w:tcPr>
            <w:tcW w:w="918" w:type="dxa"/>
            <w:shd w:val="clear" w:color="auto" w:fill="D9D9D9" w:themeFill="background1" w:themeFillShade="D9"/>
            <w:vAlign w:val="center"/>
          </w:tcPr>
          <w:p w:rsidR="00BD4A22" w:rsidRPr="005F47D0" w:rsidRDefault="00BD4A22" w:rsidP="009266F5">
            <w:pPr>
              <w:spacing w:after="0" w:line="240" w:lineRule="auto"/>
              <w:jc w:val="center"/>
              <w:rPr>
                <w:rFonts w:ascii="Calibri" w:hAnsi="Calibri"/>
                <w:color w:val="000000"/>
                <w:sz w:val="20"/>
                <w:szCs w:val="20"/>
              </w:rPr>
            </w:pPr>
            <w:r>
              <w:rPr>
                <w:rFonts w:ascii="Calibri" w:hAnsi="Calibri"/>
                <w:color w:val="000000"/>
                <w:sz w:val="20"/>
                <w:szCs w:val="20"/>
              </w:rPr>
              <w:t>--</w:t>
            </w:r>
          </w:p>
        </w:tc>
        <w:tc>
          <w:tcPr>
            <w:tcW w:w="919" w:type="dxa"/>
            <w:shd w:val="clear" w:color="auto" w:fill="D9D9D9" w:themeFill="background1" w:themeFillShade="D9"/>
            <w:vAlign w:val="center"/>
          </w:tcPr>
          <w:p w:rsidR="00BD4A22" w:rsidRPr="005F47D0" w:rsidRDefault="00BD4A22" w:rsidP="009266F5">
            <w:pPr>
              <w:spacing w:after="0" w:line="240" w:lineRule="auto"/>
              <w:jc w:val="center"/>
              <w:rPr>
                <w:rFonts w:ascii="Calibri" w:hAnsi="Calibri"/>
                <w:color w:val="000000"/>
                <w:sz w:val="20"/>
                <w:szCs w:val="20"/>
              </w:rPr>
            </w:pPr>
            <w:r>
              <w:rPr>
                <w:rFonts w:ascii="Calibri" w:hAnsi="Calibri"/>
                <w:color w:val="000000"/>
                <w:sz w:val="20"/>
                <w:szCs w:val="20"/>
              </w:rPr>
              <w:t>--</w:t>
            </w:r>
          </w:p>
        </w:tc>
        <w:tc>
          <w:tcPr>
            <w:tcW w:w="919" w:type="dxa"/>
            <w:shd w:val="clear" w:color="auto" w:fill="D9D9D9" w:themeFill="background1" w:themeFillShade="D9"/>
            <w:vAlign w:val="bottom"/>
          </w:tcPr>
          <w:p w:rsidR="00BD4A22" w:rsidRPr="005F47D0" w:rsidRDefault="00BD4A22" w:rsidP="009266F5">
            <w:pPr>
              <w:spacing w:after="0" w:line="240" w:lineRule="auto"/>
              <w:jc w:val="center"/>
              <w:rPr>
                <w:rFonts w:ascii="Calibri" w:hAnsi="Calibri"/>
                <w:sz w:val="20"/>
                <w:szCs w:val="20"/>
              </w:rPr>
            </w:pPr>
            <w:r>
              <w:rPr>
                <w:rFonts w:ascii="Calibri" w:hAnsi="Calibri"/>
                <w:sz w:val="20"/>
                <w:szCs w:val="20"/>
              </w:rPr>
              <w:t>34%</w:t>
            </w:r>
          </w:p>
        </w:tc>
        <w:tc>
          <w:tcPr>
            <w:tcW w:w="919" w:type="dxa"/>
            <w:shd w:val="clear" w:color="auto" w:fill="D9D9D9" w:themeFill="background1" w:themeFillShade="D9"/>
            <w:vAlign w:val="bottom"/>
          </w:tcPr>
          <w:p w:rsidR="00BD4A22" w:rsidRPr="005F47D0" w:rsidRDefault="00BD4A22" w:rsidP="009266F5">
            <w:pPr>
              <w:spacing w:after="0" w:line="240" w:lineRule="auto"/>
              <w:jc w:val="center"/>
              <w:rPr>
                <w:rFonts w:ascii="Calibri" w:hAnsi="Calibri"/>
                <w:sz w:val="20"/>
                <w:szCs w:val="20"/>
              </w:rPr>
            </w:pPr>
            <w:r>
              <w:rPr>
                <w:rFonts w:ascii="Calibri" w:hAnsi="Calibri"/>
                <w:sz w:val="20"/>
                <w:szCs w:val="20"/>
              </w:rPr>
              <w:t>33%</w:t>
            </w:r>
          </w:p>
        </w:tc>
        <w:tc>
          <w:tcPr>
            <w:tcW w:w="1126" w:type="dxa"/>
            <w:shd w:val="clear" w:color="auto" w:fill="D9D9D9" w:themeFill="background1" w:themeFillShade="D9"/>
          </w:tcPr>
          <w:p w:rsidR="00BD4A22" w:rsidRPr="0066275B" w:rsidRDefault="00BD4A22" w:rsidP="009266F5">
            <w:pPr>
              <w:spacing w:after="0" w:line="240" w:lineRule="auto"/>
              <w:jc w:val="center"/>
              <w:rPr>
                <w:rFonts w:ascii="Calibri" w:hAnsi="Calibri"/>
              </w:rPr>
            </w:pPr>
            <w:r w:rsidRPr="0066275B">
              <w:rPr>
                <w:rFonts w:ascii="Calibri" w:hAnsi="Calibri"/>
              </w:rPr>
              <w:t>--</w:t>
            </w:r>
          </w:p>
        </w:tc>
        <w:tc>
          <w:tcPr>
            <w:tcW w:w="990" w:type="dxa"/>
            <w:shd w:val="clear" w:color="auto" w:fill="D9D9D9" w:themeFill="background1" w:themeFillShade="D9"/>
            <w:vAlign w:val="bottom"/>
          </w:tcPr>
          <w:p w:rsidR="00BD4A22" w:rsidRPr="0066275B" w:rsidRDefault="00BD4A22" w:rsidP="009266F5">
            <w:pPr>
              <w:spacing w:after="0" w:line="240" w:lineRule="auto"/>
              <w:jc w:val="center"/>
              <w:rPr>
                <w:rFonts w:ascii="Calibri" w:hAnsi="Calibri"/>
              </w:rPr>
            </w:pPr>
            <w:r w:rsidRPr="0066275B">
              <w:rPr>
                <w:rFonts w:ascii="Calibri" w:hAnsi="Calibri"/>
              </w:rPr>
              <w:t>-1%</w:t>
            </w:r>
          </w:p>
        </w:tc>
      </w:tr>
      <w:tr w:rsidR="00BD4A22" w:rsidRPr="0066275B" w:rsidTr="009E7CC3">
        <w:trPr>
          <w:trHeight w:val="245"/>
        </w:trPr>
        <w:tc>
          <w:tcPr>
            <w:tcW w:w="461" w:type="dxa"/>
            <w:vMerge/>
            <w:vAlign w:val="center"/>
          </w:tcPr>
          <w:p w:rsidR="00BD4A22" w:rsidRPr="009066CB" w:rsidRDefault="00BD4A22" w:rsidP="009266F5">
            <w:pPr>
              <w:spacing w:after="0" w:line="240" w:lineRule="auto"/>
              <w:jc w:val="center"/>
              <w:rPr>
                <w:rFonts w:ascii="Calibri" w:hAnsi="Calibri"/>
                <w:color w:val="FF0000"/>
                <w:sz w:val="20"/>
                <w:szCs w:val="20"/>
              </w:rPr>
            </w:pPr>
          </w:p>
        </w:tc>
        <w:tc>
          <w:tcPr>
            <w:tcW w:w="757" w:type="dxa"/>
            <w:vMerge/>
            <w:shd w:val="clear" w:color="auto" w:fill="D9D9D9" w:themeFill="background1" w:themeFillShade="D9"/>
          </w:tcPr>
          <w:p w:rsidR="00BD4A22" w:rsidRPr="009066CB" w:rsidRDefault="00BD4A22" w:rsidP="009266F5">
            <w:pPr>
              <w:spacing w:after="0" w:line="240" w:lineRule="auto"/>
              <w:rPr>
                <w:rFonts w:ascii="Calibri" w:hAnsi="Calibri"/>
                <w:color w:val="FF0000"/>
                <w:sz w:val="20"/>
                <w:szCs w:val="20"/>
              </w:rPr>
            </w:pPr>
          </w:p>
        </w:tc>
        <w:tc>
          <w:tcPr>
            <w:tcW w:w="870" w:type="dxa"/>
            <w:shd w:val="clear" w:color="auto" w:fill="D9D9D9" w:themeFill="background1" w:themeFillShade="D9"/>
          </w:tcPr>
          <w:p w:rsidR="00BD4A22" w:rsidRPr="00A82F8F" w:rsidRDefault="00BD4A22" w:rsidP="009266F5">
            <w:pPr>
              <w:spacing w:after="0" w:line="240" w:lineRule="auto"/>
              <w:rPr>
                <w:rFonts w:ascii="Calibri" w:hAnsi="Calibri"/>
                <w:sz w:val="20"/>
                <w:szCs w:val="20"/>
              </w:rPr>
            </w:pPr>
            <w:r w:rsidRPr="00A82F8F">
              <w:rPr>
                <w:rFonts w:ascii="Calibri" w:hAnsi="Calibri"/>
                <w:sz w:val="20"/>
                <w:szCs w:val="20"/>
              </w:rPr>
              <w:t>SGP</w:t>
            </w:r>
          </w:p>
        </w:tc>
        <w:tc>
          <w:tcPr>
            <w:tcW w:w="1049" w:type="dxa"/>
            <w:shd w:val="clear" w:color="auto" w:fill="D9D9D9" w:themeFill="background1" w:themeFillShade="D9"/>
            <w:vAlign w:val="bottom"/>
          </w:tcPr>
          <w:p w:rsidR="00BD4A22" w:rsidRPr="005F47D0" w:rsidRDefault="00BD4A22" w:rsidP="009266F5">
            <w:pPr>
              <w:spacing w:after="0" w:line="240" w:lineRule="auto"/>
              <w:jc w:val="center"/>
              <w:rPr>
                <w:rFonts w:ascii="Calibri" w:hAnsi="Calibri"/>
                <w:sz w:val="20"/>
                <w:szCs w:val="20"/>
              </w:rPr>
            </w:pPr>
            <w:r>
              <w:rPr>
                <w:rFonts w:ascii="Calibri" w:hAnsi="Calibri"/>
                <w:sz w:val="20"/>
                <w:szCs w:val="20"/>
              </w:rPr>
              <w:t>1,314</w:t>
            </w:r>
          </w:p>
        </w:tc>
        <w:tc>
          <w:tcPr>
            <w:tcW w:w="918" w:type="dxa"/>
            <w:shd w:val="clear" w:color="auto" w:fill="D9D9D9" w:themeFill="background1" w:themeFillShade="D9"/>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42.0</w:t>
            </w:r>
          </w:p>
        </w:tc>
        <w:tc>
          <w:tcPr>
            <w:tcW w:w="919" w:type="dxa"/>
            <w:shd w:val="clear" w:color="auto" w:fill="D9D9D9" w:themeFill="background1" w:themeFillShade="D9"/>
            <w:vAlign w:val="center"/>
          </w:tcPr>
          <w:p w:rsidR="00BD4A22" w:rsidRPr="005F47D0" w:rsidRDefault="00BD4A22" w:rsidP="009266F5">
            <w:pPr>
              <w:spacing w:after="0" w:line="240" w:lineRule="auto"/>
              <w:jc w:val="center"/>
              <w:rPr>
                <w:rFonts w:ascii="Calibri" w:hAnsi="Calibri"/>
                <w:color w:val="000000"/>
                <w:sz w:val="20"/>
                <w:szCs w:val="20"/>
              </w:rPr>
            </w:pPr>
            <w:r w:rsidRPr="005F47D0">
              <w:rPr>
                <w:rFonts w:ascii="Calibri" w:hAnsi="Calibri"/>
                <w:color w:val="000000"/>
                <w:sz w:val="20"/>
                <w:szCs w:val="20"/>
              </w:rPr>
              <w:t>38.0</w:t>
            </w:r>
          </w:p>
        </w:tc>
        <w:tc>
          <w:tcPr>
            <w:tcW w:w="919" w:type="dxa"/>
            <w:shd w:val="clear" w:color="auto" w:fill="D9D9D9" w:themeFill="background1" w:themeFillShade="D9"/>
            <w:vAlign w:val="bottom"/>
          </w:tcPr>
          <w:p w:rsidR="00BD4A22" w:rsidRPr="005F47D0" w:rsidRDefault="00BD4A22" w:rsidP="009266F5">
            <w:pPr>
              <w:spacing w:after="0" w:line="240" w:lineRule="auto"/>
              <w:jc w:val="center"/>
              <w:rPr>
                <w:rFonts w:ascii="Calibri" w:hAnsi="Calibri"/>
                <w:sz w:val="20"/>
                <w:szCs w:val="20"/>
              </w:rPr>
            </w:pPr>
            <w:r>
              <w:rPr>
                <w:rFonts w:ascii="Calibri" w:hAnsi="Calibri"/>
                <w:sz w:val="20"/>
                <w:szCs w:val="20"/>
              </w:rPr>
              <w:t>51.0</w:t>
            </w:r>
          </w:p>
        </w:tc>
        <w:tc>
          <w:tcPr>
            <w:tcW w:w="919" w:type="dxa"/>
            <w:shd w:val="clear" w:color="auto" w:fill="D9D9D9" w:themeFill="background1" w:themeFillShade="D9"/>
            <w:vAlign w:val="bottom"/>
          </w:tcPr>
          <w:p w:rsidR="00BD4A22" w:rsidRPr="005F47D0" w:rsidRDefault="00BD4A22" w:rsidP="009266F5">
            <w:pPr>
              <w:spacing w:after="0" w:line="240" w:lineRule="auto"/>
              <w:jc w:val="center"/>
              <w:rPr>
                <w:rFonts w:ascii="Calibri" w:hAnsi="Calibri"/>
                <w:sz w:val="20"/>
                <w:szCs w:val="20"/>
              </w:rPr>
            </w:pPr>
            <w:r>
              <w:rPr>
                <w:rFonts w:ascii="Calibri" w:hAnsi="Calibri"/>
                <w:sz w:val="20"/>
                <w:szCs w:val="20"/>
              </w:rPr>
              <w:t>46.0</w:t>
            </w:r>
          </w:p>
        </w:tc>
        <w:tc>
          <w:tcPr>
            <w:tcW w:w="1126" w:type="dxa"/>
            <w:shd w:val="clear" w:color="auto" w:fill="D9D9D9" w:themeFill="background1" w:themeFillShade="D9"/>
          </w:tcPr>
          <w:p w:rsidR="00BD4A22" w:rsidRPr="0066275B" w:rsidRDefault="00BD4A22" w:rsidP="009266F5">
            <w:pPr>
              <w:spacing w:after="0" w:line="240" w:lineRule="auto"/>
              <w:jc w:val="center"/>
              <w:rPr>
                <w:rFonts w:ascii="Calibri" w:hAnsi="Calibri"/>
              </w:rPr>
            </w:pPr>
            <w:r w:rsidRPr="0066275B">
              <w:rPr>
                <w:rFonts w:ascii="Calibri" w:hAnsi="Calibri"/>
              </w:rPr>
              <w:t>4.0</w:t>
            </w:r>
          </w:p>
        </w:tc>
        <w:tc>
          <w:tcPr>
            <w:tcW w:w="990" w:type="dxa"/>
            <w:shd w:val="clear" w:color="auto" w:fill="D9D9D9" w:themeFill="background1" w:themeFillShade="D9"/>
            <w:vAlign w:val="bottom"/>
          </w:tcPr>
          <w:p w:rsidR="00BD4A22" w:rsidRPr="0066275B" w:rsidRDefault="00BD4A22" w:rsidP="009266F5">
            <w:pPr>
              <w:spacing w:after="0" w:line="240" w:lineRule="auto"/>
              <w:jc w:val="center"/>
              <w:rPr>
                <w:rFonts w:ascii="Calibri" w:hAnsi="Calibri"/>
              </w:rPr>
            </w:pPr>
            <w:r w:rsidRPr="0066275B">
              <w:rPr>
                <w:rFonts w:ascii="Calibri" w:hAnsi="Calibri"/>
              </w:rPr>
              <w:t>-5.0</w:t>
            </w:r>
          </w:p>
        </w:tc>
      </w:tr>
    </w:tbl>
    <w:p w:rsidR="00BD4A22" w:rsidRDefault="00BD4A22" w:rsidP="00BD4A22">
      <w:pPr>
        <w:spacing w:after="0" w:line="240" w:lineRule="auto"/>
        <w:rPr>
          <w:rFonts w:ascii="Calibri" w:eastAsia="Times New Roman" w:hAnsi="Calibri" w:cs="Times New Roman"/>
          <w:sz w:val="20"/>
          <w:szCs w:val="20"/>
        </w:rPr>
      </w:pPr>
    </w:p>
    <w:p w:rsidR="00BD4A22" w:rsidRDefault="00BD4A22" w:rsidP="00BD4A22">
      <w:pPr>
        <w:spacing w:after="0" w:line="240" w:lineRule="auto"/>
        <w:rPr>
          <w:rFonts w:ascii="Calibri" w:eastAsia="Times New Roman" w:hAnsi="Calibri" w:cs="Times New Roman"/>
          <w:sz w:val="20"/>
          <w:szCs w:val="20"/>
        </w:rPr>
      </w:pPr>
    </w:p>
    <w:p w:rsidR="00BD4A22" w:rsidRDefault="00BD4A22" w:rsidP="00BD4A22">
      <w:pPr>
        <w:spacing w:after="0" w:line="240" w:lineRule="auto"/>
        <w:rPr>
          <w:rFonts w:ascii="Calibri" w:eastAsia="Times New Roman" w:hAnsi="Calibri" w:cs="Times New Roman"/>
          <w:sz w:val="20"/>
          <w:szCs w:val="20"/>
        </w:rPr>
      </w:pPr>
    </w:p>
    <w:p w:rsidR="00BD4A22" w:rsidRDefault="00BD4A22" w:rsidP="00BD4A22">
      <w:pPr>
        <w:spacing w:after="0" w:line="240" w:lineRule="auto"/>
        <w:rPr>
          <w:rFonts w:ascii="Calibri" w:eastAsia="Times New Roman" w:hAnsi="Calibri" w:cs="Times New Roman"/>
          <w:sz w:val="20"/>
          <w:szCs w:val="20"/>
        </w:rPr>
      </w:pPr>
    </w:p>
    <w:p w:rsidR="00BD4A22" w:rsidRDefault="00BD4A22" w:rsidP="00BD4A22">
      <w:pPr>
        <w:spacing w:after="0" w:line="240" w:lineRule="auto"/>
        <w:rPr>
          <w:rFonts w:ascii="Calibri" w:eastAsia="Times New Roman" w:hAnsi="Calibri" w:cs="Times New Roman"/>
          <w:sz w:val="20"/>
          <w:szCs w:val="20"/>
        </w:rPr>
      </w:pPr>
    </w:p>
    <w:p w:rsidR="00BD4A22" w:rsidRDefault="00BD4A22" w:rsidP="00BD4A22">
      <w:pPr>
        <w:spacing w:after="0" w:line="240" w:lineRule="auto"/>
        <w:rPr>
          <w:rFonts w:ascii="Calibri" w:eastAsia="Times New Roman" w:hAnsi="Calibri" w:cs="Times New Roman"/>
          <w:sz w:val="20"/>
          <w:szCs w:val="20"/>
        </w:rPr>
      </w:pPr>
    </w:p>
    <w:p w:rsidR="00BD4A22" w:rsidRDefault="00BD4A22" w:rsidP="00BD4A22">
      <w:pPr>
        <w:spacing w:after="0" w:line="240" w:lineRule="auto"/>
        <w:rPr>
          <w:rFonts w:ascii="Calibri" w:eastAsia="Times New Roman" w:hAnsi="Calibri" w:cs="Times New Roman"/>
          <w:sz w:val="20"/>
          <w:szCs w:val="20"/>
        </w:rPr>
      </w:pPr>
    </w:p>
    <w:p w:rsidR="00BD4A22" w:rsidRDefault="00BD4A22" w:rsidP="00BD4A22">
      <w:pPr>
        <w:spacing w:after="0" w:line="240" w:lineRule="auto"/>
        <w:rPr>
          <w:rFonts w:ascii="Calibri" w:eastAsia="Times New Roman" w:hAnsi="Calibri" w:cs="Times New Roman"/>
          <w:sz w:val="20"/>
          <w:szCs w:val="20"/>
        </w:rPr>
      </w:pPr>
    </w:p>
    <w:p w:rsidR="00BD4A22" w:rsidRDefault="00BD4A22" w:rsidP="00BD4A22">
      <w:pPr>
        <w:spacing w:after="0" w:line="240" w:lineRule="auto"/>
        <w:rPr>
          <w:rFonts w:ascii="Calibri" w:eastAsia="Times New Roman" w:hAnsi="Calibri" w:cs="Times New Roman"/>
          <w:sz w:val="20"/>
          <w:szCs w:val="20"/>
        </w:rPr>
      </w:pPr>
    </w:p>
    <w:tbl>
      <w:tblPr>
        <w:tblStyle w:val="TableGrid"/>
        <w:tblW w:w="8928" w:type="dxa"/>
        <w:tblLook w:val="04A0"/>
      </w:tblPr>
      <w:tblGrid>
        <w:gridCol w:w="554"/>
        <w:gridCol w:w="724"/>
        <w:gridCol w:w="1396"/>
        <w:gridCol w:w="882"/>
        <w:gridCol w:w="883"/>
        <w:gridCol w:w="883"/>
        <w:gridCol w:w="883"/>
        <w:gridCol w:w="883"/>
        <w:gridCol w:w="884"/>
        <w:gridCol w:w="956"/>
      </w:tblGrid>
      <w:tr w:rsidR="008C4124" w:rsidRPr="008C4124" w:rsidTr="009266F5">
        <w:tc>
          <w:tcPr>
            <w:tcW w:w="8928" w:type="dxa"/>
            <w:gridSpan w:val="10"/>
            <w:tcBorders>
              <w:top w:val="nil"/>
              <w:left w:val="nil"/>
              <w:right w:val="nil"/>
            </w:tcBorders>
            <w:vAlign w:val="center"/>
          </w:tcPr>
          <w:p w:rsidR="008C4124" w:rsidRPr="008C4124" w:rsidRDefault="008C4124" w:rsidP="008C4124">
            <w:pPr>
              <w:spacing w:after="0" w:line="240" w:lineRule="auto"/>
              <w:jc w:val="center"/>
              <w:rPr>
                <w:rFonts w:ascii="Calibri" w:eastAsia="Calibri" w:hAnsi="Calibri"/>
                <w:b/>
                <w:sz w:val="20"/>
                <w:szCs w:val="20"/>
              </w:rPr>
            </w:pPr>
            <w:r w:rsidRPr="008C4124">
              <w:rPr>
                <w:rFonts w:ascii="Calibri" w:eastAsia="Calibri" w:hAnsi="Calibri"/>
                <w:b/>
                <w:sz w:val="20"/>
                <w:szCs w:val="20"/>
              </w:rPr>
              <w:lastRenderedPageBreak/>
              <w:t xml:space="preserve">Table B2d: </w:t>
            </w:r>
            <w:r w:rsidRPr="008C4124">
              <w:rPr>
                <w:rFonts w:ascii="Calibri" w:eastAsia="Calibri" w:hAnsi="Calibri" w:cs="Times New Roman"/>
                <w:b/>
                <w:sz w:val="20"/>
              </w:rPr>
              <w:t>Worcester</w:t>
            </w:r>
            <w:r w:rsidRPr="008C4124">
              <w:rPr>
                <w:rFonts w:ascii="Calibri" w:eastAsia="Calibri" w:hAnsi="Calibri"/>
                <w:b/>
                <w:sz w:val="20"/>
                <w:szCs w:val="20"/>
              </w:rPr>
              <w:t xml:space="preserve"> Public Schools</w:t>
            </w:r>
          </w:p>
          <w:p w:rsidR="008C4124" w:rsidRPr="008C4124" w:rsidRDefault="008C4124" w:rsidP="008C4124">
            <w:pPr>
              <w:spacing w:after="0" w:line="240" w:lineRule="auto"/>
              <w:jc w:val="center"/>
              <w:rPr>
                <w:rFonts w:ascii="Calibri" w:eastAsia="Calibri" w:hAnsi="Calibri"/>
                <w:b/>
              </w:rPr>
            </w:pPr>
            <w:r w:rsidRPr="008C4124">
              <w:rPr>
                <w:rFonts w:ascii="Calibri" w:eastAsia="Calibri" w:hAnsi="Calibri"/>
                <w:b/>
                <w:sz w:val="20"/>
                <w:szCs w:val="20"/>
              </w:rPr>
              <w:t>Mathematics Performance, 2013–2016</w:t>
            </w:r>
            <w:r w:rsidRPr="008C4124">
              <w:rPr>
                <w:rFonts w:ascii="Calibri" w:eastAsia="Calibri" w:hAnsi="Calibri"/>
                <w:b/>
                <w:sz w:val="20"/>
                <w:vertAlign w:val="superscript"/>
              </w:rPr>
              <w:footnoteReference w:id="24"/>
            </w:r>
          </w:p>
        </w:tc>
      </w:tr>
      <w:tr w:rsidR="008C4124" w:rsidRPr="008C4124" w:rsidTr="009266F5">
        <w:tc>
          <w:tcPr>
            <w:tcW w:w="1278" w:type="dxa"/>
            <w:gridSpan w:val="2"/>
            <w:vMerge w:val="restart"/>
            <w:vAlign w:val="center"/>
          </w:tcPr>
          <w:p w:rsidR="008C4124" w:rsidRPr="008C4124" w:rsidRDefault="008C4124" w:rsidP="008C4124">
            <w:pPr>
              <w:spacing w:after="0" w:line="240" w:lineRule="auto"/>
              <w:jc w:val="center"/>
              <w:rPr>
                <w:b/>
                <w:sz w:val="20"/>
                <w:szCs w:val="20"/>
              </w:rPr>
            </w:pPr>
            <w:r w:rsidRPr="008C4124">
              <w:rPr>
                <w:b/>
                <w:sz w:val="20"/>
                <w:szCs w:val="20"/>
              </w:rPr>
              <w:t>Grade and Measure</w:t>
            </w:r>
          </w:p>
        </w:tc>
        <w:tc>
          <w:tcPr>
            <w:tcW w:w="1396" w:type="dxa"/>
            <w:vMerge w:val="restart"/>
            <w:vAlign w:val="center"/>
          </w:tcPr>
          <w:p w:rsidR="008C4124" w:rsidRPr="008C4124" w:rsidRDefault="008C4124" w:rsidP="008C4124">
            <w:pPr>
              <w:spacing w:after="0" w:line="240" w:lineRule="auto"/>
              <w:jc w:val="center"/>
              <w:rPr>
                <w:b/>
                <w:sz w:val="20"/>
                <w:szCs w:val="20"/>
              </w:rPr>
            </w:pPr>
            <w:r w:rsidRPr="008C4124">
              <w:rPr>
                <w:b/>
                <w:sz w:val="20"/>
                <w:szCs w:val="20"/>
              </w:rPr>
              <w:t>Number Included (2016)</w:t>
            </w:r>
          </w:p>
        </w:tc>
        <w:tc>
          <w:tcPr>
            <w:tcW w:w="3531" w:type="dxa"/>
            <w:gridSpan w:val="4"/>
            <w:vMerge w:val="restart"/>
            <w:vAlign w:val="center"/>
          </w:tcPr>
          <w:p w:rsidR="008C4124" w:rsidRPr="008C4124" w:rsidRDefault="008C4124" w:rsidP="008C4124">
            <w:pPr>
              <w:spacing w:after="0" w:line="240" w:lineRule="auto"/>
              <w:jc w:val="center"/>
              <w:rPr>
                <w:b/>
                <w:sz w:val="20"/>
                <w:szCs w:val="20"/>
              </w:rPr>
            </w:pPr>
            <w:r w:rsidRPr="008C4124">
              <w:rPr>
                <w:b/>
                <w:sz w:val="20"/>
                <w:szCs w:val="20"/>
              </w:rPr>
              <w:t>MCAS/Accountability Year</w:t>
            </w:r>
          </w:p>
        </w:tc>
        <w:tc>
          <w:tcPr>
            <w:tcW w:w="883" w:type="dxa"/>
            <w:shd w:val="clear" w:color="auto" w:fill="D9D9D9" w:themeFill="background1" w:themeFillShade="D9"/>
            <w:vAlign w:val="bottom"/>
          </w:tcPr>
          <w:p w:rsidR="008C4124" w:rsidRPr="008C4124" w:rsidRDefault="008C4124" w:rsidP="008C4124">
            <w:pPr>
              <w:spacing w:after="0" w:line="240" w:lineRule="auto"/>
              <w:jc w:val="center"/>
              <w:rPr>
                <w:sz w:val="20"/>
                <w:szCs w:val="20"/>
              </w:rPr>
            </w:pPr>
          </w:p>
        </w:tc>
        <w:tc>
          <w:tcPr>
            <w:tcW w:w="1840" w:type="dxa"/>
            <w:gridSpan w:val="2"/>
            <w:vAlign w:val="bottom"/>
          </w:tcPr>
          <w:p w:rsidR="008C4124" w:rsidRPr="008C4124" w:rsidRDefault="008C4124" w:rsidP="008C4124">
            <w:pPr>
              <w:spacing w:after="0" w:line="240" w:lineRule="auto"/>
              <w:jc w:val="center"/>
              <w:rPr>
                <w:b/>
                <w:sz w:val="20"/>
                <w:szCs w:val="20"/>
              </w:rPr>
            </w:pPr>
            <w:r w:rsidRPr="008C4124">
              <w:rPr>
                <w:b/>
                <w:sz w:val="20"/>
                <w:szCs w:val="20"/>
              </w:rPr>
              <w:t>Gains and Declines</w:t>
            </w:r>
          </w:p>
        </w:tc>
      </w:tr>
      <w:tr w:rsidR="008C4124" w:rsidRPr="008C4124" w:rsidTr="009266F5">
        <w:tc>
          <w:tcPr>
            <w:tcW w:w="1278" w:type="dxa"/>
            <w:gridSpan w:val="2"/>
            <w:vMerge/>
            <w:vAlign w:val="center"/>
          </w:tcPr>
          <w:p w:rsidR="008C4124" w:rsidRPr="008C4124" w:rsidRDefault="008C4124" w:rsidP="008C4124">
            <w:pPr>
              <w:spacing w:after="0" w:line="240" w:lineRule="auto"/>
              <w:rPr>
                <w:sz w:val="20"/>
                <w:szCs w:val="20"/>
              </w:rPr>
            </w:pPr>
          </w:p>
        </w:tc>
        <w:tc>
          <w:tcPr>
            <w:tcW w:w="1396" w:type="dxa"/>
            <w:vMerge/>
            <w:vAlign w:val="bottom"/>
          </w:tcPr>
          <w:p w:rsidR="008C4124" w:rsidRPr="008C4124" w:rsidRDefault="008C4124" w:rsidP="008C4124">
            <w:pPr>
              <w:spacing w:after="0" w:line="240" w:lineRule="auto"/>
              <w:jc w:val="center"/>
              <w:rPr>
                <w:sz w:val="20"/>
                <w:szCs w:val="20"/>
              </w:rPr>
            </w:pPr>
          </w:p>
        </w:tc>
        <w:tc>
          <w:tcPr>
            <w:tcW w:w="3531" w:type="dxa"/>
            <w:gridSpan w:val="4"/>
            <w:vMerge/>
            <w:vAlign w:val="bottom"/>
          </w:tcPr>
          <w:p w:rsidR="008C4124" w:rsidRPr="008C4124" w:rsidRDefault="008C4124" w:rsidP="008C4124">
            <w:pPr>
              <w:spacing w:after="0" w:line="240" w:lineRule="auto"/>
              <w:jc w:val="center"/>
              <w:rPr>
                <w:sz w:val="20"/>
                <w:szCs w:val="20"/>
              </w:rPr>
            </w:pPr>
          </w:p>
        </w:tc>
        <w:tc>
          <w:tcPr>
            <w:tcW w:w="883" w:type="dxa"/>
            <w:shd w:val="clear" w:color="auto" w:fill="D9D9D9" w:themeFill="background1" w:themeFillShade="D9"/>
            <w:vAlign w:val="bottom"/>
          </w:tcPr>
          <w:p w:rsidR="008C4124" w:rsidRPr="008C4124" w:rsidRDefault="008C4124" w:rsidP="008C4124">
            <w:pPr>
              <w:spacing w:after="0" w:line="240" w:lineRule="auto"/>
              <w:jc w:val="center"/>
              <w:rPr>
                <w:sz w:val="20"/>
                <w:szCs w:val="20"/>
              </w:rPr>
            </w:pPr>
          </w:p>
        </w:tc>
        <w:tc>
          <w:tcPr>
            <w:tcW w:w="884" w:type="dxa"/>
            <w:vMerge w:val="restart"/>
            <w:vAlign w:val="center"/>
          </w:tcPr>
          <w:p w:rsidR="008C4124" w:rsidRPr="008C4124" w:rsidRDefault="008C4124" w:rsidP="008C4124">
            <w:pPr>
              <w:spacing w:after="0" w:line="240" w:lineRule="auto"/>
              <w:jc w:val="center"/>
              <w:rPr>
                <w:sz w:val="20"/>
                <w:szCs w:val="20"/>
              </w:rPr>
            </w:pPr>
            <w:r w:rsidRPr="008C4124">
              <w:rPr>
                <w:b/>
                <w:sz w:val="20"/>
                <w:szCs w:val="20"/>
              </w:rPr>
              <w:t>4-Year Trend</w:t>
            </w:r>
          </w:p>
        </w:tc>
        <w:tc>
          <w:tcPr>
            <w:tcW w:w="956" w:type="dxa"/>
            <w:vMerge w:val="restart"/>
            <w:vAlign w:val="center"/>
          </w:tcPr>
          <w:p w:rsidR="008C4124" w:rsidRPr="008C4124" w:rsidRDefault="008C4124" w:rsidP="008C4124">
            <w:pPr>
              <w:spacing w:after="0" w:line="240" w:lineRule="auto"/>
              <w:jc w:val="center"/>
              <w:rPr>
                <w:sz w:val="20"/>
                <w:szCs w:val="20"/>
              </w:rPr>
            </w:pPr>
            <w:r w:rsidRPr="008C4124">
              <w:rPr>
                <w:b/>
                <w:sz w:val="20"/>
                <w:szCs w:val="20"/>
              </w:rPr>
              <w:t>2-Year Trend</w:t>
            </w:r>
          </w:p>
        </w:tc>
      </w:tr>
      <w:tr w:rsidR="008C4124" w:rsidRPr="008C4124" w:rsidTr="009266F5">
        <w:tc>
          <w:tcPr>
            <w:tcW w:w="1278" w:type="dxa"/>
            <w:gridSpan w:val="2"/>
            <w:vMerge/>
            <w:vAlign w:val="center"/>
          </w:tcPr>
          <w:p w:rsidR="008C4124" w:rsidRPr="008C4124" w:rsidRDefault="008C4124" w:rsidP="008C4124">
            <w:pPr>
              <w:spacing w:after="0" w:line="240" w:lineRule="auto"/>
              <w:rPr>
                <w:sz w:val="20"/>
                <w:szCs w:val="20"/>
              </w:rPr>
            </w:pPr>
          </w:p>
        </w:tc>
        <w:tc>
          <w:tcPr>
            <w:tcW w:w="1396" w:type="dxa"/>
            <w:vMerge/>
            <w:vAlign w:val="bottom"/>
          </w:tcPr>
          <w:p w:rsidR="008C4124" w:rsidRPr="008C4124" w:rsidRDefault="008C4124" w:rsidP="008C4124">
            <w:pPr>
              <w:spacing w:after="0" w:line="240" w:lineRule="auto"/>
              <w:jc w:val="center"/>
              <w:rPr>
                <w:sz w:val="20"/>
                <w:szCs w:val="20"/>
              </w:rPr>
            </w:pPr>
          </w:p>
        </w:tc>
        <w:tc>
          <w:tcPr>
            <w:tcW w:w="882" w:type="dxa"/>
            <w:vAlign w:val="center"/>
          </w:tcPr>
          <w:p w:rsidR="008C4124" w:rsidRPr="008C4124" w:rsidRDefault="008C4124" w:rsidP="008C4124">
            <w:pPr>
              <w:spacing w:after="0" w:line="240" w:lineRule="auto"/>
              <w:jc w:val="center"/>
              <w:rPr>
                <w:b/>
                <w:sz w:val="20"/>
                <w:szCs w:val="20"/>
              </w:rPr>
            </w:pPr>
            <w:r w:rsidRPr="008C4124">
              <w:rPr>
                <w:b/>
                <w:sz w:val="20"/>
                <w:szCs w:val="20"/>
              </w:rPr>
              <w:t>2013</w:t>
            </w:r>
          </w:p>
        </w:tc>
        <w:tc>
          <w:tcPr>
            <w:tcW w:w="883" w:type="dxa"/>
            <w:vAlign w:val="center"/>
          </w:tcPr>
          <w:p w:rsidR="008C4124" w:rsidRPr="008C4124" w:rsidRDefault="008C4124" w:rsidP="008C4124">
            <w:pPr>
              <w:spacing w:after="0" w:line="240" w:lineRule="auto"/>
              <w:jc w:val="center"/>
              <w:rPr>
                <w:b/>
                <w:sz w:val="20"/>
                <w:szCs w:val="20"/>
              </w:rPr>
            </w:pPr>
            <w:r w:rsidRPr="008C4124">
              <w:rPr>
                <w:b/>
                <w:sz w:val="20"/>
                <w:szCs w:val="20"/>
              </w:rPr>
              <w:t>2014</w:t>
            </w:r>
          </w:p>
        </w:tc>
        <w:tc>
          <w:tcPr>
            <w:tcW w:w="883" w:type="dxa"/>
            <w:vAlign w:val="center"/>
          </w:tcPr>
          <w:p w:rsidR="008C4124" w:rsidRPr="008C4124" w:rsidRDefault="008C4124" w:rsidP="008C4124">
            <w:pPr>
              <w:spacing w:after="0" w:line="240" w:lineRule="auto"/>
              <w:jc w:val="center"/>
              <w:rPr>
                <w:b/>
                <w:sz w:val="20"/>
                <w:szCs w:val="20"/>
              </w:rPr>
            </w:pPr>
            <w:r w:rsidRPr="008C4124">
              <w:rPr>
                <w:b/>
                <w:sz w:val="20"/>
                <w:szCs w:val="20"/>
              </w:rPr>
              <w:t>2015</w:t>
            </w:r>
          </w:p>
        </w:tc>
        <w:tc>
          <w:tcPr>
            <w:tcW w:w="883" w:type="dxa"/>
            <w:vAlign w:val="center"/>
          </w:tcPr>
          <w:p w:rsidR="008C4124" w:rsidRPr="008C4124" w:rsidRDefault="008C4124" w:rsidP="008C4124">
            <w:pPr>
              <w:spacing w:after="0" w:line="240" w:lineRule="auto"/>
              <w:jc w:val="center"/>
              <w:rPr>
                <w:b/>
                <w:sz w:val="20"/>
                <w:szCs w:val="20"/>
              </w:rPr>
            </w:pPr>
            <w:r w:rsidRPr="008C4124">
              <w:rPr>
                <w:b/>
                <w:sz w:val="20"/>
                <w:szCs w:val="20"/>
              </w:rPr>
              <w:t>2016</w:t>
            </w:r>
          </w:p>
        </w:tc>
        <w:tc>
          <w:tcPr>
            <w:tcW w:w="883" w:type="dxa"/>
            <w:shd w:val="clear" w:color="auto" w:fill="D9D9D9" w:themeFill="background1" w:themeFillShade="D9"/>
            <w:vAlign w:val="bottom"/>
          </w:tcPr>
          <w:p w:rsidR="008C4124" w:rsidRPr="008C4124" w:rsidRDefault="008C4124" w:rsidP="008C4124">
            <w:pPr>
              <w:spacing w:after="0" w:line="240" w:lineRule="auto"/>
              <w:jc w:val="center"/>
              <w:rPr>
                <w:b/>
                <w:sz w:val="20"/>
                <w:szCs w:val="20"/>
              </w:rPr>
            </w:pPr>
            <w:r w:rsidRPr="008C4124">
              <w:rPr>
                <w:b/>
                <w:sz w:val="20"/>
                <w:szCs w:val="20"/>
              </w:rPr>
              <w:t>State (2016)</w:t>
            </w:r>
          </w:p>
        </w:tc>
        <w:tc>
          <w:tcPr>
            <w:tcW w:w="884" w:type="dxa"/>
            <w:vMerge/>
            <w:vAlign w:val="bottom"/>
          </w:tcPr>
          <w:p w:rsidR="008C4124" w:rsidRPr="008C4124" w:rsidRDefault="008C4124" w:rsidP="008C4124">
            <w:pPr>
              <w:spacing w:after="0" w:line="240" w:lineRule="auto"/>
              <w:jc w:val="center"/>
              <w:rPr>
                <w:b/>
                <w:sz w:val="20"/>
                <w:szCs w:val="20"/>
              </w:rPr>
            </w:pPr>
          </w:p>
        </w:tc>
        <w:tc>
          <w:tcPr>
            <w:tcW w:w="956" w:type="dxa"/>
            <w:vMerge/>
            <w:vAlign w:val="bottom"/>
          </w:tcPr>
          <w:p w:rsidR="008C4124" w:rsidRPr="008C4124" w:rsidRDefault="008C4124" w:rsidP="008C4124">
            <w:pPr>
              <w:spacing w:after="0" w:line="240" w:lineRule="auto"/>
              <w:jc w:val="center"/>
              <w:rPr>
                <w:b/>
                <w:sz w:val="20"/>
                <w:szCs w:val="20"/>
              </w:rPr>
            </w:pPr>
          </w:p>
        </w:tc>
      </w:tr>
      <w:tr w:rsidR="008C4124" w:rsidRPr="008C4124" w:rsidTr="009266F5">
        <w:tc>
          <w:tcPr>
            <w:tcW w:w="554" w:type="dxa"/>
            <w:vMerge w:val="restart"/>
            <w:vAlign w:val="center"/>
          </w:tcPr>
          <w:p w:rsidR="008C4124" w:rsidRPr="008C4124" w:rsidRDefault="008C4124" w:rsidP="008C4124">
            <w:pPr>
              <w:spacing w:after="0" w:line="240" w:lineRule="auto"/>
              <w:jc w:val="center"/>
              <w:rPr>
                <w:sz w:val="20"/>
                <w:szCs w:val="20"/>
              </w:rPr>
            </w:pPr>
            <w:r w:rsidRPr="008C4124">
              <w:rPr>
                <w:sz w:val="20"/>
                <w:szCs w:val="20"/>
              </w:rPr>
              <w:t>10</w:t>
            </w:r>
          </w:p>
        </w:tc>
        <w:tc>
          <w:tcPr>
            <w:tcW w:w="724" w:type="dxa"/>
          </w:tcPr>
          <w:p w:rsidR="008C4124" w:rsidRPr="008C4124" w:rsidRDefault="008C4124" w:rsidP="008C4124">
            <w:pPr>
              <w:spacing w:after="0" w:line="240" w:lineRule="auto"/>
              <w:rPr>
                <w:sz w:val="20"/>
                <w:szCs w:val="20"/>
              </w:rPr>
            </w:pPr>
            <w:r w:rsidRPr="008C4124">
              <w:rPr>
                <w:sz w:val="20"/>
                <w:szCs w:val="20"/>
              </w:rPr>
              <w:t>CPI</w:t>
            </w:r>
          </w:p>
        </w:tc>
        <w:tc>
          <w:tcPr>
            <w:tcW w:w="1396" w:type="dxa"/>
            <w:vAlign w:val="center"/>
          </w:tcPr>
          <w:p w:rsidR="008C4124" w:rsidRPr="008C4124" w:rsidRDefault="008C4124" w:rsidP="008C4124">
            <w:pPr>
              <w:spacing w:after="0" w:line="240" w:lineRule="auto"/>
              <w:jc w:val="center"/>
              <w:rPr>
                <w:sz w:val="20"/>
                <w:szCs w:val="20"/>
              </w:rPr>
            </w:pPr>
            <w:r w:rsidRPr="008C4124">
              <w:rPr>
                <w:sz w:val="20"/>
                <w:szCs w:val="20"/>
              </w:rPr>
              <w:t>1,751</w:t>
            </w:r>
          </w:p>
        </w:tc>
        <w:tc>
          <w:tcPr>
            <w:tcW w:w="882" w:type="dxa"/>
            <w:vAlign w:val="center"/>
          </w:tcPr>
          <w:p w:rsidR="008C4124" w:rsidRPr="008C4124" w:rsidRDefault="008C4124" w:rsidP="008C4124">
            <w:pPr>
              <w:spacing w:after="0" w:line="240" w:lineRule="auto"/>
              <w:jc w:val="center"/>
              <w:rPr>
                <w:sz w:val="20"/>
                <w:szCs w:val="20"/>
              </w:rPr>
            </w:pPr>
            <w:r w:rsidRPr="008C4124">
              <w:rPr>
                <w:sz w:val="20"/>
                <w:szCs w:val="20"/>
              </w:rPr>
              <w:t>80.1</w:t>
            </w:r>
          </w:p>
        </w:tc>
        <w:tc>
          <w:tcPr>
            <w:tcW w:w="883" w:type="dxa"/>
            <w:vAlign w:val="center"/>
          </w:tcPr>
          <w:p w:rsidR="008C4124" w:rsidRPr="008C4124" w:rsidRDefault="008C4124" w:rsidP="008C4124">
            <w:pPr>
              <w:spacing w:after="0" w:line="240" w:lineRule="auto"/>
              <w:jc w:val="center"/>
              <w:rPr>
                <w:sz w:val="20"/>
                <w:szCs w:val="20"/>
              </w:rPr>
            </w:pPr>
            <w:r w:rsidRPr="008C4124">
              <w:rPr>
                <w:sz w:val="20"/>
                <w:szCs w:val="20"/>
              </w:rPr>
              <w:t>78.3</w:t>
            </w:r>
          </w:p>
        </w:tc>
        <w:tc>
          <w:tcPr>
            <w:tcW w:w="883" w:type="dxa"/>
            <w:vAlign w:val="center"/>
          </w:tcPr>
          <w:p w:rsidR="008C4124" w:rsidRPr="008C4124" w:rsidRDefault="008C4124" w:rsidP="008C4124">
            <w:pPr>
              <w:spacing w:after="0" w:line="240" w:lineRule="auto"/>
              <w:jc w:val="center"/>
              <w:rPr>
                <w:sz w:val="20"/>
                <w:szCs w:val="20"/>
              </w:rPr>
            </w:pPr>
            <w:r w:rsidRPr="008C4124">
              <w:rPr>
                <w:sz w:val="20"/>
                <w:szCs w:val="20"/>
              </w:rPr>
              <w:t>78.4</w:t>
            </w:r>
          </w:p>
        </w:tc>
        <w:tc>
          <w:tcPr>
            <w:tcW w:w="883" w:type="dxa"/>
            <w:vAlign w:val="center"/>
          </w:tcPr>
          <w:p w:rsidR="008C4124" w:rsidRPr="008C4124" w:rsidRDefault="008C4124" w:rsidP="008C4124">
            <w:pPr>
              <w:spacing w:after="0" w:line="240" w:lineRule="auto"/>
              <w:jc w:val="center"/>
              <w:rPr>
                <w:sz w:val="20"/>
                <w:szCs w:val="20"/>
              </w:rPr>
            </w:pPr>
            <w:r w:rsidRPr="008C4124">
              <w:rPr>
                <w:sz w:val="20"/>
                <w:szCs w:val="20"/>
              </w:rPr>
              <w:t>79.6</w:t>
            </w:r>
          </w:p>
        </w:tc>
        <w:tc>
          <w:tcPr>
            <w:tcW w:w="883" w:type="dxa"/>
            <w:shd w:val="clear" w:color="auto" w:fill="D9D9D9" w:themeFill="background1" w:themeFillShade="D9"/>
            <w:vAlign w:val="center"/>
          </w:tcPr>
          <w:p w:rsidR="008C4124" w:rsidRPr="008C4124" w:rsidRDefault="008C4124" w:rsidP="008C4124">
            <w:pPr>
              <w:spacing w:after="0" w:line="240" w:lineRule="auto"/>
              <w:jc w:val="center"/>
              <w:rPr>
                <w:sz w:val="20"/>
                <w:szCs w:val="20"/>
              </w:rPr>
            </w:pPr>
            <w:r w:rsidRPr="008C4124">
              <w:rPr>
                <w:sz w:val="20"/>
                <w:szCs w:val="20"/>
              </w:rPr>
              <w:t>89.7</w:t>
            </w:r>
          </w:p>
        </w:tc>
        <w:tc>
          <w:tcPr>
            <w:tcW w:w="884" w:type="dxa"/>
            <w:vAlign w:val="center"/>
          </w:tcPr>
          <w:p w:rsidR="008C4124" w:rsidRPr="008C4124" w:rsidRDefault="008C4124" w:rsidP="008C4124">
            <w:pPr>
              <w:spacing w:after="0" w:line="240" w:lineRule="auto"/>
              <w:jc w:val="center"/>
              <w:rPr>
                <w:sz w:val="20"/>
                <w:szCs w:val="20"/>
              </w:rPr>
            </w:pPr>
            <w:r w:rsidRPr="008C4124">
              <w:rPr>
                <w:sz w:val="20"/>
                <w:szCs w:val="20"/>
              </w:rPr>
              <w:t>-0.5</w:t>
            </w:r>
          </w:p>
        </w:tc>
        <w:tc>
          <w:tcPr>
            <w:tcW w:w="956" w:type="dxa"/>
            <w:vAlign w:val="center"/>
          </w:tcPr>
          <w:p w:rsidR="008C4124" w:rsidRPr="008C4124" w:rsidRDefault="008C4124" w:rsidP="008C4124">
            <w:pPr>
              <w:spacing w:after="0" w:line="240" w:lineRule="auto"/>
              <w:jc w:val="center"/>
              <w:rPr>
                <w:sz w:val="20"/>
                <w:szCs w:val="20"/>
              </w:rPr>
            </w:pPr>
            <w:r w:rsidRPr="008C4124">
              <w:rPr>
                <w:sz w:val="20"/>
                <w:szCs w:val="20"/>
              </w:rPr>
              <w:t>1.2</w:t>
            </w:r>
          </w:p>
        </w:tc>
      </w:tr>
      <w:tr w:rsidR="008C4124" w:rsidRPr="008C4124" w:rsidTr="009266F5">
        <w:tc>
          <w:tcPr>
            <w:tcW w:w="554" w:type="dxa"/>
            <w:vMerge/>
            <w:vAlign w:val="center"/>
          </w:tcPr>
          <w:p w:rsidR="008C4124" w:rsidRPr="008C4124" w:rsidRDefault="008C4124" w:rsidP="008C4124">
            <w:pPr>
              <w:spacing w:after="0" w:line="240" w:lineRule="auto"/>
              <w:jc w:val="center"/>
              <w:rPr>
                <w:sz w:val="20"/>
                <w:szCs w:val="20"/>
              </w:rPr>
            </w:pPr>
          </w:p>
        </w:tc>
        <w:tc>
          <w:tcPr>
            <w:tcW w:w="724" w:type="dxa"/>
          </w:tcPr>
          <w:p w:rsidR="008C4124" w:rsidRPr="008C4124" w:rsidRDefault="008C4124" w:rsidP="008C4124">
            <w:pPr>
              <w:spacing w:after="0" w:line="240" w:lineRule="auto"/>
              <w:rPr>
                <w:sz w:val="20"/>
                <w:szCs w:val="20"/>
              </w:rPr>
            </w:pPr>
            <w:r w:rsidRPr="008C4124">
              <w:rPr>
                <w:sz w:val="20"/>
                <w:szCs w:val="20"/>
              </w:rPr>
              <w:t>P+</w:t>
            </w:r>
          </w:p>
        </w:tc>
        <w:tc>
          <w:tcPr>
            <w:tcW w:w="1396" w:type="dxa"/>
            <w:vAlign w:val="center"/>
          </w:tcPr>
          <w:p w:rsidR="008C4124" w:rsidRPr="008C4124" w:rsidRDefault="008C4124" w:rsidP="008C4124">
            <w:pPr>
              <w:spacing w:after="0" w:line="240" w:lineRule="auto"/>
              <w:jc w:val="center"/>
              <w:rPr>
                <w:sz w:val="20"/>
                <w:szCs w:val="20"/>
              </w:rPr>
            </w:pPr>
            <w:r w:rsidRPr="008C4124">
              <w:rPr>
                <w:sz w:val="20"/>
                <w:szCs w:val="20"/>
              </w:rPr>
              <w:t>1,751</w:t>
            </w:r>
          </w:p>
        </w:tc>
        <w:tc>
          <w:tcPr>
            <w:tcW w:w="882" w:type="dxa"/>
            <w:vAlign w:val="center"/>
          </w:tcPr>
          <w:p w:rsidR="008C4124" w:rsidRPr="008C4124" w:rsidRDefault="008C4124" w:rsidP="008C4124">
            <w:pPr>
              <w:spacing w:after="0" w:line="240" w:lineRule="auto"/>
              <w:jc w:val="center"/>
              <w:rPr>
                <w:sz w:val="20"/>
                <w:szCs w:val="20"/>
              </w:rPr>
            </w:pPr>
            <w:r w:rsidRPr="008C4124">
              <w:rPr>
                <w:sz w:val="20"/>
                <w:szCs w:val="20"/>
              </w:rPr>
              <w:t>62%</w:t>
            </w:r>
          </w:p>
        </w:tc>
        <w:tc>
          <w:tcPr>
            <w:tcW w:w="883" w:type="dxa"/>
            <w:vAlign w:val="center"/>
          </w:tcPr>
          <w:p w:rsidR="008C4124" w:rsidRPr="008C4124" w:rsidRDefault="008C4124" w:rsidP="008C4124">
            <w:pPr>
              <w:spacing w:after="0" w:line="240" w:lineRule="auto"/>
              <w:jc w:val="center"/>
              <w:rPr>
                <w:sz w:val="20"/>
                <w:szCs w:val="20"/>
              </w:rPr>
            </w:pPr>
            <w:r w:rsidRPr="008C4124">
              <w:rPr>
                <w:sz w:val="20"/>
                <w:szCs w:val="20"/>
              </w:rPr>
              <w:t>59%</w:t>
            </w:r>
          </w:p>
        </w:tc>
        <w:tc>
          <w:tcPr>
            <w:tcW w:w="883" w:type="dxa"/>
            <w:vAlign w:val="center"/>
          </w:tcPr>
          <w:p w:rsidR="008C4124" w:rsidRPr="008C4124" w:rsidRDefault="008C4124" w:rsidP="008C4124">
            <w:pPr>
              <w:spacing w:after="0" w:line="240" w:lineRule="auto"/>
              <w:jc w:val="center"/>
              <w:rPr>
                <w:sz w:val="20"/>
                <w:szCs w:val="20"/>
              </w:rPr>
            </w:pPr>
            <w:r w:rsidRPr="008C4124">
              <w:rPr>
                <w:sz w:val="20"/>
                <w:szCs w:val="20"/>
              </w:rPr>
              <w:t>58%</w:t>
            </w:r>
          </w:p>
        </w:tc>
        <w:tc>
          <w:tcPr>
            <w:tcW w:w="883" w:type="dxa"/>
            <w:vAlign w:val="center"/>
          </w:tcPr>
          <w:p w:rsidR="008C4124" w:rsidRPr="008C4124" w:rsidRDefault="008C4124" w:rsidP="008C4124">
            <w:pPr>
              <w:spacing w:after="0" w:line="240" w:lineRule="auto"/>
              <w:jc w:val="center"/>
              <w:rPr>
                <w:sz w:val="20"/>
                <w:szCs w:val="20"/>
              </w:rPr>
            </w:pPr>
            <w:r w:rsidRPr="008C4124">
              <w:rPr>
                <w:sz w:val="20"/>
                <w:szCs w:val="20"/>
              </w:rPr>
              <w:t>60%</w:t>
            </w:r>
          </w:p>
        </w:tc>
        <w:tc>
          <w:tcPr>
            <w:tcW w:w="883" w:type="dxa"/>
            <w:shd w:val="clear" w:color="auto" w:fill="D9D9D9" w:themeFill="background1" w:themeFillShade="D9"/>
            <w:vAlign w:val="center"/>
          </w:tcPr>
          <w:p w:rsidR="008C4124" w:rsidRPr="008C4124" w:rsidRDefault="008C4124" w:rsidP="008C4124">
            <w:pPr>
              <w:spacing w:after="0" w:line="240" w:lineRule="auto"/>
              <w:jc w:val="center"/>
              <w:rPr>
                <w:sz w:val="20"/>
                <w:szCs w:val="20"/>
              </w:rPr>
            </w:pPr>
            <w:r w:rsidRPr="008C4124">
              <w:rPr>
                <w:sz w:val="20"/>
                <w:szCs w:val="20"/>
              </w:rPr>
              <w:t>78%</w:t>
            </w:r>
          </w:p>
        </w:tc>
        <w:tc>
          <w:tcPr>
            <w:tcW w:w="884" w:type="dxa"/>
            <w:vAlign w:val="center"/>
          </w:tcPr>
          <w:p w:rsidR="008C4124" w:rsidRPr="008C4124" w:rsidRDefault="008C4124" w:rsidP="008C4124">
            <w:pPr>
              <w:spacing w:after="0" w:line="240" w:lineRule="auto"/>
              <w:jc w:val="center"/>
              <w:rPr>
                <w:sz w:val="20"/>
                <w:szCs w:val="20"/>
              </w:rPr>
            </w:pPr>
            <w:r w:rsidRPr="008C4124">
              <w:rPr>
                <w:sz w:val="20"/>
                <w:szCs w:val="20"/>
              </w:rPr>
              <w:t>-2%</w:t>
            </w:r>
          </w:p>
        </w:tc>
        <w:tc>
          <w:tcPr>
            <w:tcW w:w="956" w:type="dxa"/>
            <w:vAlign w:val="center"/>
          </w:tcPr>
          <w:p w:rsidR="008C4124" w:rsidRPr="008C4124" w:rsidRDefault="008C4124" w:rsidP="008C4124">
            <w:pPr>
              <w:spacing w:after="0" w:line="240" w:lineRule="auto"/>
              <w:jc w:val="center"/>
              <w:rPr>
                <w:sz w:val="20"/>
                <w:szCs w:val="20"/>
              </w:rPr>
            </w:pPr>
            <w:r w:rsidRPr="008C4124">
              <w:rPr>
                <w:sz w:val="20"/>
                <w:szCs w:val="20"/>
              </w:rPr>
              <w:t>2%</w:t>
            </w:r>
          </w:p>
        </w:tc>
      </w:tr>
      <w:tr w:rsidR="008C4124" w:rsidRPr="008C4124" w:rsidTr="009266F5">
        <w:tc>
          <w:tcPr>
            <w:tcW w:w="554" w:type="dxa"/>
            <w:vMerge/>
            <w:vAlign w:val="center"/>
          </w:tcPr>
          <w:p w:rsidR="008C4124" w:rsidRPr="008C4124" w:rsidRDefault="008C4124" w:rsidP="008C4124">
            <w:pPr>
              <w:spacing w:after="0" w:line="240" w:lineRule="auto"/>
              <w:jc w:val="center"/>
              <w:rPr>
                <w:sz w:val="20"/>
                <w:szCs w:val="20"/>
              </w:rPr>
            </w:pPr>
          </w:p>
        </w:tc>
        <w:tc>
          <w:tcPr>
            <w:tcW w:w="724" w:type="dxa"/>
          </w:tcPr>
          <w:p w:rsidR="008C4124" w:rsidRPr="008C4124" w:rsidRDefault="008C4124" w:rsidP="008C4124">
            <w:pPr>
              <w:spacing w:after="0" w:line="240" w:lineRule="auto"/>
              <w:rPr>
                <w:sz w:val="20"/>
                <w:szCs w:val="20"/>
              </w:rPr>
            </w:pPr>
            <w:r w:rsidRPr="008C4124">
              <w:rPr>
                <w:sz w:val="20"/>
                <w:szCs w:val="20"/>
              </w:rPr>
              <w:t>SGP</w:t>
            </w:r>
          </w:p>
        </w:tc>
        <w:tc>
          <w:tcPr>
            <w:tcW w:w="1396" w:type="dxa"/>
            <w:vAlign w:val="center"/>
          </w:tcPr>
          <w:p w:rsidR="008C4124" w:rsidRPr="008C4124" w:rsidRDefault="008C4124" w:rsidP="008C4124">
            <w:pPr>
              <w:spacing w:after="0" w:line="240" w:lineRule="auto"/>
              <w:jc w:val="center"/>
              <w:rPr>
                <w:sz w:val="20"/>
                <w:szCs w:val="20"/>
              </w:rPr>
            </w:pPr>
            <w:r w:rsidRPr="008C4124">
              <w:rPr>
                <w:sz w:val="20"/>
                <w:szCs w:val="20"/>
              </w:rPr>
              <w:t>1,384</w:t>
            </w:r>
          </w:p>
        </w:tc>
        <w:tc>
          <w:tcPr>
            <w:tcW w:w="882" w:type="dxa"/>
            <w:vAlign w:val="center"/>
          </w:tcPr>
          <w:p w:rsidR="008C4124" w:rsidRPr="008C4124" w:rsidRDefault="008C4124" w:rsidP="008C4124">
            <w:pPr>
              <w:spacing w:after="0" w:line="240" w:lineRule="auto"/>
              <w:jc w:val="center"/>
              <w:rPr>
                <w:sz w:val="20"/>
                <w:szCs w:val="20"/>
              </w:rPr>
            </w:pPr>
            <w:r w:rsidRPr="008C4124">
              <w:rPr>
                <w:sz w:val="20"/>
                <w:szCs w:val="20"/>
              </w:rPr>
              <w:t>49.0</w:t>
            </w:r>
          </w:p>
        </w:tc>
        <w:tc>
          <w:tcPr>
            <w:tcW w:w="883" w:type="dxa"/>
            <w:vAlign w:val="center"/>
          </w:tcPr>
          <w:p w:rsidR="008C4124" w:rsidRPr="008C4124" w:rsidRDefault="008C4124" w:rsidP="008C4124">
            <w:pPr>
              <w:spacing w:after="0" w:line="240" w:lineRule="auto"/>
              <w:jc w:val="center"/>
              <w:rPr>
                <w:sz w:val="20"/>
                <w:szCs w:val="20"/>
              </w:rPr>
            </w:pPr>
            <w:r w:rsidRPr="008C4124">
              <w:rPr>
                <w:sz w:val="20"/>
                <w:szCs w:val="20"/>
              </w:rPr>
              <w:t>49.0</w:t>
            </w:r>
          </w:p>
        </w:tc>
        <w:tc>
          <w:tcPr>
            <w:tcW w:w="883" w:type="dxa"/>
            <w:vAlign w:val="center"/>
          </w:tcPr>
          <w:p w:rsidR="008C4124" w:rsidRPr="008C4124" w:rsidRDefault="008C4124" w:rsidP="008C4124">
            <w:pPr>
              <w:spacing w:after="0" w:line="240" w:lineRule="auto"/>
              <w:jc w:val="center"/>
              <w:rPr>
                <w:sz w:val="20"/>
                <w:szCs w:val="20"/>
              </w:rPr>
            </w:pPr>
            <w:r w:rsidRPr="008C4124">
              <w:rPr>
                <w:sz w:val="20"/>
                <w:szCs w:val="20"/>
              </w:rPr>
              <w:t>53.0</w:t>
            </w:r>
          </w:p>
        </w:tc>
        <w:tc>
          <w:tcPr>
            <w:tcW w:w="883" w:type="dxa"/>
            <w:vAlign w:val="center"/>
          </w:tcPr>
          <w:p w:rsidR="008C4124" w:rsidRPr="008C4124" w:rsidRDefault="008C4124" w:rsidP="008C4124">
            <w:pPr>
              <w:spacing w:after="0" w:line="240" w:lineRule="auto"/>
              <w:jc w:val="center"/>
              <w:rPr>
                <w:sz w:val="20"/>
                <w:szCs w:val="20"/>
              </w:rPr>
            </w:pPr>
            <w:r w:rsidRPr="008C4124">
              <w:rPr>
                <w:sz w:val="20"/>
                <w:szCs w:val="20"/>
              </w:rPr>
              <w:t>53.0</w:t>
            </w:r>
          </w:p>
        </w:tc>
        <w:tc>
          <w:tcPr>
            <w:tcW w:w="883" w:type="dxa"/>
            <w:shd w:val="clear" w:color="auto" w:fill="D9D9D9" w:themeFill="background1" w:themeFillShade="D9"/>
            <w:vAlign w:val="center"/>
          </w:tcPr>
          <w:p w:rsidR="008C4124" w:rsidRPr="008C4124" w:rsidRDefault="008C4124" w:rsidP="008C4124">
            <w:pPr>
              <w:spacing w:after="0" w:line="240" w:lineRule="auto"/>
              <w:jc w:val="center"/>
              <w:rPr>
                <w:sz w:val="20"/>
                <w:szCs w:val="20"/>
              </w:rPr>
            </w:pPr>
            <w:r w:rsidRPr="008C4124">
              <w:rPr>
                <w:sz w:val="20"/>
                <w:szCs w:val="20"/>
              </w:rPr>
              <w:t>50.0</w:t>
            </w:r>
          </w:p>
        </w:tc>
        <w:tc>
          <w:tcPr>
            <w:tcW w:w="884" w:type="dxa"/>
            <w:vAlign w:val="center"/>
          </w:tcPr>
          <w:p w:rsidR="008C4124" w:rsidRPr="008C4124" w:rsidRDefault="008C4124" w:rsidP="008C4124">
            <w:pPr>
              <w:spacing w:after="0" w:line="240" w:lineRule="auto"/>
              <w:jc w:val="center"/>
              <w:rPr>
                <w:sz w:val="20"/>
                <w:szCs w:val="20"/>
              </w:rPr>
            </w:pPr>
            <w:r w:rsidRPr="008C4124">
              <w:rPr>
                <w:sz w:val="20"/>
                <w:szCs w:val="20"/>
              </w:rPr>
              <w:t>4.0</w:t>
            </w:r>
          </w:p>
        </w:tc>
        <w:tc>
          <w:tcPr>
            <w:tcW w:w="956" w:type="dxa"/>
            <w:vAlign w:val="center"/>
          </w:tcPr>
          <w:p w:rsidR="008C4124" w:rsidRPr="008C4124" w:rsidRDefault="008C4124" w:rsidP="008C4124">
            <w:pPr>
              <w:spacing w:after="0" w:line="240" w:lineRule="auto"/>
              <w:jc w:val="center"/>
              <w:rPr>
                <w:sz w:val="20"/>
                <w:szCs w:val="20"/>
              </w:rPr>
            </w:pPr>
            <w:r w:rsidRPr="008C4124">
              <w:rPr>
                <w:sz w:val="20"/>
                <w:szCs w:val="20"/>
              </w:rPr>
              <w:t>0.0</w:t>
            </w:r>
          </w:p>
        </w:tc>
      </w:tr>
      <w:tr w:rsidR="008C4124" w:rsidRPr="008C4124" w:rsidTr="009266F5">
        <w:tc>
          <w:tcPr>
            <w:tcW w:w="554" w:type="dxa"/>
            <w:vMerge w:val="restart"/>
            <w:vAlign w:val="center"/>
          </w:tcPr>
          <w:p w:rsidR="008C4124" w:rsidRPr="008C4124" w:rsidRDefault="008C4124" w:rsidP="008C4124">
            <w:pPr>
              <w:spacing w:after="0" w:line="240" w:lineRule="auto"/>
              <w:jc w:val="center"/>
              <w:rPr>
                <w:sz w:val="20"/>
                <w:szCs w:val="20"/>
              </w:rPr>
            </w:pPr>
            <w:r w:rsidRPr="008C4124">
              <w:rPr>
                <w:sz w:val="20"/>
                <w:szCs w:val="20"/>
              </w:rPr>
              <w:t>All</w:t>
            </w:r>
          </w:p>
        </w:tc>
        <w:tc>
          <w:tcPr>
            <w:tcW w:w="724" w:type="dxa"/>
          </w:tcPr>
          <w:p w:rsidR="008C4124" w:rsidRPr="008C4124" w:rsidRDefault="008C4124" w:rsidP="008C4124">
            <w:pPr>
              <w:spacing w:after="0" w:line="240" w:lineRule="auto"/>
              <w:rPr>
                <w:sz w:val="20"/>
                <w:szCs w:val="20"/>
              </w:rPr>
            </w:pPr>
            <w:r w:rsidRPr="008C4124">
              <w:rPr>
                <w:sz w:val="20"/>
                <w:szCs w:val="20"/>
              </w:rPr>
              <w:t>CPI</w:t>
            </w:r>
          </w:p>
        </w:tc>
        <w:tc>
          <w:tcPr>
            <w:tcW w:w="1396" w:type="dxa"/>
            <w:vAlign w:val="center"/>
          </w:tcPr>
          <w:p w:rsidR="008C4124" w:rsidRPr="008C4124" w:rsidRDefault="008C4124" w:rsidP="008C4124">
            <w:pPr>
              <w:spacing w:after="0" w:line="240" w:lineRule="auto"/>
              <w:jc w:val="center"/>
              <w:rPr>
                <w:sz w:val="20"/>
                <w:szCs w:val="20"/>
              </w:rPr>
            </w:pPr>
            <w:r w:rsidRPr="008C4124">
              <w:rPr>
                <w:sz w:val="20"/>
                <w:szCs w:val="20"/>
              </w:rPr>
              <w:t>12,189</w:t>
            </w:r>
          </w:p>
        </w:tc>
        <w:tc>
          <w:tcPr>
            <w:tcW w:w="882" w:type="dxa"/>
            <w:vAlign w:val="center"/>
          </w:tcPr>
          <w:p w:rsidR="008C4124" w:rsidRPr="008C4124" w:rsidRDefault="008C4124" w:rsidP="008C4124">
            <w:pPr>
              <w:spacing w:after="0" w:line="240" w:lineRule="auto"/>
              <w:jc w:val="center"/>
              <w:rPr>
                <w:sz w:val="20"/>
                <w:szCs w:val="20"/>
              </w:rPr>
            </w:pPr>
            <w:r w:rsidRPr="008C4124">
              <w:rPr>
                <w:sz w:val="20"/>
                <w:szCs w:val="20"/>
              </w:rPr>
              <w:t>68.0</w:t>
            </w:r>
          </w:p>
        </w:tc>
        <w:tc>
          <w:tcPr>
            <w:tcW w:w="883" w:type="dxa"/>
            <w:vAlign w:val="center"/>
          </w:tcPr>
          <w:p w:rsidR="008C4124" w:rsidRPr="008C4124" w:rsidRDefault="008C4124" w:rsidP="008C4124">
            <w:pPr>
              <w:spacing w:after="0" w:line="240" w:lineRule="auto"/>
              <w:jc w:val="center"/>
              <w:rPr>
                <w:sz w:val="20"/>
                <w:szCs w:val="20"/>
              </w:rPr>
            </w:pPr>
            <w:r w:rsidRPr="008C4124">
              <w:rPr>
                <w:sz w:val="20"/>
                <w:szCs w:val="20"/>
              </w:rPr>
              <w:t>66.3</w:t>
            </w:r>
          </w:p>
        </w:tc>
        <w:tc>
          <w:tcPr>
            <w:tcW w:w="883" w:type="dxa"/>
            <w:vAlign w:val="center"/>
          </w:tcPr>
          <w:p w:rsidR="008C4124" w:rsidRPr="008C4124" w:rsidRDefault="008C4124" w:rsidP="008C4124">
            <w:pPr>
              <w:spacing w:after="0" w:line="240" w:lineRule="auto"/>
              <w:jc w:val="center"/>
              <w:rPr>
                <w:sz w:val="20"/>
                <w:szCs w:val="20"/>
              </w:rPr>
            </w:pPr>
            <w:r w:rsidRPr="008C4124">
              <w:rPr>
                <w:sz w:val="20"/>
                <w:szCs w:val="20"/>
              </w:rPr>
              <w:t>66.8</w:t>
            </w:r>
          </w:p>
        </w:tc>
        <w:tc>
          <w:tcPr>
            <w:tcW w:w="883" w:type="dxa"/>
            <w:vAlign w:val="center"/>
          </w:tcPr>
          <w:p w:rsidR="008C4124" w:rsidRPr="008C4124" w:rsidRDefault="008C4124" w:rsidP="008C4124">
            <w:pPr>
              <w:spacing w:after="0" w:line="240" w:lineRule="auto"/>
              <w:jc w:val="center"/>
              <w:rPr>
                <w:sz w:val="20"/>
                <w:szCs w:val="20"/>
              </w:rPr>
            </w:pPr>
            <w:r w:rsidRPr="008C4124">
              <w:rPr>
                <w:sz w:val="20"/>
                <w:szCs w:val="20"/>
              </w:rPr>
              <w:t>68.1</w:t>
            </w:r>
          </w:p>
        </w:tc>
        <w:tc>
          <w:tcPr>
            <w:tcW w:w="883" w:type="dxa"/>
            <w:shd w:val="clear" w:color="auto" w:fill="D9D9D9" w:themeFill="background1" w:themeFillShade="D9"/>
            <w:vAlign w:val="center"/>
          </w:tcPr>
          <w:p w:rsidR="008C4124" w:rsidRPr="008C4124" w:rsidRDefault="008C4124" w:rsidP="008C4124">
            <w:pPr>
              <w:spacing w:after="0" w:line="240" w:lineRule="auto"/>
              <w:jc w:val="center"/>
              <w:rPr>
                <w:sz w:val="20"/>
                <w:szCs w:val="20"/>
              </w:rPr>
            </w:pPr>
            <w:r w:rsidRPr="008C4124">
              <w:rPr>
                <w:sz w:val="20"/>
                <w:szCs w:val="20"/>
              </w:rPr>
              <w:t>81.5</w:t>
            </w:r>
          </w:p>
        </w:tc>
        <w:tc>
          <w:tcPr>
            <w:tcW w:w="884" w:type="dxa"/>
            <w:vAlign w:val="center"/>
          </w:tcPr>
          <w:p w:rsidR="008C4124" w:rsidRPr="008C4124" w:rsidRDefault="008C4124" w:rsidP="008C4124">
            <w:pPr>
              <w:spacing w:after="0" w:line="240" w:lineRule="auto"/>
              <w:jc w:val="center"/>
              <w:rPr>
                <w:sz w:val="20"/>
                <w:szCs w:val="20"/>
              </w:rPr>
            </w:pPr>
            <w:r w:rsidRPr="008C4124">
              <w:rPr>
                <w:sz w:val="20"/>
                <w:szCs w:val="20"/>
              </w:rPr>
              <w:t>0.1</w:t>
            </w:r>
          </w:p>
        </w:tc>
        <w:tc>
          <w:tcPr>
            <w:tcW w:w="956" w:type="dxa"/>
            <w:vAlign w:val="center"/>
          </w:tcPr>
          <w:p w:rsidR="008C4124" w:rsidRPr="008C4124" w:rsidRDefault="008C4124" w:rsidP="008C4124">
            <w:pPr>
              <w:spacing w:after="0" w:line="240" w:lineRule="auto"/>
              <w:jc w:val="center"/>
              <w:rPr>
                <w:sz w:val="20"/>
                <w:szCs w:val="20"/>
              </w:rPr>
            </w:pPr>
            <w:r w:rsidRPr="008C4124">
              <w:rPr>
                <w:sz w:val="20"/>
                <w:szCs w:val="20"/>
              </w:rPr>
              <w:t>1.3</w:t>
            </w:r>
          </w:p>
        </w:tc>
      </w:tr>
      <w:tr w:rsidR="008C4124" w:rsidRPr="008C4124" w:rsidTr="009266F5">
        <w:tc>
          <w:tcPr>
            <w:tcW w:w="554" w:type="dxa"/>
            <w:vMerge/>
          </w:tcPr>
          <w:p w:rsidR="008C4124" w:rsidRPr="008C4124" w:rsidRDefault="008C4124" w:rsidP="008C4124">
            <w:pPr>
              <w:spacing w:after="0" w:line="240" w:lineRule="auto"/>
              <w:rPr>
                <w:sz w:val="20"/>
                <w:szCs w:val="20"/>
              </w:rPr>
            </w:pPr>
          </w:p>
        </w:tc>
        <w:tc>
          <w:tcPr>
            <w:tcW w:w="724" w:type="dxa"/>
          </w:tcPr>
          <w:p w:rsidR="008C4124" w:rsidRPr="008C4124" w:rsidRDefault="008C4124" w:rsidP="008C4124">
            <w:pPr>
              <w:spacing w:after="0" w:line="240" w:lineRule="auto"/>
              <w:rPr>
                <w:sz w:val="20"/>
                <w:szCs w:val="20"/>
              </w:rPr>
            </w:pPr>
            <w:r w:rsidRPr="008C4124">
              <w:rPr>
                <w:sz w:val="20"/>
                <w:szCs w:val="20"/>
              </w:rPr>
              <w:t>P+</w:t>
            </w:r>
          </w:p>
        </w:tc>
        <w:tc>
          <w:tcPr>
            <w:tcW w:w="1396" w:type="dxa"/>
            <w:vAlign w:val="center"/>
          </w:tcPr>
          <w:p w:rsidR="008C4124" w:rsidRPr="008C4124" w:rsidRDefault="008C4124" w:rsidP="008C4124">
            <w:pPr>
              <w:spacing w:after="0" w:line="240" w:lineRule="auto"/>
              <w:jc w:val="center"/>
              <w:rPr>
                <w:sz w:val="20"/>
                <w:szCs w:val="20"/>
              </w:rPr>
            </w:pPr>
            <w:r w:rsidRPr="008C4124">
              <w:rPr>
                <w:sz w:val="20"/>
                <w:szCs w:val="20"/>
              </w:rPr>
              <w:t>--</w:t>
            </w:r>
          </w:p>
        </w:tc>
        <w:tc>
          <w:tcPr>
            <w:tcW w:w="882" w:type="dxa"/>
            <w:vAlign w:val="center"/>
          </w:tcPr>
          <w:p w:rsidR="008C4124" w:rsidRPr="008C4124" w:rsidRDefault="008C4124" w:rsidP="008C4124">
            <w:pPr>
              <w:spacing w:after="0" w:line="240" w:lineRule="auto"/>
              <w:jc w:val="center"/>
              <w:rPr>
                <w:sz w:val="20"/>
                <w:szCs w:val="20"/>
              </w:rPr>
            </w:pPr>
            <w:r w:rsidRPr="008C4124">
              <w:rPr>
                <w:sz w:val="20"/>
                <w:szCs w:val="20"/>
              </w:rPr>
              <w:t>41%</w:t>
            </w:r>
          </w:p>
        </w:tc>
        <w:tc>
          <w:tcPr>
            <w:tcW w:w="883" w:type="dxa"/>
            <w:vAlign w:val="center"/>
          </w:tcPr>
          <w:p w:rsidR="008C4124" w:rsidRPr="008C4124" w:rsidRDefault="008C4124" w:rsidP="008C4124">
            <w:pPr>
              <w:spacing w:after="0" w:line="240" w:lineRule="auto"/>
              <w:jc w:val="center"/>
              <w:rPr>
                <w:sz w:val="20"/>
                <w:szCs w:val="20"/>
              </w:rPr>
            </w:pPr>
            <w:r w:rsidRPr="008C4124">
              <w:rPr>
                <w:sz w:val="20"/>
                <w:szCs w:val="20"/>
              </w:rPr>
              <w:t>39%</w:t>
            </w:r>
          </w:p>
        </w:tc>
        <w:tc>
          <w:tcPr>
            <w:tcW w:w="883" w:type="dxa"/>
            <w:vAlign w:val="center"/>
          </w:tcPr>
          <w:p w:rsidR="008C4124" w:rsidRPr="008C4124" w:rsidRDefault="008C4124" w:rsidP="008C4124">
            <w:pPr>
              <w:spacing w:after="0" w:line="240" w:lineRule="auto"/>
              <w:jc w:val="center"/>
              <w:rPr>
                <w:sz w:val="20"/>
                <w:szCs w:val="20"/>
              </w:rPr>
            </w:pPr>
            <w:r w:rsidRPr="008C4124">
              <w:rPr>
                <w:sz w:val="20"/>
                <w:szCs w:val="20"/>
              </w:rPr>
              <w:t>--</w:t>
            </w:r>
          </w:p>
        </w:tc>
        <w:tc>
          <w:tcPr>
            <w:tcW w:w="883" w:type="dxa"/>
            <w:vAlign w:val="center"/>
          </w:tcPr>
          <w:p w:rsidR="008C4124" w:rsidRPr="008C4124" w:rsidRDefault="008C4124" w:rsidP="008C4124">
            <w:pPr>
              <w:spacing w:after="0" w:line="240" w:lineRule="auto"/>
              <w:jc w:val="center"/>
              <w:rPr>
                <w:sz w:val="20"/>
                <w:szCs w:val="20"/>
              </w:rPr>
            </w:pPr>
            <w:r w:rsidRPr="008C4124">
              <w:rPr>
                <w:sz w:val="20"/>
                <w:szCs w:val="20"/>
              </w:rPr>
              <w:t>--</w:t>
            </w:r>
          </w:p>
        </w:tc>
        <w:tc>
          <w:tcPr>
            <w:tcW w:w="883" w:type="dxa"/>
            <w:shd w:val="clear" w:color="auto" w:fill="D9D9D9" w:themeFill="background1" w:themeFillShade="D9"/>
            <w:vAlign w:val="center"/>
          </w:tcPr>
          <w:p w:rsidR="008C4124" w:rsidRPr="008C4124" w:rsidRDefault="008C4124" w:rsidP="008C4124">
            <w:pPr>
              <w:spacing w:after="0" w:line="240" w:lineRule="auto"/>
              <w:jc w:val="center"/>
              <w:rPr>
                <w:sz w:val="20"/>
                <w:szCs w:val="20"/>
              </w:rPr>
            </w:pPr>
            <w:r w:rsidRPr="008C4124">
              <w:rPr>
                <w:sz w:val="20"/>
                <w:szCs w:val="20"/>
              </w:rPr>
              <w:t>--</w:t>
            </w:r>
          </w:p>
        </w:tc>
        <w:tc>
          <w:tcPr>
            <w:tcW w:w="884" w:type="dxa"/>
            <w:vAlign w:val="center"/>
          </w:tcPr>
          <w:p w:rsidR="008C4124" w:rsidRPr="008C4124" w:rsidRDefault="008C4124" w:rsidP="008C4124">
            <w:pPr>
              <w:spacing w:after="0" w:line="240" w:lineRule="auto"/>
              <w:jc w:val="center"/>
              <w:rPr>
                <w:sz w:val="20"/>
                <w:szCs w:val="20"/>
              </w:rPr>
            </w:pPr>
          </w:p>
        </w:tc>
        <w:tc>
          <w:tcPr>
            <w:tcW w:w="956" w:type="dxa"/>
            <w:vAlign w:val="center"/>
          </w:tcPr>
          <w:p w:rsidR="008C4124" w:rsidRPr="008C4124" w:rsidRDefault="008C4124" w:rsidP="008C4124">
            <w:pPr>
              <w:spacing w:after="0" w:line="240" w:lineRule="auto"/>
              <w:jc w:val="center"/>
              <w:rPr>
                <w:sz w:val="20"/>
                <w:szCs w:val="20"/>
              </w:rPr>
            </w:pPr>
          </w:p>
        </w:tc>
      </w:tr>
      <w:tr w:rsidR="008C4124" w:rsidRPr="008C4124" w:rsidTr="009266F5">
        <w:tc>
          <w:tcPr>
            <w:tcW w:w="554" w:type="dxa"/>
            <w:vMerge/>
            <w:tcBorders>
              <w:bottom w:val="single" w:sz="4" w:space="0" w:color="auto"/>
            </w:tcBorders>
          </w:tcPr>
          <w:p w:rsidR="008C4124" w:rsidRPr="008C4124" w:rsidRDefault="008C4124" w:rsidP="008C4124">
            <w:pPr>
              <w:spacing w:after="0" w:line="240" w:lineRule="auto"/>
              <w:rPr>
                <w:sz w:val="20"/>
                <w:szCs w:val="20"/>
              </w:rPr>
            </w:pPr>
          </w:p>
        </w:tc>
        <w:tc>
          <w:tcPr>
            <w:tcW w:w="724" w:type="dxa"/>
            <w:tcBorders>
              <w:bottom w:val="single" w:sz="4" w:space="0" w:color="auto"/>
            </w:tcBorders>
          </w:tcPr>
          <w:p w:rsidR="008C4124" w:rsidRPr="008C4124" w:rsidRDefault="008C4124" w:rsidP="008C4124">
            <w:pPr>
              <w:spacing w:after="0" w:line="240" w:lineRule="auto"/>
              <w:rPr>
                <w:sz w:val="20"/>
                <w:szCs w:val="20"/>
              </w:rPr>
            </w:pPr>
            <w:r w:rsidRPr="008C4124">
              <w:rPr>
                <w:sz w:val="20"/>
                <w:szCs w:val="20"/>
              </w:rPr>
              <w:t>SGP</w:t>
            </w:r>
          </w:p>
        </w:tc>
        <w:tc>
          <w:tcPr>
            <w:tcW w:w="1396" w:type="dxa"/>
            <w:tcBorders>
              <w:bottom w:val="single" w:sz="4" w:space="0" w:color="auto"/>
            </w:tcBorders>
            <w:vAlign w:val="center"/>
          </w:tcPr>
          <w:p w:rsidR="008C4124" w:rsidRPr="008C4124" w:rsidRDefault="008C4124" w:rsidP="008C4124">
            <w:pPr>
              <w:spacing w:after="0" w:line="240" w:lineRule="auto"/>
              <w:jc w:val="center"/>
              <w:rPr>
                <w:sz w:val="20"/>
                <w:szCs w:val="20"/>
              </w:rPr>
            </w:pPr>
            <w:r w:rsidRPr="008C4124">
              <w:rPr>
                <w:sz w:val="20"/>
                <w:szCs w:val="20"/>
              </w:rPr>
              <w:t>8,853</w:t>
            </w:r>
          </w:p>
        </w:tc>
        <w:tc>
          <w:tcPr>
            <w:tcW w:w="882" w:type="dxa"/>
            <w:tcBorders>
              <w:bottom w:val="single" w:sz="4" w:space="0" w:color="auto"/>
            </w:tcBorders>
            <w:vAlign w:val="center"/>
          </w:tcPr>
          <w:p w:rsidR="008C4124" w:rsidRPr="008C4124" w:rsidRDefault="008C4124" w:rsidP="008C4124">
            <w:pPr>
              <w:spacing w:after="0" w:line="240" w:lineRule="auto"/>
              <w:jc w:val="center"/>
              <w:rPr>
                <w:sz w:val="20"/>
                <w:szCs w:val="20"/>
              </w:rPr>
            </w:pPr>
            <w:r w:rsidRPr="008C4124">
              <w:rPr>
                <w:sz w:val="20"/>
                <w:szCs w:val="20"/>
              </w:rPr>
              <w:t>49.0</w:t>
            </w:r>
          </w:p>
        </w:tc>
        <w:tc>
          <w:tcPr>
            <w:tcW w:w="883" w:type="dxa"/>
            <w:tcBorders>
              <w:bottom w:val="single" w:sz="4" w:space="0" w:color="auto"/>
            </w:tcBorders>
            <w:vAlign w:val="center"/>
          </w:tcPr>
          <w:p w:rsidR="008C4124" w:rsidRPr="008C4124" w:rsidRDefault="008C4124" w:rsidP="008C4124">
            <w:pPr>
              <w:spacing w:after="0" w:line="240" w:lineRule="auto"/>
              <w:jc w:val="center"/>
              <w:rPr>
                <w:sz w:val="20"/>
                <w:szCs w:val="20"/>
              </w:rPr>
            </w:pPr>
            <w:r w:rsidRPr="008C4124">
              <w:rPr>
                <w:sz w:val="20"/>
                <w:szCs w:val="20"/>
              </w:rPr>
              <w:t>47.0</w:t>
            </w:r>
          </w:p>
        </w:tc>
        <w:tc>
          <w:tcPr>
            <w:tcW w:w="883" w:type="dxa"/>
            <w:tcBorders>
              <w:bottom w:val="single" w:sz="4" w:space="0" w:color="auto"/>
            </w:tcBorders>
            <w:vAlign w:val="center"/>
          </w:tcPr>
          <w:p w:rsidR="008C4124" w:rsidRPr="008C4124" w:rsidRDefault="008C4124" w:rsidP="008C4124">
            <w:pPr>
              <w:spacing w:after="0" w:line="240" w:lineRule="auto"/>
              <w:jc w:val="center"/>
              <w:rPr>
                <w:sz w:val="20"/>
                <w:szCs w:val="20"/>
              </w:rPr>
            </w:pPr>
            <w:r w:rsidRPr="008C4124">
              <w:rPr>
                <w:sz w:val="20"/>
                <w:szCs w:val="20"/>
              </w:rPr>
              <w:t>48.0</w:t>
            </w:r>
          </w:p>
        </w:tc>
        <w:tc>
          <w:tcPr>
            <w:tcW w:w="883" w:type="dxa"/>
            <w:tcBorders>
              <w:bottom w:val="single" w:sz="4" w:space="0" w:color="auto"/>
            </w:tcBorders>
            <w:vAlign w:val="center"/>
          </w:tcPr>
          <w:p w:rsidR="008C4124" w:rsidRPr="008C4124" w:rsidRDefault="008C4124" w:rsidP="008C4124">
            <w:pPr>
              <w:spacing w:after="0" w:line="240" w:lineRule="auto"/>
              <w:jc w:val="center"/>
              <w:rPr>
                <w:sz w:val="20"/>
                <w:szCs w:val="20"/>
              </w:rPr>
            </w:pPr>
            <w:r w:rsidRPr="008C4124">
              <w:rPr>
                <w:sz w:val="20"/>
                <w:szCs w:val="20"/>
              </w:rPr>
              <w:t>50.0</w:t>
            </w:r>
          </w:p>
        </w:tc>
        <w:tc>
          <w:tcPr>
            <w:tcW w:w="883" w:type="dxa"/>
            <w:tcBorders>
              <w:bottom w:val="single" w:sz="4" w:space="0" w:color="auto"/>
            </w:tcBorders>
            <w:shd w:val="clear" w:color="auto" w:fill="D9D9D9" w:themeFill="background1" w:themeFillShade="D9"/>
            <w:vAlign w:val="center"/>
          </w:tcPr>
          <w:p w:rsidR="008C4124" w:rsidRPr="008C4124" w:rsidRDefault="008C4124" w:rsidP="008C4124">
            <w:pPr>
              <w:spacing w:after="0" w:line="240" w:lineRule="auto"/>
              <w:jc w:val="center"/>
              <w:rPr>
                <w:sz w:val="20"/>
                <w:szCs w:val="20"/>
              </w:rPr>
            </w:pPr>
            <w:r w:rsidRPr="008C4124">
              <w:rPr>
                <w:sz w:val="20"/>
                <w:szCs w:val="20"/>
              </w:rPr>
              <w:t>50.0</w:t>
            </w:r>
          </w:p>
        </w:tc>
        <w:tc>
          <w:tcPr>
            <w:tcW w:w="884" w:type="dxa"/>
            <w:tcBorders>
              <w:bottom w:val="single" w:sz="4" w:space="0" w:color="auto"/>
            </w:tcBorders>
            <w:vAlign w:val="center"/>
          </w:tcPr>
          <w:p w:rsidR="008C4124" w:rsidRPr="008C4124" w:rsidRDefault="008C4124" w:rsidP="008C4124">
            <w:pPr>
              <w:spacing w:after="0" w:line="240" w:lineRule="auto"/>
              <w:jc w:val="center"/>
              <w:rPr>
                <w:sz w:val="20"/>
                <w:szCs w:val="20"/>
              </w:rPr>
            </w:pPr>
            <w:r w:rsidRPr="008C4124">
              <w:rPr>
                <w:sz w:val="20"/>
                <w:szCs w:val="20"/>
              </w:rPr>
              <w:t>1.0</w:t>
            </w:r>
          </w:p>
        </w:tc>
        <w:tc>
          <w:tcPr>
            <w:tcW w:w="956" w:type="dxa"/>
            <w:tcBorders>
              <w:bottom w:val="single" w:sz="4" w:space="0" w:color="auto"/>
            </w:tcBorders>
            <w:vAlign w:val="center"/>
          </w:tcPr>
          <w:p w:rsidR="008C4124" w:rsidRPr="008C4124" w:rsidRDefault="008C4124" w:rsidP="008C4124">
            <w:pPr>
              <w:spacing w:after="0" w:line="240" w:lineRule="auto"/>
              <w:jc w:val="center"/>
              <w:rPr>
                <w:sz w:val="20"/>
                <w:szCs w:val="20"/>
              </w:rPr>
            </w:pPr>
            <w:r w:rsidRPr="008C4124">
              <w:rPr>
                <w:sz w:val="20"/>
                <w:szCs w:val="20"/>
              </w:rPr>
              <w:t>2.0</w:t>
            </w:r>
          </w:p>
        </w:tc>
      </w:tr>
    </w:tbl>
    <w:p w:rsidR="008C4124" w:rsidRPr="008C4124" w:rsidRDefault="008C4124" w:rsidP="008C4124">
      <w:pPr>
        <w:spacing w:after="0" w:line="240" w:lineRule="auto"/>
      </w:pPr>
    </w:p>
    <w:p w:rsidR="008C4124" w:rsidRPr="008C4124" w:rsidRDefault="008C4124" w:rsidP="008C4124">
      <w:pPr>
        <w:spacing w:after="0" w:line="240" w:lineRule="auto"/>
        <w:rPr>
          <w:rFonts w:ascii="Calibri" w:eastAsia="Times New Roman" w:hAnsi="Calibri" w:cs="Times New Roman"/>
          <w:sz w:val="20"/>
          <w:szCs w:val="20"/>
        </w:rPr>
      </w:pPr>
    </w:p>
    <w:p w:rsidR="008C4124" w:rsidRPr="008C4124" w:rsidRDefault="008C4124" w:rsidP="008C4124">
      <w:pPr>
        <w:spacing w:after="0" w:line="240" w:lineRule="auto"/>
        <w:rPr>
          <w:rFonts w:ascii="Calibri" w:eastAsia="Times New Roman" w:hAnsi="Calibri" w:cs="Times New Roman"/>
          <w:sz w:val="20"/>
          <w:szCs w:val="20"/>
        </w:rPr>
      </w:pPr>
    </w:p>
    <w:p w:rsidR="007128B9" w:rsidRDefault="007128B9">
      <w:pPr>
        <w:spacing w:after="0" w:line="240" w:lineRule="auto"/>
        <w:rPr>
          <w:rFonts w:eastAsia="Calibri" w:cs="Times New Roman"/>
        </w:rPr>
      </w:pPr>
      <w:r>
        <w:rPr>
          <w:rFonts w:eastAsia="Calibri" w:cs="Times New Roman"/>
        </w:rPr>
        <w:br w:type="page"/>
      </w:r>
    </w:p>
    <w:p w:rsidR="007128B9" w:rsidRPr="009066CB" w:rsidRDefault="007128B9" w:rsidP="007128B9">
      <w:pPr>
        <w:spacing w:after="0"/>
        <w:jc w:val="center"/>
        <w:rPr>
          <w:rFonts w:ascii="Calibri" w:eastAsia="Calibri" w:hAnsi="Calibri" w:cs="Times New Roman"/>
          <w:b/>
          <w:sz w:val="20"/>
        </w:rPr>
      </w:pPr>
      <w:r w:rsidRPr="009066CB">
        <w:rPr>
          <w:rFonts w:ascii="Calibri" w:eastAsia="Calibri" w:hAnsi="Calibri" w:cs="Times New Roman"/>
          <w:b/>
          <w:sz w:val="20"/>
        </w:rPr>
        <w:lastRenderedPageBreak/>
        <w:t>Table B2e: Worcester Public Schools</w:t>
      </w:r>
    </w:p>
    <w:p w:rsidR="007128B9" w:rsidRPr="009066CB" w:rsidRDefault="007128B9" w:rsidP="007128B9">
      <w:pPr>
        <w:spacing w:after="0"/>
        <w:jc w:val="center"/>
        <w:rPr>
          <w:rFonts w:ascii="Calibri" w:eastAsia="Calibri" w:hAnsi="Calibri" w:cs="Times New Roman"/>
          <w:b/>
          <w:sz w:val="20"/>
        </w:rPr>
      </w:pPr>
      <w:r w:rsidRPr="009066CB">
        <w:rPr>
          <w:rFonts w:ascii="Calibri" w:eastAsia="Calibri" w:hAnsi="Calibri" w:cs="Times New Roman"/>
          <w:b/>
          <w:sz w:val="20"/>
        </w:rPr>
        <w:t>Science and Technology/Engineering Performance, 2013–2016</w:t>
      </w:r>
    </w:p>
    <w:tbl>
      <w:tblPr>
        <w:tblStyle w:val="TableGrid"/>
        <w:tblW w:w="8928" w:type="dxa"/>
        <w:tblLook w:val="04A0"/>
      </w:tblPr>
      <w:tblGrid>
        <w:gridCol w:w="554"/>
        <w:gridCol w:w="724"/>
        <w:gridCol w:w="1396"/>
        <w:gridCol w:w="882"/>
        <w:gridCol w:w="883"/>
        <w:gridCol w:w="883"/>
        <w:gridCol w:w="883"/>
        <w:gridCol w:w="883"/>
        <w:gridCol w:w="884"/>
        <w:gridCol w:w="956"/>
      </w:tblGrid>
      <w:tr w:rsidR="007128B9" w:rsidRPr="009066CB" w:rsidTr="009266F5">
        <w:tc>
          <w:tcPr>
            <w:tcW w:w="1278" w:type="dxa"/>
            <w:gridSpan w:val="2"/>
            <w:vMerge w:val="restart"/>
            <w:vAlign w:val="center"/>
          </w:tcPr>
          <w:p w:rsidR="007128B9" w:rsidRPr="009066CB" w:rsidRDefault="007128B9" w:rsidP="009266F5">
            <w:pPr>
              <w:spacing w:after="0" w:line="240" w:lineRule="auto"/>
              <w:jc w:val="center"/>
              <w:rPr>
                <w:rFonts w:ascii="Calibri" w:eastAsia="Times New Roman" w:hAnsi="Calibri" w:cs="Times New Roman"/>
                <w:b/>
                <w:sz w:val="20"/>
                <w:szCs w:val="20"/>
              </w:rPr>
            </w:pPr>
            <w:r w:rsidRPr="009066CB">
              <w:rPr>
                <w:rFonts w:ascii="Calibri" w:eastAsia="Times New Roman" w:hAnsi="Calibri" w:cs="Times New Roman"/>
                <w:b/>
                <w:sz w:val="20"/>
                <w:szCs w:val="20"/>
              </w:rPr>
              <w:t>Grade and Measure</w:t>
            </w:r>
          </w:p>
        </w:tc>
        <w:tc>
          <w:tcPr>
            <w:tcW w:w="1396" w:type="dxa"/>
            <w:vMerge w:val="restart"/>
            <w:vAlign w:val="center"/>
          </w:tcPr>
          <w:p w:rsidR="007128B9" w:rsidRPr="009066CB" w:rsidRDefault="007128B9" w:rsidP="009266F5">
            <w:pPr>
              <w:spacing w:after="0" w:line="240" w:lineRule="auto"/>
              <w:jc w:val="center"/>
              <w:rPr>
                <w:rFonts w:ascii="Calibri" w:eastAsia="Times New Roman" w:hAnsi="Calibri" w:cs="Times New Roman"/>
                <w:b/>
                <w:sz w:val="20"/>
                <w:szCs w:val="20"/>
              </w:rPr>
            </w:pPr>
            <w:r w:rsidRPr="009066CB">
              <w:rPr>
                <w:rFonts w:ascii="Calibri" w:eastAsia="Times New Roman" w:hAnsi="Calibri" w:cs="Times New Roman"/>
                <w:b/>
                <w:sz w:val="20"/>
                <w:szCs w:val="20"/>
              </w:rPr>
              <w:t>Number Included (2016)</w:t>
            </w:r>
          </w:p>
        </w:tc>
        <w:tc>
          <w:tcPr>
            <w:tcW w:w="4414" w:type="dxa"/>
            <w:gridSpan w:val="5"/>
            <w:vMerge w:val="restart"/>
            <w:vAlign w:val="center"/>
          </w:tcPr>
          <w:p w:rsidR="007128B9" w:rsidRPr="009066CB" w:rsidRDefault="007128B9" w:rsidP="009266F5">
            <w:pPr>
              <w:spacing w:after="0" w:line="240" w:lineRule="auto"/>
              <w:jc w:val="center"/>
              <w:rPr>
                <w:rFonts w:ascii="Calibri" w:eastAsia="Times New Roman" w:hAnsi="Calibri" w:cs="Times New Roman"/>
                <w:b/>
                <w:sz w:val="20"/>
                <w:szCs w:val="20"/>
              </w:rPr>
            </w:pPr>
            <w:r w:rsidRPr="009066CB">
              <w:rPr>
                <w:rFonts w:ascii="Calibri" w:eastAsia="Times New Roman" w:hAnsi="Calibri" w:cs="Times New Roman"/>
                <w:b/>
                <w:sz w:val="20"/>
                <w:szCs w:val="20"/>
              </w:rPr>
              <w:t>Spring MCAS Year</w:t>
            </w:r>
          </w:p>
        </w:tc>
        <w:tc>
          <w:tcPr>
            <w:tcW w:w="1840" w:type="dxa"/>
            <w:gridSpan w:val="2"/>
          </w:tcPr>
          <w:p w:rsidR="007128B9" w:rsidRPr="009066CB" w:rsidRDefault="007128B9" w:rsidP="009266F5">
            <w:pPr>
              <w:spacing w:after="0" w:line="240" w:lineRule="auto"/>
              <w:rPr>
                <w:rFonts w:ascii="Calibri" w:eastAsia="Times New Roman" w:hAnsi="Calibri" w:cs="Times New Roman"/>
                <w:b/>
                <w:sz w:val="20"/>
                <w:szCs w:val="20"/>
              </w:rPr>
            </w:pPr>
            <w:r w:rsidRPr="009066CB">
              <w:rPr>
                <w:rFonts w:ascii="Calibri" w:eastAsia="Times New Roman" w:hAnsi="Calibri" w:cs="Times New Roman"/>
                <w:b/>
                <w:sz w:val="20"/>
                <w:szCs w:val="20"/>
              </w:rPr>
              <w:t>Gains and Declines</w:t>
            </w:r>
          </w:p>
        </w:tc>
      </w:tr>
      <w:tr w:rsidR="007128B9" w:rsidRPr="009066CB" w:rsidTr="009266F5">
        <w:trPr>
          <w:trHeight w:val="244"/>
        </w:trPr>
        <w:tc>
          <w:tcPr>
            <w:tcW w:w="1278" w:type="dxa"/>
            <w:gridSpan w:val="2"/>
            <w:vMerge/>
          </w:tcPr>
          <w:p w:rsidR="007128B9" w:rsidRPr="009066CB" w:rsidRDefault="007128B9" w:rsidP="009266F5">
            <w:pPr>
              <w:spacing w:after="0" w:line="240" w:lineRule="auto"/>
              <w:rPr>
                <w:rFonts w:ascii="Calibri" w:eastAsia="Times New Roman" w:hAnsi="Calibri" w:cs="Times New Roman"/>
                <w:b/>
                <w:sz w:val="20"/>
                <w:szCs w:val="20"/>
              </w:rPr>
            </w:pPr>
          </w:p>
        </w:tc>
        <w:tc>
          <w:tcPr>
            <w:tcW w:w="1396" w:type="dxa"/>
            <w:vMerge/>
          </w:tcPr>
          <w:p w:rsidR="007128B9" w:rsidRPr="009066CB" w:rsidRDefault="007128B9" w:rsidP="009266F5">
            <w:pPr>
              <w:spacing w:after="0" w:line="240" w:lineRule="auto"/>
              <w:rPr>
                <w:rFonts w:ascii="Calibri" w:eastAsia="Times New Roman" w:hAnsi="Calibri" w:cs="Times New Roman"/>
                <w:b/>
                <w:sz w:val="20"/>
                <w:szCs w:val="20"/>
              </w:rPr>
            </w:pPr>
          </w:p>
        </w:tc>
        <w:tc>
          <w:tcPr>
            <w:tcW w:w="4414" w:type="dxa"/>
            <w:gridSpan w:val="5"/>
            <w:vMerge/>
          </w:tcPr>
          <w:p w:rsidR="007128B9" w:rsidRPr="009066CB" w:rsidRDefault="007128B9" w:rsidP="009266F5">
            <w:pPr>
              <w:spacing w:after="0" w:line="240" w:lineRule="auto"/>
              <w:rPr>
                <w:rFonts w:ascii="Calibri" w:eastAsia="Times New Roman" w:hAnsi="Calibri" w:cs="Times New Roman"/>
                <w:b/>
                <w:sz w:val="20"/>
                <w:szCs w:val="20"/>
              </w:rPr>
            </w:pPr>
          </w:p>
        </w:tc>
        <w:tc>
          <w:tcPr>
            <w:tcW w:w="884" w:type="dxa"/>
            <w:vMerge w:val="restart"/>
            <w:vAlign w:val="center"/>
          </w:tcPr>
          <w:p w:rsidR="007128B9" w:rsidRPr="009066CB" w:rsidRDefault="007128B9" w:rsidP="009266F5">
            <w:pPr>
              <w:spacing w:after="0" w:line="240" w:lineRule="auto"/>
              <w:jc w:val="center"/>
              <w:rPr>
                <w:rFonts w:ascii="Calibri" w:eastAsia="Times New Roman" w:hAnsi="Calibri" w:cs="Times New Roman"/>
                <w:b/>
                <w:sz w:val="20"/>
                <w:szCs w:val="20"/>
              </w:rPr>
            </w:pPr>
            <w:r w:rsidRPr="009066CB">
              <w:rPr>
                <w:rFonts w:ascii="Calibri" w:eastAsia="Times New Roman" w:hAnsi="Calibri" w:cs="Times New Roman"/>
                <w:b/>
                <w:sz w:val="20"/>
                <w:szCs w:val="20"/>
              </w:rPr>
              <w:t>4-Year Trend</w:t>
            </w:r>
          </w:p>
        </w:tc>
        <w:tc>
          <w:tcPr>
            <w:tcW w:w="956" w:type="dxa"/>
            <w:vMerge w:val="restart"/>
            <w:vAlign w:val="center"/>
          </w:tcPr>
          <w:p w:rsidR="007128B9" w:rsidRPr="009066CB" w:rsidRDefault="007128B9" w:rsidP="009266F5">
            <w:pPr>
              <w:spacing w:after="0" w:line="240" w:lineRule="auto"/>
              <w:jc w:val="center"/>
              <w:rPr>
                <w:rFonts w:ascii="Calibri" w:eastAsia="Times New Roman" w:hAnsi="Calibri" w:cs="Times New Roman"/>
                <w:b/>
                <w:sz w:val="20"/>
                <w:szCs w:val="20"/>
              </w:rPr>
            </w:pPr>
            <w:r w:rsidRPr="009066CB">
              <w:rPr>
                <w:rFonts w:ascii="Calibri" w:eastAsia="Times New Roman" w:hAnsi="Calibri" w:cs="Times New Roman"/>
                <w:b/>
                <w:sz w:val="20"/>
                <w:szCs w:val="20"/>
              </w:rPr>
              <w:t>2-Year Trend</w:t>
            </w:r>
          </w:p>
        </w:tc>
      </w:tr>
      <w:tr w:rsidR="007128B9" w:rsidRPr="009066CB" w:rsidTr="009266F5">
        <w:tc>
          <w:tcPr>
            <w:tcW w:w="1278" w:type="dxa"/>
            <w:gridSpan w:val="2"/>
            <w:vMerge/>
          </w:tcPr>
          <w:p w:rsidR="007128B9" w:rsidRPr="009066CB" w:rsidRDefault="007128B9" w:rsidP="009266F5">
            <w:pPr>
              <w:spacing w:after="0" w:line="240" w:lineRule="auto"/>
              <w:rPr>
                <w:rFonts w:ascii="Calibri" w:eastAsia="Times New Roman" w:hAnsi="Calibri" w:cs="Times New Roman"/>
                <w:sz w:val="20"/>
                <w:szCs w:val="20"/>
              </w:rPr>
            </w:pPr>
          </w:p>
        </w:tc>
        <w:tc>
          <w:tcPr>
            <w:tcW w:w="1396" w:type="dxa"/>
            <w:vMerge/>
          </w:tcPr>
          <w:p w:rsidR="007128B9" w:rsidRPr="009066CB" w:rsidRDefault="007128B9" w:rsidP="009266F5">
            <w:pPr>
              <w:spacing w:after="0" w:line="240" w:lineRule="auto"/>
              <w:rPr>
                <w:rFonts w:ascii="Calibri" w:eastAsia="Times New Roman" w:hAnsi="Calibri" w:cs="Times New Roman"/>
                <w:sz w:val="20"/>
                <w:szCs w:val="20"/>
              </w:rPr>
            </w:pPr>
          </w:p>
        </w:tc>
        <w:tc>
          <w:tcPr>
            <w:tcW w:w="882" w:type="dxa"/>
            <w:vAlign w:val="center"/>
          </w:tcPr>
          <w:p w:rsidR="007128B9" w:rsidRPr="009066CB" w:rsidRDefault="007128B9" w:rsidP="009266F5">
            <w:pPr>
              <w:spacing w:after="0" w:line="240" w:lineRule="auto"/>
              <w:jc w:val="center"/>
              <w:rPr>
                <w:rFonts w:ascii="Calibri" w:eastAsia="Times New Roman" w:hAnsi="Calibri" w:cs="Times New Roman"/>
                <w:b/>
                <w:sz w:val="20"/>
                <w:szCs w:val="20"/>
              </w:rPr>
            </w:pPr>
            <w:r w:rsidRPr="009066CB">
              <w:rPr>
                <w:rFonts w:ascii="Calibri" w:eastAsia="Times New Roman" w:hAnsi="Calibri" w:cs="Times New Roman"/>
                <w:b/>
                <w:sz w:val="20"/>
                <w:szCs w:val="20"/>
              </w:rPr>
              <w:t>2013</w:t>
            </w:r>
          </w:p>
        </w:tc>
        <w:tc>
          <w:tcPr>
            <w:tcW w:w="883" w:type="dxa"/>
            <w:vAlign w:val="center"/>
          </w:tcPr>
          <w:p w:rsidR="007128B9" w:rsidRPr="009066CB" w:rsidRDefault="007128B9" w:rsidP="009266F5">
            <w:pPr>
              <w:spacing w:after="0" w:line="240" w:lineRule="auto"/>
              <w:jc w:val="center"/>
              <w:rPr>
                <w:rFonts w:ascii="Calibri" w:eastAsia="Times New Roman" w:hAnsi="Calibri" w:cs="Times New Roman"/>
                <w:b/>
                <w:sz w:val="20"/>
                <w:szCs w:val="20"/>
              </w:rPr>
            </w:pPr>
            <w:r w:rsidRPr="009066CB">
              <w:rPr>
                <w:rFonts w:ascii="Calibri" w:eastAsia="Times New Roman" w:hAnsi="Calibri" w:cs="Times New Roman"/>
                <w:b/>
                <w:sz w:val="20"/>
                <w:szCs w:val="20"/>
              </w:rPr>
              <w:t>2014</w:t>
            </w:r>
          </w:p>
        </w:tc>
        <w:tc>
          <w:tcPr>
            <w:tcW w:w="883" w:type="dxa"/>
            <w:vAlign w:val="center"/>
          </w:tcPr>
          <w:p w:rsidR="007128B9" w:rsidRPr="009066CB" w:rsidRDefault="007128B9" w:rsidP="009266F5">
            <w:pPr>
              <w:spacing w:after="0" w:line="240" w:lineRule="auto"/>
              <w:jc w:val="center"/>
              <w:rPr>
                <w:rFonts w:ascii="Calibri" w:eastAsia="Times New Roman" w:hAnsi="Calibri" w:cs="Times New Roman"/>
                <w:b/>
                <w:sz w:val="20"/>
                <w:szCs w:val="20"/>
              </w:rPr>
            </w:pPr>
            <w:r w:rsidRPr="009066CB">
              <w:rPr>
                <w:rFonts w:ascii="Calibri" w:eastAsia="Times New Roman" w:hAnsi="Calibri" w:cs="Times New Roman"/>
                <w:b/>
                <w:sz w:val="20"/>
                <w:szCs w:val="20"/>
              </w:rPr>
              <w:t>2015</w:t>
            </w:r>
          </w:p>
        </w:tc>
        <w:tc>
          <w:tcPr>
            <w:tcW w:w="883" w:type="dxa"/>
            <w:vAlign w:val="center"/>
          </w:tcPr>
          <w:p w:rsidR="007128B9" w:rsidRPr="009066CB" w:rsidRDefault="007128B9" w:rsidP="009266F5">
            <w:pPr>
              <w:spacing w:after="0" w:line="240" w:lineRule="auto"/>
              <w:jc w:val="center"/>
              <w:rPr>
                <w:rFonts w:ascii="Calibri" w:eastAsia="Times New Roman" w:hAnsi="Calibri" w:cs="Times New Roman"/>
                <w:b/>
                <w:sz w:val="20"/>
                <w:szCs w:val="20"/>
              </w:rPr>
            </w:pPr>
            <w:r w:rsidRPr="009066CB">
              <w:rPr>
                <w:rFonts w:ascii="Calibri" w:eastAsia="Times New Roman" w:hAnsi="Calibri" w:cs="Times New Roman"/>
                <w:b/>
                <w:sz w:val="20"/>
                <w:szCs w:val="20"/>
              </w:rPr>
              <w:t>2016</w:t>
            </w:r>
          </w:p>
        </w:tc>
        <w:tc>
          <w:tcPr>
            <w:tcW w:w="883" w:type="dxa"/>
            <w:shd w:val="clear" w:color="auto" w:fill="D9D9D9" w:themeFill="background1" w:themeFillShade="D9"/>
            <w:vAlign w:val="center"/>
          </w:tcPr>
          <w:p w:rsidR="007128B9" w:rsidRPr="009066CB" w:rsidRDefault="007128B9" w:rsidP="009266F5">
            <w:pPr>
              <w:spacing w:after="0" w:line="240" w:lineRule="auto"/>
              <w:jc w:val="center"/>
              <w:rPr>
                <w:rFonts w:ascii="Calibri" w:eastAsia="Times New Roman" w:hAnsi="Calibri" w:cs="Times New Roman"/>
                <w:b/>
                <w:sz w:val="20"/>
                <w:szCs w:val="20"/>
              </w:rPr>
            </w:pPr>
            <w:r w:rsidRPr="009066CB">
              <w:rPr>
                <w:rFonts w:ascii="Calibri" w:eastAsia="Times New Roman" w:hAnsi="Calibri" w:cs="Times New Roman"/>
                <w:b/>
                <w:sz w:val="20"/>
                <w:szCs w:val="20"/>
              </w:rPr>
              <w:t>State (2016)</w:t>
            </w:r>
          </w:p>
        </w:tc>
        <w:tc>
          <w:tcPr>
            <w:tcW w:w="884" w:type="dxa"/>
            <w:vMerge/>
          </w:tcPr>
          <w:p w:rsidR="007128B9" w:rsidRPr="009066CB" w:rsidRDefault="007128B9" w:rsidP="009266F5">
            <w:pPr>
              <w:spacing w:after="0" w:line="240" w:lineRule="auto"/>
              <w:rPr>
                <w:rFonts w:ascii="Calibri" w:eastAsia="Times New Roman" w:hAnsi="Calibri" w:cs="Times New Roman"/>
                <w:sz w:val="20"/>
                <w:szCs w:val="20"/>
              </w:rPr>
            </w:pPr>
          </w:p>
        </w:tc>
        <w:tc>
          <w:tcPr>
            <w:tcW w:w="956" w:type="dxa"/>
            <w:vMerge/>
          </w:tcPr>
          <w:p w:rsidR="007128B9" w:rsidRPr="009066CB" w:rsidRDefault="007128B9" w:rsidP="009266F5">
            <w:pPr>
              <w:spacing w:after="0" w:line="240" w:lineRule="auto"/>
              <w:rPr>
                <w:rFonts w:ascii="Calibri" w:eastAsia="Times New Roman" w:hAnsi="Calibri" w:cs="Times New Roman"/>
                <w:sz w:val="20"/>
                <w:szCs w:val="20"/>
              </w:rPr>
            </w:pPr>
          </w:p>
        </w:tc>
      </w:tr>
      <w:tr w:rsidR="007128B9" w:rsidRPr="009066CB" w:rsidTr="009266F5">
        <w:tc>
          <w:tcPr>
            <w:tcW w:w="554" w:type="dxa"/>
            <w:vMerge w:val="restart"/>
            <w:vAlign w:val="center"/>
          </w:tcPr>
          <w:p w:rsidR="007128B9" w:rsidRPr="009066CB" w:rsidRDefault="007128B9" w:rsidP="009266F5">
            <w:pPr>
              <w:spacing w:after="0" w:line="240" w:lineRule="auto"/>
              <w:jc w:val="center"/>
              <w:rPr>
                <w:rFonts w:ascii="Calibri" w:eastAsia="Times New Roman" w:hAnsi="Calibri" w:cs="Times New Roman"/>
                <w:sz w:val="20"/>
                <w:szCs w:val="20"/>
              </w:rPr>
            </w:pPr>
            <w:r w:rsidRPr="009066CB">
              <w:rPr>
                <w:rFonts w:ascii="Calibri" w:eastAsia="Times New Roman" w:hAnsi="Calibri" w:cs="Times New Roman"/>
                <w:sz w:val="20"/>
                <w:szCs w:val="20"/>
              </w:rPr>
              <w:t>5</w:t>
            </w:r>
          </w:p>
        </w:tc>
        <w:tc>
          <w:tcPr>
            <w:tcW w:w="724" w:type="dxa"/>
          </w:tcPr>
          <w:p w:rsidR="007128B9" w:rsidRPr="009066CB" w:rsidRDefault="007128B9" w:rsidP="009266F5">
            <w:pPr>
              <w:spacing w:after="0" w:line="240" w:lineRule="auto"/>
              <w:rPr>
                <w:rFonts w:ascii="Calibri" w:eastAsia="Times New Roman" w:hAnsi="Calibri" w:cs="Times New Roman"/>
                <w:sz w:val="20"/>
                <w:szCs w:val="20"/>
              </w:rPr>
            </w:pPr>
            <w:r w:rsidRPr="009066CB">
              <w:rPr>
                <w:rFonts w:ascii="Calibri" w:eastAsia="Times New Roman" w:hAnsi="Calibri" w:cs="Times New Roman"/>
                <w:sz w:val="20"/>
                <w:szCs w:val="20"/>
              </w:rPr>
              <w:t>CPI</w:t>
            </w:r>
          </w:p>
        </w:tc>
        <w:tc>
          <w:tcPr>
            <w:tcW w:w="1396" w:type="dxa"/>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1,787</w:t>
            </w:r>
          </w:p>
        </w:tc>
        <w:tc>
          <w:tcPr>
            <w:tcW w:w="882" w:type="dxa"/>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64.2</w:t>
            </w:r>
          </w:p>
        </w:tc>
        <w:tc>
          <w:tcPr>
            <w:tcW w:w="883" w:type="dxa"/>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67.4</w:t>
            </w:r>
          </w:p>
        </w:tc>
        <w:tc>
          <w:tcPr>
            <w:tcW w:w="883" w:type="dxa"/>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66.6</w:t>
            </w:r>
          </w:p>
        </w:tc>
        <w:tc>
          <w:tcPr>
            <w:tcW w:w="883" w:type="dxa"/>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64.7</w:t>
            </w:r>
          </w:p>
        </w:tc>
        <w:tc>
          <w:tcPr>
            <w:tcW w:w="883" w:type="dxa"/>
            <w:shd w:val="clear" w:color="auto" w:fill="D9D9D9" w:themeFill="background1" w:themeFillShade="D9"/>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76.4</w:t>
            </w:r>
          </w:p>
        </w:tc>
        <w:tc>
          <w:tcPr>
            <w:tcW w:w="884" w:type="dxa"/>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0.5</w:t>
            </w:r>
          </w:p>
        </w:tc>
        <w:tc>
          <w:tcPr>
            <w:tcW w:w="956" w:type="dxa"/>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-1.9</w:t>
            </w:r>
          </w:p>
        </w:tc>
      </w:tr>
      <w:tr w:rsidR="007128B9" w:rsidRPr="009066CB" w:rsidTr="009266F5">
        <w:tc>
          <w:tcPr>
            <w:tcW w:w="554" w:type="dxa"/>
            <w:vMerge/>
            <w:vAlign w:val="center"/>
          </w:tcPr>
          <w:p w:rsidR="007128B9" w:rsidRPr="009066CB" w:rsidRDefault="007128B9" w:rsidP="009266F5">
            <w:pPr>
              <w:spacing w:after="0" w:line="240" w:lineRule="auto"/>
              <w:jc w:val="center"/>
              <w:rPr>
                <w:rFonts w:ascii="Calibri" w:eastAsia="Times New Roman" w:hAnsi="Calibri" w:cs="Times New Roman"/>
                <w:sz w:val="20"/>
                <w:szCs w:val="20"/>
              </w:rPr>
            </w:pPr>
          </w:p>
        </w:tc>
        <w:tc>
          <w:tcPr>
            <w:tcW w:w="724" w:type="dxa"/>
          </w:tcPr>
          <w:p w:rsidR="007128B9" w:rsidRPr="009066CB" w:rsidRDefault="007128B9" w:rsidP="009266F5">
            <w:pPr>
              <w:spacing w:after="0" w:line="240" w:lineRule="auto"/>
              <w:rPr>
                <w:rFonts w:ascii="Calibri" w:eastAsia="Times New Roman" w:hAnsi="Calibri" w:cs="Times New Roman"/>
                <w:sz w:val="20"/>
                <w:szCs w:val="20"/>
              </w:rPr>
            </w:pPr>
            <w:r w:rsidRPr="009066CB">
              <w:rPr>
                <w:rFonts w:ascii="Calibri" w:eastAsia="Times New Roman" w:hAnsi="Calibri" w:cs="Times New Roman"/>
                <w:sz w:val="20"/>
                <w:szCs w:val="20"/>
              </w:rPr>
              <w:t>P+</w:t>
            </w:r>
          </w:p>
        </w:tc>
        <w:tc>
          <w:tcPr>
            <w:tcW w:w="1396" w:type="dxa"/>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1,787</w:t>
            </w:r>
          </w:p>
        </w:tc>
        <w:tc>
          <w:tcPr>
            <w:tcW w:w="882" w:type="dxa"/>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29%</w:t>
            </w:r>
          </w:p>
        </w:tc>
        <w:tc>
          <w:tcPr>
            <w:tcW w:w="883" w:type="dxa"/>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34%</w:t>
            </w:r>
          </w:p>
        </w:tc>
        <w:tc>
          <w:tcPr>
            <w:tcW w:w="883" w:type="dxa"/>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32%</w:t>
            </w:r>
          </w:p>
        </w:tc>
        <w:tc>
          <w:tcPr>
            <w:tcW w:w="883" w:type="dxa"/>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29%</w:t>
            </w:r>
          </w:p>
        </w:tc>
        <w:tc>
          <w:tcPr>
            <w:tcW w:w="883" w:type="dxa"/>
            <w:shd w:val="clear" w:color="auto" w:fill="D9D9D9" w:themeFill="background1" w:themeFillShade="D9"/>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47%</w:t>
            </w:r>
          </w:p>
        </w:tc>
        <w:tc>
          <w:tcPr>
            <w:tcW w:w="884" w:type="dxa"/>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0</w:t>
            </w:r>
          </w:p>
        </w:tc>
        <w:tc>
          <w:tcPr>
            <w:tcW w:w="956" w:type="dxa"/>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-3</w:t>
            </w:r>
          </w:p>
        </w:tc>
      </w:tr>
      <w:tr w:rsidR="007128B9" w:rsidRPr="009066CB" w:rsidTr="009266F5">
        <w:tc>
          <w:tcPr>
            <w:tcW w:w="554" w:type="dxa"/>
            <w:vMerge w:val="restart"/>
            <w:vAlign w:val="center"/>
          </w:tcPr>
          <w:p w:rsidR="007128B9" w:rsidRPr="009066CB" w:rsidRDefault="007128B9" w:rsidP="009266F5">
            <w:pPr>
              <w:spacing w:after="0" w:line="240" w:lineRule="auto"/>
              <w:jc w:val="center"/>
              <w:rPr>
                <w:rFonts w:ascii="Calibri" w:eastAsia="Times New Roman" w:hAnsi="Calibri" w:cs="Times New Roman"/>
                <w:sz w:val="20"/>
                <w:szCs w:val="20"/>
              </w:rPr>
            </w:pPr>
            <w:r w:rsidRPr="009066CB">
              <w:rPr>
                <w:rFonts w:ascii="Calibri" w:eastAsia="Times New Roman" w:hAnsi="Calibri" w:cs="Times New Roman"/>
                <w:sz w:val="20"/>
                <w:szCs w:val="20"/>
              </w:rPr>
              <w:t>8</w:t>
            </w:r>
          </w:p>
        </w:tc>
        <w:tc>
          <w:tcPr>
            <w:tcW w:w="724" w:type="dxa"/>
          </w:tcPr>
          <w:p w:rsidR="007128B9" w:rsidRPr="009066CB" w:rsidRDefault="007128B9" w:rsidP="009266F5">
            <w:pPr>
              <w:spacing w:after="0" w:line="240" w:lineRule="auto"/>
              <w:rPr>
                <w:rFonts w:ascii="Calibri" w:eastAsia="Times New Roman" w:hAnsi="Calibri" w:cs="Times New Roman"/>
                <w:sz w:val="20"/>
                <w:szCs w:val="20"/>
              </w:rPr>
            </w:pPr>
            <w:r w:rsidRPr="009066CB">
              <w:rPr>
                <w:rFonts w:ascii="Calibri" w:eastAsia="Times New Roman" w:hAnsi="Calibri" w:cs="Times New Roman"/>
                <w:sz w:val="20"/>
                <w:szCs w:val="20"/>
              </w:rPr>
              <w:t>CPI</w:t>
            </w:r>
          </w:p>
        </w:tc>
        <w:tc>
          <w:tcPr>
            <w:tcW w:w="1396" w:type="dxa"/>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1,624</w:t>
            </w:r>
          </w:p>
        </w:tc>
        <w:tc>
          <w:tcPr>
            <w:tcW w:w="882" w:type="dxa"/>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54.8</w:t>
            </w:r>
          </w:p>
        </w:tc>
        <w:tc>
          <w:tcPr>
            <w:tcW w:w="883" w:type="dxa"/>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57.2</w:t>
            </w:r>
          </w:p>
        </w:tc>
        <w:tc>
          <w:tcPr>
            <w:tcW w:w="883" w:type="dxa"/>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55.5</w:t>
            </w:r>
          </w:p>
        </w:tc>
        <w:tc>
          <w:tcPr>
            <w:tcW w:w="883" w:type="dxa"/>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55</w:t>
            </w:r>
          </w:p>
        </w:tc>
        <w:tc>
          <w:tcPr>
            <w:tcW w:w="883" w:type="dxa"/>
            <w:shd w:val="clear" w:color="auto" w:fill="D9D9D9" w:themeFill="background1" w:themeFillShade="D9"/>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71.3</w:t>
            </w:r>
          </w:p>
        </w:tc>
        <w:tc>
          <w:tcPr>
            <w:tcW w:w="884" w:type="dxa"/>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0.2</w:t>
            </w:r>
          </w:p>
        </w:tc>
        <w:tc>
          <w:tcPr>
            <w:tcW w:w="956" w:type="dxa"/>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-0.5</w:t>
            </w:r>
          </w:p>
        </w:tc>
      </w:tr>
      <w:tr w:rsidR="007128B9" w:rsidRPr="009066CB" w:rsidTr="009266F5">
        <w:tc>
          <w:tcPr>
            <w:tcW w:w="554" w:type="dxa"/>
            <w:vMerge/>
            <w:vAlign w:val="center"/>
          </w:tcPr>
          <w:p w:rsidR="007128B9" w:rsidRPr="009066CB" w:rsidRDefault="007128B9" w:rsidP="009266F5">
            <w:pPr>
              <w:spacing w:after="0" w:line="240" w:lineRule="auto"/>
              <w:jc w:val="center"/>
              <w:rPr>
                <w:rFonts w:ascii="Calibri" w:eastAsia="Times New Roman" w:hAnsi="Calibri" w:cs="Times New Roman"/>
                <w:sz w:val="20"/>
                <w:szCs w:val="20"/>
              </w:rPr>
            </w:pPr>
          </w:p>
        </w:tc>
        <w:tc>
          <w:tcPr>
            <w:tcW w:w="724" w:type="dxa"/>
          </w:tcPr>
          <w:p w:rsidR="007128B9" w:rsidRPr="009066CB" w:rsidRDefault="007128B9" w:rsidP="009266F5">
            <w:pPr>
              <w:spacing w:after="0" w:line="240" w:lineRule="auto"/>
              <w:rPr>
                <w:rFonts w:ascii="Calibri" w:eastAsia="Times New Roman" w:hAnsi="Calibri" w:cs="Times New Roman"/>
                <w:sz w:val="20"/>
                <w:szCs w:val="20"/>
              </w:rPr>
            </w:pPr>
            <w:r w:rsidRPr="009066CB">
              <w:rPr>
                <w:rFonts w:ascii="Calibri" w:eastAsia="Times New Roman" w:hAnsi="Calibri" w:cs="Times New Roman"/>
                <w:sz w:val="20"/>
                <w:szCs w:val="20"/>
              </w:rPr>
              <w:t>P+</w:t>
            </w:r>
          </w:p>
        </w:tc>
        <w:tc>
          <w:tcPr>
            <w:tcW w:w="1396" w:type="dxa"/>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1,624</w:t>
            </w:r>
          </w:p>
        </w:tc>
        <w:tc>
          <w:tcPr>
            <w:tcW w:w="882" w:type="dxa"/>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21%</w:t>
            </w:r>
          </w:p>
        </w:tc>
        <w:tc>
          <w:tcPr>
            <w:tcW w:w="883" w:type="dxa"/>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23%</w:t>
            </w:r>
          </w:p>
        </w:tc>
        <w:tc>
          <w:tcPr>
            <w:tcW w:w="883" w:type="dxa"/>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20%</w:t>
            </w:r>
          </w:p>
        </w:tc>
        <w:tc>
          <w:tcPr>
            <w:tcW w:w="883" w:type="dxa"/>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20%</w:t>
            </w:r>
          </w:p>
        </w:tc>
        <w:tc>
          <w:tcPr>
            <w:tcW w:w="883" w:type="dxa"/>
            <w:shd w:val="clear" w:color="auto" w:fill="D9D9D9" w:themeFill="background1" w:themeFillShade="D9"/>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41%</w:t>
            </w:r>
          </w:p>
        </w:tc>
        <w:tc>
          <w:tcPr>
            <w:tcW w:w="884" w:type="dxa"/>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-1</w:t>
            </w:r>
          </w:p>
        </w:tc>
        <w:tc>
          <w:tcPr>
            <w:tcW w:w="956" w:type="dxa"/>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0</w:t>
            </w:r>
          </w:p>
        </w:tc>
      </w:tr>
      <w:tr w:rsidR="007128B9" w:rsidRPr="009066CB" w:rsidTr="009266F5">
        <w:tc>
          <w:tcPr>
            <w:tcW w:w="554" w:type="dxa"/>
            <w:vMerge w:val="restart"/>
            <w:vAlign w:val="center"/>
          </w:tcPr>
          <w:p w:rsidR="007128B9" w:rsidRPr="009066CB" w:rsidRDefault="007128B9" w:rsidP="009266F5">
            <w:pPr>
              <w:spacing w:after="0" w:line="240" w:lineRule="auto"/>
              <w:jc w:val="center"/>
              <w:rPr>
                <w:rFonts w:ascii="Calibri" w:eastAsia="Times New Roman" w:hAnsi="Calibri" w:cs="Times New Roman"/>
                <w:sz w:val="20"/>
                <w:szCs w:val="20"/>
              </w:rPr>
            </w:pPr>
            <w:r w:rsidRPr="009066CB">
              <w:rPr>
                <w:rFonts w:ascii="Calibri" w:eastAsia="Times New Roman" w:hAnsi="Calibri" w:cs="Times New Roman"/>
                <w:sz w:val="20"/>
                <w:szCs w:val="20"/>
              </w:rPr>
              <w:t>10</w:t>
            </w:r>
          </w:p>
        </w:tc>
        <w:tc>
          <w:tcPr>
            <w:tcW w:w="724" w:type="dxa"/>
          </w:tcPr>
          <w:p w:rsidR="007128B9" w:rsidRPr="009066CB" w:rsidRDefault="007128B9" w:rsidP="009266F5">
            <w:pPr>
              <w:spacing w:after="0" w:line="240" w:lineRule="auto"/>
              <w:rPr>
                <w:rFonts w:ascii="Calibri" w:eastAsia="Times New Roman" w:hAnsi="Calibri" w:cs="Times New Roman"/>
                <w:sz w:val="20"/>
                <w:szCs w:val="20"/>
              </w:rPr>
            </w:pPr>
            <w:r w:rsidRPr="009066CB">
              <w:rPr>
                <w:rFonts w:ascii="Calibri" w:eastAsia="Times New Roman" w:hAnsi="Calibri" w:cs="Times New Roman"/>
                <w:sz w:val="20"/>
                <w:szCs w:val="20"/>
              </w:rPr>
              <w:t>CPI</w:t>
            </w:r>
          </w:p>
        </w:tc>
        <w:tc>
          <w:tcPr>
            <w:tcW w:w="1396" w:type="dxa"/>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1,642</w:t>
            </w:r>
          </w:p>
        </w:tc>
        <w:tc>
          <w:tcPr>
            <w:tcW w:w="882" w:type="dxa"/>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76.3</w:t>
            </w:r>
          </w:p>
        </w:tc>
        <w:tc>
          <w:tcPr>
            <w:tcW w:w="883" w:type="dxa"/>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75.4</w:t>
            </w:r>
          </w:p>
        </w:tc>
        <w:tc>
          <w:tcPr>
            <w:tcW w:w="883" w:type="dxa"/>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76.9</w:t>
            </w:r>
          </w:p>
        </w:tc>
        <w:tc>
          <w:tcPr>
            <w:tcW w:w="883" w:type="dxa"/>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78.3</w:t>
            </w:r>
          </w:p>
        </w:tc>
        <w:tc>
          <w:tcPr>
            <w:tcW w:w="883" w:type="dxa"/>
            <w:shd w:val="clear" w:color="auto" w:fill="D9D9D9" w:themeFill="background1" w:themeFillShade="D9"/>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88.9</w:t>
            </w:r>
          </w:p>
        </w:tc>
        <w:tc>
          <w:tcPr>
            <w:tcW w:w="884" w:type="dxa"/>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2.0</w:t>
            </w:r>
          </w:p>
        </w:tc>
        <w:tc>
          <w:tcPr>
            <w:tcW w:w="956" w:type="dxa"/>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1.4</w:t>
            </w:r>
          </w:p>
        </w:tc>
      </w:tr>
      <w:tr w:rsidR="007128B9" w:rsidRPr="009066CB" w:rsidTr="009266F5">
        <w:tc>
          <w:tcPr>
            <w:tcW w:w="554" w:type="dxa"/>
            <w:vMerge/>
            <w:vAlign w:val="center"/>
          </w:tcPr>
          <w:p w:rsidR="007128B9" w:rsidRPr="009066CB" w:rsidRDefault="007128B9" w:rsidP="009266F5">
            <w:pPr>
              <w:spacing w:after="0" w:line="240" w:lineRule="auto"/>
              <w:jc w:val="center"/>
              <w:rPr>
                <w:rFonts w:ascii="Calibri" w:eastAsia="Times New Roman" w:hAnsi="Calibri" w:cs="Times New Roman"/>
                <w:sz w:val="20"/>
                <w:szCs w:val="20"/>
              </w:rPr>
            </w:pPr>
          </w:p>
        </w:tc>
        <w:tc>
          <w:tcPr>
            <w:tcW w:w="724" w:type="dxa"/>
          </w:tcPr>
          <w:p w:rsidR="007128B9" w:rsidRPr="009066CB" w:rsidRDefault="007128B9" w:rsidP="009266F5">
            <w:pPr>
              <w:spacing w:after="0" w:line="240" w:lineRule="auto"/>
              <w:rPr>
                <w:rFonts w:ascii="Calibri" w:eastAsia="Times New Roman" w:hAnsi="Calibri" w:cs="Times New Roman"/>
                <w:sz w:val="20"/>
                <w:szCs w:val="20"/>
              </w:rPr>
            </w:pPr>
            <w:r w:rsidRPr="009066CB">
              <w:rPr>
                <w:rFonts w:ascii="Calibri" w:eastAsia="Times New Roman" w:hAnsi="Calibri" w:cs="Times New Roman"/>
                <w:sz w:val="20"/>
                <w:szCs w:val="20"/>
              </w:rPr>
              <w:t>P+</w:t>
            </w:r>
          </w:p>
        </w:tc>
        <w:tc>
          <w:tcPr>
            <w:tcW w:w="1396" w:type="dxa"/>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1,642</w:t>
            </w:r>
          </w:p>
        </w:tc>
        <w:tc>
          <w:tcPr>
            <w:tcW w:w="882" w:type="dxa"/>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46%</w:t>
            </w:r>
          </w:p>
        </w:tc>
        <w:tc>
          <w:tcPr>
            <w:tcW w:w="883" w:type="dxa"/>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46%</w:t>
            </w:r>
          </w:p>
        </w:tc>
        <w:tc>
          <w:tcPr>
            <w:tcW w:w="883" w:type="dxa"/>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49%</w:t>
            </w:r>
          </w:p>
        </w:tc>
        <w:tc>
          <w:tcPr>
            <w:tcW w:w="883" w:type="dxa"/>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51%</w:t>
            </w:r>
          </w:p>
        </w:tc>
        <w:tc>
          <w:tcPr>
            <w:tcW w:w="883" w:type="dxa"/>
            <w:shd w:val="clear" w:color="auto" w:fill="D9D9D9" w:themeFill="background1" w:themeFillShade="D9"/>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73%</w:t>
            </w:r>
          </w:p>
        </w:tc>
        <w:tc>
          <w:tcPr>
            <w:tcW w:w="884" w:type="dxa"/>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5</w:t>
            </w:r>
          </w:p>
        </w:tc>
        <w:tc>
          <w:tcPr>
            <w:tcW w:w="956" w:type="dxa"/>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2</w:t>
            </w:r>
          </w:p>
        </w:tc>
      </w:tr>
      <w:tr w:rsidR="007128B9" w:rsidRPr="009066CB" w:rsidTr="009266F5">
        <w:tc>
          <w:tcPr>
            <w:tcW w:w="554" w:type="dxa"/>
            <w:vMerge w:val="restart"/>
            <w:vAlign w:val="center"/>
          </w:tcPr>
          <w:p w:rsidR="007128B9" w:rsidRPr="009066CB" w:rsidRDefault="007128B9" w:rsidP="009266F5">
            <w:pPr>
              <w:spacing w:after="0" w:line="240" w:lineRule="auto"/>
              <w:jc w:val="center"/>
              <w:rPr>
                <w:rFonts w:ascii="Calibri" w:eastAsia="Times New Roman" w:hAnsi="Calibri" w:cs="Times New Roman"/>
                <w:sz w:val="20"/>
                <w:szCs w:val="20"/>
              </w:rPr>
            </w:pPr>
            <w:r w:rsidRPr="009066CB">
              <w:rPr>
                <w:rFonts w:ascii="Calibri" w:eastAsia="Times New Roman" w:hAnsi="Calibri" w:cs="Times New Roman"/>
                <w:sz w:val="20"/>
                <w:szCs w:val="20"/>
              </w:rPr>
              <w:t>All</w:t>
            </w:r>
          </w:p>
        </w:tc>
        <w:tc>
          <w:tcPr>
            <w:tcW w:w="724" w:type="dxa"/>
          </w:tcPr>
          <w:p w:rsidR="007128B9" w:rsidRPr="009066CB" w:rsidRDefault="007128B9" w:rsidP="009266F5">
            <w:pPr>
              <w:spacing w:after="0" w:line="240" w:lineRule="auto"/>
              <w:rPr>
                <w:rFonts w:ascii="Calibri" w:eastAsia="Times New Roman" w:hAnsi="Calibri" w:cs="Times New Roman"/>
                <w:sz w:val="20"/>
                <w:szCs w:val="20"/>
              </w:rPr>
            </w:pPr>
            <w:r w:rsidRPr="009066CB">
              <w:rPr>
                <w:rFonts w:ascii="Calibri" w:eastAsia="Times New Roman" w:hAnsi="Calibri" w:cs="Times New Roman"/>
                <w:sz w:val="20"/>
                <w:szCs w:val="20"/>
              </w:rPr>
              <w:t>CPI</w:t>
            </w:r>
          </w:p>
        </w:tc>
        <w:tc>
          <w:tcPr>
            <w:tcW w:w="1396" w:type="dxa"/>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5,053</w:t>
            </w:r>
          </w:p>
        </w:tc>
        <w:tc>
          <w:tcPr>
            <w:tcW w:w="882" w:type="dxa"/>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64.8</w:t>
            </w:r>
          </w:p>
        </w:tc>
        <w:tc>
          <w:tcPr>
            <w:tcW w:w="883" w:type="dxa"/>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66.4</w:t>
            </w:r>
          </w:p>
        </w:tc>
        <w:tc>
          <w:tcPr>
            <w:tcW w:w="883" w:type="dxa"/>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66.0</w:t>
            </w:r>
          </w:p>
        </w:tc>
        <w:tc>
          <w:tcPr>
            <w:tcW w:w="883" w:type="dxa"/>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66.0</w:t>
            </w:r>
          </w:p>
        </w:tc>
        <w:tc>
          <w:tcPr>
            <w:tcW w:w="883" w:type="dxa"/>
            <w:shd w:val="clear" w:color="auto" w:fill="D9D9D9" w:themeFill="background1" w:themeFillShade="D9"/>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78.7</w:t>
            </w:r>
          </w:p>
        </w:tc>
        <w:tc>
          <w:tcPr>
            <w:tcW w:w="884" w:type="dxa"/>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1.2</w:t>
            </w:r>
          </w:p>
        </w:tc>
        <w:tc>
          <w:tcPr>
            <w:tcW w:w="956" w:type="dxa"/>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0.0</w:t>
            </w:r>
          </w:p>
        </w:tc>
      </w:tr>
      <w:tr w:rsidR="007128B9" w:rsidRPr="009066CB" w:rsidTr="009266F5">
        <w:tc>
          <w:tcPr>
            <w:tcW w:w="554" w:type="dxa"/>
            <w:vMerge/>
          </w:tcPr>
          <w:p w:rsidR="007128B9" w:rsidRPr="009066CB" w:rsidRDefault="007128B9" w:rsidP="009266F5">
            <w:pPr>
              <w:spacing w:after="0" w:line="240" w:lineRule="auto"/>
              <w:rPr>
                <w:rFonts w:ascii="Calibri" w:eastAsia="Times New Roman" w:hAnsi="Calibri" w:cs="Times New Roman"/>
                <w:sz w:val="20"/>
                <w:szCs w:val="20"/>
              </w:rPr>
            </w:pPr>
          </w:p>
        </w:tc>
        <w:tc>
          <w:tcPr>
            <w:tcW w:w="724" w:type="dxa"/>
          </w:tcPr>
          <w:p w:rsidR="007128B9" w:rsidRPr="009066CB" w:rsidRDefault="007128B9" w:rsidP="009266F5">
            <w:pPr>
              <w:spacing w:after="0" w:line="240" w:lineRule="auto"/>
              <w:rPr>
                <w:rFonts w:ascii="Calibri" w:eastAsia="Times New Roman" w:hAnsi="Calibri" w:cs="Times New Roman"/>
                <w:sz w:val="20"/>
                <w:szCs w:val="20"/>
              </w:rPr>
            </w:pPr>
            <w:r w:rsidRPr="009066CB">
              <w:rPr>
                <w:rFonts w:ascii="Calibri" w:eastAsia="Times New Roman" w:hAnsi="Calibri" w:cs="Times New Roman"/>
                <w:sz w:val="20"/>
                <w:szCs w:val="20"/>
              </w:rPr>
              <w:t>P+</w:t>
            </w:r>
          </w:p>
        </w:tc>
        <w:tc>
          <w:tcPr>
            <w:tcW w:w="1396" w:type="dxa"/>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5,053</w:t>
            </w:r>
          </w:p>
        </w:tc>
        <w:tc>
          <w:tcPr>
            <w:tcW w:w="882" w:type="dxa"/>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32%</w:t>
            </w:r>
          </w:p>
        </w:tc>
        <w:tc>
          <w:tcPr>
            <w:tcW w:w="883" w:type="dxa"/>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34%</w:t>
            </w:r>
          </w:p>
        </w:tc>
        <w:tc>
          <w:tcPr>
            <w:tcW w:w="883" w:type="dxa"/>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33%</w:t>
            </w:r>
          </w:p>
        </w:tc>
        <w:tc>
          <w:tcPr>
            <w:tcW w:w="883" w:type="dxa"/>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33%</w:t>
            </w:r>
          </w:p>
        </w:tc>
        <w:tc>
          <w:tcPr>
            <w:tcW w:w="883" w:type="dxa"/>
            <w:shd w:val="clear" w:color="auto" w:fill="D9D9D9" w:themeFill="background1" w:themeFillShade="D9"/>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54%</w:t>
            </w:r>
          </w:p>
        </w:tc>
        <w:tc>
          <w:tcPr>
            <w:tcW w:w="884" w:type="dxa"/>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1</w:t>
            </w:r>
          </w:p>
        </w:tc>
        <w:tc>
          <w:tcPr>
            <w:tcW w:w="956" w:type="dxa"/>
            <w:vAlign w:val="bottom"/>
          </w:tcPr>
          <w:p w:rsidR="007128B9" w:rsidRPr="00D126CA" w:rsidRDefault="007128B9" w:rsidP="009266F5">
            <w:pPr>
              <w:spacing w:after="0" w:line="240" w:lineRule="auto"/>
              <w:jc w:val="center"/>
              <w:rPr>
                <w:rFonts w:ascii="Calibri" w:hAnsi="Calibri"/>
                <w:sz w:val="20"/>
                <w:szCs w:val="20"/>
              </w:rPr>
            </w:pPr>
            <w:r w:rsidRPr="00D126CA">
              <w:rPr>
                <w:rFonts w:ascii="Calibri" w:hAnsi="Calibri"/>
                <w:sz w:val="20"/>
                <w:szCs w:val="20"/>
              </w:rPr>
              <w:t>0</w:t>
            </w:r>
          </w:p>
        </w:tc>
      </w:tr>
      <w:tr w:rsidR="007128B9" w:rsidRPr="009066CB" w:rsidTr="009266F5">
        <w:tc>
          <w:tcPr>
            <w:tcW w:w="8928" w:type="dxa"/>
            <w:gridSpan w:val="10"/>
            <w:tcBorders>
              <w:left w:val="nil"/>
              <w:bottom w:val="nil"/>
              <w:right w:val="nil"/>
            </w:tcBorders>
          </w:tcPr>
          <w:p w:rsidR="007128B9" w:rsidRPr="009066CB" w:rsidRDefault="007128B9" w:rsidP="009266F5">
            <w:pPr>
              <w:widowControl w:val="0"/>
              <w:overflowPunct w:val="0"/>
              <w:adjustRightInd w:val="0"/>
              <w:spacing w:before="80" w:after="0" w:line="240" w:lineRule="auto"/>
              <w:rPr>
                <w:rFonts w:ascii="Calibri" w:eastAsia="Times New Roman" w:hAnsi="Calibri" w:cs="Times New Roman"/>
                <w:bCs/>
                <w:kern w:val="28"/>
                <w:sz w:val="20"/>
                <w:szCs w:val="20"/>
              </w:rPr>
            </w:pPr>
            <w:r w:rsidRPr="009066CB">
              <w:rPr>
                <w:rFonts w:ascii="Calibri" w:eastAsia="Times New Roman" w:hAnsi="Calibri" w:cs="Times New Roman"/>
                <w:bCs/>
                <w:kern w:val="28"/>
                <w:sz w:val="20"/>
                <w:szCs w:val="20"/>
              </w:rPr>
              <w:t xml:space="preserve">Notes: P+ = percent </w:t>
            </w:r>
            <w:r w:rsidRPr="009066CB">
              <w:rPr>
                <w:rFonts w:ascii="Calibri" w:eastAsia="Times New Roman" w:hAnsi="Calibri" w:cs="Times New Roman"/>
                <w:bCs/>
                <w:i/>
                <w:kern w:val="28"/>
                <w:sz w:val="20"/>
                <w:szCs w:val="20"/>
              </w:rPr>
              <w:t>Proficient</w:t>
            </w:r>
            <w:r w:rsidRPr="009066CB">
              <w:rPr>
                <w:rFonts w:ascii="Calibri" w:eastAsia="Times New Roman" w:hAnsi="Calibri" w:cs="Times New Roman"/>
                <w:bCs/>
                <w:kern w:val="28"/>
                <w:sz w:val="20"/>
                <w:szCs w:val="20"/>
              </w:rPr>
              <w:t xml:space="preserve"> or </w:t>
            </w:r>
            <w:r w:rsidRPr="009066CB">
              <w:rPr>
                <w:rFonts w:ascii="Calibri" w:eastAsia="Times New Roman" w:hAnsi="Calibri" w:cs="Times New Roman"/>
                <w:bCs/>
                <w:i/>
                <w:kern w:val="28"/>
                <w:sz w:val="20"/>
                <w:szCs w:val="20"/>
              </w:rPr>
              <w:t>Advanced</w:t>
            </w:r>
            <w:r w:rsidRPr="009066CB">
              <w:rPr>
                <w:rFonts w:ascii="Calibri" w:eastAsia="Times New Roman" w:hAnsi="Calibri" w:cs="Times New Roman"/>
                <w:bCs/>
                <w:kern w:val="28"/>
                <w:sz w:val="20"/>
                <w:szCs w:val="20"/>
              </w:rPr>
              <w:t>.  Students participate in Science and Technology/ Engineering (STE) MCAS tests in grades 5, 8, and 10 only. Median SGPs are not calculated for STE.</w:t>
            </w:r>
          </w:p>
        </w:tc>
      </w:tr>
    </w:tbl>
    <w:p w:rsidR="007128B9" w:rsidRPr="009066CB" w:rsidRDefault="007128B9" w:rsidP="007128B9">
      <w:pPr>
        <w:spacing w:after="0" w:line="240" w:lineRule="auto"/>
        <w:rPr>
          <w:rFonts w:ascii="Calibri" w:eastAsia="Times New Roman" w:hAnsi="Calibri" w:cs="Times New Roman"/>
          <w:sz w:val="20"/>
          <w:szCs w:val="20"/>
        </w:rPr>
      </w:pPr>
    </w:p>
    <w:p w:rsidR="007128B9" w:rsidRPr="009066CB" w:rsidRDefault="007128B9" w:rsidP="007128B9">
      <w:pPr>
        <w:spacing w:after="0" w:line="240" w:lineRule="auto"/>
        <w:rPr>
          <w:rFonts w:ascii="Calibri" w:eastAsia="Times New Roman" w:hAnsi="Calibri" w:cs="Times New Roman"/>
          <w:sz w:val="20"/>
          <w:szCs w:val="20"/>
        </w:rPr>
      </w:pPr>
    </w:p>
    <w:p w:rsidR="007128B9" w:rsidRPr="009066CB" w:rsidRDefault="007128B9" w:rsidP="007128B9">
      <w:pPr>
        <w:spacing w:after="0" w:line="240" w:lineRule="auto"/>
        <w:rPr>
          <w:rFonts w:ascii="Calibri" w:eastAsia="Times New Roman" w:hAnsi="Calibri" w:cs="Times New Roman"/>
          <w:sz w:val="20"/>
          <w:szCs w:val="20"/>
        </w:rPr>
      </w:pPr>
    </w:p>
    <w:p w:rsidR="00BD4A22" w:rsidRDefault="00BD4A22">
      <w:pPr>
        <w:spacing w:after="0" w:line="240" w:lineRule="auto"/>
        <w:rPr>
          <w:rFonts w:eastAsia="Calibri" w:cs="Times New Roman"/>
        </w:rPr>
      </w:pPr>
      <w:r>
        <w:rPr>
          <w:rFonts w:eastAsia="Calibri" w:cs="Times New Roman"/>
        </w:rPr>
        <w:br w:type="page"/>
      </w:r>
    </w:p>
    <w:p w:rsidR="002F368B" w:rsidRDefault="002F368B">
      <w:pPr>
        <w:spacing w:after="0" w:line="240" w:lineRule="auto"/>
        <w:rPr>
          <w:rFonts w:eastAsia="Calibri" w:cs="Times New Roman"/>
        </w:rPr>
      </w:pPr>
    </w:p>
    <w:tbl>
      <w:tblPr>
        <w:tblStyle w:val="TableGrid17"/>
        <w:tblW w:w="0" w:type="auto"/>
        <w:tblLook w:val="04A0"/>
      </w:tblPr>
      <w:tblGrid>
        <w:gridCol w:w="3438"/>
        <w:gridCol w:w="1080"/>
        <w:gridCol w:w="1080"/>
        <w:gridCol w:w="1080"/>
        <w:gridCol w:w="1080"/>
        <w:gridCol w:w="1818"/>
      </w:tblGrid>
      <w:tr w:rsidR="002F368B" w:rsidRPr="008502EB" w:rsidTr="00BA4683">
        <w:tc>
          <w:tcPr>
            <w:tcW w:w="9576" w:type="dxa"/>
            <w:gridSpan w:val="6"/>
            <w:tcBorders>
              <w:top w:val="nil"/>
              <w:left w:val="nil"/>
              <w:right w:val="nil"/>
            </w:tcBorders>
          </w:tcPr>
          <w:p w:rsidR="002F368B" w:rsidRPr="008502EB" w:rsidRDefault="002F368B" w:rsidP="00BA4683">
            <w:pPr>
              <w:spacing w:after="0" w:line="240" w:lineRule="auto"/>
              <w:jc w:val="center"/>
              <w:rPr>
                <w:b/>
                <w:sz w:val="20"/>
                <w:szCs w:val="20"/>
              </w:rPr>
            </w:pPr>
            <w:r w:rsidRPr="008502EB">
              <w:rPr>
                <w:b/>
                <w:sz w:val="20"/>
                <w:szCs w:val="20"/>
              </w:rPr>
              <w:t xml:space="preserve">Table </w:t>
            </w:r>
            <w:r w:rsidR="00B23853">
              <w:rPr>
                <w:b/>
                <w:sz w:val="20"/>
                <w:szCs w:val="20"/>
              </w:rPr>
              <w:t>B</w:t>
            </w:r>
            <w:r w:rsidRPr="008502EB">
              <w:rPr>
                <w:b/>
                <w:sz w:val="20"/>
                <w:szCs w:val="20"/>
              </w:rPr>
              <w:t>3: Worcester Public Schools</w:t>
            </w:r>
          </w:p>
          <w:p w:rsidR="002F368B" w:rsidRPr="008502EB" w:rsidRDefault="002F368B" w:rsidP="00F714E8">
            <w:pPr>
              <w:spacing w:after="0" w:line="240" w:lineRule="auto"/>
              <w:jc w:val="center"/>
              <w:rPr>
                <w:b/>
                <w:sz w:val="20"/>
                <w:szCs w:val="20"/>
              </w:rPr>
            </w:pPr>
            <w:r w:rsidRPr="008502EB">
              <w:rPr>
                <w:b/>
                <w:sz w:val="20"/>
                <w:szCs w:val="20"/>
              </w:rPr>
              <w:t>ELA Composite Performance Index (CPI) by School and Subgroup 2013</w:t>
            </w:r>
            <w:r w:rsidR="00F714E8">
              <w:rPr>
                <w:b/>
                <w:sz w:val="20"/>
                <w:szCs w:val="20"/>
              </w:rPr>
              <w:t>–</w:t>
            </w:r>
            <w:r w:rsidRPr="008502EB">
              <w:rPr>
                <w:b/>
                <w:sz w:val="20"/>
                <w:szCs w:val="20"/>
              </w:rPr>
              <w:t>2016</w:t>
            </w:r>
          </w:p>
        </w:tc>
      </w:tr>
      <w:tr w:rsidR="002F368B" w:rsidRPr="008502EB" w:rsidTr="00BA4683">
        <w:tc>
          <w:tcPr>
            <w:tcW w:w="3438" w:type="dxa"/>
            <w:shd w:val="clear" w:color="auto" w:fill="D9D9D9" w:themeFill="background1" w:themeFillShade="D9"/>
          </w:tcPr>
          <w:p w:rsidR="002F368B" w:rsidRPr="008502EB" w:rsidRDefault="002F368B" w:rsidP="00BA4683">
            <w:pPr>
              <w:spacing w:after="0" w:line="240" w:lineRule="auto"/>
              <w:rPr>
                <w:b/>
                <w:sz w:val="20"/>
                <w:szCs w:val="20"/>
              </w:rPr>
            </w:pPr>
          </w:p>
        </w:tc>
        <w:tc>
          <w:tcPr>
            <w:tcW w:w="1080" w:type="dxa"/>
            <w:shd w:val="clear" w:color="auto" w:fill="D9D9D9" w:themeFill="background1" w:themeFillShade="D9"/>
          </w:tcPr>
          <w:p w:rsidR="002F368B" w:rsidRPr="008502EB" w:rsidRDefault="002F368B" w:rsidP="00BA4683">
            <w:pPr>
              <w:spacing w:after="0" w:line="240" w:lineRule="auto"/>
              <w:jc w:val="center"/>
              <w:rPr>
                <w:b/>
                <w:sz w:val="20"/>
                <w:szCs w:val="20"/>
              </w:rPr>
            </w:pPr>
            <w:r w:rsidRPr="008502EB">
              <w:rPr>
                <w:b/>
                <w:sz w:val="20"/>
                <w:szCs w:val="20"/>
              </w:rPr>
              <w:t>2013</w:t>
            </w:r>
          </w:p>
        </w:tc>
        <w:tc>
          <w:tcPr>
            <w:tcW w:w="1080" w:type="dxa"/>
            <w:shd w:val="clear" w:color="auto" w:fill="D9D9D9" w:themeFill="background1" w:themeFillShade="D9"/>
          </w:tcPr>
          <w:p w:rsidR="002F368B" w:rsidRPr="008502EB" w:rsidRDefault="002F368B" w:rsidP="00BA4683">
            <w:pPr>
              <w:spacing w:after="0" w:line="240" w:lineRule="auto"/>
              <w:jc w:val="center"/>
              <w:rPr>
                <w:b/>
                <w:sz w:val="20"/>
                <w:szCs w:val="20"/>
              </w:rPr>
            </w:pPr>
            <w:r w:rsidRPr="008502EB">
              <w:rPr>
                <w:b/>
                <w:sz w:val="20"/>
                <w:szCs w:val="20"/>
              </w:rPr>
              <w:t>2014</w:t>
            </w:r>
          </w:p>
        </w:tc>
        <w:tc>
          <w:tcPr>
            <w:tcW w:w="1080" w:type="dxa"/>
            <w:shd w:val="clear" w:color="auto" w:fill="D9D9D9" w:themeFill="background1" w:themeFillShade="D9"/>
          </w:tcPr>
          <w:p w:rsidR="002F368B" w:rsidRPr="008502EB" w:rsidRDefault="002F368B" w:rsidP="00BA4683">
            <w:pPr>
              <w:spacing w:after="0" w:line="240" w:lineRule="auto"/>
              <w:jc w:val="center"/>
              <w:rPr>
                <w:b/>
                <w:sz w:val="20"/>
                <w:szCs w:val="20"/>
              </w:rPr>
            </w:pPr>
            <w:r w:rsidRPr="008502EB">
              <w:rPr>
                <w:b/>
                <w:sz w:val="20"/>
                <w:szCs w:val="20"/>
              </w:rPr>
              <w:t>2015</w:t>
            </w:r>
          </w:p>
        </w:tc>
        <w:tc>
          <w:tcPr>
            <w:tcW w:w="1080" w:type="dxa"/>
            <w:shd w:val="clear" w:color="auto" w:fill="D9D9D9" w:themeFill="background1" w:themeFillShade="D9"/>
          </w:tcPr>
          <w:p w:rsidR="002F368B" w:rsidRPr="008502EB" w:rsidRDefault="002F368B" w:rsidP="00BA4683">
            <w:pPr>
              <w:spacing w:after="0" w:line="240" w:lineRule="auto"/>
              <w:jc w:val="center"/>
              <w:rPr>
                <w:b/>
                <w:sz w:val="20"/>
                <w:szCs w:val="20"/>
              </w:rPr>
            </w:pPr>
            <w:r w:rsidRPr="008502EB">
              <w:rPr>
                <w:b/>
                <w:sz w:val="20"/>
                <w:szCs w:val="20"/>
              </w:rPr>
              <w:t>2016</w:t>
            </w:r>
          </w:p>
        </w:tc>
        <w:tc>
          <w:tcPr>
            <w:tcW w:w="1818" w:type="dxa"/>
            <w:shd w:val="clear" w:color="auto" w:fill="D9D9D9" w:themeFill="background1" w:themeFillShade="D9"/>
          </w:tcPr>
          <w:p w:rsidR="002F368B" w:rsidRPr="008502EB" w:rsidRDefault="002F368B" w:rsidP="00BA4683">
            <w:pPr>
              <w:spacing w:after="0" w:line="240" w:lineRule="auto"/>
              <w:jc w:val="center"/>
              <w:rPr>
                <w:b/>
                <w:sz w:val="20"/>
                <w:szCs w:val="20"/>
              </w:rPr>
            </w:pPr>
            <w:r w:rsidRPr="008502EB">
              <w:rPr>
                <w:b/>
                <w:sz w:val="20"/>
                <w:szCs w:val="20"/>
              </w:rPr>
              <w:t>4-Year Trend</w:t>
            </w:r>
          </w:p>
        </w:tc>
      </w:tr>
      <w:tr w:rsidR="002F368B" w:rsidRPr="008502EB" w:rsidTr="00BA4683">
        <w:tc>
          <w:tcPr>
            <w:tcW w:w="3438" w:type="dxa"/>
            <w:shd w:val="clear" w:color="auto" w:fill="D9D9D9" w:themeFill="background1" w:themeFillShade="D9"/>
            <w:vAlign w:val="bottom"/>
          </w:tcPr>
          <w:p w:rsidR="0047041E" w:rsidRDefault="002F368B" w:rsidP="0047041E">
            <w:pPr>
              <w:spacing w:after="0" w:line="240" w:lineRule="auto"/>
              <w:jc w:val="center"/>
              <w:rPr>
                <w:rFonts w:ascii="Calibri" w:hAnsi="Calibri"/>
                <w:sz w:val="20"/>
                <w:szCs w:val="20"/>
              </w:rPr>
            </w:pPr>
            <w:r w:rsidRPr="008502EB">
              <w:rPr>
                <w:rFonts w:ascii="Calibri" w:hAnsi="Calibri"/>
                <w:sz w:val="20"/>
                <w:szCs w:val="20"/>
              </w:rPr>
              <w:t>Head Start</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818"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r>
      <w:tr w:rsidR="002F368B" w:rsidRPr="008502EB" w:rsidTr="00BA4683">
        <w:tc>
          <w:tcPr>
            <w:tcW w:w="3438" w:type="dxa"/>
            <w:shd w:val="clear" w:color="auto" w:fill="D9D9D9" w:themeFill="background1" w:themeFillShade="D9"/>
            <w:vAlign w:val="bottom"/>
          </w:tcPr>
          <w:p w:rsidR="0047041E" w:rsidRDefault="002F368B" w:rsidP="0047041E">
            <w:pPr>
              <w:spacing w:after="0" w:line="240" w:lineRule="auto"/>
              <w:jc w:val="center"/>
              <w:rPr>
                <w:rFonts w:ascii="Calibri" w:hAnsi="Calibri"/>
                <w:sz w:val="20"/>
                <w:szCs w:val="20"/>
              </w:rPr>
            </w:pPr>
            <w:r w:rsidRPr="008502EB">
              <w:rPr>
                <w:rFonts w:ascii="Calibri" w:hAnsi="Calibri"/>
                <w:sz w:val="20"/>
                <w:szCs w:val="20"/>
              </w:rPr>
              <w:t xml:space="preserve">Belmont </w:t>
            </w:r>
            <w:r w:rsidR="00AE41A1">
              <w:rPr>
                <w:rFonts w:ascii="Calibri" w:hAnsi="Calibri"/>
                <w:sz w:val="20"/>
                <w:szCs w:val="20"/>
              </w:rPr>
              <w:t xml:space="preserve">Street </w:t>
            </w:r>
            <w:r w:rsidRPr="008502EB">
              <w:rPr>
                <w:rFonts w:ascii="Calibri" w:hAnsi="Calibri"/>
                <w:sz w:val="20"/>
                <w:szCs w:val="20"/>
              </w:rPr>
              <w:t>Community ES</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66.9</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68.5</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65.7</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68.1</w:t>
            </w:r>
          </w:p>
        </w:tc>
        <w:tc>
          <w:tcPr>
            <w:tcW w:w="1818"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1.2</w:t>
            </w:r>
          </w:p>
        </w:tc>
      </w:tr>
      <w:tr w:rsidR="002F368B" w:rsidRPr="008502EB" w:rsidTr="00BA4683">
        <w:tc>
          <w:tcPr>
            <w:tcW w:w="3438" w:type="dxa"/>
            <w:shd w:val="clear" w:color="auto" w:fill="auto"/>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High Needs</w:t>
            </w:r>
          </w:p>
        </w:tc>
        <w:tc>
          <w:tcPr>
            <w:tcW w:w="1080" w:type="dxa"/>
            <w:shd w:val="clear" w:color="auto" w:fill="auto"/>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66.8</w:t>
            </w:r>
          </w:p>
        </w:tc>
        <w:tc>
          <w:tcPr>
            <w:tcW w:w="1080" w:type="dxa"/>
            <w:shd w:val="clear" w:color="auto" w:fill="auto"/>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68.7</w:t>
            </w:r>
          </w:p>
        </w:tc>
        <w:tc>
          <w:tcPr>
            <w:tcW w:w="1080" w:type="dxa"/>
            <w:shd w:val="clear" w:color="auto" w:fill="auto"/>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65.8</w:t>
            </w:r>
          </w:p>
        </w:tc>
        <w:tc>
          <w:tcPr>
            <w:tcW w:w="1080" w:type="dxa"/>
            <w:shd w:val="clear" w:color="auto" w:fill="auto"/>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67.5</w:t>
            </w:r>
          </w:p>
        </w:tc>
        <w:tc>
          <w:tcPr>
            <w:tcW w:w="1818" w:type="dxa"/>
            <w:shd w:val="clear" w:color="auto" w:fill="auto"/>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0.7</w:t>
            </w:r>
          </w:p>
        </w:tc>
      </w:tr>
      <w:tr w:rsidR="002F368B" w:rsidRPr="008502EB" w:rsidTr="00BA4683">
        <w:tc>
          <w:tcPr>
            <w:tcW w:w="3438" w:type="dxa"/>
            <w:shd w:val="clear" w:color="auto" w:fill="auto"/>
            <w:vAlign w:val="bottom"/>
          </w:tcPr>
          <w:p w:rsidR="002F368B" w:rsidRPr="008502EB" w:rsidRDefault="005A6E44" w:rsidP="00047E4C">
            <w:pPr>
              <w:spacing w:after="0" w:line="240" w:lineRule="auto"/>
              <w:rPr>
                <w:rFonts w:ascii="Calibri" w:hAnsi="Calibri"/>
                <w:sz w:val="20"/>
                <w:szCs w:val="20"/>
              </w:rPr>
            </w:pPr>
            <w:r>
              <w:rPr>
                <w:rFonts w:ascii="Calibri" w:hAnsi="Calibri"/>
                <w:sz w:val="20"/>
                <w:szCs w:val="20"/>
              </w:rPr>
              <w:t>Econ. Disad.</w:t>
            </w:r>
          </w:p>
        </w:tc>
        <w:tc>
          <w:tcPr>
            <w:tcW w:w="1080" w:type="dxa"/>
            <w:shd w:val="clear" w:color="auto" w:fill="auto"/>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shd w:val="clear" w:color="auto" w:fill="auto"/>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shd w:val="clear" w:color="auto" w:fill="auto"/>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67.6</w:t>
            </w:r>
          </w:p>
        </w:tc>
        <w:tc>
          <w:tcPr>
            <w:tcW w:w="1080" w:type="dxa"/>
            <w:shd w:val="clear" w:color="auto" w:fill="auto"/>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67.6</w:t>
            </w:r>
          </w:p>
        </w:tc>
        <w:tc>
          <w:tcPr>
            <w:tcW w:w="1818" w:type="dxa"/>
            <w:shd w:val="clear" w:color="auto" w:fill="auto"/>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r>
      <w:tr w:rsidR="002F368B" w:rsidRPr="008502EB" w:rsidTr="00BA4683">
        <w:tc>
          <w:tcPr>
            <w:tcW w:w="3438" w:type="dxa"/>
            <w:shd w:val="clear" w:color="auto" w:fill="auto"/>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ELLs</w:t>
            </w:r>
          </w:p>
        </w:tc>
        <w:tc>
          <w:tcPr>
            <w:tcW w:w="1080" w:type="dxa"/>
            <w:shd w:val="clear" w:color="auto" w:fill="auto"/>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61.2</w:t>
            </w:r>
          </w:p>
        </w:tc>
        <w:tc>
          <w:tcPr>
            <w:tcW w:w="1080" w:type="dxa"/>
            <w:shd w:val="clear" w:color="auto" w:fill="auto"/>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64.4</w:t>
            </w:r>
          </w:p>
        </w:tc>
        <w:tc>
          <w:tcPr>
            <w:tcW w:w="1080" w:type="dxa"/>
            <w:shd w:val="clear" w:color="auto" w:fill="auto"/>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64.2</w:t>
            </w:r>
          </w:p>
        </w:tc>
        <w:tc>
          <w:tcPr>
            <w:tcW w:w="1080" w:type="dxa"/>
            <w:shd w:val="clear" w:color="auto" w:fill="auto"/>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65.0</w:t>
            </w:r>
          </w:p>
        </w:tc>
        <w:tc>
          <w:tcPr>
            <w:tcW w:w="1818" w:type="dxa"/>
            <w:shd w:val="clear" w:color="auto" w:fill="auto"/>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3.8</w:t>
            </w:r>
          </w:p>
        </w:tc>
      </w:tr>
      <w:tr w:rsidR="002F368B" w:rsidRPr="008502EB" w:rsidTr="00BA4683">
        <w:tc>
          <w:tcPr>
            <w:tcW w:w="3438" w:type="dxa"/>
            <w:shd w:val="clear" w:color="auto" w:fill="auto"/>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SWD</w:t>
            </w:r>
          </w:p>
        </w:tc>
        <w:tc>
          <w:tcPr>
            <w:tcW w:w="1080" w:type="dxa"/>
            <w:shd w:val="clear" w:color="auto" w:fill="auto"/>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50.5</w:t>
            </w:r>
          </w:p>
        </w:tc>
        <w:tc>
          <w:tcPr>
            <w:tcW w:w="1080" w:type="dxa"/>
            <w:shd w:val="clear" w:color="auto" w:fill="auto"/>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52.5</w:t>
            </w:r>
          </w:p>
        </w:tc>
        <w:tc>
          <w:tcPr>
            <w:tcW w:w="1080" w:type="dxa"/>
            <w:shd w:val="clear" w:color="auto" w:fill="auto"/>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59.6</w:t>
            </w:r>
          </w:p>
        </w:tc>
        <w:tc>
          <w:tcPr>
            <w:tcW w:w="1080" w:type="dxa"/>
            <w:shd w:val="clear" w:color="auto" w:fill="auto"/>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60.4</w:t>
            </w:r>
          </w:p>
        </w:tc>
        <w:tc>
          <w:tcPr>
            <w:tcW w:w="1818" w:type="dxa"/>
            <w:shd w:val="clear" w:color="auto" w:fill="auto"/>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9.9</w:t>
            </w:r>
          </w:p>
        </w:tc>
      </w:tr>
      <w:tr w:rsidR="002F368B" w:rsidRPr="008502EB" w:rsidTr="00BA4683">
        <w:tc>
          <w:tcPr>
            <w:tcW w:w="3438" w:type="dxa"/>
            <w:shd w:val="clear" w:color="auto" w:fill="D9D9D9" w:themeFill="background1" w:themeFillShade="D9"/>
            <w:vAlign w:val="bottom"/>
          </w:tcPr>
          <w:p w:rsidR="0047041E" w:rsidRDefault="002F368B" w:rsidP="0047041E">
            <w:pPr>
              <w:spacing w:after="0" w:line="240" w:lineRule="auto"/>
              <w:jc w:val="center"/>
              <w:rPr>
                <w:rFonts w:ascii="Calibri" w:hAnsi="Calibri"/>
                <w:sz w:val="20"/>
                <w:szCs w:val="20"/>
              </w:rPr>
            </w:pPr>
            <w:r w:rsidRPr="008502EB">
              <w:rPr>
                <w:rFonts w:ascii="Calibri" w:hAnsi="Calibri"/>
                <w:sz w:val="20"/>
                <w:szCs w:val="20"/>
              </w:rPr>
              <w:t>Wawecus Road ES</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79.9</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80.5</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76.5</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74.1</w:t>
            </w:r>
          </w:p>
        </w:tc>
        <w:tc>
          <w:tcPr>
            <w:tcW w:w="1818"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-5.8</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78.4</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80.4</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74.2</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73.9</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-4.5</w:t>
            </w:r>
          </w:p>
        </w:tc>
      </w:tr>
      <w:tr w:rsidR="002F368B" w:rsidRPr="008502EB" w:rsidTr="00BA4683">
        <w:tc>
          <w:tcPr>
            <w:tcW w:w="3438" w:type="dxa"/>
            <w:vAlign w:val="bottom"/>
          </w:tcPr>
          <w:p w:rsidR="002F368B" w:rsidRPr="008502EB" w:rsidRDefault="005A6E44" w:rsidP="00047E4C">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72.1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75.0</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78.8</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84.2</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71.3</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73.6</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-5.2</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72.3</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80.5</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76.7</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76.7</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4.4</w:t>
            </w:r>
          </w:p>
        </w:tc>
      </w:tr>
      <w:tr w:rsidR="002F368B" w:rsidRPr="008502EB" w:rsidTr="00BA4683">
        <w:tc>
          <w:tcPr>
            <w:tcW w:w="3438" w:type="dxa"/>
            <w:shd w:val="clear" w:color="auto" w:fill="D9D9D9" w:themeFill="background1" w:themeFillShade="D9"/>
            <w:vAlign w:val="bottom"/>
          </w:tcPr>
          <w:p w:rsidR="0047041E" w:rsidRDefault="002F368B" w:rsidP="0047041E">
            <w:pPr>
              <w:spacing w:after="0" w:line="240" w:lineRule="auto"/>
              <w:jc w:val="center"/>
              <w:rPr>
                <w:rFonts w:ascii="Calibri" w:hAnsi="Calibri"/>
                <w:sz w:val="20"/>
                <w:szCs w:val="20"/>
              </w:rPr>
            </w:pPr>
            <w:r w:rsidRPr="008502EB">
              <w:rPr>
                <w:rFonts w:ascii="Calibri" w:hAnsi="Calibri"/>
                <w:sz w:val="20"/>
                <w:szCs w:val="20"/>
              </w:rPr>
              <w:t>Woodland Academy</w:t>
            </w:r>
            <w:r w:rsidR="00AE41A1">
              <w:rPr>
                <w:rFonts w:ascii="Calibri" w:hAnsi="Calibri"/>
                <w:sz w:val="20"/>
                <w:szCs w:val="20"/>
              </w:rPr>
              <w:t xml:space="preserve"> ES</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62.7</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59.7</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66.5</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70.5</w:t>
            </w:r>
          </w:p>
        </w:tc>
        <w:tc>
          <w:tcPr>
            <w:tcW w:w="1818"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7.8</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62.6</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59.6</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66.3</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69.8</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7.2</w:t>
            </w:r>
          </w:p>
        </w:tc>
      </w:tr>
      <w:tr w:rsidR="002F368B" w:rsidRPr="008502EB" w:rsidTr="00BA4683">
        <w:tc>
          <w:tcPr>
            <w:tcW w:w="3438" w:type="dxa"/>
            <w:vAlign w:val="bottom"/>
          </w:tcPr>
          <w:p w:rsidR="002F368B" w:rsidRPr="008502EB" w:rsidRDefault="005A6E44" w:rsidP="00047E4C">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64.6</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66.6</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61.8</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58.5</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66.8</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70.3</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8.5</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40.2</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39.4</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37.2</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45.0</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4.8</w:t>
            </w:r>
          </w:p>
        </w:tc>
      </w:tr>
      <w:tr w:rsidR="002F368B" w:rsidRPr="008502EB" w:rsidTr="00BA4683">
        <w:tc>
          <w:tcPr>
            <w:tcW w:w="3438" w:type="dxa"/>
            <w:shd w:val="clear" w:color="auto" w:fill="D9D9D9" w:themeFill="background1" w:themeFillShade="D9"/>
            <w:vAlign w:val="bottom"/>
          </w:tcPr>
          <w:p w:rsidR="0047041E" w:rsidRDefault="002F368B" w:rsidP="0047041E">
            <w:pPr>
              <w:spacing w:after="0" w:line="240" w:lineRule="auto"/>
              <w:jc w:val="center"/>
              <w:rPr>
                <w:rFonts w:ascii="Calibri" w:hAnsi="Calibri"/>
                <w:sz w:val="20"/>
                <w:szCs w:val="20"/>
              </w:rPr>
            </w:pPr>
            <w:r w:rsidRPr="008502EB">
              <w:rPr>
                <w:rFonts w:ascii="Calibri" w:hAnsi="Calibri"/>
                <w:sz w:val="20"/>
                <w:szCs w:val="20"/>
              </w:rPr>
              <w:t xml:space="preserve">Burncoat </w:t>
            </w:r>
            <w:r w:rsidR="00AE41A1">
              <w:rPr>
                <w:rFonts w:ascii="Calibri" w:hAnsi="Calibri"/>
                <w:sz w:val="20"/>
                <w:szCs w:val="20"/>
              </w:rPr>
              <w:t xml:space="preserve">Street </w:t>
            </w:r>
            <w:r w:rsidRPr="008502EB">
              <w:rPr>
                <w:rFonts w:ascii="Calibri" w:hAnsi="Calibri"/>
                <w:sz w:val="20"/>
                <w:szCs w:val="20"/>
              </w:rPr>
              <w:t>ES</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58.7</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61.3</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71.6</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69.9</w:t>
            </w:r>
          </w:p>
        </w:tc>
        <w:tc>
          <w:tcPr>
            <w:tcW w:w="1818"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11.2</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57.4</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60.8</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70.2</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67.9</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10.5</w:t>
            </w:r>
          </w:p>
        </w:tc>
      </w:tr>
      <w:tr w:rsidR="002F368B" w:rsidRPr="008502EB" w:rsidTr="00BA4683">
        <w:tc>
          <w:tcPr>
            <w:tcW w:w="3438" w:type="dxa"/>
            <w:vAlign w:val="bottom"/>
          </w:tcPr>
          <w:p w:rsidR="002F368B" w:rsidRPr="008502EB" w:rsidRDefault="005A6E44" w:rsidP="00047E4C">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69.7</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68.1</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50.0</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53.7</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66.2</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65.1</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15.1</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45.9</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45.3</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53.9</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49.1</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3.2</w:t>
            </w:r>
          </w:p>
        </w:tc>
      </w:tr>
      <w:tr w:rsidR="002F368B" w:rsidRPr="008502EB" w:rsidTr="00BA4683">
        <w:tc>
          <w:tcPr>
            <w:tcW w:w="3438" w:type="dxa"/>
            <w:shd w:val="clear" w:color="auto" w:fill="D9D9D9" w:themeFill="background1" w:themeFillShade="D9"/>
            <w:vAlign w:val="bottom"/>
          </w:tcPr>
          <w:p w:rsidR="0047041E" w:rsidRDefault="002F368B" w:rsidP="0047041E">
            <w:pPr>
              <w:spacing w:after="0" w:line="240" w:lineRule="auto"/>
              <w:jc w:val="center"/>
              <w:rPr>
                <w:rFonts w:ascii="Calibri" w:hAnsi="Calibri"/>
                <w:sz w:val="20"/>
                <w:szCs w:val="20"/>
              </w:rPr>
            </w:pPr>
            <w:r w:rsidRPr="008502EB">
              <w:rPr>
                <w:rFonts w:ascii="Calibri" w:hAnsi="Calibri"/>
                <w:sz w:val="20"/>
                <w:szCs w:val="20"/>
              </w:rPr>
              <w:t>Canterbury Magnet ES</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65.8</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74.0</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70.8</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70.6</w:t>
            </w:r>
          </w:p>
        </w:tc>
        <w:tc>
          <w:tcPr>
            <w:tcW w:w="1818"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4.8</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65.3</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73.2</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71.1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70.2</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4.9</w:t>
            </w:r>
          </w:p>
        </w:tc>
      </w:tr>
      <w:tr w:rsidR="002F368B" w:rsidRPr="008502EB" w:rsidTr="00BA4683">
        <w:tc>
          <w:tcPr>
            <w:tcW w:w="3438" w:type="dxa"/>
            <w:vAlign w:val="bottom"/>
          </w:tcPr>
          <w:p w:rsidR="002F368B" w:rsidRPr="008502EB" w:rsidRDefault="005A6E44" w:rsidP="00047E4C">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69.1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67.7</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61.5</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70.8</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69.4</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67.1</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5.6</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56.1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75.0</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71.4</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66.5</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10.4</w:t>
            </w:r>
          </w:p>
        </w:tc>
      </w:tr>
      <w:tr w:rsidR="002F368B" w:rsidRPr="008502EB" w:rsidTr="00BA4683">
        <w:tc>
          <w:tcPr>
            <w:tcW w:w="3438" w:type="dxa"/>
            <w:shd w:val="clear" w:color="auto" w:fill="D9D9D9" w:themeFill="background1" w:themeFillShade="D9"/>
            <w:vAlign w:val="bottom"/>
          </w:tcPr>
          <w:p w:rsidR="0047041E" w:rsidRDefault="002F368B" w:rsidP="0047041E">
            <w:pPr>
              <w:spacing w:after="0" w:line="240" w:lineRule="auto"/>
              <w:jc w:val="center"/>
              <w:rPr>
                <w:rFonts w:ascii="Calibri" w:hAnsi="Calibri"/>
                <w:sz w:val="20"/>
                <w:szCs w:val="20"/>
              </w:rPr>
            </w:pPr>
            <w:r w:rsidRPr="008502EB">
              <w:rPr>
                <w:rFonts w:ascii="Calibri" w:hAnsi="Calibri"/>
                <w:sz w:val="20"/>
                <w:szCs w:val="20"/>
              </w:rPr>
              <w:t xml:space="preserve">Chandler </w:t>
            </w:r>
            <w:r w:rsidR="00AE41A1">
              <w:rPr>
                <w:rFonts w:ascii="Calibri" w:hAnsi="Calibri"/>
                <w:sz w:val="20"/>
                <w:szCs w:val="20"/>
              </w:rPr>
              <w:t xml:space="preserve">Elementary </w:t>
            </w:r>
            <w:r w:rsidRPr="008502EB">
              <w:rPr>
                <w:rFonts w:ascii="Calibri" w:hAnsi="Calibri"/>
                <w:sz w:val="20"/>
                <w:szCs w:val="20"/>
              </w:rPr>
              <w:t>Community ES</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60.6</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66.2</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71.3</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81.3</w:t>
            </w:r>
          </w:p>
        </w:tc>
        <w:tc>
          <w:tcPr>
            <w:tcW w:w="1818"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20.7</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60.6</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66.2</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70.9</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81.2</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20.6</w:t>
            </w:r>
          </w:p>
        </w:tc>
      </w:tr>
      <w:tr w:rsidR="002F368B" w:rsidRPr="008502EB" w:rsidTr="00BA4683">
        <w:tc>
          <w:tcPr>
            <w:tcW w:w="3438" w:type="dxa"/>
            <w:vAlign w:val="bottom"/>
          </w:tcPr>
          <w:p w:rsidR="002F368B" w:rsidRPr="008502EB" w:rsidRDefault="005A6E44" w:rsidP="00047E4C">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71.1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80.1</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56.9</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64.4</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70.4</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79.4</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22.5</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38.6</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40.5</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45.4</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62.9</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24.3</w:t>
            </w:r>
          </w:p>
        </w:tc>
      </w:tr>
      <w:tr w:rsidR="002F368B" w:rsidRPr="008502EB" w:rsidTr="00BA4683">
        <w:tc>
          <w:tcPr>
            <w:tcW w:w="3438" w:type="dxa"/>
            <w:shd w:val="clear" w:color="auto" w:fill="D9D9D9" w:themeFill="background1" w:themeFillShade="D9"/>
            <w:vAlign w:val="bottom"/>
          </w:tcPr>
          <w:p w:rsidR="0047041E" w:rsidRDefault="002F368B" w:rsidP="0047041E">
            <w:pPr>
              <w:spacing w:after="0" w:line="240" w:lineRule="auto"/>
              <w:jc w:val="center"/>
              <w:rPr>
                <w:rFonts w:ascii="Calibri" w:hAnsi="Calibri"/>
                <w:sz w:val="20"/>
                <w:szCs w:val="20"/>
              </w:rPr>
            </w:pPr>
            <w:r w:rsidRPr="008502EB">
              <w:rPr>
                <w:rFonts w:ascii="Calibri" w:hAnsi="Calibri"/>
                <w:sz w:val="20"/>
                <w:szCs w:val="20"/>
              </w:rPr>
              <w:t>Chandler Magnet</w:t>
            </w:r>
            <w:r w:rsidR="00AE41A1">
              <w:rPr>
                <w:rFonts w:ascii="Calibri" w:hAnsi="Calibri"/>
                <w:sz w:val="20"/>
                <w:szCs w:val="20"/>
              </w:rPr>
              <w:t xml:space="preserve"> ES</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51.1</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48.3</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51.4</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57.0</w:t>
            </w:r>
          </w:p>
        </w:tc>
        <w:tc>
          <w:tcPr>
            <w:tcW w:w="1818"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5.9</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50.1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47.3</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50.5</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55.3</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5.2</w:t>
            </w:r>
          </w:p>
        </w:tc>
      </w:tr>
      <w:tr w:rsidR="002F368B" w:rsidRPr="008502EB" w:rsidTr="00BA4683">
        <w:tc>
          <w:tcPr>
            <w:tcW w:w="3438" w:type="dxa"/>
            <w:vAlign w:val="bottom"/>
          </w:tcPr>
          <w:p w:rsidR="002F368B" w:rsidRPr="008502EB" w:rsidRDefault="005A6E44" w:rsidP="00047E4C">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49.8</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53.8</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46.3</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43.8</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48.8</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52.2</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5.9</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29.9</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30.4</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31.1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29.1</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-0.8</w:t>
            </w:r>
          </w:p>
        </w:tc>
      </w:tr>
      <w:tr w:rsidR="002F368B" w:rsidRPr="008502EB" w:rsidTr="00BA4683">
        <w:tc>
          <w:tcPr>
            <w:tcW w:w="3438" w:type="dxa"/>
            <w:shd w:val="clear" w:color="auto" w:fill="D9D9D9" w:themeFill="background1" w:themeFillShade="D9"/>
            <w:vAlign w:val="bottom"/>
          </w:tcPr>
          <w:p w:rsidR="0047041E" w:rsidRDefault="002F368B" w:rsidP="0047041E">
            <w:pPr>
              <w:spacing w:after="0" w:line="240" w:lineRule="auto"/>
              <w:jc w:val="center"/>
              <w:rPr>
                <w:rFonts w:ascii="Calibri" w:hAnsi="Calibri"/>
                <w:sz w:val="20"/>
                <w:szCs w:val="20"/>
              </w:rPr>
            </w:pPr>
            <w:r w:rsidRPr="008502EB">
              <w:rPr>
                <w:rFonts w:ascii="Calibri" w:hAnsi="Calibri"/>
                <w:sz w:val="20"/>
                <w:szCs w:val="20"/>
              </w:rPr>
              <w:t>City View ES</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69.4</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71.1</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73.8</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75.0</w:t>
            </w:r>
          </w:p>
        </w:tc>
        <w:tc>
          <w:tcPr>
            <w:tcW w:w="1818"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5.6</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68.7</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70.5</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72.9</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74.3</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5.6</w:t>
            </w:r>
          </w:p>
        </w:tc>
      </w:tr>
      <w:tr w:rsidR="002F368B" w:rsidRPr="008502EB" w:rsidTr="00BA4683">
        <w:tc>
          <w:tcPr>
            <w:tcW w:w="3438" w:type="dxa"/>
            <w:vAlign w:val="bottom"/>
          </w:tcPr>
          <w:p w:rsidR="002F368B" w:rsidRPr="008502EB" w:rsidRDefault="005A6E44" w:rsidP="00047E4C">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73.9</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74.0</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66.1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69.4</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71.8</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77.3</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11.2</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46.6</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44.2</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52.7</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52.4</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5.8</w:t>
            </w:r>
          </w:p>
        </w:tc>
      </w:tr>
      <w:tr w:rsidR="002F368B" w:rsidRPr="008502EB" w:rsidTr="00BA4683">
        <w:tc>
          <w:tcPr>
            <w:tcW w:w="3438" w:type="dxa"/>
            <w:shd w:val="clear" w:color="auto" w:fill="D9D9D9" w:themeFill="background1" w:themeFillShade="D9"/>
            <w:vAlign w:val="bottom"/>
          </w:tcPr>
          <w:p w:rsidR="0047041E" w:rsidRDefault="002F368B" w:rsidP="0047041E">
            <w:pPr>
              <w:spacing w:after="0" w:line="240" w:lineRule="auto"/>
              <w:jc w:val="center"/>
              <w:rPr>
                <w:rFonts w:ascii="Calibri" w:hAnsi="Calibri"/>
                <w:sz w:val="20"/>
                <w:szCs w:val="20"/>
              </w:rPr>
            </w:pPr>
            <w:r w:rsidRPr="008502EB">
              <w:rPr>
                <w:rFonts w:ascii="Calibri" w:hAnsi="Calibri"/>
                <w:sz w:val="20"/>
                <w:szCs w:val="20"/>
              </w:rPr>
              <w:t>Clark St</w:t>
            </w:r>
            <w:r w:rsidR="00AE41A1">
              <w:rPr>
                <w:rFonts w:ascii="Calibri" w:hAnsi="Calibri"/>
                <w:sz w:val="20"/>
                <w:szCs w:val="20"/>
              </w:rPr>
              <w:t>reet</w:t>
            </w:r>
            <w:r w:rsidRPr="008502EB">
              <w:rPr>
                <w:rFonts w:ascii="Calibri" w:hAnsi="Calibri"/>
                <w:sz w:val="20"/>
                <w:szCs w:val="20"/>
              </w:rPr>
              <w:t xml:space="preserve"> Community</w:t>
            </w:r>
            <w:r w:rsidR="00AE41A1">
              <w:rPr>
                <w:rFonts w:ascii="Calibri" w:hAnsi="Calibri"/>
                <w:sz w:val="20"/>
                <w:szCs w:val="20"/>
              </w:rPr>
              <w:t xml:space="preserve"> ES</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72.8</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69.8</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72.0</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60.4</w:t>
            </w:r>
          </w:p>
        </w:tc>
        <w:tc>
          <w:tcPr>
            <w:tcW w:w="1818"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-12.4</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68.2</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66.1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67.4</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59.0</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-9.2</w:t>
            </w:r>
          </w:p>
        </w:tc>
      </w:tr>
      <w:tr w:rsidR="002F368B" w:rsidRPr="008502EB" w:rsidTr="00BA4683">
        <w:tc>
          <w:tcPr>
            <w:tcW w:w="3438" w:type="dxa"/>
            <w:vAlign w:val="bottom"/>
          </w:tcPr>
          <w:p w:rsidR="002F368B" w:rsidRPr="008502EB" w:rsidRDefault="005A6E44" w:rsidP="00047E4C">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67.3</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60.7</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65.0</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61.4</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65.8</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56.6</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-8.4</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44.4</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45.9</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49.2</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36.3</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-8.1</w:t>
            </w:r>
          </w:p>
        </w:tc>
      </w:tr>
      <w:tr w:rsidR="002F368B" w:rsidRPr="008502EB" w:rsidTr="00BA4683">
        <w:tc>
          <w:tcPr>
            <w:tcW w:w="3438" w:type="dxa"/>
            <w:shd w:val="clear" w:color="auto" w:fill="D9D9D9" w:themeFill="background1" w:themeFillShade="D9"/>
            <w:vAlign w:val="bottom"/>
          </w:tcPr>
          <w:p w:rsidR="0047041E" w:rsidRDefault="002F368B" w:rsidP="0047041E">
            <w:pPr>
              <w:spacing w:after="0" w:line="240" w:lineRule="auto"/>
              <w:jc w:val="center"/>
              <w:rPr>
                <w:rFonts w:ascii="Calibri" w:hAnsi="Calibri"/>
                <w:sz w:val="20"/>
                <w:szCs w:val="20"/>
              </w:rPr>
            </w:pPr>
            <w:r w:rsidRPr="008502EB">
              <w:rPr>
                <w:rFonts w:ascii="Calibri" w:hAnsi="Calibri"/>
                <w:sz w:val="20"/>
                <w:szCs w:val="20"/>
              </w:rPr>
              <w:t>Columbus Park ES</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84.3</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84.5</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72.6</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69.8</w:t>
            </w:r>
          </w:p>
        </w:tc>
        <w:tc>
          <w:tcPr>
            <w:tcW w:w="1818"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-14.5</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84.2</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84.6</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71.9</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68.0</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-16.2</w:t>
            </w:r>
          </w:p>
        </w:tc>
      </w:tr>
      <w:tr w:rsidR="002F368B" w:rsidRPr="008502EB" w:rsidTr="00BA4683">
        <w:tc>
          <w:tcPr>
            <w:tcW w:w="3438" w:type="dxa"/>
            <w:vAlign w:val="bottom"/>
          </w:tcPr>
          <w:p w:rsidR="002F368B" w:rsidRPr="008502EB" w:rsidRDefault="005A6E44" w:rsidP="00047E4C">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70.9</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65.8</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86.6</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85.7</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75.8</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70.2</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-16.4</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64.1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67.1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50.0</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44.2</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-19.9</w:t>
            </w:r>
          </w:p>
        </w:tc>
      </w:tr>
      <w:tr w:rsidR="002F368B" w:rsidRPr="008502EB" w:rsidTr="00BA4683">
        <w:tc>
          <w:tcPr>
            <w:tcW w:w="3438" w:type="dxa"/>
            <w:shd w:val="clear" w:color="auto" w:fill="D9D9D9" w:themeFill="background1" w:themeFillShade="D9"/>
            <w:vAlign w:val="bottom"/>
          </w:tcPr>
          <w:p w:rsidR="0047041E" w:rsidRDefault="002F368B" w:rsidP="0047041E">
            <w:pPr>
              <w:spacing w:after="0" w:line="240" w:lineRule="auto"/>
              <w:jc w:val="center"/>
              <w:rPr>
                <w:rFonts w:ascii="Calibri" w:hAnsi="Calibri"/>
                <w:sz w:val="20"/>
                <w:szCs w:val="20"/>
              </w:rPr>
            </w:pPr>
            <w:r w:rsidRPr="008502EB">
              <w:rPr>
                <w:rFonts w:ascii="Calibri" w:hAnsi="Calibri"/>
                <w:sz w:val="20"/>
                <w:szCs w:val="20"/>
              </w:rPr>
              <w:t>Flagg Street ES</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90.2</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90.1</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91.6</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89.2</w:t>
            </w:r>
          </w:p>
        </w:tc>
        <w:tc>
          <w:tcPr>
            <w:tcW w:w="1818"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-1.0</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80.3</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79.1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83.3</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76.8</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-3.5</w:t>
            </w:r>
          </w:p>
        </w:tc>
      </w:tr>
      <w:tr w:rsidR="002F368B" w:rsidRPr="008502EB" w:rsidTr="00BA4683">
        <w:tc>
          <w:tcPr>
            <w:tcW w:w="3438" w:type="dxa"/>
            <w:vAlign w:val="bottom"/>
          </w:tcPr>
          <w:p w:rsidR="002F368B" w:rsidRPr="008502EB" w:rsidRDefault="005A6E44" w:rsidP="00047E4C">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85.4</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78.1</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86.5</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84.8</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88.0</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79.4</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-7.1</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55.4</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57.4</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61.1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58.7</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3.3</w:t>
            </w:r>
          </w:p>
        </w:tc>
      </w:tr>
      <w:tr w:rsidR="002F368B" w:rsidRPr="008502EB" w:rsidTr="00BA4683">
        <w:tc>
          <w:tcPr>
            <w:tcW w:w="3438" w:type="dxa"/>
            <w:shd w:val="clear" w:color="auto" w:fill="D9D9D9" w:themeFill="background1" w:themeFillShade="D9"/>
            <w:vAlign w:val="bottom"/>
          </w:tcPr>
          <w:p w:rsidR="0047041E" w:rsidRDefault="002F368B" w:rsidP="0047041E">
            <w:pPr>
              <w:spacing w:after="0" w:line="240" w:lineRule="auto"/>
              <w:jc w:val="center"/>
              <w:rPr>
                <w:rFonts w:ascii="Calibri" w:hAnsi="Calibri"/>
                <w:sz w:val="20"/>
                <w:szCs w:val="20"/>
              </w:rPr>
            </w:pPr>
            <w:r w:rsidRPr="008502EB">
              <w:rPr>
                <w:rFonts w:ascii="Calibri" w:hAnsi="Calibri"/>
                <w:sz w:val="20"/>
                <w:szCs w:val="20"/>
              </w:rPr>
              <w:t>Elm Park</w:t>
            </w:r>
            <w:r w:rsidR="00AE41A1">
              <w:rPr>
                <w:rFonts w:ascii="Calibri" w:hAnsi="Calibri"/>
                <w:sz w:val="20"/>
                <w:szCs w:val="20"/>
              </w:rPr>
              <w:t xml:space="preserve"> Community ES</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60.9</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54.8</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63.1</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60.1</w:t>
            </w:r>
          </w:p>
        </w:tc>
        <w:tc>
          <w:tcPr>
            <w:tcW w:w="1818"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-0.8</w:t>
            </w:r>
          </w:p>
        </w:tc>
      </w:tr>
      <w:tr w:rsidR="002F368B" w:rsidRPr="008502EB" w:rsidTr="00BA4683">
        <w:tc>
          <w:tcPr>
            <w:tcW w:w="3438" w:type="dxa"/>
            <w:shd w:val="clear" w:color="auto" w:fill="auto"/>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High Needs</w:t>
            </w:r>
          </w:p>
        </w:tc>
        <w:tc>
          <w:tcPr>
            <w:tcW w:w="1080" w:type="dxa"/>
            <w:shd w:val="clear" w:color="auto" w:fill="auto"/>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60.5</w:t>
            </w:r>
          </w:p>
        </w:tc>
        <w:tc>
          <w:tcPr>
            <w:tcW w:w="1080" w:type="dxa"/>
            <w:shd w:val="clear" w:color="auto" w:fill="auto"/>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54.6</w:t>
            </w:r>
          </w:p>
        </w:tc>
        <w:tc>
          <w:tcPr>
            <w:tcW w:w="1080" w:type="dxa"/>
            <w:shd w:val="clear" w:color="auto" w:fill="auto"/>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61.9</w:t>
            </w:r>
          </w:p>
        </w:tc>
        <w:tc>
          <w:tcPr>
            <w:tcW w:w="1080" w:type="dxa"/>
            <w:shd w:val="clear" w:color="auto" w:fill="auto"/>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59.4</w:t>
            </w:r>
          </w:p>
        </w:tc>
        <w:tc>
          <w:tcPr>
            <w:tcW w:w="1818" w:type="dxa"/>
            <w:shd w:val="clear" w:color="auto" w:fill="auto"/>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-1.1</w:t>
            </w:r>
          </w:p>
        </w:tc>
      </w:tr>
      <w:tr w:rsidR="002F368B" w:rsidRPr="008502EB" w:rsidTr="00BA4683">
        <w:tc>
          <w:tcPr>
            <w:tcW w:w="3438" w:type="dxa"/>
            <w:shd w:val="clear" w:color="auto" w:fill="auto"/>
            <w:vAlign w:val="bottom"/>
          </w:tcPr>
          <w:p w:rsidR="002F368B" w:rsidRPr="008502EB" w:rsidRDefault="005A6E44" w:rsidP="00047E4C">
            <w:pPr>
              <w:spacing w:after="0" w:line="240" w:lineRule="auto"/>
              <w:rPr>
                <w:rFonts w:ascii="Calibri" w:hAnsi="Calibri"/>
                <w:sz w:val="20"/>
                <w:szCs w:val="20"/>
              </w:rPr>
            </w:pPr>
            <w:r>
              <w:rPr>
                <w:rFonts w:ascii="Calibri" w:hAnsi="Calibri"/>
                <w:sz w:val="20"/>
                <w:szCs w:val="20"/>
              </w:rPr>
              <w:t>Econ. Disad.</w:t>
            </w:r>
          </w:p>
        </w:tc>
        <w:tc>
          <w:tcPr>
            <w:tcW w:w="1080" w:type="dxa"/>
            <w:shd w:val="clear" w:color="auto" w:fill="auto"/>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shd w:val="clear" w:color="auto" w:fill="auto"/>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shd w:val="clear" w:color="auto" w:fill="auto"/>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61.0</w:t>
            </w:r>
          </w:p>
        </w:tc>
        <w:tc>
          <w:tcPr>
            <w:tcW w:w="1080" w:type="dxa"/>
            <w:shd w:val="clear" w:color="auto" w:fill="auto"/>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59.9</w:t>
            </w:r>
          </w:p>
        </w:tc>
        <w:tc>
          <w:tcPr>
            <w:tcW w:w="1818" w:type="dxa"/>
            <w:shd w:val="clear" w:color="auto" w:fill="auto"/>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r>
      <w:tr w:rsidR="002F368B" w:rsidRPr="008502EB" w:rsidTr="00BA4683">
        <w:tc>
          <w:tcPr>
            <w:tcW w:w="3438" w:type="dxa"/>
            <w:shd w:val="clear" w:color="auto" w:fill="auto"/>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ELLs</w:t>
            </w:r>
          </w:p>
        </w:tc>
        <w:tc>
          <w:tcPr>
            <w:tcW w:w="1080" w:type="dxa"/>
            <w:shd w:val="clear" w:color="auto" w:fill="auto"/>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60.0</w:t>
            </w:r>
          </w:p>
        </w:tc>
        <w:tc>
          <w:tcPr>
            <w:tcW w:w="1080" w:type="dxa"/>
            <w:shd w:val="clear" w:color="auto" w:fill="auto"/>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52.3</w:t>
            </w:r>
          </w:p>
        </w:tc>
        <w:tc>
          <w:tcPr>
            <w:tcW w:w="1080" w:type="dxa"/>
            <w:shd w:val="clear" w:color="auto" w:fill="auto"/>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62.1</w:t>
            </w:r>
          </w:p>
        </w:tc>
        <w:tc>
          <w:tcPr>
            <w:tcW w:w="1080" w:type="dxa"/>
            <w:shd w:val="clear" w:color="auto" w:fill="auto"/>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56.2</w:t>
            </w:r>
          </w:p>
        </w:tc>
        <w:tc>
          <w:tcPr>
            <w:tcW w:w="1818" w:type="dxa"/>
            <w:shd w:val="clear" w:color="auto" w:fill="auto"/>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-3.8</w:t>
            </w:r>
          </w:p>
        </w:tc>
      </w:tr>
      <w:tr w:rsidR="002F368B" w:rsidRPr="008502EB" w:rsidTr="00BA4683">
        <w:tc>
          <w:tcPr>
            <w:tcW w:w="3438" w:type="dxa"/>
            <w:shd w:val="clear" w:color="auto" w:fill="auto"/>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SWD</w:t>
            </w:r>
          </w:p>
        </w:tc>
        <w:tc>
          <w:tcPr>
            <w:tcW w:w="1080" w:type="dxa"/>
            <w:shd w:val="clear" w:color="auto" w:fill="auto"/>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38.9</w:t>
            </w:r>
          </w:p>
        </w:tc>
        <w:tc>
          <w:tcPr>
            <w:tcW w:w="1080" w:type="dxa"/>
            <w:shd w:val="clear" w:color="auto" w:fill="auto"/>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34.3</w:t>
            </w:r>
          </w:p>
        </w:tc>
        <w:tc>
          <w:tcPr>
            <w:tcW w:w="1080" w:type="dxa"/>
            <w:shd w:val="clear" w:color="auto" w:fill="auto"/>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41.9</w:t>
            </w:r>
          </w:p>
        </w:tc>
        <w:tc>
          <w:tcPr>
            <w:tcW w:w="1080" w:type="dxa"/>
            <w:shd w:val="clear" w:color="auto" w:fill="auto"/>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41.7</w:t>
            </w:r>
          </w:p>
        </w:tc>
        <w:tc>
          <w:tcPr>
            <w:tcW w:w="1818" w:type="dxa"/>
            <w:shd w:val="clear" w:color="auto" w:fill="auto"/>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2.8</w:t>
            </w:r>
          </w:p>
        </w:tc>
      </w:tr>
      <w:tr w:rsidR="002F368B" w:rsidRPr="008502EB" w:rsidTr="00BA4683">
        <w:tc>
          <w:tcPr>
            <w:tcW w:w="3438" w:type="dxa"/>
            <w:shd w:val="clear" w:color="auto" w:fill="D9D9D9" w:themeFill="background1" w:themeFillShade="D9"/>
            <w:vAlign w:val="bottom"/>
          </w:tcPr>
          <w:p w:rsidR="0047041E" w:rsidRDefault="002F368B" w:rsidP="0047041E">
            <w:pPr>
              <w:spacing w:after="0" w:line="240" w:lineRule="auto"/>
              <w:jc w:val="center"/>
              <w:rPr>
                <w:rFonts w:ascii="Calibri" w:hAnsi="Calibri"/>
                <w:sz w:val="20"/>
                <w:szCs w:val="20"/>
              </w:rPr>
            </w:pPr>
            <w:r w:rsidRPr="008502EB">
              <w:rPr>
                <w:rFonts w:ascii="Calibri" w:hAnsi="Calibri"/>
                <w:sz w:val="20"/>
                <w:szCs w:val="20"/>
              </w:rPr>
              <w:t>Goddard</w:t>
            </w:r>
            <w:r w:rsidR="00AE41A1">
              <w:rPr>
                <w:rFonts w:ascii="Calibri" w:hAnsi="Calibri"/>
                <w:sz w:val="20"/>
                <w:szCs w:val="20"/>
              </w:rPr>
              <w:t xml:space="preserve"> ES</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54.4</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59.2</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67.3</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59.7</w:t>
            </w:r>
          </w:p>
        </w:tc>
        <w:tc>
          <w:tcPr>
            <w:tcW w:w="1818"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5.3</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54.2</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59.0</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66.7</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59.5</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5.3</w:t>
            </w:r>
          </w:p>
        </w:tc>
      </w:tr>
      <w:tr w:rsidR="002F368B" w:rsidRPr="008502EB" w:rsidTr="00BA4683">
        <w:tc>
          <w:tcPr>
            <w:tcW w:w="3438" w:type="dxa"/>
            <w:vAlign w:val="bottom"/>
          </w:tcPr>
          <w:p w:rsidR="002F368B" w:rsidRPr="008502EB" w:rsidRDefault="005A6E44" w:rsidP="00047E4C">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64.9</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57.1</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52.9</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59.7</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68.7</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61.1</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8.2</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30.3</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38.2</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50.5</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44.3</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14.0</w:t>
            </w:r>
          </w:p>
        </w:tc>
      </w:tr>
      <w:tr w:rsidR="002F368B" w:rsidRPr="008502EB" w:rsidTr="00BA4683">
        <w:tc>
          <w:tcPr>
            <w:tcW w:w="3438" w:type="dxa"/>
            <w:shd w:val="clear" w:color="auto" w:fill="D9D9D9" w:themeFill="background1" w:themeFillShade="D9"/>
            <w:vAlign w:val="bottom"/>
          </w:tcPr>
          <w:p w:rsidR="0047041E" w:rsidRDefault="002F368B" w:rsidP="0047041E">
            <w:pPr>
              <w:spacing w:after="0" w:line="240" w:lineRule="auto"/>
              <w:jc w:val="center"/>
              <w:rPr>
                <w:rFonts w:ascii="Calibri" w:hAnsi="Calibri"/>
                <w:sz w:val="20"/>
                <w:szCs w:val="20"/>
              </w:rPr>
            </w:pPr>
            <w:r w:rsidRPr="008502EB">
              <w:rPr>
                <w:rFonts w:ascii="Calibri" w:hAnsi="Calibri"/>
                <w:sz w:val="20"/>
                <w:szCs w:val="20"/>
              </w:rPr>
              <w:t>Gates Lane</w:t>
            </w:r>
            <w:r w:rsidR="00AE41A1">
              <w:rPr>
                <w:rFonts w:ascii="Calibri" w:hAnsi="Calibri"/>
                <w:sz w:val="20"/>
                <w:szCs w:val="20"/>
              </w:rPr>
              <w:t xml:space="preserve"> ES</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81.8</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71.2</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72.5</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78.3</w:t>
            </w:r>
          </w:p>
        </w:tc>
        <w:tc>
          <w:tcPr>
            <w:tcW w:w="1818"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-3.5</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80.5</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68.3</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70.1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76.1</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-4.4</w:t>
            </w:r>
          </w:p>
        </w:tc>
      </w:tr>
      <w:tr w:rsidR="002F368B" w:rsidRPr="008502EB" w:rsidTr="00BA4683">
        <w:tc>
          <w:tcPr>
            <w:tcW w:w="3438" w:type="dxa"/>
            <w:vAlign w:val="bottom"/>
          </w:tcPr>
          <w:p w:rsidR="002F368B" w:rsidRPr="008502EB" w:rsidRDefault="005A6E44" w:rsidP="00047E4C">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68.6</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76.0</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79.1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69.6</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67.1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78.3</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-0.8</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75.0</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49.8</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69.9</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80.7</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5.7</w:t>
            </w:r>
          </w:p>
        </w:tc>
      </w:tr>
      <w:tr w:rsidR="002F368B" w:rsidRPr="008502EB" w:rsidTr="00BA4683">
        <w:tc>
          <w:tcPr>
            <w:tcW w:w="3438" w:type="dxa"/>
            <w:shd w:val="clear" w:color="auto" w:fill="D9D9D9" w:themeFill="background1" w:themeFillShade="D9"/>
            <w:vAlign w:val="bottom"/>
          </w:tcPr>
          <w:p w:rsidR="0047041E" w:rsidRDefault="002F368B" w:rsidP="0047041E">
            <w:pPr>
              <w:spacing w:after="0" w:line="240" w:lineRule="auto"/>
              <w:jc w:val="center"/>
              <w:rPr>
                <w:rFonts w:ascii="Calibri" w:hAnsi="Calibri"/>
                <w:sz w:val="20"/>
                <w:szCs w:val="20"/>
              </w:rPr>
            </w:pPr>
            <w:r w:rsidRPr="008502EB">
              <w:rPr>
                <w:rFonts w:ascii="Calibri" w:hAnsi="Calibri"/>
                <w:sz w:val="20"/>
                <w:szCs w:val="20"/>
              </w:rPr>
              <w:t>Grafton Street ES</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64.2</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61.9</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60.9</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60.5</w:t>
            </w:r>
          </w:p>
        </w:tc>
        <w:tc>
          <w:tcPr>
            <w:tcW w:w="1818"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-3.7</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63.6</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60.2</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59.0</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59.1</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-4.5</w:t>
            </w:r>
          </w:p>
        </w:tc>
      </w:tr>
      <w:tr w:rsidR="002F368B" w:rsidRPr="008502EB" w:rsidTr="00BA4683">
        <w:tc>
          <w:tcPr>
            <w:tcW w:w="3438" w:type="dxa"/>
            <w:vAlign w:val="bottom"/>
          </w:tcPr>
          <w:p w:rsidR="002F368B" w:rsidRPr="008502EB" w:rsidRDefault="005A6E44" w:rsidP="00047E4C">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60.6</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58.6</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62.5</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59.8</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52.2</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59.4</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-3.1</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31.0</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36.3</w:t>
            </w:r>
          </w:p>
        </w:tc>
        <w:tc>
          <w:tcPr>
            <w:tcW w:w="1080" w:type="dxa"/>
            <w:vAlign w:val="bottom"/>
          </w:tcPr>
          <w:p w:rsidR="002F368B" w:rsidRPr="008502EB" w:rsidRDefault="002F368B" w:rsidP="00BA4683">
            <w:pPr>
              <w:spacing w:after="0" w:line="240" w:lineRule="auto"/>
              <w:jc w:val="center"/>
              <w:rPr>
                <w:rFonts w:ascii="Calibri" w:hAnsi="Calibri"/>
                <w:sz w:val="20"/>
                <w:szCs w:val="20"/>
                <w:highlight w:val="yellow"/>
              </w:rPr>
            </w:pPr>
            <w:r w:rsidRPr="008502EB">
              <w:rPr>
                <w:rFonts w:ascii="Calibri" w:hAnsi="Calibri"/>
                <w:sz w:val="20"/>
                <w:szCs w:val="20"/>
              </w:rPr>
              <w:t>39.0</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33.3</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2.3</w:t>
            </w:r>
          </w:p>
        </w:tc>
      </w:tr>
      <w:tr w:rsidR="002F368B" w:rsidRPr="008502EB" w:rsidTr="00BA4683">
        <w:tc>
          <w:tcPr>
            <w:tcW w:w="3438" w:type="dxa"/>
            <w:shd w:val="clear" w:color="auto" w:fill="D9D9D9" w:themeFill="background1" w:themeFillShade="D9"/>
            <w:vAlign w:val="bottom"/>
          </w:tcPr>
          <w:p w:rsidR="0047041E" w:rsidRDefault="002F368B" w:rsidP="0047041E">
            <w:pPr>
              <w:spacing w:after="0" w:line="240" w:lineRule="auto"/>
              <w:jc w:val="center"/>
              <w:rPr>
                <w:rFonts w:ascii="Calibri" w:hAnsi="Calibri"/>
                <w:sz w:val="20"/>
                <w:szCs w:val="20"/>
              </w:rPr>
            </w:pPr>
            <w:r w:rsidRPr="008502EB">
              <w:rPr>
                <w:rFonts w:ascii="Calibri" w:hAnsi="Calibri"/>
                <w:sz w:val="20"/>
                <w:szCs w:val="20"/>
              </w:rPr>
              <w:t>Heard Street ES</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86.1</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84.0</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85.4</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87.4</w:t>
            </w:r>
          </w:p>
        </w:tc>
        <w:tc>
          <w:tcPr>
            <w:tcW w:w="1818"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1.3</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81.5</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79.5</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82.6</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83.3</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1.8</w:t>
            </w:r>
          </w:p>
        </w:tc>
      </w:tr>
      <w:tr w:rsidR="002F368B" w:rsidRPr="008502EB" w:rsidTr="00BA4683">
        <w:tc>
          <w:tcPr>
            <w:tcW w:w="3438" w:type="dxa"/>
            <w:vAlign w:val="bottom"/>
          </w:tcPr>
          <w:p w:rsidR="002F368B" w:rsidRPr="008502EB" w:rsidRDefault="005A6E44" w:rsidP="00047E4C">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81.7</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81.3</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80.3</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81.4</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85.0</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87.9</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7.6</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67.6</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73.9</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76.1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73.8</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6.2</w:t>
            </w:r>
          </w:p>
        </w:tc>
      </w:tr>
      <w:tr w:rsidR="002F368B" w:rsidRPr="008502EB" w:rsidTr="00BA4683">
        <w:tc>
          <w:tcPr>
            <w:tcW w:w="3438" w:type="dxa"/>
            <w:shd w:val="clear" w:color="auto" w:fill="D9D9D9" w:themeFill="background1" w:themeFillShade="D9"/>
            <w:vAlign w:val="bottom"/>
          </w:tcPr>
          <w:p w:rsidR="0047041E" w:rsidRDefault="002F368B" w:rsidP="0047041E">
            <w:pPr>
              <w:spacing w:after="0" w:line="240" w:lineRule="auto"/>
              <w:jc w:val="center"/>
              <w:rPr>
                <w:rFonts w:ascii="Calibri" w:hAnsi="Calibri"/>
                <w:sz w:val="20"/>
                <w:szCs w:val="20"/>
              </w:rPr>
            </w:pPr>
            <w:r w:rsidRPr="008502EB">
              <w:rPr>
                <w:rFonts w:ascii="Calibri" w:hAnsi="Calibri"/>
                <w:sz w:val="20"/>
                <w:szCs w:val="20"/>
              </w:rPr>
              <w:t>Hiatt Magnet ES</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80.1</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79.8</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78.9</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77.6</w:t>
            </w:r>
          </w:p>
        </w:tc>
        <w:tc>
          <w:tcPr>
            <w:tcW w:w="1818"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-2.5</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78.1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77.9</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76.0</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74.7</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-3.4</w:t>
            </w:r>
          </w:p>
        </w:tc>
      </w:tr>
      <w:tr w:rsidR="002F368B" w:rsidRPr="008502EB" w:rsidTr="00BA4683">
        <w:tc>
          <w:tcPr>
            <w:tcW w:w="3438" w:type="dxa"/>
            <w:vAlign w:val="bottom"/>
          </w:tcPr>
          <w:p w:rsidR="002F368B" w:rsidRPr="008502EB" w:rsidRDefault="005A6E44" w:rsidP="00047E4C">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76.1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75.0</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80.1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79.6</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77.1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74.1</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-6.0</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50.0</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52.6</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55.2</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51.9</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1.9</w:t>
            </w:r>
          </w:p>
        </w:tc>
      </w:tr>
      <w:tr w:rsidR="002F368B" w:rsidRPr="008502EB" w:rsidTr="00BA4683">
        <w:tc>
          <w:tcPr>
            <w:tcW w:w="3438" w:type="dxa"/>
            <w:shd w:val="clear" w:color="auto" w:fill="D9D9D9" w:themeFill="background1" w:themeFillShade="D9"/>
            <w:vAlign w:val="bottom"/>
          </w:tcPr>
          <w:p w:rsidR="0047041E" w:rsidRDefault="002F368B" w:rsidP="0047041E">
            <w:pPr>
              <w:spacing w:after="0" w:line="240" w:lineRule="auto"/>
              <w:jc w:val="center"/>
              <w:rPr>
                <w:rFonts w:ascii="Calibri" w:hAnsi="Calibri"/>
                <w:sz w:val="20"/>
                <w:szCs w:val="20"/>
              </w:rPr>
            </w:pPr>
            <w:r w:rsidRPr="008502EB">
              <w:rPr>
                <w:rFonts w:ascii="Calibri" w:hAnsi="Calibri"/>
                <w:sz w:val="20"/>
                <w:szCs w:val="20"/>
              </w:rPr>
              <w:t>Lake View ES</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85.6</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85.7</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87.9</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83.0</w:t>
            </w:r>
          </w:p>
        </w:tc>
        <w:tc>
          <w:tcPr>
            <w:tcW w:w="1818"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-2.6</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82.5</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83.2</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83.7</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77.8</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-4.7</w:t>
            </w:r>
          </w:p>
        </w:tc>
      </w:tr>
      <w:tr w:rsidR="002F368B" w:rsidRPr="008502EB" w:rsidTr="00BA4683">
        <w:tc>
          <w:tcPr>
            <w:tcW w:w="3438" w:type="dxa"/>
            <w:vAlign w:val="bottom"/>
          </w:tcPr>
          <w:p w:rsidR="002F368B" w:rsidRPr="008502EB" w:rsidRDefault="005A6E44" w:rsidP="00047E4C">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85.5</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77.7</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85.2</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78.1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85.3</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83.2</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-2.0</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62.5</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65.9</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60.9</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52.5</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-10.0</w:t>
            </w:r>
          </w:p>
        </w:tc>
      </w:tr>
      <w:tr w:rsidR="002F368B" w:rsidRPr="008502EB" w:rsidTr="00BA4683">
        <w:tc>
          <w:tcPr>
            <w:tcW w:w="3438" w:type="dxa"/>
            <w:shd w:val="clear" w:color="auto" w:fill="D9D9D9" w:themeFill="background1" w:themeFillShade="D9"/>
            <w:vAlign w:val="bottom"/>
          </w:tcPr>
          <w:p w:rsidR="0047041E" w:rsidRDefault="002F368B" w:rsidP="0047041E">
            <w:pPr>
              <w:spacing w:after="0" w:line="240" w:lineRule="auto"/>
              <w:jc w:val="center"/>
              <w:rPr>
                <w:rFonts w:ascii="Calibri" w:hAnsi="Calibri"/>
                <w:sz w:val="20"/>
                <w:szCs w:val="20"/>
              </w:rPr>
            </w:pPr>
            <w:r w:rsidRPr="008502EB">
              <w:rPr>
                <w:rFonts w:ascii="Calibri" w:hAnsi="Calibri"/>
                <w:sz w:val="20"/>
                <w:szCs w:val="20"/>
              </w:rPr>
              <w:t>Lincoln Street ES</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67.1</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65.9</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60.3</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61.7</w:t>
            </w:r>
          </w:p>
        </w:tc>
        <w:tc>
          <w:tcPr>
            <w:tcW w:w="1818"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-5.4</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66.6</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65.7</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57.9</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59.2</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-7.4</w:t>
            </w:r>
          </w:p>
        </w:tc>
      </w:tr>
      <w:tr w:rsidR="002F368B" w:rsidRPr="008502EB" w:rsidTr="00BA4683">
        <w:tc>
          <w:tcPr>
            <w:tcW w:w="3438" w:type="dxa"/>
            <w:vAlign w:val="bottom"/>
          </w:tcPr>
          <w:p w:rsidR="002F368B" w:rsidRPr="008502EB" w:rsidRDefault="005A6E44" w:rsidP="00047E4C">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56.4</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59.5</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68.3</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62.5</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56.0</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60.5</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-7.8</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42.5</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41.7</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33.6</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38.8</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-3.7</w:t>
            </w:r>
          </w:p>
        </w:tc>
      </w:tr>
      <w:tr w:rsidR="002F368B" w:rsidRPr="008502EB" w:rsidTr="00BA4683">
        <w:tc>
          <w:tcPr>
            <w:tcW w:w="3438" w:type="dxa"/>
            <w:shd w:val="clear" w:color="auto" w:fill="D9D9D9" w:themeFill="background1" w:themeFillShade="D9"/>
            <w:vAlign w:val="bottom"/>
          </w:tcPr>
          <w:p w:rsidR="0047041E" w:rsidRDefault="002F368B" w:rsidP="0047041E">
            <w:pPr>
              <w:spacing w:after="0" w:line="240" w:lineRule="auto"/>
              <w:jc w:val="center"/>
              <w:rPr>
                <w:rFonts w:ascii="Calibri" w:hAnsi="Calibri"/>
                <w:sz w:val="20"/>
                <w:szCs w:val="20"/>
              </w:rPr>
            </w:pPr>
            <w:r w:rsidRPr="008502EB">
              <w:rPr>
                <w:rFonts w:ascii="Calibri" w:hAnsi="Calibri"/>
                <w:sz w:val="20"/>
                <w:szCs w:val="20"/>
              </w:rPr>
              <w:t>May Street ES</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82.7</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79.1</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80.8</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80.1</w:t>
            </w:r>
          </w:p>
        </w:tc>
        <w:tc>
          <w:tcPr>
            <w:tcW w:w="1818"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-2.6</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78.8</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74.5</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75.5</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72.5</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-6.3</w:t>
            </w:r>
          </w:p>
        </w:tc>
      </w:tr>
      <w:tr w:rsidR="002F368B" w:rsidRPr="008502EB" w:rsidTr="00BA4683">
        <w:tc>
          <w:tcPr>
            <w:tcW w:w="3438" w:type="dxa"/>
            <w:vAlign w:val="bottom"/>
          </w:tcPr>
          <w:p w:rsidR="002F368B" w:rsidRPr="008502EB" w:rsidRDefault="005A6E44" w:rsidP="00047E4C">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76.2</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73.7</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81.1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73.6</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77.6</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73.1</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-8.0</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49.0</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52.8</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52.1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50.0</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1.0</w:t>
            </w:r>
          </w:p>
        </w:tc>
      </w:tr>
      <w:tr w:rsidR="002F368B" w:rsidRPr="008502EB" w:rsidTr="00BA4683">
        <w:tc>
          <w:tcPr>
            <w:tcW w:w="3438" w:type="dxa"/>
            <w:shd w:val="clear" w:color="auto" w:fill="D9D9D9" w:themeFill="background1" w:themeFillShade="D9"/>
            <w:vAlign w:val="bottom"/>
          </w:tcPr>
          <w:p w:rsidR="0047041E" w:rsidRDefault="002F368B" w:rsidP="0047041E">
            <w:pPr>
              <w:spacing w:after="0" w:line="240" w:lineRule="auto"/>
              <w:jc w:val="center"/>
              <w:rPr>
                <w:rFonts w:ascii="Calibri" w:hAnsi="Calibri"/>
                <w:sz w:val="20"/>
                <w:szCs w:val="20"/>
              </w:rPr>
            </w:pPr>
            <w:r w:rsidRPr="008502EB">
              <w:rPr>
                <w:rFonts w:ascii="Calibri" w:hAnsi="Calibri"/>
                <w:sz w:val="20"/>
                <w:szCs w:val="20"/>
              </w:rPr>
              <w:t>McGrath ES</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73.6</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71.6</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70.9</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76.3</w:t>
            </w:r>
          </w:p>
        </w:tc>
        <w:tc>
          <w:tcPr>
            <w:tcW w:w="1818"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2.7</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72.2</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68.9</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66.8</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73.0</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0.8</w:t>
            </w:r>
          </w:p>
        </w:tc>
      </w:tr>
      <w:tr w:rsidR="002F368B" w:rsidRPr="008502EB" w:rsidTr="00BA4683">
        <w:tc>
          <w:tcPr>
            <w:tcW w:w="3438" w:type="dxa"/>
            <w:vAlign w:val="bottom"/>
          </w:tcPr>
          <w:p w:rsidR="002F368B" w:rsidRPr="008502EB" w:rsidRDefault="005A6E44" w:rsidP="00047E4C">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65.4</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72.6</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78.4</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69.5</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70.6</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64.1</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-14.3</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45.8</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36.3</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42.5</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57.3</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11.5</w:t>
            </w:r>
          </w:p>
        </w:tc>
      </w:tr>
      <w:tr w:rsidR="002F368B" w:rsidRPr="008502EB" w:rsidTr="00BA4683">
        <w:tc>
          <w:tcPr>
            <w:tcW w:w="3438" w:type="dxa"/>
            <w:shd w:val="clear" w:color="auto" w:fill="D9D9D9" w:themeFill="background1" w:themeFillShade="D9"/>
            <w:vAlign w:val="bottom"/>
          </w:tcPr>
          <w:p w:rsidR="0047041E" w:rsidRDefault="002F368B" w:rsidP="0047041E">
            <w:pPr>
              <w:spacing w:after="0" w:line="240" w:lineRule="auto"/>
              <w:jc w:val="center"/>
              <w:rPr>
                <w:rFonts w:ascii="Calibri" w:hAnsi="Calibri"/>
                <w:sz w:val="20"/>
                <w:szCs w:val="20"/>
              </w:rPr>
            </w:pPr>
            <w:r w:rsidRPr="008502EB">
              <w:rPr>
                <w:rFonts w:ascii="Calibri" w:hAnsi="Calibri"/>
                <w:sz w:val="20"/>
                <w:szCs w:val="20"/>
              </w:rPr>
              <w:t>Midland Street ES</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82.0</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88.1</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86.6</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88.5</w:t>
            </w:r>
          </w:p>
        </w:tc>
        <w:tc>
          <w:tcPr>
            <w:tcW w:w="1818"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6.5</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69.7</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78.8</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79.7</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80.6</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10.9</w:t>
            </w:r>
          </w:p>
        </w:tc>
      </w:tr>
      <w:tr w:rsidR="002F368B" w:rsidRPr="008502EB" w:rsidTr="00BA4683">
        <w:tc>
          <w:tcPr>
            <w:tcW w:w="3438" w:type="dxa"/>
            <w:vAlign w:val="bottom"/>
          </w:tcPr>
          <w:p w:rsidR="002F368B" w:rsidRPr="008502EB" w:rsidRDefault="005A6E44" w:rsidP="00047E4C">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83.0</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82.0</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65.4</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80.0</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83.3</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89.6</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24.2</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highlight w:val="yellow"/>
              </w:rPr>
            </w:pPr>
            <w:r w:rsidRPr="008502EB">
              <w:rPr>
                <w:rFonts w:ascii="Calibri" w:hAnsi="Calibri"/>
                <w:sz w:val="20"/>
                <w:szCs w:val="20"/>
              </w:rPr>
              <w:t>51.8</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53.3</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w:t>
            </w:r>
          </w:p>
        </w:tc>
      </w:tr>
      <w:tr w:rsidR="002F368B" w:rsidRPr="008502EB" w:rsidTr="00BA4683">
        <w:tc>
          <w:tcPr>
            <w:tcW w:w="3438" w:type="dxa"/>
            <w:shd w:val="clear" w:color="auto" w:fill="D9D9D9" w:themeFill="background1" w:themeFillShade="D9"/>
            <w:vAlign w:val="bottom"/>
          </w:tcPr>
          <w:p w:rsidR="0047041E" w:rsidRDefault="002F368B" w:rsidP="0047041E">
            <w:pPr>
              <w:spacing w:after="0" w:line="240" w:lineRule="auto"/>
              <w:jc w:val="center"/>
              <w:rPr>
                <w:rFonts w:ascii="Calibri" w:hAnsi="Calibri"/>
                <w:sz w:val="20"/>
                <w:szCs w:val="20"/>
              </w:rPr>
            </w:pPr>
            <w:r w:rsidRPr="008502EB">
              <w:rPr>
                <w:rFonts w:ascii="Calibri" w:hAnsi="Calibri"/>
                <w:sz w:val="20"/>
                <w:szCs w:val="20"/>
              </w:rPr>
              <w:t>Nelson Place ES</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85.9</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83.0</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85.5</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88.2</w:t>
            </w:r>
          </w:p>
        </w:tc>
        <w:tc>
          <w:tcPr>
            <w:tcW w:w="1818"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2.3</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76.1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74.0</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76.5</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79.8</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3.7</w:t>
            </w:r>
          </w:p>
        </w:tc>
      </w:tr>
      <w:tr w:rsidR="002F368B" w:rsidRPr="008502EB" w:rsidTr="00BA4683">
        <w:tc>
          <w:tcPr>
            <w:tcW w:w="3438" w:type="dxa"/>
            <w:vAlign w:val="bottom"/>
          </w:tcPr>
          <w:p w:rsidR="002F368B" w:rsidRPr="008502EB" w:rsidRDefault="005A6E44" w:rsidP="00047E4C">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76.1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79.8</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83.8</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78.6</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86.1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87.5</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3.7</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50.7</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55.6</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57.4</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64.7</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14.0</w:t>
            </w:r>
          </w:p>
        </w:tc>
      </w:tr>
      <w:tr w:rsidR="002F368B" w:rsidRPr="008502EB" w:rsidTr="00BA4683">
        <w:tc>
          <w:tcPr>
            <w:tcW w:w="3438" w:type="dxa"/>
            <w:shd w:val="clear" w:color="auto" w:fill="D9D9D9" w:themeFill="background1" w:themeFillShade="D9"/>
            <w:vAlign w:val="bottom"/>
          </w:tcPr>
          <w:p w:rsidR="0047041E" w:rsidRDefault="002F368B" w:rsidP="0047041E">
            <w:pPr>
              <w:spacing w:after="0" w:line="240" w:lineRule="auto"/>
              <w:jc w:val="center"/>
              <w:rPr>
                <w:rFonts w:ascii="Calibri" w:hAnsi="Calibri"/>
                <w:sz w:val="20"/>
                <w:szCs w:val="20"/>
              </w:rPr>
            </w:pPr>
            <w:r w:rsidRPr="008502EB">
              <w:rPr>
                <w:rFonts w:ascii="Calibri" w:hAnsi="Calibri"/>
                <w:sz w:val="20"/>
                <w:szCs w:val="20"/>
              </w:rPr>
              <w:t>Norrback Avenue ES</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73.6</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78.0</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78.0</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80.4</w:t>
            </w:r>
          </w:p>
        </w:tc>
        <w:tc>
          <w:tcPr>
            <w:tcW w:w="1818"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6.8</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67.8</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73.0</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73.3</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73.8</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6.0</w:t>
            </w:r>
          </w:p>
        </w:tc>
      </w:tr>
      <w:tr w:rsidR="002F368B" w:rsidRPr="008502EB" w:rsidTr="00BA4683">
        <w:tc>
          <w:tcPr>
            <w:tcW w:w="3438" w:type="dxa"/>
            <w:vAlign w:val="bottom"/>
          </w:tcPr>
          <w:p w:rsidR="002F368B" w:rsidRPr="008502EB" w:rsidRDefault="005A6E44" w:rsidP="00047E4C">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72.0</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73.8</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67.0</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70.6</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75.0</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71.3</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4.3</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52.8</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58.1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60.4</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57.7</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4.9</w:t>
            </w:r>
          </w:p>
        </w:tc>
      </w:tr>
      <w:tr w:rsidR="002F368B" w:rsidRPr="008502EB" w:rsidTr="00BA4683">
        <w:tc>
          <w:tcPr>
            <w:tcW w:w="3438" w:type="dxa"/>
            <w:shd w:val="clear" w:color="auto" w:fill="D9D9D9" w:themeFill="background1" w:themeFillShade="D9"/>
            <w:vAlign w:val="bottom"/>
          </w:tcPr>
          <w:p w:rsidR="0047041E" w:rsidRDefault="002F368B" w:rsidP="0047041E">
            <w:pPr>
              <w:spacing w:after="0" w:line="240" w:lineRule="auto"/>
              <w:jc w:val="center"/>
              <w:rPr>
                <w:rFonts w:ascii="Calibri" w:hAnsi="Calibri"/>
                <w:sz w:val="20"/>
                <w:szCs w:val="20"/>
              </w:rPr>
            </w:pPr>
            <w:r w:rsidRPr="008502EB">
              <w:rPr>
                <w:rFonts w:ascii="Calibri" w:hAnsi="Calibri"/>
                <w:sz w:val="20"/>
                <w:szCs w:val="20"/>
              </w:rPr>
              <w:t>Quinsigamond ES</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74.8</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67.8</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52.9</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70.1</w:t>
            </w:r>
          </w:p>
        </w:tc>
        <w:tc>
          <w:tcPr>
            <w:tcW w:w="1818"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-4.7</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73.6</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65.7</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51.1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68.2</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-5.4</w:t>
            </w:r>
          </w:p>
        </w:tc>
      </w:tr>
      <w:tr w:rsidR="002F368B" w:rsidRPr="008502EB" w:rsidTr="00BA4683">
        <w:tc>
          <w:tcPr>
            <w:tcW w:w="3438" w:type="dxa"/>
            <w:vAlign w:val="bottom"/>
          </w:tcPr>
          <w:p w:rsidR="002F368B" w:rsidRPr="008502EB" w:rsidRDefault="005A6E44" w:rsidP="00047E4C">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50.0</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66.5</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74.1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65.8</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53.4</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72.0</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-2.1</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53.4</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48.3</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36.1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48.4</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-5.0</w:t>
            </w:r>
          </w:p>
        </w:tc>
      </w:tr>
      <w:tr w:rsidR="002F368B" w:rsidRPr="008502EB" w:rsidTr="00BA4683">
        <w:tc>
          <w:tcPr>
            <w:tcW w:w="3438" w:type="dxa"/>
            <w:shd w:val="clear" w:color="auto" w:fill="D9D9D9" w:themeFill="background1" w:themeFillShade="D9"/>
            <w:vAlign w:val="bottom"/>
          </w:tcPr>
          <w:p w:rsidR="0047041E" w:rsidRDefault="002F368B" w:rsidP="0047041E">
            <w:pPr>
              <w:spacing w:after="0" w:line="240" w:lineRule="auto"/>
              <w:jc w:val="center"/>
              <w:rPr>
                <w:rFonts w:ascii="Calibri" w:hAnsi="Calibri"/>
                <w:sz w:val="20"/>
                <w:szCs w:val="20"/>
              </w:rPr>
            </w:pPr>
            <w:r w:rsidRPr="008502EB">
              <w:rPr>
                <w:rFonts w:ascii="Calibri" w:hAnsi="Calibri"/>
                <w:sz w:val="20"/>
                <w:szCs w:val="20"/>
              </w:rPr>
              <w:t>Rice Square ES</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62.5</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62.4</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64.3</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69.4</w:t>
            </w:r>
          </w:p>
        </w:tc>
        <w:tc>
          <w:tcPr>
            <w:tcW w:w="1818"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6.9</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61.1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59.1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62.2</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65.5</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4.4</w:t>
            </w:r>
          </w:p>
        </w:tc>
      </w:tr>
      <w:tr w:rsidR="002F368B" w:rsidRPr="008502EB" w:rsidTr="00BA4683">
        <w:tc>
          <w:tcPr>
            <w:tcW w:w="3438" w:type="dxa"/>
            <w:vAlign w:val="bottom"/>
          </w:tcPr>
          <w:p w:rsidR="002F368B" w:rsidRPr="008502EB" w:rsidRDefault="005A6E44" w:rsidP="00A32427">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65.2</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65.1</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61.9</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59.1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56.4</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64.7</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2.8</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27.3</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31.3</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33.1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42.4</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15.1</w:t>
            </w:r>
          </w:p>
        </w:tc>
      </w:tr>
      <w:tr w:rsidR="002F368B" w:rsidRPr="008502EB" w:rsidTr="00BA4683">
        <w:tc>
          <w:tcPr>
            <w:tcW w:w="3438" w:type="dxa"/>
            <w:shd w:val="clear" w:color="auto" w:fill="D9D9D9" w:themeFill="background1" w:themeFillShade="D9"/>
            <w:vAlign w:val="bottom"/>
          </w:tcPr>
          <w:p w:rsidR="0047041E" w:rsidRDefault="002F368B" w:rsidP="0047041E">
            <w:pPr>
              <w:spacing w:after="0" w:line="240" w:lineRule="auto"/>
              <w:jc w:val="center"/>
              <w:rPr>
                <w:rFonts w:ascii="Calibri" w:hAnsi="Calibri"/>
                <w:sz w:val="20"/>
                <w:szCs w:val="20"/>
              </w:rPr>
            </w:pPr>
            <w:r w:rsidRPr="008502EB">
              <w:rPr>
                <w:rFonts w:ascii="Calibri" w:hAnsi="Calibri"/>
                <w:sz w:val="20"/>
                <w:szCs w:val="20"/>
              </w:rPr>
              <w:t>Roosevelt ES</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74.9</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81.0</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75.3</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88.1</w:t>
            </w:r>
          </w:p>
        </w:tc>
        <w:tc>
          <w:tcPr>
            <w:tcW w:w="1818"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13.2</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69.9</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77.0</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70.0</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84.0</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14.1</w:t>
            </w:r>
          </w:p>
        </w:tc>
      </w:tr>
      <w:tr w:rsidR="002F368B" w:rsidRPr="008502EB" w:rsidTr="00BA4683">
        <w:tc>
          <w:tcPr>
            <w:tcW w:w="3438" w:type="dxa"/>
            <w:vAlign w:val="bottom"/>
          </w:tcPr>
          <w:p w:rsidR="002F368B" w:rsidRPr="008502EB" w:rsidRDefault="005A6E44" w:rsidP="00A32427">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70.5</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83.7</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83.7</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68.4</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74.8</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70.2</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85.7</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17.3</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57.5</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61.5</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58.7</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71.2</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13.7</w:t>
            </w:r>
          </w:p>
        </w:tc>
      </w:tr>
      <w:tr w:rsidR="002F368B" w:rsidRPr="008502EB" w:rsidTr="00BA4683">
        <w:tc>
          <w:tcPr>
            <w:tcW w:w="3438" w:type="dxa"/>
            <w:shd w:val="clear" w:color="auto" w:fill="D9D9D9" w:themeFill="background1" w:themeFillShade="D9"/>
            <w:vAlign w:val="bottom"/>
          </w:tcPr>
          <w:p w:rsidR="0047041E" w:rsidRDefault="002F368B" w:rsidP="0047041E">
            <w:pPr>
              <w:spacing w:after="0" w:line="240" w:lineRule="auto"/>
              <w:jc w:val="center"/>
              <w:rPr>
                <w:rFonts w:ascii="Calibri" w:hAnsi="Calibri"/>
                <w:sz w:val="20"/>
                <w:szCs w:val="20"/>
              </w:rPr>
            </w:pPr>
            <w:r w:rsidRPr="008502EB">
              <w:rPr>
                <w:rFonts w:ascii="Calibri" w:hAnsi="Calibri"/>
                <w:sz w:val="20"/>
                <w:szCs w:val="20"/>
              </w:rPr>
              <w:t>Worcester Arts Magnet ES</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92.5</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95.1</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95.7</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96.5</w:t>
            </w:r>
          </w:p>
        </w:tc>
        <w:tc>
          <w:tcPr>
            <w:tcW w:w="1818"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4.0</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88.1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91.9</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93.5</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93.5</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5.4</w:t>
            </w:r>
          </w:p>
        </w:tc>
      </w:tr>
      <w:tr w:rsidR="002F368B" w:rsidRPr="008502EB" w:rsidTr="00BA4683">
        <w:tc>
          <w:tcPr>
            <w:tcW w:w="3438" w:type="dxa"/>
            <w:vAlign w:val="bottom"/>
          </w:tcPr>
          <w:p w:rsidR="002F368B" w:rsidRPr="008502EB" w:rsidRDefault="005A6E44" w:rsidP="00A32427">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91.7</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93.8</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84.2</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90.2</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94.9</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94.9</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10.7</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75.0</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87.5</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86.3</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84.7</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9.7</w:t>
            </w:r>
          </w:p>
        </w:tc>
      </w:tr>
      <w:tr w:rsidR="002F368B" w:rsidRPr="008502EB" w:rsidTr="00BA4683">
        <w:tc>
          <w:tcPr>
            <w:tcW w:w="3438" w:type="dxa"/>
            <w:shd w:val="clear" w:color="auto" w:fill="D9D9D9" w:themeFill="background1" w:themeFillShade="D9"/>
            <w:vAlign w:val="bottom"/>
          </w:tcPr>
          <w:p w:rsidR="0047041E" w:rsidRDefault="002F368B" w:rsidP="0047041E">
            <w:pPr>
              <w:spacing w:after="0" w:line="240" w:lineRule="auto"/>
              <w:jc w:val="center"/>
              <w:rPr>
                <w:rFonts w:ascii="Calibri" w:hAnsi="Calibri"/>
                <w:sz w:val="20"/>
                <w:szCs w:val="20"/>
              </w:rPr>
            </w:pPr>
            <w:r w:rsidRPr="008502EB">
              <w:rPr>
                <w:rFonts w:ascii="Calibri" w:hAnsi="Calibri"/>
                <w:sz w:val="20"/>
                <w:szCs w:val="20"/>
              </w:rPr>
              <w:t>Tatnuck ES</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78.7</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81.1</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80.0</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78.9</w:t>
            </w:r>
          </w:p>
        </w:tc>
        <w:tc>
          <w:tcPr>
            <w:tcW w:w="1818"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0.2</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73.9</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77.6</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76.8</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75.0</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1.1</w:t>
            </w:r>
          </w:p>
        </w:tc>
      </w:tr>
      <w:tr w:rsidR="002F368B" w:rsidRPr="008502EB" w:rsidTr="00BA4683">
        <w:tc>
          <w:tcPr>
            <w:tcW w:w="3438" w:type="dxa"/>
            <w:vAlign w:val="bottom"/>
          </w:tcPr>
          <w:p w:rsidR="002F368B" w:rsidRPr="008502EB" w:rsidRDefault="005A6E44" w:rsidP="00A32427">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77.9</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75.0</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72.8</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79.9</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82.1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74.7</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1.9</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61.8</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64.8</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59.6</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57.5</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-4.3</w:t>
            </w:r>
          </w:p>
        </w:tc>
      </w:tr>
      <w:tr w:rsidR="002F368B" w:rsidRPr="008502EB" w:rsidTr="00BA4683">
        <w:tc>
          <w:tcPr>
            <w:tcW w:w="3438" w:type="dxa"/>
            <w:shd w:val="clear" w:color="auto" w:fill="D9D9D9" w:themeFill="background1" w:themeFillShade="D9"/>
            <w:vAlign w:val="bottom"/>
          </w:tcPr>
          <w:p w:rsidR="0047041E" w:rsidRDefault="002F368B" w:rsidP="0047041E">
            <w:pPr>
              <w:spacing w:after="0" w:line="240" w:lineRule="auto"/>
              <w:jc w:val="center"/>
              <w:rPr>
                <w:rFonts w:ascii="Calibri" w:hAnsi="Calibri"/>
                <w:sz w:val="20"/>
                <w:szCs w:val="20"/>
              </w:rPr>
            </w:pPr>
            <w:r w:rsidRPr="008502EB">
              <w:rPr>
                <w:rFonts w:ascii="Calibri" w:hAnsi="Calibri"/>
                <w:sz w:val="20"/>
                <w:szCs w:val="20"/>
              </w:rPr>
              <w:t>Thorndyke Road ES</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77.6</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77.1</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81.5</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82.6</w:t>
            </w:r>
          </w:p>
        </w:tc>
        <w:tc>
          <w:tcPr>
            <w:tcW w:w="1818"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5.0</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67.4</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66.6</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71.2</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70.3</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2.9</w:t>
            </w:r>
          </w:p>
        </w:tc>
      </w:tr>
      <w:tr w:rsidR="002F368B" w:rsidRPr="008502EB" w:rsidTr="00BA4683">
        <w:tc>
          <w:tcPr>
            <w:tcW w:w="3438" w:type="dxa"/>
            <w:vAlign w:val="bottom"/>
          </w:tcPr>
          <w:p w:rsidR="002F368B" w:rsidRPr="008502EB" w:rsidRDefault="005A6E44" w:rsidP="00A32427">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68.8</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68.8</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61.1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64.1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73.3</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72.9</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11.8</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51.8</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47.4</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49.1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45.7</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-6.1</w:t>
            </w:r>
          </w:p>
        </w:tc>
      </w:tr>
      <w:tr w:rsidR="002F368B" w:rsidRPr="008502EB" w:rsidTr="00BA4683">
        <w:tc>
          <w:tcPr>
            <w:tcW w:w="3438" w:type="dxa"/>
            <w:shd w:val="clear" w:color="auto" w:fill="D9D9D9" w:themeFill="background1" w:themeFillShade="D9"/>
            <w:vAlign w:val="bottom"/>
          </w:tcPr>
          <w:p w:rsidR="0047041E" w:rsidRDefault="002F368B" w:rsidP="0047041E">
            <w:pPr>
              <w:spacing w:after="0" w:line="240" w:lineRule="auto"/>
              <w:jc w:val="center"/>
              <w:rPr>
                <w:rFonts w:ascii="Calibri" w:hAnsi="Calibri"/>
                <w:sz w:val="20"/>
                <w:szCs w:val="20"/>
              </w:rPr>
            </w:pPr>
            <w:r w:rsidRPr="008502EB">
              <w:rPr>
                <w:rFonts w:ascii="Calibri" w:hAnsi="Calibri"/>
                <w:sz w:val="20"/>
                <w:szCs w:val="20"/>
              </w:rPr>
              <w:t>Union Hill ES</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74.4</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74.0</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75.1</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75.0</w:t>
            </w:r>
          </w:p>
        </w:tc>
        <w:tc>
          <w:tcPr>
            <w:tcW w:w="1818"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0.6</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74.3</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74.0</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74.8</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74.1</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-0.2</w:t>
            </w:r>
          </w:p>
        </w:tc>
      </w:tr>
      <w:tr w:rsidR="002F368B" w:rsidRPr="008502EB" w:rsidTr="00BA4683">
        <w:tc>
          <w:tcPr>
            <w:tcW w:w="3438" w:type="dxa"/>
            <w:vAlign w:val="bottom"/>
          </w:tcPr>
          <w:p w:rsidR="002F368B" w:rsidRPr="008502EB" w:rsidRDefault="005A6E44" w:rsidP="00A32427">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74.5</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75.7</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71.0</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68.9</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73.0</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73.3</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2.3</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57.9</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65.2</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62.7</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54.2</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-3.7</w:t>
            </w:r>
          </w:p>
        </w:tc>
      </w:tr>
      <w:tr w:rsidR="002F368B" w:rsidRPr="008502EB" w:rsidTr="00BA4683">
        <w:tc>
          <w:tcPr>
            <w:tcW w:w="3438" w:type="dxa"/>
            <w:shd w:val="clear" w:color="auto" w:fill="D9D9D9" w:themeFill="background1" w:themeFillShade="D9"/>
            <w:vAlign w:val="bottom"/>
          </w:tcPr>
          <w:p w:rsidR="0047041E" w:rsidRDefault="002F368B" w:rsidP="0047041E">
            <w:pPr>
              <w:spacing w:after="0" w:line="240" w:lineRule="auto"/>
              <w:jc w:val="center"/>
              <w:rPr>
                <w:rFonts w:ascii="Calibri" w:hAnsi="Calibri"/>
                <w:sz w:val="20"/>
                <w:szCs w:val="20"/>
              </w:rPr>
            </w:pPr>
            <w:r w:rsidRPr="008502EB">
              <w:rPr>
                <w:rFonts w:ascii="Calibri" w:hAnsi="Calibri"/>
                <w:sz w:val="20"/>
                <w:szCs w:val="20"/>
              </w:rPr>
              <w:t>West Tatnuck ES</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91.4</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96.0</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94.6</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94.7</w:t>
            </w:r>
          </w:p>
        </w:tc>
        <w:tc>
          <w:tcPr>
            <w:tcW w:w="1818"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3.3</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86.3</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92.9</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91.1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90.2</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3.9</w:t>
            </w:r>
          </w:p>
        </w:tc>
      </w:tr>
      <w:tr w:rsidR="002F368B" w:rsidRPr="008502EB" w:rsidTr="00BA4683">
        <w:tc>
          <w:tcPr>
            <w:tcW w:w="3438" w:type="dxa"/>
            <w:vAlign w:val="bottom"/>
          </w:tcPr>
          <w:p w:rsidR="002F368B" w:rsidRPr="008502EB" w:rsidRDefault="005A6E44" w:rsidP="00A32427">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95.3</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91.2</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85.8</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96.6</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99.2</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96.1</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10.3</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72.7</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80.0</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76.9</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71.4</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-1.3</w:t>
            </w:r>
          </w:p>
        </w:tc>
      </w:tr>
      <w:tr w:rsidR="002F368B" w:rsidRPr="008502EB" w:rsidTr="00BA4683">
        <w:tc>
          <w:tcPr>
            <w:tcW w:w="3438" w:type="dxa"/>
            <w:shd w:val="clear" w:color="auto" w:fill="D9D9D9" w:themeFill="background1" w:themeFillShade="D9"/>
            <w:vAlign w:val="bottom"/>
          </w:tcPr>
          <w:p w:rsidR="0047041E" w:rsidRDefault="002F368B" w:rsidP="0047041E">
            <w:pPr>
              <w:spacing w:after="0" w:line="240" w:lineRule="auto"/>
              <w:jc w:val="center"/>
              <w:rPr>
                <w:rFonts w:ascii="Calibri" w:hAnsi="Calibri"/>
                <w:sz w:val="20"/>
                <w:szCs w:val="20"/>
              </w:rPr>
            </w:pPr>
            <w:r w:rsidRPr="008502EB">
              <w:rPr>
                <w:rFonts w:ascii="Calibri" w:hAnsi="Calibri"/>
                <w:sz w:val="20"/>
                <w:szCs w:val="20"/>
              </w:rPr>
              <w:t>Vernon Hill ES</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66.9</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68.9</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68.2</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61.8</w:t>
            </w:r>
          </w:p>
        </w:tc>
        <w:tc>
          <w:tcPr>
            <w:tcW w:w="1818"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-5.1</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66.3</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68.0</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66.1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60.4</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-5.9</w:t>
            </w:r>
          </w:p>
        </w:tc>
      </w:tr>
      <w:tr w:rsidR="002F368B" w:rsidRPr="008502EB" w:rsidTr="00BA4683">
        <w:tc>
          <w:tcPr>
            <w:tcW w:w="3438" w:type="dxa"/>
            <w:vAlign w:val="bottom"/>
          </w:tcPr>
          <w:p w:rsidR="002F368B" w:rsidRPr="008502EB" w:rsidRDefault="005A6E44" w:rsidP="00A32427">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66.3</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60.5</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67.0</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68.5</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66.9</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59.3</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-7.7</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39.6</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41.9</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39.0</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36.9</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-2.7</w:t>
            </w:r>
          </w:p>
        </w:tc>
      </w:tr>
      <w:tr w:rsidR="002F368B" w:rsidRPr="008502EB" w:rsidTr="00BA4683">
        <w:tc>
          <w:tcPr>
            <w:tcW w:w="3438" w:type="dxa"/>
            <w:shd w:val="clear" w:color="auto" w:fill="D9D9D9" w:themeFill="background1" w:themeFillShade="D9"/>
            <w:vAlign w:val="bottom"/>
          </w:tcPr>
          <w:p w:rsidR="0047041E" w:rsidRDefault="002F368B" w:rsidP="0047041E">
            <w:pPr>
              <w:spacing w:after="0" w:line="240" w:lineRule="auto"/>
              <w:jc w:val="center"/>
              <w:rPr>
                <w:rFonts w:ascii="Calibri" w:hAnsi="Calibri"/>
                <w:sz w:val="20"/>
                <w:szCs w:val="20"/>
              </w:rPr>
            </w:pPr>
            <w:r w:rsidRPr="008502EB">
              <w:rPr>
                <w:rFonts w:ascii="Calibri" w:hAnsi="Calibri"/>
                <w:sz w:val="20"/>
                <w:szCs w:val="20"/>
              </w:rPr>
              <w:t>University Park MSHS</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89.4</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87.6</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91.1</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87.9</w:t>
            </w:r>
          </w:p>
        </w:tc>
        <w:tc>
          <w:tcPr>
            <w:tcW w:w="1818"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-1.5</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88.4</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86.3</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88.1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84.8</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-3.6</w:t>
            </w:r>
          </w:p>
        </w:tc>
      </w:tr>
      <w:tr w:rsidR="002F368B" w:rsidRPr="008502EB" w:rsidTr="00BA4683">
        <w:tc>
          <w:tcPr>
            <w:tcW w:w="3438" w:type="dxa"/>
            <w:vAlign w:val="bottom"/>
          </w:tcPr>
          <w:p w:rsidR="002F368B" w:rsidRPr="008502EB" w:rsidRDefault="005A6E44" w:rsidP="00A32427">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90.0</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85.9</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83.0</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75.6</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81.1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80.7</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-2.3</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818"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r>
      <w:tr w:rsidR="002F368B" w:rsidRPr="008502EB" w:rsidTr="00BA4683">
        <w:tc>
          <w:tcPr>
            <w:tcW w:w="3438" w:type="dxa"/>
            <w:shd w:val="clear" w:color="auto" w:fill="D9D9D9" w:themeFill="background1" w:themeFillShade="D9"/>
            <w:vAlign w:val="bottom"/>
          </w:tcPr>
          <w:p w:rsidR="0047041E" w:rsidRDefault="002F368B" w:rsidP="0047041E">
            <w:pPr>
              <w:spacing w:after="0" w:line="240" w:lineRule="auto"/>
              <w:jc w:val="center"/>
              <w:rPr>
                <w:rFonts w:ascii="Calibri" w:hAnsi="Calibri"/>
                <w:sz w:val="20"/>
                <w:szCs w:val="20"/>
              </w:rPr>
            </w:pPr>
            <w:r w:rsidRPr="008502EB">
              <w:rPr>
                <w:rFonts w:ascii="Calibri" w:hAnsi="Calibri"/>
                <w:sz w:val="20"/>
                <w:szCs w:val="20"/>
              </w:rPr>
              <w:t>Claremont Academy MSHS</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81.9</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77.4</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76.4</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81.4</w:t>
            </w:r>
          </w:p>
        </w:tc>
        <w:tc>
          <w:tcPr>
            <w:tcW w:w="1818"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-0.5</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81.0</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76.6</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74.1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78.9</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-2.1</w:t>
            </w:r>
          </w:p>
        </w:tc>
      </w:tr>
      <w:tr w:rsidR="002F368B" w:rsidRPr="008502EB" w:rsidTr="00BA4683">
        <w:tc>
          <w:tcPr>
            <w:tcW w:w="3438" w:type="dxa"/>
            <w:vAlign w:val="bottom"/>
          </w:tcPr>
          <w:p w:rsidR="002F368B" w:rsidRPr="008502EB" w:rsidRDefault="005A6E44" w:rsidP="00A32427">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74.5</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80.6</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76.7</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69.4</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67.3</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71.6</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-5.1</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51.6</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47.4</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57.4</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60.8</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9.2</w:t>
            </w:r>
          </w:p>
        </w:tc>
      </w:tr>
      <w:tr w:rsidR="002F368B" w:rsidRPr="008502EB" w:rsidTr="00BA4683">
        <w:tc>
          <w:tcPr>
            <w:tcW w:w="3438" w:type="dxa"/>
            <w:shd w:val="clear" w:color="auto" w:fill="D9D9D9" w:themeFill="background1" w:themeFillShade="D9"/>
            <w:vAlign w:val="bottom"/>
          </w:tcPr>
          <w:p w:rsidR="0047041E" w:rsidRDefault="002F368B" w:rsidP="0047041E">
            <w:pPr>
              <w:spacing w:after="0" w:line="240" w:lineRule="auto"/>
              <w:jc w:val="center"/>
              <w:rPr>
                <w:rFonts w:ascii="Calibri" w:hAnsi="Calibri"/>
                <w:sz w:val="20"/>
                <w:szCs w:val="20"/>
              </w:rPr>
            </w:pPr>
            <w:r w:rsidRPr="008502EB">
              <w:rPr>
                <w:rFonts w:ascii="Calibri" w:hAnsi="Calibri"/>
                <w:sz w:val="20"/>
                <w:szCs w:val="20"/>
              </w:rPr>
              <w:t>Burncoat MS</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82.1</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81.9</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79.6</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86.3</w:t>
            </w:r>
          </w:p>
        </w:tc>
        <w:tc>
          <w:tcPr>
            <w:tcW w:w="1818"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4.2</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77.2</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77.6</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73.0</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80.8</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3.6</w:t>
            </w:r>
          </w:p>
        </w:tc>
      </w:tr>
      <w:tr w:rsidR="002F368B" w:rsidRPr="008502EB" w:rsidTr="00BA4683">
        <w:tc>
          <w:tcPr>
            <w:tcW w:w="3438" w:type="dxa"/>
            <w:vAlign w:val="bottom"/>
          </w:tcPr>
          <w:p w:rsidR="002F368B" w:rsidRPr="008502EB" w:rsidRDefault="005A6E44" w:rsidP="00A32427">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72.7</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80.7</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68.4</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67.4</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64.6</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74.2</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5.8</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58.3</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63.0</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55.1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65.8</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7.5</w:t>
            </w:r>
          </w:p>
        </w:tc>
      </w:tr>
      <w:tr w:rsidR="002F368B" w:rsidRPr="008502EB" w:rsidTr="00BA4683">
        <w:tc>
          <w:tcPr>
            <w:tcW w:w="3438" w:type="dxa"/>
            <w:shd w:val="clear" w:color="auto" w:fill="D9D9D9" w:themeFill="background1" w:themeFillShade="D9"/>
            <w:vAlign w:val="bottom"/>
          </w:tcPr>
          <w:p w:rsidR="0047041E" w:rsidRDefault="002F368B" w:rsidP="0047041E">
            <w:pPr>
              <w:spacing w:after="0" w:line="240" w:lineRule="auto"/>
              <w:jc w:val="center"/>
              <w:rPr>
                <w:rFonts w:ascii="Calibri" w:hAnsi="Calibri"/>
                <w:sz w:val="20"/>
                <w:szCs w:val="20"/>
              </w:rPr>
            </w:pPr>
            <w:r w:rsidRPr="008502EB">
              <w:rPr>
                <w:rFonts w:ascii="Calibri" w:hAnsi="Calibri"/>
                <w:sz w:val="20"/>
                <w:szCs w:val="20"/>
              </w:rPr>
              <w:t>Forest Grove MS</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85.2</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86.3</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89.3</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87.5</w:t>
            </w:r>
          </w:p>
        </w:tc>
        <w:tc>
          <w:tcPr>
            <w:tcW w:w="1818"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2.3</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78.9</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80.1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82.8</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80.2</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1.3</w:t>
            </w:r>
          </w:p>
        </w:tc>
      </w:tr>
      <w:tr w:rsidR="002F368B" w:rsidRPr="008502EB" w:rsidTr="00BA4683">
        <w:tc>
          <w:tcPr>
            <w:tcW w:w="3438" w:type="dxa"/>
            <w:vAlign w:val="bottom"/>
          </w:tcPr>
          <w:p w:rsidR="002F368B" w:rsidRPr="008502EB" w:rsidRDefault="005A6E44" w:rsidP="00A32427">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84.5</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81.7</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75.6</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77.5</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80.3</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75.8</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0.2</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59.9</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61.4</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67.9</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66.3</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6.4</w:t>
            </w:r>
          </w:p>
        </w:tc>
      </w:tr>
      <w:tr w:rsidR="002F368B" w:rsidRPr="008502EB" w:rsidTr="00BA4683">
        <w:tc>
          <w:tcPr>
            <w:tcW w:w="3438" w:type="dxa"/>
            <w:shd w:val="clear" w:color="auto" w:fill="D9D9D9" w:themeFill="background1" w:themeFillShade="D9"/>
            <w:vAlign w:val="bottom"/>
          </w:tcPr>
          <w:p w:rsidR="0047041E" w:rsidRDefault="002F368B" w:rsidP="0047041E">
            <w:pPr>
              <w:spacing w:after="0" w:line="240" w:lineRule="auto"/>
              <w:jc w:val="center"/>
              <w:rPr>
                <w:rFonts w:ascii="Calibri" w:hAnsi="Calibri"/>
                <w:sz w:val="20"/>
                <w:szCs w:val="20"/>
              </w:rPr>
            </w:pPr>
            <w:r w:rsidRPr="008502EB">
              <w:rPr>
                <w:rFonts w:ascii="Calibri" w:hAnsi="Calibri"/>
                <w:sz w:val="20"/>
                <w:szCs w:val="20"/>
              </w:rPr>
              <w:t>Worcester East MS</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76.7</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79.9</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83.4</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83.8</w:t>
            </w:r>
          </w:p>
        </w:tc>
        <w:tc>
          <w:tcPr>
            <w:tcW w:w="1818"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7.1</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75.7</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78.8</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81.1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81.7</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6.0</w:t>
            </w:r>
          </w:p>
        </w:tc>
      </w:tr>
      <w:tr w:rsidR="002F368B" w:rsidRPr="008502EB" w:rsidTr="00A32427">
        <w:trPr>
          <w:trHeight w:val="179"/>
        </w:trPr>
        <w:tc>
          <w:tcPr>
            <w:tcW w:w="3438" w:type="dxa"/>
            <w:vAlign w:val="bottom"/>
          </w:tcPr>
          <w:p w:rsidR="002F368B" w:rsidRPr="008502EB" w:rsidRDefault="005A6E44" w:rsidP="00A32427">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81.5</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81.4</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73.2</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74.5</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78.1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77.8</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4.6</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50.7</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55.8</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62.8</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57.8</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7.1</w:t>
            </w:r>
          </w:p>
        </w:tc>
      </w:tr>
      <w:tr w:rsidR="002F368B" w:rsidRPr="008502EB" w:rsidTr="00BA4683">
        <w:tc>
          <w:tcPr>
            <w:tcW w:w="3438" w:type="dxa"/>
            <w:shd w:val="clear" w:color="auto" w:fill="D9D9D9" w:themeFill="background1" w:themeFillShade="D9"/>
            <w:vAlign w:val="bottom"/>
          </w:tcPr>
          <w:p w:rsidR="0047041E" w:rsidRDefault="002F368B" w:rsidP="0047041E">
            <w:pPr>
              <w:spacing w:after="0" w:line="240" w:lineRule="auto"/>
              <w:jc w:val="center"/>
              <w:rPr>
                <w:rFonts w:ascii="Calibri" w:hAnsi="Calibri"/>
                <w:sz w:val="20"/>
                <w:szCs w:val="20"/>
              </w:rPr>
            </w:pPr>
            <w:r w:rsidRPr="008502EB">
              <w:rPr>
                <w:rFonts w:ascii="Calibri" w:hAnsi="Calibri"/>
                <w:sz w:val="20"/>
                <w:szCs w:val="20"/>
              </w:rPr>
              <w:t>Sullivan MS</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79.5</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79.8</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80.7</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81.4</w:t>
            </w:r>
          </w:p>
        </w:tc>
        <w:tc>
          <w:tcPr>
            <w:tcW w:w="1818"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1.9</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76.9</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77.1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75.7</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76.3</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-0.6</w:t>
            </w:r>
          </w:p>
        </w:tc>
      </w:tr>
      <w:tr w:rsidR="002F368B" w:rsidRPr="008502EB" w:rsidTr="00BA4683">
        <w:tc>
          <w:tcPr>
            <w:tcW w:w="3438" w:type="dxa"/>
            <w:vAlign w:val="bottom"/>
          </w:tcPr>
          <w:p w:rsidR="002F368B" w:rsidRPr="008502EB" w:rsidRDefault="005A6E44" w:rsidP="00A32427">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75.3</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75.5</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72.2</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71.1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70.7</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69.0</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-3.2</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54.7</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54.9</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58.0</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61.1</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6.4</w:t>
            </w:r>
          </w:p>
        </w:tc>
      </w:tr>
      <w:tr w:rsidR="002F368B" w:rsidRPr="008502EB" w:rsidTr="00BA4683">
        <w:tc>
          <w:tcPr>
            <w:tcW w:w="3438" w:type="dxa"/>
            <w:shd w:val="clear" w:color="auto" w:fill="D9D9D9" w:themeFill="background1" w:themeFillShade="D9"/>
            <w:vAlign w:val="bottom"/>
          </w:tcPr>
          <w:p w:rsidR="0047041E" w:rsidRDefault="002F368B" w:rsidP="0047041E">
            <w:pPr>
              <w:spacing w:after="0" w:line="240" w:lineRule="auto"/>
              <w:jc w:val="center"/>
              <w:rPr>
                <w:rFonts w:ascii="Calibri" w:hAnsi="Calibri"/>
                <w:sz w:val="20"/>
                <w:szCs w:val="20"/>
              </w:rPr>
            </w:pPr>
            <w:r w:rsidRPr="008502EB">
              <w:rPr>
                <w:rFonts w:ascii="Calibri" w:hAnsi="Calibri"/>
                <w:sz w:val="20"/>
                <w:szCs w:val="20"/>
              </w:rPr>
              <w:t xml:space="preserve">Burncoat </w:t>
            </w:r>
            <w:r w:rsidR="00AE41A1">
              <w:rPr>
                <w:rFonts w:ascii="Calibri" w:hAnsi="Calibri"/>
                <w:sz w:val="20"/>
                <w:szCs w:val="20"/>
              </w:rPr>
              <w:t xml:space="preserve">Senior </w:t>
            </w:r>
            <w:r w:rsidRPr="008502EB">
              <w:rPr>
                <w:rFonts w:ascii="Calibri" w:hAnsi="Calibri"/>
                <w:sz w:val="20"/>
                <w:szCs w:val="20"/>
              </w:rPr>
              <w:t>HS</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91.2</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89.0</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92.8</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91.6</w:t>
            </w:r>
          </w:p>
        </w:tc>
        <w:tc>
          <w:tcPr>
            <w:tcW w:w="1818"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0.4</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88.0</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85.0</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90.6</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87.1</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-0.9</w:t>
            </w:r>
          </w:p>
        </w:tc>
      </w:tr>
      <w:tr w:rsidR="002F368B" w:rsidRPr="008502EB" w:rsidTr="00BA4683">
        <w:tc>
          <w:tcPr>
            <w:tcW w:w="3438" w:type="dxa"/>
            <w:vAlign w:val="bottom"/>
          </w:tcPr>
          <w:p w:rsidR="002F368B" w:rsidRPr="008502EB" w:rsidRDefault="005A6E44" w:rsidP="00A32427">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91.3</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88.3</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83.9</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80.2</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86.4</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75.6</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-8.3</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71.0</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73.5</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82.1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79.3</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8.3</w:t>
            </w:r>
          </w:p>
        </w:tc>
      </w:tr>
      <w:tr w:rsidR="002F368B" w:rsidRPr="008502EB" w:rsidTr="00BA4683">
        <w:tc>
          <w:tcPr>
            <w:tcW w:w="3438" w:type="dxa"/>
            <w:shd w:val="clear" w:color="auto" w:fill="D9D9D9" w:themeFill="background1" w:themeFillShade="D9"/>
            <w:vAlign w:val="bottom"/>
          </w:tcPr>
          <w:p w:rsidR="0047041E" w:rsidRDefault="002F368B" w:rsidP="0047041E">
            <w:pPr>
              <w:spacing w:after="0" w:line="240" w:lineRule="auto"/>
              <w:jc w:val="center"/>
              <w:rPr>
                <w:rFonts w:ascii="Calibri" w:hAnsi="Calibri"/>
                <w:sz w:val="20"/>
                <w:szCs w:val="20"/>
              </w:rPr>
            </w:pPr>
            <w:r w:rsidRPr="008502EB">
              <w:rPr>
                <w:rFonts w:ascii="Calibri" w:hAnsi="Calibri"/>
                <w:sz w:val="20"/>
                <w:szCs w:val="20"/>
              </w:rPr>
              <w:t>Doherty Memorial HS</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93.4</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94.2</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93.3</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92.8</w:t>
            </w:r>
          </w:p>
        </w:tc>
        <w:tc>
          <w:tcPr>
            <w:tcW w:w="1818"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-0.6</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90.1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91.1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89.2</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86.8</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-3.3</w:t>
            </w:r>
          </w:p>
        </w:tc>
      </w:tr>
      <w:tr w:rsidR="002F368B" w:rsidRPr="008502EB" w:rsidTr="00BA4683">
        <w:tc>
          <w:tcPr>
            <w:tcW w:w="3438" w:type="dxa"/>
            <w:vAlign w:val="bottom"/>
          </w:tcPr>
          <w:p w:rsidR="002F368B" w:rsidRPr="008502EB" w:rsidRDefault="005A6E44" w:rsidP="00A32427">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91.2</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89.8</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83.7</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85.1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80.1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76.7</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-7.0</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74.4</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79.3</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79.7</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78.0</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3.6</w:t>
            </w:r>
          </w:p>
        </w:tc>
      </w:tr>
      <w:tr w:rsidR="002F368B" w:rsidRPr="008502EB" w:rsidTr="00BA4683">
        <w:tc>
          <w:tcPr>
            <w:tcW w:w="3438" w:type="dxa"/>
            <w:shd w:val="clear" w:color="auto" w:fill="D9D9D9" w:themeFill="background1" w:themeFillShade="D9"/>
            <w:vAlign w:val="bottom"/>
          </w:tcPr>
          <w:p w:rsidR="0047041E" w:rsidRDefault="002F368B" w:rsidP="0047041E">
            <w:pPr>
              <w:spacing w:after="0" w:line="240" w:lineRule="auto"/>
              <w:jc w:val="center"/>
              <w:rPr>
                <w:rFonts w:ascii="Calibri" w:hAnsi="Calibri"/>
                <w:sz w:val="20"/>
                <w:szCs w:val="20"/>
              </w:rPr>
            </w:pPr>
            <w:r w:rsidRPr="008502EB">
              <w:rPr>
                <w:rFonts w:ascii="Calibri" w:hAnsi="Calibri"/>
                <w:sz w:val="20"/>
                <w:szCs w:val="20"/>
              </w:rPr>
              <w:t>North HS</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87.8</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83.5</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87.1</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89.5</w:t>
            </w:r>
          </w:p>
        </w:tc>
        <w:tc>
          <w:tcPr>
            <w:tcW w:w="1818"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1.7</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86.7</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82.1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85.0</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87.6</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0.9</w:t>
            </w:r>
          </w:p>
        </w:tc>
      </w:tr>
      <w:tr w:rsidR="002F368B" w:rsidRPr="008502EB" w:rsidTr="00BA4683">
        <w:tc>
          <w:tcPr>
            <w:tcW w:w="3438" w:type="dxa"/>
            <w:vAlign w:val="bottom"/>
          </w:tcPr>
          <w:p w:rsidR="002F368B" w:rsidRPr="008502EB" w:rsidRDefault="005A6E44" w:rsidP="00A32427">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86.0</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87.8</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78.2</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67.5</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77.4</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83.5</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5.3</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76.2</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70.2</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76.2</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79.3</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3.1</w:t>
            </w:r>
          </w:p>
        </w:tc>
      </w:tr>
      <w:tr w:rsidR="002F368B" w:rsidRPr="008502EB" w:rsidTr="00BA4683">
        <w:tc>
          <w:tcPr>
            <w:tcW w:w="3438" w:type="dxa"/>
            <w:shd w:val="clear" w:color="auto" w:fill="D9D9D9" w:themeFill="background1" w:themeFillShade="D9"/>
            <w:vAlign w:val="bottom"/>
          </w:tcPr>
          <w:p w:rsidR="0047041E" w:rsidRDefault="002F368B" w:rsidP="0047041E">
            <w:pPr>
              <w:spacing w:after="0" w:line="240" w:lineRule="auto"/>
              <w:jc w:val="center"/>
              <w:rPr>
                <w:rFonts w:ascii="Calibri" w:hAnsi="Calibri"/>
                <w:sz w:val="20"/>
                <w:szCs w:val="20"/>
              </w:rPr>
            </w:pPr>
            <w:r w:rsidRPr="008502EB">
              <w:rPr>
                <w:rFonts w:ascii="Calibri" w:hAnsi="Calibri"/>
                <w:sz w:val="20"/>
                <w:szCs w:val="20"/>
              </w:rPr>
              <w:t xml:space="preserve">South </w:t>
            </w:r>
            <w:r w:rsidR="0006624A">
              <w:rPr>
                <w:rFonts w:ascii="Calibri" w:hAnsi="Calibri"/>
                <w:sz w:val="20"/>
                <w:szCs w:val="20"/>
              </w:rPr>
              <w:t xml:space="preserve">High Community </w:t>
            </w:r>
            <w:r w:rsidRPr="008502EB">
              <w:rPr>
                <w:rFonts w:ascii="Calibri" w:hAnsi="Calibri"/>
                <w:sz w:val="20"/>
                <w:szCs w:val="20"/>
              </w:rPr>
              <w:t>HS</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92.1</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90.6</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90.9</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93.6</w:t>
            </w:r>
          </w:p>
        </w:tc>
        <w:tc>
          <w:tcPr>
            <w:tcW w:w="1818"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1.5</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90.9</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89.2</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88.3</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91.7</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0.8</w:t>
            </w:r>
          </w:p>
        </w:tc>
      </w:tr>
      <w:tr w:rsidR="002F368B" w:rsidRPr="008502EB" w:rsidTr="00BA4683">
        <w:tc>
          <w:tcPr>
            <w:tcW w:w="3438" w:type="dxa"/>
            <w:vAlign w:val="bottom"/>
          </w:tcPr>
          <w:p w:rsidR="002F368B" w:rsidRPr="008502EB" w:rsidRDefault="005A6E44" w:rsidP="00A32427">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89.1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92.7</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86.1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82.6</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80.4</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83.8</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-2.3</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82.7</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76.3</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77.5</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85.8</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3.1</w:t>
            </w:r>
          </w:p>
        </w:tc>
      </w:tr>
      <w:tr w:rsidR="002F368B" w:rsidRPr="008502EB" w:rsidTr="00BA4683">
        <w:tc>
          <w:tcPr>
            <w:tcW w:w="3438" w:type="dxa"/>
            <w:shd w:val="clear" w:color="auto" w:fill="D9D9D9" w:themeFill="background1" w:themeFillShade="D9"/>
            <w:vAlign w:val="bottom"/>
          </w:tcPr>
          <w:p w:rsidR="0047041E" w:rsidRDefault="002F368B" w:rsidP="0047041E">
            <w:pPr>
              <w:spacing w:after="0" w:line="240" w:lineRule="auto"/>
              <w:jc w:val="center"/>
              <w:rPr>
                <w:rFonts w:ascii="Calibri" w:hAnsi="Calibri"/>
                <w:sz w:val="20"/>
                <w:szCs w:val="20"/>
              </w:rPr>
            </w:pPr>
            <w:r w:rsidRPr="008502EB">
              <w:rPr>
                <w:rFonts w:ascii="Calibri" w:hAnsi="Calibri"/>
                <w:sz w:val="20"/>
                <w:szCs w:val="20"/>
              </w:rPr>
              <w:t>Worcester Tech</w:t>
            </w:r>
            <w:r w:rsidR="0006624A">
              <w:rPr>
                <w:rFonts w:ascii="Calibri" w:hAnsi="Calibri"/>
                <w:sz w:val="20"/>
                <w:szCs w:val="20"/>
              </w:rPr>
              <w:t>nical</w:t>
            </w:r>
            <w:r w:rsidRPr="008502EB">
              <w:rPr>
                <w:rFonts w:ascii="Calibri" w:hAnsi="Calibri"/>
                <w:sz w:val="20"/>
                <w:szCs w:val="20"/>
              </w:rPr>
              <w:t xml:space="preserve"> HS</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97.5</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97.4</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98.9</w:t>
            </w:r>
          </w:p>
        </w:tc>
        <w:tc>
          <w:tcPr>
            <w:tcW w:w="1080"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99.3</w:t>
            </w:r>
          </w:p>
        </w:tc>
        <w:tc>
          <w:tcPr>
            <w:tcW w:w="1818" w:type="dxa"/>
            <w:shd w:val="clear" w:color="auto" w:fill="D9D9D9" w:themeFill="background1" w:themeFillShade="D9"/>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1.8</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96.7</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96.6</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97.9</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98.9</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2.2</w:t>
            </w:r>
          </w:p>
        </w:tc>
      </w:tr>
      <w:tr w:rsidR="002F368B" w:rsidRPr="008502EB" w:rsidTr="00BA4683">
        <w:tc>
          <w:tcPr>
            <w:tcW w:w="3438" w:type="dxa"/>
            <w:vAlign w:val="bottom"/>
          </w:tcPr>
          <w:p w:rsidR="002F368B" w:rsidRPr="008502EB" w:rsidRDefault="005A6E44" w:rsidP="00A32427">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98.5</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99.1</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96.3</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93.1</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97.2</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98.6</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2.3</w:t>
            </w:r>
          </w:p>
        </w:tc>
      </w:tr>
      <w:tr w:rsidR="002F368B" w:rsidRPr="008502EB" w:rsidTr="00BA4683">
        <w:tc>
          <w:tcPr>
            <w:tcW w:w="3438" w:type="dxa"/>
            <w:vAlign w:val="bottom"/>
          </w:tcPr>
          <w:p w:rsidR="002F368B" w:rsidRPr="008502EB" w:rsidRDefault="002F368B" w:rsidP="00BA4683">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86.3</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88.5</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94.3</w:t>
            </w:r>
          </w:p>
        </w:tc>
        <w:tc>
          <w:tcPr>
            <w:tcW w:w="1080" w:type="dxa"/>
            <w:vAlign w:val="bottom"/>
          </w:tcPr>
          <w:p w:rsidR="002F368B" w:rsidRPr="008502EB" w:rsidRDefault="002F368B" w:rsidP="00BA4683">
            <w:pPr>
              <w:spacing w:after="0" w:line="240" w:lineRule="auto"/>
              <w:jc w:val="center"/>
              <w:rPr>
                <w:rFonts w:ascii="Calibri" w:hAnsi="Calibri"/>
                <w:sz w:val="20"/>
                <w:szCs w:val="20"/>
              </w:rPr>
            </w:pPr>
            <w:r w:rsidRPr="008502EB">
              <w:rPr>
                <w:rFonts w:ascii="Calibri" w:hAnsi="Calibri"/>
                <w:sz w:val="20"/>
                <w:szCs w:val="20"/>
              </w:rPr>
              <w:t>96.9</w:t>
            </w:r>
          </w:p>
        </w:tc>
        <w:tc>
          <w:tcPr>
            <w:tcW w:w="1818" w:type="dxa"/>
            <w:vAlign w:val="bottom"/>
          </w:tcPr>
          <w:p w:rsidR="002F368B" w:rsidRPr="008502EB" w:rsidRDefault="002F368B" w:rsidP="00BA4683">
            <w:pPr>
              <w:spacing w:after="0" w:line="240" w:lineRule="auto"/>
              <w:jc w:val="center"/>
              <w:rPr>
                <w:rFonts w:ascii="Calibri" w:hAnsi="Calibri"/>
                <w:color w:val="000000"/>
                <w:sz w:val="20"/>
                <w:szCs w:val="20"/>
              </w:rPr>
            </w:pPr>
            <w:r w:rsidRPr="008502EB">
              <w:rPr>
                <w:rFonts w:ascii="Calibri" w:hAnsi="Calibri"/>
                <w:color w:val="000000"/>
                <w:sz w:val="20"/>
                <w:szCs w:val="20"/>
              </w:rPr>
              <w:t>10.6</w:t>
            </w:r>
          </w:p>
        </w:tc>
      </w:tr>
    </w:tbl>
    <w:p w:rsidR="002F368B" w:rsidRPr="008502EB" w:rsidRDefault="002F368B" w:rsidP="002F368B">
      <w:pPr>
        <w:spacing w:after="0" w:line="240" w:lineRule="auto"/>
      </w:pPr>
    </w:p>
    <w:p w:rsidR="004D1D43" w:rsidRDefault="004D1D43">
      <w:pPr>
        <w:spacing w:after="0" w:line="240" w:lineRule="auto"/>
        <w:rPr>
          <w:rFonts w:eastAsia="Calibri" w:cs="Times New Roman"/>
        </w:rPr>
      </w:pPr>
      <w:r>
        <w:rPr>
          <w:rFonts w:eastAsia="Calibri" w:cs="Times New Roman"/>
        </w:rPr>
        <w:br w:type="page"/>
      </w:r>
    </w:p>
    <w:tbl>
      <w:tblPr>
        <w:tblStyle w:val="TableGrid22"/>
        <w:tblW w:w="0" w:type="auto"/>
        <w:tblLook w:val="04A0"/>
      </w:tblPr>
      <w:tblGrid>
        <w:gridCol w:w="3438"/>
        <w:gridCol w:w="1080"/>
        <w:gridCol w:w="1080"/>
        <w:gridCol w:w="1080"/>
        <w:gridCol w:w="1080"/>
        <w:gridCol w:w="1818"/>
      </w:tblGrid>
      <w:tr w:rsidR="004D1D43" w:rsidRPr="008502EB" w:rsidTr="005B39AD">
        <w:tc>
          <w:tcPr>
            <w:tcW w:w="9576" w:type="dxa"/>
            <w:gridSpan w:val="6"/>
            <w:tcBorders>
              <w:top w:val="nil"/>
              <w:left w:val="nil"/>
              <w:right w:val="nil"/>
            </w:tcBorders>
          </w:tcPr>
          <w:p w:rsidR="00C91B81" w:rsidRDefault="00C91B81" w:rsidP="005B39AD">
            <w:pPr>
              <w:spacing w:after="0" w:line="240" w:lineRule="auto"/>
              <w:jc w:val="center"/>
              <w:rPr>
                <w:b/>
                <w:sz w:val="20"/>
                <w:szCs w:val="20"/>
              </w:rPr>
            </w:pPr>
          </w:p>
          <w:p w:rsidR="00C91B81" w:rsidRDefault="00C91B81" w:rsidP="005B39AD">
            <w:pPr>
              <w:spacing w:after="0" w:line="240" w:lineRule="auto"/>
              <w:jc w:val="center"/>
              <w:rPr>
                <w:b/>
                <w:sz w:val="20"/>
                <w:szCs w:val="20"/>
              </w:rPr>
            </w:pPr>
          </w:p>
          <w:p w:rsidR="004D1D43" w:rsidRPr="008502EB" w:rsidRDefault="004D1D43" w:rsidP="005B39AD">
            <w:pPr>
              <w:spacing w:after="0" w:line="240" w:lineRule="auto"/>
              <w:jc w:val="center"/>
              <w:rPr>
                <w:b/>
                <w:sz w:val="20"/>
                <w:szCs w:val="20"/>
              </w:rPr>
            </w:pPr>
            <w:r w:rsidRPr="008502EB">
              <w:rPr>
                <w:b/>
                <w:sz w:val="20"/>
                <w:szCs w:val="20"/>
              </w:rPr>
              <w:t xml:space="preserve">Table </w:t>
            </w:r>
            <w:r w:rsidR="005B39AD">
              <w:rPr>
                <w:b/>
                <w:sz w:val="20"/>
                <w:szCs w:val="20"/>
              </w:rPr>
              <w:t>B4</w:t>
            </w:r>
            <w:r w:rsidRPr="008502EB">
              <w:rPr>
                <w:b/>
                <w:sz w:val="20"/>
                <w:szCs w:val="20"/>
              </w:rPr>
              <w:t>: Worcester Public Schools</w:t>
            </w:r>
          </w:p>
          <w:p w:rsidR="004D1D43" w:rsidRPr="008502EB" w:rsidRDefault="004D1D43" w:rsidP="00F714E8">
            <w:pPr>
              <w:spacing w:after="0" w:line="240" w:lineRule="auto"/>
              <w:jc w:val="center"/>
              <w:rPr>
                <w:b/>
                <w:sz w:val="20"/>
                <w:szCs w:val="20"/>
              </w:rPr>
            </w:pPr>
            <w:r w:rsidRPr="008502EB">
              <w:rPr>
                <w:b/>
                <w:sz w:val="20"/>
                <w:szCs w:val="20"/>
              </w:rPr>
              <w:t>Math Composite Performance Index by School and Subgroup 2013</w:t>
            </w:r>
            <w:r w:rsidR="00F714E8">
              <w:rPr>
                <w:b/>
                <w:sz w:val="20"/>
                <w:szCs w:val="20"/>
              </w:rPr>
              <w:t>–</w:t>
            </w:r>
            <w:r w:rsidRPr="008502EB">
              <w:rPr>
                <w:b/>
                <w:sz w:val="20"/>
                <w:szCs w:val="20"/>
              </w:rPr>
              <w:t>2016</w:t>
            </w:r>
          </w:p>
        </w:tc>
      </w:tr>
      <w:tr w:rsidR="004D1D43" w:rsidRPr="008502EB" w:rsidTr="005B39AD">
        <w:tc>
          <w:tcPr>
            <w:tcW w:w="3438" w:type="dxa"/>
            <w:shd w:val="clear" w:color="auto" w:fill="D9D9D9" w:themeFill="background1" w:themeFillShade="D9"/>
          </w:tcPr>
          <w:p w:rsidR="004D1D43" w:rsidRPr="008502EB" w:rsidRDefault="004D1D43" w:rsidP="005B39AD">
            <w:pPr>
              <w:spacing w:after="0" w:line="240" w:lineRule="auto"/>
              <w:rPr>
                <w:b/>
                <w:sz w:val="20"/>
                <w:szCs w:val="20"/>
              </w:rPr>
            </w:pPr>
          </w:p>
        </w:tc>
        <w:tc>
          <w:tcPr>
            <w:tcW w:w="1080" w:type="dxa"/>
            <w:shd w:val="clear" w:color="auto" w:fill="D9D9D9" w:themeFill="background1" w:themeFillShade="D9"/>
          </w:tcPr>
          <w:p w:rsidR="004D1D43" w:rsidRPr="008502EB" w:rsidRDefault="004D1D43" w:rsidP="005B39AD">
            <w:pPr>
              <w:spacing w:after="0" w:line="240" w:lineRule="auto"/>
              <w:jc w:val="center"/>
              <w:rPr>
                <w:b/>
                <w:sz w:val="20"/>
                <w:szCs w:val="20"/>
              </w:rPr>
            </w:pPr>
            <w:r w:rsidRPr="008502EB">
              <w:rPr>
                <w:b/>
                <w:sz w:val="20"/>
                <w:szCs w:val="20"/>
              </w:rPr>
              <w:t>2013</w:t>
            </w:r>
          </w:p>
        </w:tc>
        <w:tc>
          <w:tcPr>
            <w:tcW w:w="1080" w:type="dxa"/>
            <w:shd w:val="clear" w:color="auto" w:fill="D9D9D9" w:themeFill="background1" w:themeFillShade="D9"/>
          </w:tcPr>
          <w:p w:rsidR="004D1D43" w:rsidRPr="008502EB" w:rsidRDefault="004D1D43" w:rsidP="005B39AD">
            <w:pPr>
              <w:spacing w:after="0" w:line="240" w:lineRule="auto"/>
              <w:jc w:val="center"/>
              <w:rPr>
                <w:b/>
                <w:sz w:val="20"/>
                <w:szCs w:val="20"/>
              </w:rPr>
            </w:pPr>
            <w:r w:rsidRPr="008502EB">
              <w:rPr>
                <w:b/>
                <w:sz w:val="20"/>
                <w:szCs w:val="20"/>
              </w:rPr>
              <w:t>2014</w:t>
            </w:r>
          </w:p>
        </w:tc>
        <w:tc>
          <w:tcPr>
            <w:tcW w:w="1080" w:type="dxa"/>
            <w:shd w:val="clear" w:color="auto" w:fill="D9D9D9" w:themeFill="background1" w:themeFillShade="D9"/>
          </w:tcPr>
          <w:p w:rsidR="004D1D43" w:rsidRPr="008502EB" w:rsidRDefault="004D1D43" w:rsidP="005B39AD">
            <w:pPr>
              <w:spacing w:after="0" w:line="240" w:lineRule="auto"/>
              <w:jc w:val="center"/>
              <w:rPr>
                <w:b/>
                <w:sz w:val="20"/>
                <w:szCs w:val="20"/>
              </w:rPr>
            </w:pPr>
            <w:r w:rsidRPr="008502EB">
              <w:rPr>
                <w:b/>
                <w:sz w:val="20"/>
                <w:szCs w:val="20"/>
              </w:rPr>
              <w:t>2015</w:t>
            </w:r>
          </w:p>
        </w:tc>
        <w:tc>
          <w:tcPr>
            <w:tcW w:w="1080" w:type="dxa"/>
            <w:shd w:val="clear" w:color="auto" w:fill="D9D9D9" w:themeFill="background1" w:themeFillShade="D9"/>
          </w:tcPr>
          <w:p w:rsidR="004D1D43" w:rsidRPr="008502EB" w:rsidRDefault="004D1D43" w:rsidP="005B39AD">
            <w:pPr>
              <w:spacing w:after="0" w:line="240" w:lineRule="auto"/>
              <w:jc w:val="center"/>
              <w:rPr>
                <w:b/>
                <w:sz w:val="20"/>
                <w:szCs w:val="20"/>
              </w:rPr>
            </w:pPr>
            <w:r w:rsidRPr="008502EB">
              <w:rPr>
                <w:b/>
                <w:sz w:val="20"/>
                <w:szCs w:val="20"/>
              </w:rPr>
              <w:t>2016</w:t>
            </w:r>
          </w:p>
        </w:tc>
        <w:tc>
          <w:tcPr>
            <w:tcW w:w="1818" w:type="dxa"/>
            <w:shd w:val="clear" w:color="auto" w:fill="D9D9D9" w:themeFill="background1" w:themeFillShade="D9"/>
          </w:tcPr>
          <w:p w:rsidR="004D1D43" w:rsidRPr="008502EB" w:rsidRDefault="004D1D43" w:rsidP="005B39AD">
            <w:pPr>
              <w:spacing w:after="0" w:line="240" w:lineRule="auto"/>
              <w:jc w:val="center"/>
              <w:rPr>
                <w:b/>
                <w:sz w:val="20"/>
                <w:szCs w:val="20"/>
              </w:rPr>
            </w:pPr>
            <w:r w:rsidRPr="008502EB">
              <w:rPr>
                <w:b/>
                <w:sz w:val="20"/>
                <w:szCs w:val="20"/>
              </w:rPr>
              <w:t>3- or 4-Year Trend</w:t>
            </w:r>
          </w:p>
        </w:tc>
      </w:tr>
      <w:tr w:rsidR="004D1D43" w:rsidRPr="008502EB" w:rsidTr="005B39AD">
        <w:tc>
          <w:tcPr>
            <w:tcW w:w="343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Head Start</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81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r>
      <w:tr w:rsidR="004D1D43" w:rsidRPr="008502EB" w:rsidTr="005B39AD">
        <w:tc>
          <w:tcPr>
            <w:tcW w:w="343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 xml:space="preserve">Belmont </w:t>
            </w:r>
            <w:r w:rsidR="00F714E8">
              <w:rPr>
                <w:rFonts w:ascii="Calibri" w:hAnsi="Calibri"/>
                <w:sz w:val="20"/>
                <w:szCs w:val="20"/>
              </w:rPr>
              <w:t xml:space="preserve">Street </w:t>
            </w:r>
            <w:r w:rsidRPr="008502EB">
              <w:rPr>
                <w:rFonts w:ascii="Calibri" w:hAnsi="Calibri"/>
                <w:sz w:val="20"/>
                <w:szCs w:val="20"/>
              </w:rPr>
              <w:t>Community ES</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74.5</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69.3</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65.9</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67.2</w:t>
            </w:r>
          </w:p>
        </w:tc>
        <w:tc>
          <w:tcPr>
            <w:tcW w:w="181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-7.3</w:t>
            </w:r>
          </w:p>
        </w:tc>
      </w:tr>
      <w:tr w:rsidR="004D1D43" w:rsidRPr="008502EB" w:rsidTr="005B39AD">
        <w:tc>
          <w:tcPr>
            <w:tcW w:w="3438" w:type="dxa"/>
            <w:shd w:val="clear" w:color="auto" w:fill="auto"/>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High Needs</w:t>
            </w:r>
          </w:p>
        </w:tc>
        <w:tc>
          <w:tcPr>
            <w:tcW w:w="1080" w:type="dxa"/>
            <w:shd w:val="clear" w:color="auto" w:fill="auto"/>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74.3</w:t>
            </w:r>
          </w:p>
        </w:tc>
        <w:tc>
          <w:tcPr>
            <w:tcW w:w="1080" w:type="dxa"/>
            <w:shd w:val="clear" w:color="auto" w:fill="auto"/>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69.6</w:t>
            </w:r>
          </w:p>
        </w:tc>
        <w:tc>
          <w:tcPr>
            <w:tcW w:w="1080" w:type="dxa"/>
            <w:shd w:val="clear" w:color="auto" w:fill="auto"/>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65.5</w:t>
            </w:r>
          </w:p>
        </w:tc>
        <w:tc>
          <w:tcPr>
            <w:tcW w:w="1080" w:type="dxa"/>
            <w:shd w:val="clear" w:color="auto" w:fill="auto"/>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67.3</w:t>
            </w:r>
          </w:p>
        </w:tc>
        <w:tc>
          <w:tcPr>
            <w:tcW w:w="1818" w:type="dxa"/>
            <w:shd w:val="clear" w:color="auto" w:fill="auto"/>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-7.0</w:t>
            </w:r>
          </w:p>
        </w:tc>
      </w:tr>
      <w:tr w:rsidR="004D1D43" w:rsidRPr="008502EB" w:rsidTr="005B39AD">
        <w:tc>
          <w:tcPr>
            <w:tcW w:w="3438" w:type="dxa"/>
            <w:shd w:val="clear" w:color="auto" w:fill="auto"/>
            <w:vAlign w:val="bottom"/>
          </w:tcPr>
          <w:p w:rsidR="004D1D43" w:rsidRPr="008502EB" w:rsidRDefault="005A6E44" w:rsidP="005B39AD">
            <w:pPr>
              <w:spacing w:after="0" w:line="240" w:lineRule="auto"/>
              <w:rPr>
                <w:rFonts w:ascii="Calibri" w:hAnsi="Calibri"/>
                <w:sz w:val="20"/>
                <w:szCs w:val="20"/>
              </w:rPr>
            </w:pPr>
            <w:r>
              <w:rPr>
                <w:rFonts w:ascii="Calibri" w:hAnsi="Calibri"/>
                <w:sz w:val="20"/>
                <w:szCs w:val="20"/>
              </w:rPr>
              <w:t>Econ. Disad.</w:t>
            </w:r>
          </w:p>
        </w:tc>
        <w:tc>
          <w:tcPr>
            <w:tcW w:w="1080" w:type="dxa"/>
            <w:shd w:val="clear" w:color="auto" w:fill="auto"/>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shd w:val="clear" w:color="auto" w:fill="auto"/>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shd w:val="clear" w:color="auto" w:fill="auto"/>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65.2</w:t>
            </w:r>
          </w:p>
        </w:tc>
        <w:tc>
          <w:tcPr>
            <w:tcW w:w="1080" w:type="dxa"/>
            <w:shd w:val="clear" w:color="auto" w:fill="auto"/>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66.4</w:t>
            </w:r>
          </w:p>
        </w:tc>
        <w:tc>
          <w:tcPr>
            <w:tcW w:w="1818" w:type="dxa"/>
            <w:shd w:val="clear" w:color="auto" w:fill="auto"/>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r>
      <w:tr w:rsidR="004D1D43" w:rsidRPr="008502EB" w:rsidTr="005B39AD">
        <w:tc>
          <w:tcPr>
            <w:tcW w:w="3438" w:type="dxa"/>
            <w:shd w:val="clear" w:color="auto" w:fill="auto"/>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ELLs</w:t>
            </w:r>
          </w:p>
        </w:tc>
        <w:tc>
          <w:tcPr>
            <w:tcW w:w="1080" w:type="dxa"/>
            <w:shd w:val="clear" w:color="auto" w:fill="auto"/>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70.2</w:t>
            </w:r>
          </w:p>
        </w:tc>
        <w:tc>
          <w:tcPr>
            <w:tcW w:w="1080" w:type="dxa"/>
            <w:shd w:val="clear" w:color="auto" w:fill="auto"/>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65.4</w:t>
            </w:r>
          </w:p>
        </w:tc>
        <w:tc>
          <w:tcPr>
            <w:tcW w:w="1080" w:type="dxa"/>
            <w:shd w:val="clear" w:color="auto" w:fill="auto"/>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63.3</w:t>
            </w:r>
          </w:p>
        </w:tc>
        <w:tc>
          <w:tcPr>
            <w:tcW w:w="1080" w:type="dxa"/>
            <w:shd w:val="clear" w:color="auto" w:fill="auto"/>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65.9</w:t>
            </w:r>
          </w:p>
        </w:tc>
        <w:tc>
          <w:tcPr>
            <w:tcW w:w="1818" w:type="dxa"/>
            <w:shd w:val="clear" w:color="auto" w:fill="auto"/>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-4.3</w:t>
            </w:r>
          </w:p>
        </w:tc>
      </w:tr>
      <w:tr w:rsidR="004D1D43" w:rsidRPr="008502EB" w:rsidTr="005B39AD">
        <w:tc>
          <w:tcPr>
            <w:tcW w:w="3438" w:type="dxa"/>
            <w:shd w:val="clear" w:color="auto" w:fill="auto"/>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SWD</w:t>
            </w:r>
          </w:p>
        </w:tc>
        <w:tc>
          <w:tcPr>
            <w:tcW w:w="1080" w:type="dxa"/>
            <w:shd w:val="clear" w:color="auto" w:fill="auto"/>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58.2</w:t>
            </w:r>
          </w:p>
        </w:tc>
        <w:tc>
          <w:tcPr>
            <w:tcW w:w="1080" w:type="dxa"/>
            <w:shd w:val="clear" w:color="auto" w:fill="auto"/>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51.9</w:t>
            </w:r>
          </w:p>
        </w:tc>
        <w:tc>
          <w:tcPr>
            <w:tcW w:w="1080" w:type="dxa"/>
            <w:shd w:val="clear" w:color="auto" w:fill="auto"/>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61.4</w:t>
            </w:r>
          </w:p>
        </w:tc>
        <w:tc>
          <w:tcPr>
            <w:tcW w:w="1080" w:type="dxa"/>
            <w:shd w:val="clear" w:color="auto" w:fill="auto"/>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61.8</w:t>
            </w:r>
          </w:p>
        </w:tc>
        <w:tc>
          <w:tcPr>
            <w:tcW w:w="1818" w:type="dxa"/>
            <w:shd w:val="clear" w:color="auto" w:fill="auto"/>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3.6</w:t>
            </w:r>
          </w:p>
        </w:tc>
      </w:tr>
      <w:tr w:rsidR="004D1D43" w:rsidRPr="008502EB" w:rsidTr="005B39AD">
        <w:tc>
          <w:tcPr>
            <w:tcW w:w="343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Wawecus Road ES</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68.6</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75.6</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70.4</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72.4</w:t>
            </w:r>
          </w:p>
        </w:tc>
        <w:tc>
          <w:tcPr>
            <w:tcW w:w="181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3.8</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68.4</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74.3</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69.6</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73.2</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4.8</w:t>
            </w:r>
          </w:p>
        </w:tc>
      </w:tr>
      <w:tr w:rsidR="004D1D43" w:rsidRPr="008502EB" w:rsidTr="005B39AD">
        <w:tc>
          <w:tcPr>
            <w:tcW w:w="3438" w:type="dxa"/>
            <w:vAlign w:val="bottom"/>
          </w:tcPr>
          <w:p w:rsidR="004D1D43" w:rsidRPr="008502EB" w:rsidRDefault="005A6E44" w:rsidP="005B39AD">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68.6</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75.5</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59.8</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75.8</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70.4</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77.1</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17.3</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66.2</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74.2</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72.4</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70.8</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4.6</w:t>
            </w:r>
          </w:p>
        </w:tc>
      </w:tr>
      <w:tr w:rsidR="004D1D43" w:rsidRPr="008502EB" w:rsidTr="005B39AD">
        <w:tc>
          <w:tcPr>
            <w:tcW w:w="343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Woodland Academy</w:t>
            </w:r>
            <w:r w:rsidR="00F714E8">
              <w:rPr>
                <w:rFonts w:ascii="Calibri" w:hAnsi="Calibri"/>
                <w:sz w:val="20"/>
                <w:szCs w:val="20"/>
              </w:rPr>
              <w:t xml:space="preserve"> ES</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55.6</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57.8</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58.7</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61.1</w:t>
            </w:r>
          </w:p>
        </w:tc>
        <w:tc>
          <w:tcPr>
            <w:tcW w:w="181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5.5</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55.7</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57.8</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58.5</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60.3</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4.6</w:t>
            </w:r>
          </w:p>
        </w:tc>
      </w:tr>
      <w:tr w:rsidR="004D1D43" w:rsidRPr="008502EB" w:rsidTr="005B39AD">
        <w:tc>
          <w:tcPr>
            <w:tcW w:w="3438" w:type="dxa"/>
            <w:vAlign w:val="bottom"/>
          </w:tcPr>
          <w:p w:rsidR="004D1D43" w:rsidRPr="008502EB" w:rsidRDefault="005A6E44" w:rsidP="005B39AD">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56.6</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56.8</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55.3</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57.2</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59.9</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60.9</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5.6</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40.4</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36.1</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34.9</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33.8</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-6.6</w:t>
            </w:r>
          </w:p>
        </w:tc>
      </w:tr>
      <w:tr w:rsidR="004D1D43" w:rsidRPr="008502EB" w:rsidTr="005B39AD">
        <w:tc>
          <w:tcPr>
            <w:tcW w:w="3438" w:type="dxa"/>
            <w:shd w:val="clear" w:color="auto" w:fill="D9D9D9" w:themeFill="background1" w:themeFillShade="D9"/>
            <w:vAlign w:val="bottom"/>
          </w:tcPr>
          <w:p w:rsidR="004D1D43" w:rsidRPr="008502EB" w:rsidRDefault="004D1D43" w:rsidP="00F714E8">
            <w:pPr>
              <w:spacing w:after="0" w:line="240" w:lineRule="auto"/>
              <w:jc w:val="center"/>
              <w:rPr>
                <w:rFonts w:ascii="Calibri" w:hAnsi="Calibri"/>
                <w:sz w:val="20"/>
                <w:szCs w:val="20"/>
              </w:rPr>
            </w:pPr>
            <w:r w:rsidRPr="008502EB">
              <w:rPr>
                <w:rFonts w:ascii="Calibri" w:hAnsi="Calibri"/>
                <w:sz w:val="20"/>
                <w:szCs w:val="20"/>
              </w:rPr>
              <w:t xml:space="preserve">Burncoat </w:t>
            </w:r>
            <w:r w:rsidR="00F714E8">
              <w:rPr>
                <w:rFonts w:ascii="Calibri" w:hAnsi="Calibri"/>
                <w:sz w:val="20"/>
                <w:szCs w:val="20"/>
              </w:rPr>
              <w:t>Street</w:t>
            </w:r>
            <w:r w:rsidR="00F714E8" w:rsidRPr="008502EB">
              <w:rPr>
                <w:rFonts w:ascii="Calibri" w:hAnsi="Calibri"/>
                <w:sz w:val="20"/>
                <w:szCs w:val="20"/>
              </w:rPr>
              <w:t xml:space="preserve"> </w:t>
            </w:r>
            <w:r w:rsidRPr="008502EB">
              <w:rPr>
                <w:rFonts w:ascii="Calibri" w:hAnsi="Calibri"/>
                <w:sz w:val="20"/>
                <w:szCs w:val="20"/>
              </w:rPr>
              <w:t>ES</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52.4</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59.7</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66.3</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66.7</w:t>
            </w:r>
          </w:p>
        </w:tc>
        <w:tc>
          <w:tcPr>
            <w:tcW w:w="181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14.3</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51.3</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58.9</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65.3</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64.1</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12.8</w:t>
            </w:r>
          </w:p>
        </w:tc>
      </w:tr>
      <w:tr w:rsidR="004D1D43" w:rsidRPr="008502EB" w:rsidTr="005B39AD">
        <w:tc>
          <w:tcPr>
            <w:tcW w:w="3438" w:type="dxa"/>
            <w:vAlign w:val="bottom"/>
          </w:tcPr>
          <w:p w:rsidR="004D1D43" w:rsidRPr="008502EB" w:rsidRDefault="005A6E44" w:rsidP="005B39AD">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64.4</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62.8</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48.7</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54.8</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65.2</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65.1</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16.4</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37.5</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42.4</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50.8</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50.9</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13.4</w:t>
            </w:r>
          </w:p>
        </w:tc>
      </w:tr>
      <w:tr w:rsidR="004D1D43" w:rsidRPr="008502EB" w:rsidTr="005B39AD">
        <w:tc>
          <w:tcPr>
            <w:tcW w:w="343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Canterbury Magnet ES</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68.2</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69.7</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60.5</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66.8</w:t>
            </w:r>
          </w:p>
        </w:tc>
        <w:tc>
          <w:tcPr>
            <w:tcW w:w="181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-1.4</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67.6</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69.0</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61.4</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66.4</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-1.2</w:t>
            </w:r>
          </w:p>
        </w:tc>
      </w:tr>
      <w:tr w:rsidR="004D1D43" w:rsidRPr="008502EB" w:rsidTr="005B39AD">
        <w:tc>
          <w:tcPr>
            <w:tcW w:w="3438" w:type="dxa"/>
            <w:vAlign w:val="bottom"/>
          </w:tcPr>
          <w:p w:rsidR="004D1D43" w:rsidRPr="008502EB" w:rsidRDefault="005A6E44" w:rsidP="005B39AD">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58.7</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63.8</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66.5</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69.2</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60.4</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64.5</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-2.0</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59.4</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68.5</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67.2</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61.0</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1.6</w:t>
            </w:r>
          </w:p>
        </w:tc>
      </w:tr>
      <w:tr w:rsidR="004D1D43" w:rsidRPr="008502EB" w:rsidTr="005B39AD">
        <w:tc>
          <w:tcPr>
            <w:tcW w:w="343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Chandler Community ES</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53.7</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65.0</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66.0</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76.6</w:t>
            </w:r>
          </w:p>
        </w:tc>
        <w:tc>
          <w:tcPr>
            <w:tcW w:w="181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22.9</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53.7</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65.0</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65.9</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76.2</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22.5</w:t>
            </w:r>
          </w:p>
        </w:tc>
      </w:tr>
      <w:tr w:rsidR="004D1D43" w:rsidRPr="008502EB" w:rsidTr="005B39AD">
        <w:tc>
          <w:tcPr>
            <w:tcW w:w="3438" w:type="dxa"/>
            <w:vAlign w:val="bottom"/>
          </w:tcPr>
          <w:p w:rsidR="004D1D43" w:rsidRPr="008502EB" w:rsidRDefault="005A6E44" w:rsidP="005B39AD">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64.5</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74.9</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54.2</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63.9</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64.9</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76.1</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21.9</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30.7</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39.3</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33.3</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55.1</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24.4</w:t>
            </w:r>
          </w:p>
        </w:tc>
      </w:tr>
      <w:tr w:rsidR="004D1D43" w:rsidRPr="008502EB" w:rsidTr="005B39AD">
        <w:tc>
          <w:tcPr>
            <w:tcW w:w="343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Chandler Magnet</w:t>
            </w:r>
            <w:r w:rsidR="00CD29BD">
              <w:rPr>
                <w:rFonts w:ascii="Calibri" w:hAnsi="Calibri"/>
                <w:sz w:val="20"/>
                <w:szCs w:val="20"/>
              </w:rPr>
              <w:t xml:space="preserve"> ES</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43.3</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40.0</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38.8</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46.1</w:t>
            </w:r>
          </w:p>
        </w:tc>
        <w:tc>
          <w:tcPr>
            <w:tcW w:w="181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2.8</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42.6</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39.3</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38.5</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44.6</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2.0</w:t>
            </w:r>
          </w:p>
        </w:tc>
      </w:tr>
      <w:tr w:rsidR="004D1D43" w:rsidRPr="008502EB" w:rsidTr="005B39AD">
        <w:tc>
          <w:tcPr>
            <w:tcW w:w="3438" w:type="dxa"/>
            <w:vAlign w:val="bottom"/>
          </w:tcPr>
          <w:p w:rsidR="004D1D43" w:rsidRPr="008502EB" w:rsidRDefault="005A6E44" w:rsidP="005B39AD">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36.9</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42.8</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40.5</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37.2</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38.0</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43.0</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2.5</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29.4</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25.5</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25.6</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27.1</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-2.3</w:t>
            </w:r>
          </w:p>
        </w:tc>
      </w:tr>
      <w:tr w:rsidR="004D1D43" w:rsidRPr="008502EB" w:rsidTr="005B39AD">
        <w:tc>
          <w:tcPr>
            <w:tcW w:w="343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City View ES</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66.6</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66.3</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61.3</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64.8</w:t>
            </w:r>
          </w:p>
        </w:tc>
        <w:tc>
          <w:tcPr>
            <w:tcW w:w="181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-1.8</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66.2</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65.5</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59.5</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64.3</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-1.9</w:t>
            </w:r>
          </w:p>
        </w:tc>
      </w:tr>
      <w:tr w:rsidR="004D1D43" w:rsidRPr="008502EB" w:rsidTr="005B39AD">
        <w:tc>
          <w:tcPr>
            <w:tcW w:w="3438" w:type="dxa"/>
            <w:vAlign w:val="bottom"/>
          </w:tcPr>
          <w:p w:rsidR="004D1D43" w:rsidRPr="008502EB" w:rsidRDefault="005A6E44" w:rsidP="005B39AD">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61.2</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64.4</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62.0</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61.6</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58.6</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63.1</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1.1</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44.9</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50.4</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46.1</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44.4</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-0.5</w:t>
            </w:r>
          </w:p>
        </w:tc>
      </w:tr>
      <w:tr w:rsidR="004D1D43" w:rsidRPr="008502EB" w:rsidTr="005B39AD">
        <w:tc>
          <w:tcPr>
            <w:tcW w:w="343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Clark St</w:t>
            </w:r>
            <w:r w:rsidR="00F714E8">
              <w:rPr>
                <w:rFonts w:ascii="Calibri" w:hAnsi="Calibri"/>
                <w:sz w:val="20"/>
                <w:szCs w:val="20"/>
              </w:rPr>
              <w:t>reet</w:t>
            </w:r>
            <w:r w:rsidRPr="008502EB">
              <w:rPr>
                <w:rFonts w:ascii="Calibri" w:hAnsi="Calibri"/>
                <w:sz w:val="20"/>
                <w:szCs w:val="20"/>
              </w:rPr>
              <w:t xml:space="preserve"> Community</w:t>
            </w:r>
            <w:r w:rsidR="00CD29BD">
              <w:rPr>
                <w:rFonts w:ascii="Calibri" w:hAnsi="Calibri"/>
                <w:sz w:val="20"/>
                <w:szCs w:val="20"/>
              </w:rPr>
              <w:t xml:space="preserve"> ES</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68.2</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61.3</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60.7</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46.8</w:t>
            </w:r>
          </w:p>
        </w:tc>
        <w:tc>
          <w:tcPr>
            <w:tcW w:w="181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-21.4</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63.3</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56.9</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56.1</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46.0</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-17.3</w:t>
            </w:r>
          </w:p>
        </w:tc>
      </w:tr>
      <w:tr w:rsidR="004D1D43" w:rsidRPr="008502EB" w:rsidTr="005B39AD">
        <w:tc>
          <w:tcPr>
            <w:tcW w:w="3438" w:type="dxa"/>
            <w:vAlign w:val="bottom"/>
          </w:tcPr>
          <w:p w:rsidR="004D1D43" w:rsidRPr="008502EB" w:rsidRDefault="005A6E44" w:rsidP="005B39AD">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53.9</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46.6</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59.3</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54.2</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58.2</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45.8</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-13.5</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47.9</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37.2</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38.7</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27.4</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-20.5</w:t>
            </w:r>
          </w:p>
        </w:tc>
      </w:tr>
      <w:tr w:rsidR="004D1D43" w:rsidRPr="008502EB" w:rsidTr="005B39AD">
        <w:tc>
          <w:tcPr>
            <w:tcW w:w="343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Columbus Park ES</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79.8</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79.9</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60.6</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60.9</w:t>
            </w:r>
          </w:p>
        </w:tc>
        <w:tc>
          <w:tcPr>
            <w:tcW w:w="181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-18.9</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79.2</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79.7</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60.4</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58.9</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-20.3</w:t>
            </w:r>
          </w:p>
        </w:tc>
      </w:tr>
      <w:tr w:rsidR="004D1D43" w:rsidRPr="008502EB" w:rsidTr="005B39AD">
        <w:tc>
          <w:tcPr>
            <w:tcW w:w="3438" w:type="dxa"/>
            <w:vAlign w:val="bottom"/>
          </w:tcPr>
          <w:p w:rsidR="004D1D43" w:rsidRPr="008502EB" w:rsidRDefault="005A6E44" w:rsidP="005B39AD">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59.1</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56.7</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82.0</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82.0</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62.2</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61.5</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-20.5</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61.5</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62.8</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48.4</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40.7</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-20.8</w:t>
            </w:r>
          </w:p>
        </w:tc>
      </w:tr>
      <w:tr w:rsidR="004D1D43" w:rsidRPr="008502EB" w:rsidTr="005B39AD">
        <w:tc>
          <w:tcPr>
            <w:tcW w:w="343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Flagg Street ES</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87.8</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85.8</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88.9</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85.2</w:t>
            </w:r>
          </w:p>
        </w:tc>
        <w:tc>
          <w:tcPr>
            <w:tcW w:w="181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-2.6</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80.3</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74.7</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80.6</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70.0</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-10.3</w:t>
            </w:r>
          </w:p>
        </w:tc>
      </w:tr>
      <w:tr w:rsidR="004D1D43" w:rsidRPr="008502EB" w:rsidTr="005B39AD">
        <w:tc>
          <w:tcPr>
            <w:tcW w:w="3438" w:type="dxa"/>
            <w:vAlign w:val="bottom"/>
          </w:tcPr>
          <w:p w:rsidR="004D1D43" w:rsidRPr="008502EB" w:rsidRDefault="005A6E44" w:rsidP="005B39AD">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76.4</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68.4</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88.0</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78.8</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87.0</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74.4</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-13.6</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48.9</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52.9</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61.1</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53.8</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4.9</w:t>
            </w:r>
          </w:p>
        </w:tc>
      </w:tr>
      <w:tr w:rsidR="004D1D43" w:rsidRPr="008502EB" w:rsidTr="005B39AD">
        <w:tc>
          <w:tcPr>
            <w:tcW w:w="343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 xml:space="preserve">Elm Park </w:t>
            </w:r>
            <w:r w:rsidR="00A027C6">
              <w:rPr>
                <w:rFonts w:ascii="Calibri" w:hAnsi="Calibri"/>
                <w:sz w:val="20"/>
                <w:szCs w:val="20"/>
              </w:rPr>
              <w:t xml:space="preserve">Community </w:t>
            </w:r>
            <w:r w:rsidR="00F714E8">
              <w:rPr>
                <w:rFonts w:ascii="Calibri" w:hAnsi="Calibri"/>
                <w:sz w:val="20"/>
                <w:szCs w:val="20"/>
              </w:rPr>
              <w:t>ES</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55.9</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44.1</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53.9</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56.4</w:t>
            </w:r>
          </w:p>
        </w:tc>
        <w:tc>
          <w:tcPr>
            <w:tcW w:w="181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0.5</w:t>
            </w:r>
          </w:p>
        </w:tc>
      </w:tr>
      <w:tr w:rsidR="004D1D43" w:rsidRPr="008502EB" w:rsidTr="005B39AD">
        <w:tc>
          <w:tcPr>
            <w:tcW w:w="3438" w:type="dxa"/>
            <w:shd w:val="clear" w:color="auto" w:fill="auto"/>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High Needs</w:t>
            </w:r>
          </w:p>
        </w:tc>
        <w:tc>
          <w:tcPr>
            <w:tcW w:w="1080" w:type="dxa"/>
            <w:shd w:val="clear" w:color="auto" w:fill="auto"/>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55.5</w:t>
            </w:r>
          </w:p>
        </w:tc>
        <w:tc>
          <w:tcPr>
            <w:tcW w:w="1080" w:type="dxa"/>
            <w:shd w:val="clear" w:color="auto" w:fill="auto"/>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43.9</w:t>
            </w:r>
          </w:p>
        </w:tc>
        <w:tc>
          <w:tcPr>
            <w:tcW w:w="1080" w:type="dxa"/>
            <w:shd w:val="clear" w:color="auto" w:fill="auto"/>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53.6</w:t>
            </w:r>
          </w:p>
        </w:tc>
        <w:tc>
          <w:tcPr>
            <w:tcW w:w="1080" w:type="dxa"/>
            <w:shd w:val="clear" w:color="auto" w:fill="auto"/>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56.1</w:t>
            </w:r>
          </w:p>
        </w:tc>
        <w:tc>
          <w:tcPr>
            <w:tcW w:w="1818" w:type="dxa"/>
            <w:shd w:val="clear" w:color="auto" w:fill="auto"/>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0.6</w:t>
            </w:r>
          </w:p>
        </w:tc>
      </w:tr>
      <w:tr w:rsidR="004D1D43" w:rsidRPr="008502EB" w:rsidTr="005B39AD">
        <w:tc>
          <w:tcPr>
            <w:tcW w:w="3438" w:type="dxa"/>
            <w:shd w:val="clear" w:color="auto" w:fill="auto"/>
            <w:vAlign w:val="bottom"/>
          </w:tcPr>
          <w:p w:rsidR="004D1D43" w:rsidRPr="008502EB" w:rsidRDefault="005A6E44" w:rsidP="005B39AD">
            <w:pPr>
              <w:spacing w:after="0" w:line="240" w:lineRule="auto"/>
              <w:rPr>
                <w:rFonts w:ascii="Calibri" w:hAnsi="Calibri"/>
                <w:sz w:val="20"/>
                <w:szCs w:val="20"/>
              </w:rPr>
            </w:pPr>
            <w:r>
              <w:rPr>
                <w:rFonts w:ascii="Calibri" w:hAnsi="Calibri"/>
                <w:sz w:val="20"/>
                <w:szCs w:val="20"/>
              </w:rPr>
              <w:t>Econ. Disad.</w:t>
            </w:r>
          </w:p>
        </w:tc>
        <w:tc>
          <w:tcPr>
            <w:tcW w:w="1080" w:type="dxa"/>
            <w:shd w:val="clear" w:color="auto" w:fill="auto"/>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shd w:val="clear" w:color="auto" w:fill="auto"/>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shd w:val="clear" w:color="auto" w:fill="auto"/>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52.4</w:t>
            </w:r>
          </w:p>
        </w:tc>
        <w:tc>
          <w:tcPr>
            <w:tcW w:w="1080" w:type="dxa"/>
            <w:shd w:val="clear" w:color="auto" w:fill="auto"/>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57.2</w:t>
            </w:r>
          </w:p>
        </w:tc>
        <w:tc>
          <w:tcPr>
            <w:tcW w:w="1818" w:type="dxa"/>
            <w:shd w:val="clear" w:color="auto" w:fill="auto"/>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r>
      <w:tr w:rsidR="004D1D43" w:rsidRPr="008502EB" w:rsidTr="005B39AD">
        <w:tc>
          <w:tcPr>
            <w:tcW w:w="3438" w:type="dxa"/>
            <w:shd w:val="clear" w:color="auto" w:fill="auto"/>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ELLs</w:t>
            </w:r>
          </w:p>
        </w:tc>
        <w:tc>
          <w:tcPr>
            <w:tcW w:w="1080" w:type="dxa"/>
            <w:shd w:val="clear" w:color="auto" w:fill="auto"/>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56.4</w:t>
            </w:r>
          </w:p>
        </w:tc>
        <w:tc>
          <w:tcPr>
            <w:tcW w:w="1080" w:type="dxa"/>
            <w:shd w:val="clear" w:color="auto" w:fill="auto"/>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45.2</w:t>
            </w:r>
          </w:p>
        </w:tc>
        <w:tc>
          <w:tcPr>
            <w:tcW w:w="1080" w:type="dxa"/>
            <w:shd w:val="clear" w:color="auto" w:fill="auto"/>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53.6</w:t>
            </w:r>
          </w:p>
        </w:tc>
        <w:tc>
          <w:tcPr>
            <w:tcW w:w="1080" w:type="dxa"/>
            <w:shd w:val="clear" w:color="auto" w:fill="auto"/>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56.2</w:t>
            </w:r>
          </w:p>
        </w:tc>
        <w:tc>
          <w:tcPr>
            <w:tcW w:w="1818" w:type="dxa"/>
            <w:shd w:val="clear" w:color="auto" w:fill="auto"/>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-0.2</w:t>
            </w:r>
          </w:p>
        </w:tc>
      </w:tr>
      <w:tr w:rsidR="004D1D43" w:rsidRPr="008502EB" w:rsidTr="005B39AD">
        <w:tc>
          <w:tcPr>
            <w:tcW w:w="3438" w:type="dxa"/>
            <w:shd w:val="clear" w:color="auto" w:fill="auto"/>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SWD</w:t>
            </w:r>
          </w:p>
        </w:tc>
        <w:tc>
          <w:tcPr>
            <w:tcW w:w="1080" w:type="dxa"/>
            <w:shd w:val="clear" w:color="auto" w:fill="auto"/>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30.9</w:t>
            </w:r>
          </w:p>
        </w:tc>
        <w:tc>
          <w:tcPr>
            <w:tcW w:w="1080" w:type="dxa"/>
            <w:shd w:val="clear" w:color="auto" w:fill="auto"/>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25.4</w:t>
            </w:r>
          </w:p>
        </w:tc>
        <w:tc>
          <w:tcPr>
            <w:tcW w:w="1080" w:type="dxa"/>
            <w:shd w:val="clear" w:color="auto" w:fill="auto"/>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32.9</w:t>
            </w:r>
          </w:p>
        </w:tc>
        <w:tc>
          <w:tcPr>
            <w:tcW w:w="1080" w:type="dxa"/>
            <w:shd w:val="clear" w:color="auto" w:fill="auto"/>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41.3</w:t>
            </w:r>
          </w:p>
        </w:tc>
        <w:tc>
          <w:tcPr>
            <w:tcW w:w="1818" w:type="dxa"/>
            <w:shd w:val="clear" w:color="auto" w:fill="auto"/>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10.4</w:t>
            </w:r>
          </w:p>
        </w:tc>
      </w:tr>
      <w:tr w:rsidR="004D1D43" w:rsidRPr="008502EB" w:rsidTr="005B39AD">
        <w:tc>
          <w:tcPr>
            <w:tcW w:w="343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Goddard</w:t>
            </w:r>
            <w:r w:rsidR="00F714E8">
              <w:rPr>
                <w:rFonts w:ascii="Calibri" w:hAnsi="Calibri"/>
                <w:sz w:val="20"/>
                <w:szCs w:val="20"/>
              </w:rPr>
              <w:t xml:space="preserve"> ES</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47.9</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51.2</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56.4</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49.1</w:t>
            </w:r>
          </w:p>
        </w:tc>
        <w:tc>
          <w:tcPr>
            <w:tcW w:w="181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1.2</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47.6</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51.0</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56.2</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49.5</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1.9</w:t>
            </w:r>
          </w:p>
        </w:tc>
      </w:tr>
      <w:tr w:rsidR="004D1D43" w:rsidRPr="008502EB" w:rsidTr="005B39AD">
        <w:tc>
          <w:tcPr>
            <w:tcW w:w="3438" w:type="dxa"/>
            <w:vAlign w:val="bottom"/>
          </w:tcPr>
          <w:p w:rsidR="004D1D43" w:rsidRPr="008502EB" w:rsidRDefault="005A6E44" w:rsidP="005B39AD">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53.0</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47.1</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47.9</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53.4</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59.9</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49.2</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1.3</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23.9</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30.2</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38.2</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34.9</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11.0</w:t>
            </w:r>
          </w:p>
        </w:tc>
      </w:tr>
      <w:tr w:rsidR="004D1D43" w:rsidRPr="008502EB" w:rsidTr="005B39AD">
        <w:tc>
          <w:tcPr>
            <w:tcW w:w="343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Gates Lane</w:t>
            </w:r>
            <w:r w:rsidR="00F714E8">
              <w:rPr>
                <w:rFonts w:ascii="Calibri" w:hAnsi="Calibri"/>
                <w:sz w:val="20"/>
                <w:szCs w:val="20"/>
              </w:rPr>
              <w:t xml:space="preserve"> ES</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77.5</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70.0</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67.6</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65.7</w:t>
            </w:r>
          </w:p>
        </w:tc>
        <w:tc>
          <w:tcPr>
            <w:tcW w:w="181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-11.8</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76.6</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68.3</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66.6</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65.8</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-10.8</w:t>
            </w:r>
          </w:p>
        </w:tc>
      </w:tr>
      <w:tr w:rsidR="004D1D43" w:rsidRPr="008502EB" w:rsidTr="005B39AD">
        <w:tc>
          <w:tcPr>
            <w:tcW w:w="3438" w:type="dxa"/>
            <w:vAlign w:val="bottom"/>
          </w:tcPr>
          <w:p w:rsidR="004D1D43" w:rsidRPr="008502EB" w:rsidRDefault="005A6E44" w:rsidP="005B39AD">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64.3</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65.6</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76.8</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69.6</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64.8</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65.4</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-11.4</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71.5</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57.5</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70.3</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69.6</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-1.9</w:t>
            </w:r>
          </w:p>
        </w:tc>
      </w:tr>
      <w:tr w:rsidR="004D1D43" w:rsidRPr="008502EB" w:rsidTr="005B39AD">
        <w:tc>
          <w:tcPr>
            <w:tcW w:w="343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Grafton Street ES</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55.2</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46.4</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48.5</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46.4</w:t>
            </w:r>
          </w:p>
        </w:tc>
        <w:tc>
          <w:tcPr>
            <w:tcW w:w="181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-8.8</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53.8</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44.6</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44.9</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45.4</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-8.4</w:t>
            </w:r>
          </w:p>
        </w:tc>
      </w:tr>
      <w:tr w:rsidR="004D1D43" w:rsidRPr="008502EB" w:rsidTr="005B39AD">
        <w:tc>
          <w:tcPr>
            <w:tcW w:w="3438" w:type="dxa"/>
            <w:vAlign w:val="bottom"/>
          </w:tcPr>
          <w:p w:rsidR="004D1D43" w:rsidRPr="008502EB" w:rsidRDefault="005A6E44" w:rsidP="005B39AD">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45.7</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45.1</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55.0</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42.6</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42.8</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44.6</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-10.4</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26.0</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22.6</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27.0</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28.3</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2.3</w:t>
            </w:r>
          </w:p>
        </w:tc>
      </w:tr>
      <w:tr w:rsidR="004D1D43" w:rsidRPr="008502EB" w:rsidTr="005B39AD">
        <w:tc>
          <w:tcPr>
            <w:tcW w:w="343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Heard Street ES</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80.7</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83.9</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80.0</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80.0</w:t>
            </w:r>
          </w:p>
        </w:tc>
        <w:tc>
          <w:tcPr>
            <w:tcW w:w="181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-0.7</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76.1</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79.5</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74.7</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71.8</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-4.3</w:t>
            </w:r>
          </w:p>
        </w:tc>
      </w:tr>
      <w:tr w:rsidR="004D1D43" w:rsidRPr="008502EB" w:rsidTr="005B39AD">
        <w:tc>
          <w:tcPr>
            <w:tcW w:w="3438" w:type="dxa"/>
            <w:vAlign w:val="bottom"/>
          </w:tcPr>
          <w:p w:rsidR="004D1D43" w:rsidRPr="008502EB" w:rsidRDefault="005A6E44" w:rsidP="005B39AD">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72.8</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70.7</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75.0</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85.9</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80.6</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78.6</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3.6</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58.3</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67.0</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62.0</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57.1</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-1.2</w:t>
            </w:r>
          </w:p>
        </w:tc>
      </w:tr>
      <w:tr w:rsidR="004D1D43" w:rsidRPr="008502EB" w:rsidTr="005B39AD">
        <w:tc>
          <w:tcPr>
            <w:tcW w:w="343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Hiatt Magnet ES</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74.1</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72.4</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73.2</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73.4</w:t>
            </w:r>
          </w:p>
        </w:tc>
        <w:tc>
          <w:tcPr>
            <w:tcW w:w="181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-0.7</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71.2</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69.2</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69.9</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69.2</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-2.0</w:t>
            </w:r>
          </w:p>
        </w:tc>
      </w:tr>
      <w:tr w:rsidR="004D1D43" w:rsidRPr="008502EB" w:rsidTr="005B39AD">
        <w:tc>
          <w:tcPr>
            <w:tcW w:w="3438" w:type="dxa"/>
            <w:vAlign w:val="bottom"/>
          </w:tcPr>
          <w:p w:rsidR="004D1D43" w:rsidRPr="008502EB" w:rsidRDefault="005A6E44" w:rsidP="005B39AD">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69.6</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69.4</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76.0</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71.8</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72.9</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68.1</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-7.9</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40.2</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50.0</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43.8</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44.2</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4.0</w:t>
            </w:r>
          </w:p>
        </w:tc>
      </w:tr>
      <w:tr w:rsidR="004D1D43" w:rsidRPr="008502EB" w:rsidTr="005B39AD">
        <w:tc>
          <w:tcPr>
            <w:tcW w:w="343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Lake View ES</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76.9</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78.1</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82.1</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79.6</w:t>
            </w:r>
          </w:p>
        </w:tc>
        <w:tc>
          <w:tcPr>
            <w:tcW w:w="181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2.7</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73.9</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75.0</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76.4</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72.5</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-1.4</w:t>
            </w:r>
          </w:p>
        </w:tc>
      </w:tr>
      <w:tr w:rsidR="004D1D43" w:rsidRPr="008502EB" w:rsidTr="005B39AD">
        <w:tc>
          <w:tcPr>
            <w:tcW w:w="3438" w:type="dxa"/>
            <w:vAlign w:val="bottom"/>
          </w:tcPr>
          <w:p w:rsidR="004D1D43" w:rsidRPr="008502EB" w:rsidRDefault="005A6E44" w:rsidP="005B39AD">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76.2</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72.3</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77.3</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73.8</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78.3</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80.1</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2.8</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57.8</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54.5</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51.6</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46.3</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-11.5</w:t>
            </w:r>
          </w:p>
        </w:tc>
      </w:tr>
      <w:tr w:rsidR="004D1D43" w:rsidRPr="008502EB" w:rsidTr="005B39AD">
        <w:tc>
          <w:tcPr>
            <w:tcW w:w="343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Lincoln Street ES</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68.1</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65.6</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55.8</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54.1</w:t>
            </w:r>
          </w:p>
        </w:tc>
        <w:tc>
          <w:tcPr>
            <w:tcW w:w="181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-14.0</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67.6</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65.7</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54.9</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51.0</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-16.6</w:t>
            </w:r>
          </w:p>
        </w:tc>
      </w:tr>
      <w:tr w:rsidR="004D1D43" w:rsidRPr="008502EB" w:rsidTr="005B39AD">
        <w:tc>
          <w:tcPr>
            <w:tcW w:w="3438" w:type="dxa"/>
            <w:vAlign w:val="bottom"/>
          </w:tcPr>
          <w:p w:rsidR="004D1D43" w:rsidRPr="008502EB" w:rsidRDefault="005A6E44" w:rsidP="005B39AD">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52.7</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51.1</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68.2</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62.5</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54.7</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48.4</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-19.8</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41.3</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38.5</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44.8</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30.4</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-10.9</w:t>
            </w:r>
          </w:p>
        </w:tc>
      </w:tr>
      <w:tr w:rsidR="004D1D43" w:rsidRPr="008502EB" w:rsidTr="005B39AD">
        <w:tc>
          <w:tcPr>
            <w:tcW w:w="343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May Street ES</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79.7</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76.8</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81.0</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74.9</w:t>
            </w:r>
          </w:p>
        </w:tc>
        <w:tc>
          <w:tcPr>
            <w:tcW w:w="181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-4.8</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74.6</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69.3</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75.3</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67.5</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-7.1</w:t>
            </w:r>
          </w:p>
        </w:tc>
      </w:tr>
      <w:tr w:rsidR="004D1D43" w:rsidRPr="008502EB" w:rsidTr="005B39AD">
        <w:tc>
          <w:tcPr>
            <w:tcW w:w="3438" w:type="dxa"/>
            <w:vAlign w:val="bottom"/>
          </w:tcPr>
          <w:p w:rsidR="004D1D43" w:rsidRPr="008502EB" w:rsidRDefault="005A6E44" w:rsidP="005B39AD">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75.8</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66.5</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80.2</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73.2</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81.1</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70.4</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-9.8</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40.0</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46.3</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56.3</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51.8</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11.8</w:t>
            </w:r>
          </w:p>
        </w:tc>
      </w:tr>
      <w:tr w:rsidR="004D1D43" w:rsidRPr="008502EB" w:rsidTr="005B39AD">
        <w:tc>
          <w:tcPr>
            <w:tcW w:w="343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McGrath ES</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61.8</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72.4</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68.4</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70.2</w:t>
            </w:r>
          </w:p>
        </w:tc>
        <w:tc>
          <w:tcPr>
            <w:tcW w:w="181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8.4</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60.8</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69.9</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65.2</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66.4</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5.6</w:t>
            </w:r>
          </w:p>
        </w:tc>
      </w:tr>
      <w:tr w:rsidR="004D1D43" w:rsidRPr="008502EB" w:rsidTr="005B39AD">
        <w:tc>
          <w:tcPr>
            <w:tcW w:w="3438" w:type="dxa"/>
            <w:vAlign w:val="bottom"/>
          </w:tcPr>
          <w:p w:rsidR="004D1D43" w:rsidRPr="008502EB" w:rsidRDefault="005A6E44" w:rsidP="005B39AD">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62.9</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65.7</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67.9</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73.8</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68.9</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61.2</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-6.7</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26.4</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40.0</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45.0</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43.8</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17.4</w:t>
            </w:r>
          </w:p>
        </w:tc>
      </w:tr>
      <w:tr w:rsidR="004D1D43" w:rsidRPr="008502EB" w:rsidTr="005B39AD">
        <w:tc>
          <w:tcPr>
            <w:tcW w:w="343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Midland Street ES</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83.6</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75.4</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77.8</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83.1</w:t>
            </w:r>
          </w:p>
        </w:tc>
        <w:tc>
          <w:tcPr>
            <w:tcW w:w="181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-0.5</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78.4</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64.6</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72.3</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73.3</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-5.1</w:t>
            </w:r>
          </w:p>
        </w:tc>
      </w:tr>
      <w:tr w:rsidR="004D1D43" w:rsidRPr="008502EB" w:rsidTr="005B39AD">
        <w:tc>
          <w:tcPr>
            <w:tcW w:w="3438" w:type="dxa"/>
            <w:vAlign w:val="bottom"/>
          </w:tcPr>
          <w:p w:rsidR="004D1D43" w:rsidRPr="008502EB" w:rsidRDefault="005A6E44" w:rsidP="005B39AD">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77.3</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72.7</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77.1</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66.4</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78.5</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86.5</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9.4</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33.9</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51.7</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r>
      <w:tr w:rsidR="004D1D43" w:rsidRPr="008502EB" w:rsidTr="005B39AD">
        <w:tc>
          <w:tcPr>
            <w:tcW w:w="343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Nelson Place ES</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85.7</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83.5</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80.3</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84.5</w:t>
            </w:r>
          </w:p>
        </w:tc>
        <w:tc>
          <w:tcPr>
            <w:tcW w:w="181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-1.2</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78.4</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75.6</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71.8</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76.0</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-2.4</w:t>
            </w:r>
          </w:p>
        </w:tc>
      </w:tr>
      <w:tr w:rsidR="004D1D43" w:rsidRPr="008502EB" w:rsidTr="005B39AD">
        <w:tc>
          <w:tcPr>
            <w:tcW w:w="3438" w:type="dxa"/>
            <w:vAlign w:val="bottom"/>
          </w:tcPr>
          <w:p w:rsidR="004D1D43" w:rsidRPr="008502EB" w:rsidRDefault="005A6E44" w:rsidP="005B39AD">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72.1</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77.5</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86.3</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82.7</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83.8</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85.6</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-0.7</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56.1</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56.0</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52.5</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64.3</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8.2</w:t>
            </w:r>
          </w:p>
        </w:tc>
      </w:tr>
      <w:tr w:rsidR="004D1D43" w:rsidRPr="008502EB" w:rsidTr="005B39AD">
        <w:tc>
          <w:tcPr>
            <w:tcW w:w="343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Norrback Avenue ES</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73.1</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72.9</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73.6</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76.0</w:t>
            </w:r>
          </w:p>
        </w:tc>
        <w:tc>
          <w:tcPr>
            <w:tcW w:w="181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2.9</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68.3</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68.1</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67.6</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70.8</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2.5</w:t>
            </w:r>
          </w:p>
        </w:tc>
      </w:tr>
      <w:tr w:rsidR="004D1D43" w:rsidRPr="008502EB" w:rsidTr="005B39AD">
        <w:tc>
          <w:tcPr>
            <w:tcW w:w="3438" w:type="dxa"/>
            <w:vAlign w:val="bottom"/>
          </w:tcPr>
          <w:p w:rsidR="004D1D43" w:rsidRPr="008502EB" w:rsidRDefault="005A6E44" w:rsidP="005B39AD">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65.9</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71.1</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68.6</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67.0</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69.4</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69.7</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1.1</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52.7</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53.8</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58.0</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55.2</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2.5</w:t>
            </w:r>
          </w:p>
        </w:tc>
      </w:tr>
      <w:tr w:rsidR="004D1D43" w:rsidRPr="008502EB" w:rsidTr="005B39AD">
        <w:tc>
          <w:tcPr>
            <w:tcW w:w="343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Quinsigamond ES</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66.7</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58.6</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48.4</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54.5</w:t>
            </w:r>
          </w:p>
        </w:tc>
        <w:tc>
          <w:tcPr>
            <w:tcW w:w="181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-12.2</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65.1</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56.1</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47.1</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53.1</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-12.0</w:t>
            </w:r>
          </w:p>
        </w:tc>
      </w:tr>
      <w:tr w:rsidR="004D1D43" w:rsidRPr="008502EB" w:rsidTr="005B39AD">
        <w:tc>
          <w:tcPr>
            <w:tcW w:w="3438" w:type="dxa"/>
            <w:vAlign w:val="bottom"/>
          </w:tcPr>
          <w:p w:rsidR="004D1D43" w:rsidRPr="008502EB" w:rsidRDefault="005A6E44" w:rsidP="005B39AD">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44.9</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50.7</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67.8</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56.4</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51.3</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56.0</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-11.8</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44.6</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40.4</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31.4</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41.0</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-3.6</w:t>
            </w:r>
          </w:p>
        </w:tc>
      </w:tr>
      <w:tr w:rsidR="004D1D43" w:rsidRPr="008502EB" w:rsidTr="005B39AD">
        <w:tc>
          <w:tcPr>
            <w:tcW w:w="343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Rice Square ES</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53.6</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56.1</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64.6</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67.2</w:t>
            </w:r>
          </w:p>
        </w:tc>
        <w:tc>
          <w:tcPr>
            <w:tcW w:w="181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13.6</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52.0</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53.8</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61.7</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62.8</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10.8</w:t>
            </w:r>
          </w:p>
        </w:tc>
      </w:tr>
      <w:tr w:rsidR="004D1D43" w:rsidRPr="008502EB" w:rsidTr="005B39AD">
        <w:tc>
          <w:tcPr>
            <w:tcW w:w="3438" w:type="dxa"/>
            <w:vAlign w:val="bottom"/>
          </w:tcPr>
          <w:p w:rsidR="004D1D43" w:rsidRPr="008502EB" w:rsidRDefault="005A6E44" w:rsidP="005B39AD">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63.7</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62.7</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53.4</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55.4</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61.3</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62.6</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9.2</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27.3</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25.0</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32.8</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35.5</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8.2</w:t>
            </w:r>
          </w:p>
        </w:tc>
      </w:tr>
      <w:tr w:rsidR="004D1D43" w:rsidRPr="008502EB" w:rsidTr="005B39AD">
        <w:tc>
          <w:tcPr>
            <w:tcW w:w="343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Roosevelt ES</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71.6</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74.2</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76.8</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84.2</w:t>
            </w:r>
          </w:p>
        </w:tc>
        <w:tc>
          <w:tcPr>
            <w:tcW w:w="181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12.6</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67.0</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70.3</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72.8</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81.0</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14.0</w:t>
            </w:r>
          </w:p>
        </w:tc>
      </w:tr>
      <w:tr w:rsidR="004D1D43" w:rsidRPr="008502EB" w:rsidTr="005B39AD">
        <w:tc>
          <w:tcPr>
            <w:tcW w:w="3438" w:type="dxa"/>
            <w:vAlign w:val="bottom"/>
          </w:tcPr>
          <w:p w:rsidR="004D1D43" w:rsidRPr="008502EB" w:rsidRDefault="005A6E44" w:rsidP="005B39AD">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72.0</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81.6</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64.1</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68.6</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73.9</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82.0</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17.9</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55.2</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55.4</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59.8</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66.9</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11.7</w:t>
            </w:r>
          </w:p>
        </w:tc>
      </w:tr>
      <w:tr w:rsidR="004D1D43" w:rsidRPr="008502EB" w:rsidTr="005B39AD">
        <w:tc>
          <w:tcPr>
            <w:tcW w:w="343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Worcester Arts Magnet ES</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92.0</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92.8</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94.2</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94.5</w:t>
            </w:r>
          </w:p>
        </w:tc>
        <w:tc>
          <w:tcPr>
            <w:tcW w:w="181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2.5</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88.1</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88.9</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88.8</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91.6</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3.5</w:t>
            </w:r>
          </w:p>
        </w:tc>
      </w:tr>
      <w:tr w:rsidR="004D1D43" w:rsidRPr="008502EB" w:rsidTr="005B39AD">
        <w:tc>
          <w:tcPr>
            <w:tcW w:w="3438" w:type="dxa"/>
            <w:vAlign w:val="bottom"/>
          </w:tcPr>
          <w:p w:rsidR="004D1D43" w:rsidRPr="008502EB" w:rsidRDefault="005A6E44" w:rsidP="005B39AD">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89.9</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91.8</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86.7</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90.2</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92.6</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91.7</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5.0</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79.3</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76.3</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70.0</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79.4</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0.1</w:t>
            </w:r>
          </w:p>
        </w:tc>
      </w:tr>
      <w:tr w:rsidR="004D1D43" w:rsidRPr="008502EB" w:rsidTr="005B39AD">
        <w:tc>
          <w:tcPr>
            <w:tcW w:w="3438" w:type="dxa"/>
            <w:shd w:val="clear" w:color="auto" w:fill="D9D9D9" w:themeFill="background1" w:themeFillShade="D9"/>
            <w:vAlign w:val="bottom"/>
          </w:tcPr>
          <w:p w:rsidR="004D1D43" w:rsidRPr="008502EB" w:rsidRDefault="004D1D43" w:rsidP="00F714E8">
            <w:pPr>
              <w:spacing w:after="0" w:line="240" w:lineRule="auto"/>
              <w:jc w:val="center"/>
              <w:rPr>
                <w:rFonts w:ascii="Calibri" w:hAnsi="Calibri"/>
                <w:sz w:val="20"/>
                <w:szCs w:val="20"/>
              </w:rPr>
            </w:pPr>
            <w:r w:rsidRPr="008502EB">
              <w:rPr>
                <w:rFonts w:ascii="Calibri" w:hAnsi="Calibri"/>
                <w:sz w:val="20"/>
                <w:szCs w:val="20"/>
              </w:rPr>
              <w:t>Tatnuck ES</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72.1</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74.2</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78.4</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76.1</w:t>
            </w:r>
          </w:p>
        </w:tc>
        <w:tc>
          <w:tcPr>
            <w:tcW w:w="181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4.0</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68.7</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69.1</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75.7</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71.4</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2.7</w:t>
            </w:r>
          </w:p>
        </w:tc>
      </w:tr>
      <w:tr w:rsidR="004D1D43" w:rsidRPr="008502EB" w:rsidTr="005B39AD">
        <w:tc>
          <w:tcPr>
            <w:tcW w:w="3438" w:type="dxa"/>
            <w:vAlign w:val="bottom"/>
          </w:tcPr>
          <w:p w:rsidR="004D1D43" w:rsidRPr="008502EB" w:rsidRDefault="005A6E44" w:rsidP="005B39AD">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74.6</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71.3</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69.0</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70.6</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80.5</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69.8</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0.8</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57.4</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59.2</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66.5</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56.9</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-0.5</w:t>
            </w:r>
          </w:p>
        </w:tc>
      </w:tr>
      <w:tr w:rsidR="004D1D43" w:rsidRPr="008502EB" w:rsidTr="005B39AD">
        <w:tc>
          <w:tcPr>
            <w:tcW w:w="343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Thorndyke Road ES</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79.0</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73.1</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74.6</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78.0</w:t>
            </w:r>
          </w:p>
        </w:tc>
        <w:tc>
          <w:tcPr>
            <w:tcW w:w="181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-1.0</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70.5</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62.5</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63.7</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62.9</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-7.6</w:t>
            </w:r>
          </w:p>
        </w:tc>
      </w:tr>
      <w:tr w:rsidR="004D1D43" w:rsidRPr="008502EB" w:rsidTr="005B39AD">
        <w:tc>
          <w:tcPr>
            <w:tcW w:w="3438" w:type="dxa"/>
            <w:vAlign w:val="bottom"/>
          </w:tcPr>
          <w:p w:rsidR="004D1D43" w:rsidRPr="008502EB" w:rsidRDefault="005A6E44" w:rsidP="005B39AD">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61.5</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62.1</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67.8</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60.5</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63.4</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65.6</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-2.2</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66.1</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54.3</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50.9</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41.3</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-24.8</w:t>
            </w:r>
          </w:p>
        </w:tc>
      </w:tr>
      <w:tr w:rsidR="004D1D43" w:rsidRPr="008502EB" w:rsidTr="005B39AD">
        <w:tc>
          <w:tcPr>
            <w:tcW w:w="343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Union Hill ES</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75.1</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74.5</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73.2</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69.8</w:t>
            </w:r>
          </w:p>
        </w:tc>
        <w:tc>
          <w:tcPr>
            <w:tcW w:w="181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-5.3</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75.0</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74.5</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72.7</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69.4</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-5.6</w:t>
            </w:r>
          </w:p>
        </w:tc>
      </w:tr>
      <w:tr w:rsidR="004D1D43" w:rsidRPr="008502EB" w:rsidTr="005B39AD">
        <w:tc>
          <w:tcPr>
            <w:tcW w:w="3438" w:type="dxa"/>
            <w:vAlign w:val="bottom"/>
          </w:tcPr>
          <w:p w:rsidR="004D1D43" w:rsidRPr="008502EB" w:rsidRDefault="005A6E44" w:rsidP="005B39AD">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73.5</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71.3</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75.9</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72.1</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74.3</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68.1</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-7.8</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60.0</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57.1</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62.7</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54.5</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-5.5</w:t>
            </w:r>
          </w:p>
        </w:tc>
      </w:tr>
      <w:tr w:rsidR="004D1D43" w:rsidRPr="008502EB" w:rsidTr="005B39AD">
        <w:tc>
          <w:tcPr>
            <w:tcW w:w="343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West Tatnuck ES</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90.6</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93.3</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93.0</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94.3</w:t>
            </w:r>
          </w:p>
        </w:tc>
        <w:tc>
          <w:tcPr>
            <w:tcW w:w="181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3.7</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85.0</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87.7</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87.5</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89.9</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4.9</w:t>
            </w:r>
          </w:p>
        </w:tc>
      </w:tr>
      <w:tr w:rsidR="004D1D43" w:rsidRPr="008502EB" w:rsidTr="005B39AD">
        <w:tc>
          <w:tcPr>
            <w:tcW w:w="3438" w:type="dxa"/>
            <w:vAlign w:val="bottom"/>
          </w:tcPr>
          <w:p w:rsidR="004D1D43" w:rsidRPr="008502EB" w:rsidRDefault="005A6E44" w:rsidP="005B39AD">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91.9</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88.5</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89.2</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94.0</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98.3</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95.3</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6.1</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70.5</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73.0</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71.3</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75.0</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4.5</w:t>
            </w:r>
          </w:p>
        </w:tc>
      </w:tr>
      <w:tr w:rsidR="004D1D43" w:rsidRPr="008502EB" w:rsidTr="005B39AD">
        <w:tc>
          <w:tcPr>
            <w:tcW w:w="343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Vernon Hill ES</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69.9</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72.2</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65.4</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59.7</w:t>
            </w:r>
          </w:p>
        </w:tc>
        <w:tc>
          <w:tcPr>
            <w:tcW w:w="181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-10.2</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69.6</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71.3</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63.0</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58.5</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-11.1</w:t>
            </w:r>
          </w:p>
        </w:tc>
      </w:tr>
      <w:tr w:rsidR="004D1D43" w:rsidRPr="008502EB" w:rsidTr="005B39AD">
        <w:tc>
          <w:tcPr>
            <w:tcW w:w="3438" w:type="dxa"/>
            <w:vAlign w:val="bottom"/>
          </w:tcPr>
          <w:p w:rsidR="004D1D43" w:rsidRPr="008502EB" w:rsidRDefault="005A6E44" w:rsidP="005B39AD">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62.1</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58.9</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71.4</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71.6</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65.6</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58.7</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-12.7</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48.3</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47.8</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38.4</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34.9</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-13.4</w:t>
            </w:r>
          </w:p>
        </w:tc>
      </w:tr>
      <w:tr w:rsidR="004D1D43" w:rsidRPr="008502EB" w:rsidTr="005B39AD">
        <w:tc>
          <w:tcPr>
            <w:tcW w:w="343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University Park MSHS</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78.2</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75.2</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74.8</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73.8</w:t>
            </w:r>
          </w:p>
        </w:tc>
        <w:tc>
          <w:tcPr>
            <w:tcW w:w="181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-4.4</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77.5</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73.1</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68.1</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68.6</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-8.9</w:t>
            </w:r>
          </w:p>
        </w:tc>
      </w:tr>
      <w:tr w:rsidR="004D1D43" w:rsidRPr="008502EB" w:rsidTr="005B39AD">
        <w:tc>
          <w:tcPr>
            <w:tcW w:w="3438" w:type="dxa"/>
            <w:vAlign w:val="bottom"/>
          </w:tcPr>
          <w:p w:rsidR="004D1D43" w:rsidRPr="008502EB" w:rsidRDefault="005A6E44" w:rsidP="005B39AD">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70.1</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68.1</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69.8</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55.8</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56.5</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60.4</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-9.4</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25.0</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818"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r>
      <w:tr w:rsidR="004D1D43" w:rsidRPr="008502EB" w:rsidTr="005B39AD">
        <w:tc>
          <w:tcPr>
            <w:tcW w:w="343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Claremont Academy MSHS</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54.1</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46.6</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52.3</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56.6</w:t>
            </w:r>
          </w:p>
        </w:tc>
        <w:tc>
          <w:tcPr>
            <w:tcW w:w="181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2.5</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52.9</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45.4</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49.0</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52.4</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-0.5</w:t>
            </w:r>
          </w:p>
        </w:tc>
      </w:tr>
      <w:tr w:rsidR="004D1D43" w:rsidRPr="008502EB" w:rsidTr="005B39AD">
        <w:tc>
          <w:tcPr>
            <w:tcW w:w="3438" w:type="dxa"/>
            <w:vAlign w:val="bottom"/>
          </w:tcPr>
          <w:p w:rsidR="004D1D43" w:rsidRPr="008502EB" w:rsidRDefault="005A6E44" w:rsidP="005B39AD">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50.4</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54.3</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49.6</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37.8</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42.2</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44.1</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-5.5</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33.1</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36.2</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39.1</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32.8</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-0.3</w:t>
            </w:r>
          </w:p>
        </w:tc>
      </w:tr>
      <w:tr w:rsidR="004D1D43" w:rsidRPr="008502EB" w:rsidTr="005B39AD">
        <w:tc>
          <w:tcPr>
            <w:tcW w:w="343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Burncoat MS</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63.7</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59.0</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60.4</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66.6</w:t>
            </w:r>
          </w:p>
        </w:tc>
        <w:tc>
          <w:tcPr>
            <w:tcW w:w="181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2.9</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56.9</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52.6</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53.1</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60.6</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3.7</w:t>
            </w:r>
          </w:p>
        </w:tc>
      </w:tr>
      <w:tr w:rsidR="004D1D43" w:rsidRPr="008502EB" w:rsidTr="005B39AD">
        <w:tc>
          <w:tcPr>
            <w:tcW w:w="3438" w:type="dxa"/>
            <w:vAlign w:val="bottom"/>
          </w:tcPr>
          <w:p w:rsidR="004D1D43" w:rsidRPr="008502EB" w:rsidRDefault="005A6E44" w:rsidP="005B39AD">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52.6</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59.3</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48.9</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45.2</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44.8</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52.5</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3.6</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37.5</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35.4</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41.5</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45.7</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8.2</w:t>
            </w:r>
          </w:p>
        </w:tc>
      </w:tr>
      <w:tr w:rsidR="004D1D43" w:rsidRPr="008502EB" w:rsidTr="005B39AD">
        <w:tc>
          <w:tcPr>
            <w:tcW w:w="343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Forest Grove MS</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73.0</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70.2</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74.8</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71.7</w:t>
            </w:r>
          </w:p>
        </w:tc>
        <w:tc>
          <w:tcPr>
            <w:tcW w:w="181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-1.3</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64.2</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60.4</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63.1</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60.4</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-3.8</w:t>
            </w:r>
          </w:p>
        </w:tc>
      </w:tr>
      <w:tr w:rsidR="004D1D43" w:rsidRPr="008502EB" w:rsidTr="005B39AD">
        <w:tc>
          <w:tcPr>
            <w:tcW w:w="3438" w:type="dxa"/>
            <w:vAlign w:val="bottom"/>
          </w:tcPr>
          <w:p w:rsidR="004D1D43" w:rsidRPr="008502EB" w:rsidRDefault="005A6E44" w:rsidP="005B39AD">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63.5</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62.0</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59.0</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57.8</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62.4</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54.4</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-4.6</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46.6</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42.3</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45.0</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42.5</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-4.1</w:t>
            </w:r>
          </w:p>
        </w:tc>
      </w:tr>
      <w:tr w:rsidR="004D1D43" w:rsidRPr="008502EB" w:rsidTr="005B39AD">
        <w:tc>
          <w:tcPr>
            <w:tcW w:w="343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Worcester East MS</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52.4</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54.3</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56.8</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58.2</w:t>
            </w:r>
          </w:p>
        </w:tc>
        <w:tc>
          <w:tcPr>
            <w:tcW w:w="181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5.8</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50.5</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52.4</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53.3</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54.6</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4.1</w:t>
            </w:r>
          </w:p>
        </w:tc>
      </w:tr>
      <w:tr w:rsidR="004D1D43" w:rsidRPr="008502EB" w:rsidTr="005B39AD">
        <w:tc>
          <w:tcPr>
            <w:tcW w:w="3438" w:type="dxa"/>
            <w:vAlign w:val="bottom"/>
          </w:tcPr>
          <w:p w:rsidR="004D1D43" w:rsidRPr="008502EB" w:rsidRDefault="005A6E44" w:rsidP="005B39AD">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53.3</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55.7</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50.2</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48.2</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50.3</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50.3</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0.1</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31.4</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31.6</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31.4</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29.8</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-1.6</w:t>
            </w:r>
          </w:p>
        </w:tc>
      </w:tr>
      <w:tr w:rsidR="004D1D43" w:rsidRPr="008502EB" w:rsidTr="005B39AD">
        <w:tc>
          <w:tcPr>
            <w:tcW w:w="343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Sullivan MS</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60.4</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54.0</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56.2</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63.3</w:t>
            </w:r>
          </w:p>
        </w:tc>
        <w:tc>
          <w:tcPr>
            <w:tcW w:w="181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2.9</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56.9</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49.3</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48.9</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56.0</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-0.9</w:t>
            </w:r>
          </w:p>
        </w:tc>
      </w:tr>
      <w:tr w:rsidR="004D1D43" w:rsidRPr="008502EB" w:rsidTr="005B39AD">
        <w:tc>
          <w:tcPr>
            <w:tcW w:w="3438" w:type="dxa"/>
            <w:vAlign w:val="bottom"/>
          </w:tcPr>
          <w:p w:rsidR="004D1D43" w:rsidRPr="008502EB" w:rsidRDefault="005A6E44" w:rsidP="005B39AD">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48.8</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55.7</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56.0</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45.7</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43.3</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48.9</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-7.1</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35.9</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31.6</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32.5</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42.4</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6.5</w:t>
            </w:r>
          </w:p>
        </w:tc>
      </w:tr>
      <w:tr w:rsidR="004D1D43" w:rsidRPr="008502EB" w:rsidTr="005B39AD">
        <w:tc>
          <w:tcPr>
            <w:tcW w:w="343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 xml:space="preserve">Burncoat </w:t>
            </w:r>
            <w:r w:rsidR="00F714E8">
              <w:rPr>
                <w:rFonts w:ascii="Calibri" w:hAnsi="Calibri"/>
                <w:sz w:val="20"/>
                <w:szCs w:val="20"/>
              </w:rPr>
              <w:t xml:space="preserve">Senior </w:t>
            </w:r>
            <w:r w:rsidRPr="008502EB">
              <w:rPr>
                <w:rFonts w:ascii="Calibri" w:hAnsi="Calibri"/>
                <w:sz w:val="20"/>
                <w:szCs w:val="20"/>
              </w:rPr>
              <w:t>HS</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80.8</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79.4</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77.3</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78.3</w:t>
            </w:r>
          </w:p>
        </w:tc>
        <w:tc>
          <w:tcPr>
            <w:tcW w:w="181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-2.5</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75.0</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73.6</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71.5</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68.2</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-6.8</w:t>
            </w:r>
          </w:p>
        </w:tc>
      </w:tr>
      <w:tr w:rsidR="004D1D43" w:rsidRPr="008502EB" w:rsidTr="005B39AD">
        <w:tc>
          <w:tcPr>
            <w:tcW w:w="3438" w:type="dxa"/>
            <w:vAlign w:val="bottom"/>
          </w:tcPr>
          <w:p w:rsidR="004D1D43" w:rsidRPr="008502EB" w:rsidRDefault="005A6E44" w:rsidP="005B39AD">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75.0</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70.4</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63.7</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68.3</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64.9</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54.3</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-9.4</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56.5</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57.4</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55.4</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54.2</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-2.3</w:t>
            </w:r>
          </w:p>
        </w:tc>
      </w:tr>
      <w:tr w:rsidR="004D1D43" w:rsidRPr="008502EB" w:rsidTr="005B39AD">
        <w:tc>
          <w:tcPr>
            <w:tcW w:w="343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Doherty Memorial HS</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84.3</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86.4</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85.3</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84.9</w:t>
            </w:r>
          </w:p>
        </w:tc>
        <w:tc>
          <w:tcPr>
            <w:tcW w:w="181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0.6</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77.5</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79.7</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77.3</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74.3</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-3.2</w:t>
            </w:r>
          </w:p>
        </w:tc>
      </w:tr>
      <w:tr w:rsidR="004D1D43" w:rsidRPr="008502EB" w:rsidTr="005B39AD">
        <w:tc>
          <w:tcPr>
            <w:tcW w:w="3438" w:type="dxa"/>
            <w:vAlign w:val="bottom"/>
          </w:tcPr>
          <w:p w:rsidR="004D1D43" w:rsidRPr="008502EB" w:rsidRDefault="005A6E44" w:rsidP="005B39AD">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82.0</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76.0</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68.1</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71.7</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61.7</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64.3</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-3.8</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61.0</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64.2</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62.8</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62.7</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1.7</w:t>
            </w:r>
          </w:p>
        </w:tc>
      </w:tr>
      <w:tr w:rsidR="004D1D43" w:rsidRPr="008502EB" w:rsidTr="005B39AD">
        <w:tc>
          <w:tcPr>
            <w:tcW w:w="343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North HS</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72.3</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66.4</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64.0</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69.9</w:t>
            </w:r>
          </w:p>
        </w:tc>
        <w:tc>
          <w:tcPr>
            <w:tcW w:w="181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-2.4</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71.2</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64.0</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59.6</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65.5</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-5.7</w:t>
            </w:r>
          </w:p>
        </w:tc>
      </w:tr>
      <w:tr w:rsidR="004D1D43" w:rsidRPr="008502EB" w:rsidTr="005B39AD">
        <w:tc>
          <w:tcPr>
            <w:tcW w:w="3438" w:type="dxa"/>
            <w:vAlign w:val="bottom"/>
          </w:tcPr>
          <w:p w:rsidR="004D1D43" w:rsidRPr="008502EB" w:rsidRDefault="005A6E44" w:rsidP="005B39AD">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61.5</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66.0</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55.3</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53.6</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49.6</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60.6</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5.3</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52.7</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42.6</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43.7</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50.0</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-2.7</w:t>
            </w:r>
          </w:p>
        </w:tc>
      </w:tr>
      <w:tr w:rsidR="004D1D43" w:rsidRPr="008502EB" w:rsidTr="005B39AD">
        <w:tc>
          <w:tcPr>
            <w:tcW w:w="343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 xml:space="preserve">South </w:t>
            </w:r>
            <w:r w:rsidR="00F714E8">
              <w:rPr>
                <w:rFonts w:ascii="Calibri" w:hAnsi="Calibri"/>
                <w:sz w:val="20"/>
                <w:szCs w:val="20"/>
              </w:rPr>
              <w:t xml:space="preserve">High Community </w:t>
            </w:r>
            <w:r w:rsidRPr="008502EB">
              <w:rPr>
                <w:rFonts w:ascii="Calibri" w:hAnsi="Calibri"/>
                <w:sz w:val="20"/>
                <w:szCs w:val="20"/>
              </w:rPr>
              <w:t>HS</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76.4</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76.2</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76.9</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78.4</w:t>
            </w:r>
          </w:p>
        </w:tc>
        <w:tc>
          <w:tcPr>
            <w:tcW w:w="181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2.0</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73.5</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74.5</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73.7</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72.7</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-0.8</w:t>
            </w:r>
          </w:p>
        </w:tc>
      </w:tr>
      <w:tr w:rsidR="004D1D43" w:rsidRPr="008502EB" w:rsidTr="005B39AD">
        <w:tc>
          <w:tcPr>
            <w:tcW w:w="3438" w:type="dxa"/>
            <w:vAlign w:val="bottom"/>
          </w:tcPr>
          <w:p w:rsidR="004D1D43" w:rsidRPr="008502EB" w:rsidRDefault="005A6E44" w:rsidP="005B39AD">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76.7</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74.1</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67.0</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66.8</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65.1</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57.9</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-9.1</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51.8</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53.0</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61.3</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62.9</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11.1</w:t>
            </w:r>
          </w:p>
        </w:tc>
      </w:tr>
      <w:tr w:rsidR="004D1D43" w:rsidRPr="008502EB" w:rsidTr="005B39AD">
        <w:tc>
          <w:tcPr>
            <w:tcW w:w="343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Worcester Tech</w:t>
            </w:r>
            <w:r w:rsidR="00F714E8">
              <w:rPr>
                <w:rFonts w:ascii="Calibri" w:hAnsi="Calibri"/>
                <w:sz w:val="20"/>
                <w:szCs w:val="20"/>
              </w:rPr>
              <w:t>nical</w:t>
            </w:r>
            <w:r w:rsidRPr="008502EB">
              <w:rPr>
                <w:rFonts w:ascii="Calibri" w:hAnsi="Calibri"/>
                <w:sz w:val="20"/>
                <w:szCs w:val="20"/>
              </w:rPr>
              <w:t xml:space="preserve"> HS</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92.5</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89.6</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91.5</w:t>
            </w:r>
          </w:p>
        </w:tc>
        <w:tc>
          <w:tcPr>
            <w:tcW w:w="1080"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92.2</w:t>
            </w:r>
          </w:p>
        </w:tc>
        <w:tc>
          <w:tcPr>
            <w:tcW w:w="1818" w:type="dxa"/>
            <w:shd w:val="clear" w:color="auto" w:fill="D9D9D9" w:themeFill="background1" w:themeFillShade="D9"/>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-0.3</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90.5</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87.3</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86.2</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88.3</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-2.2</w:t>
            </w:r>
          </w:p>
        </w:tc>
      </w:tr>
      <w:tr w:rsidR="004D1D43" w:rsidRPr="008502EB" w:rsidTr="005B39AD">
        <w:tc>
          <w:tcPr>
            <w:tcW w:w="3438" w:type="dxa"/>
            <w:vAlign w:val="bottom"/>
          </w:tcPr>
          <w:p w:rsidR="004D1D43" w:rsidRPr="008502EB" w:rsidRDefault="005A6E44" w:rsidP="005B39AD">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89.8</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90.3</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88.6</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77.3</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88.5</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84.3</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-4.3</w:t>
            </w:r>
          </w:p>
        </w:tc>
      </w:tr>
      <w:tr w:rsidR="004D1D43" w:rsidRPr="008502EB" w:rsidTr="005B39AD">
        <w:tc>
          <w:tcPr>
            <w:tcW w:w="3438" w:type="dxa"/>
            <w:vAlign w:val="bottom"/>
          </w:tcPr>
          <w:p w:rsidR="004D1D43" w:rsidRPr="008502EB" w:rsidRDefault="004D1D43" w:rsidP="005B39AD">
            <w:pPr>
              <w:spacing w:after="0" w:line="240" w:lineRule="auto"/>
              <w:rPr>
                <w:rFonts w:ascii="Calibri" w:hAnsi="Calibri"/>
                <w:sz w:val="20"/>
                <w:szCs w:val="20"/>
              </w:rPr>
            </w:pPr>
            <w:r w:rsidRPr="008502EB">
              <w:rPr>
                <w:rFonts w:ascii="Calibri" w:hAnsi="Calibri"/>
                <w:sz w:val="20"/>
                <w:szCs w:val="20"/>
              </w:rPr>
              <w:t>SWD</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65.7</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64.6</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63.0</w:t>
            </w:r>
          </w:p>
        </w:tc>
        <w:tc>
          <w:tcPr>
            <w:tcW w:w="1080" w:type="dxa"/>
            <w:vAlign w:val="bottom"/>
          </w:tcPr>
          <w:p w:rsidR="004D1D43" w:rsidRPr="008502EB" w:rsidRDefault="004D1D43" w:rsidP="005B39AD">
            <w:pPr>
              <w:spacing w:after="0" w:line="240" w:lineRule="auto"/>
              <w:jc w:val="center"/>
              <w:rPr>
                <w:rFonts w:ascii="Calibri" w:hAnsi="Calibri"/>
                <w:sz w:val="20"/>
                <w:szCs w:val="20"/>
              </w:rPr>
            </w:pPr>
            <w:r w:rsidRPr="008502EB">
              <w:rPr>
                <w:rFonts w:ascii="Calibri" w:hAnsi="Calibri"/>
                <w:sz w:val="20"/>
                <w:szCs w:val="20"/>
              </w:rPr>
              <w:t>70.0</w:t>
            </w:r>
          </w:p>
        </w:tc>
        <w:tc>
          <w:tcPr>
            <w:tcW w:w="1818" w:type="dxa"/>
            <w:vAlign w:val="bottom"/>
          </w:tcPr>
          <w:p w:rsidR="004D1D43" w:rsidRPr="008502EB" w:rsidRDefault="004D1D43" w:rsidP="005B39AD">
            <w:pPr>
              <w:spacing w:after="0" w:line="240" w:lineRule="auto"/>
              <w:jc w:val="center"/>
              <w:rPr>
                <w:rFonts w:ascii="Calibri" w:hAnsi="Calibri"/>
                <w:color w:val="000000"/>
                <w:sz w:val="20"/>
                <w:szCs w:val="20"/>
              </w:rPr>
            </w:pPr>
            <w:r w:rsidRPr="008502EB">
              <w:rPr>
                <w:rFonts w:ascii="Calibri" w:hAnsi="Calibri"/>
                <w:color w:val="000000"/>
                <w:sz w:val="20"/>
                <w:szCs w:val="20"/>
              </w:rPr>
              <w:t>4.3</w:t>
            </w:r>
          </w:p>
        </w:tc>
      </w:tr>
    </w:tbl>
    <w:p w:rsidR="002F1EBE" w:rsidRPr="00F04EDB" w:rsidRDefault="002F1EBE" w:rsidP="002F1EBE">
      <w:pPr>
        <w:spacing w:after="0"/>
        <w:rPr>
          <w:rFonts w:eastAsia="Calibri" w:cs="Times New Roman"/>
        </w:rPr>
      </w:pPr>
    </w:p>
    <w:p w:rsidR="002F1EBE" w:rsidRPr="00F04EDB" w:rsidRDefault="002F1EBE" w:rsidP="002F1EBE">
      <w:pPr>
        <w:spacing w:after="0"/>
        <w:rPr>
          <w:rFonts w:eastAsia="Calibri" w:cs="Times New Roman"/>
        </w:rPr>
      </w:pPr>
    </w:p>
    <w:p w:rsidR="002F1EBE" w:rsidRPr="00F04EDB" w:rsidRDefault="002F1EBE" w:rsidP="002F1EBE">
      <w:pPr>
        <w:spacing w:after="0"/>
        <w:rPr>
          <w:rFonts w:eastAsia="Calibri" w:cs="Times New Roman"/>
        </w:rPr>
      </w:pPr>
    </w:p>
    <w:p w:rsidR="00DC5359" w:rsidRDefault="00DC5359">
      <w:pPr>
        <w:spacing w:after="0" w:line="240" w:lineRule="auto"/>
        <w:rPr>
          <w:rFonts w:eastAsia="Calibri" w:cs="Times New Roman"/>
        </w:rPr>
      </w:pPr>
      <w:r>
        <w:rPr>
          <w:rFonts w:eastAsia="Calibri" w:cs="Times New Roman"/>
        </w:rPr>
        <w:br w:type="page"/>
      </w:r>
    </w:p>
    <w:tbl>
      <w:tblPr>
        <w:tblStyle w:val="TableGrid26"/>
        <w:tblW w:w="0" w:type="auto"/>
        <w:tblLook w:val="04A0"/>
      </w:tblPr>
      <w:tblGrid>
        <w:gridCol w:w="3438"/>
        <w:gridCol w:w="1080"/>
        <w:gridCol w:w="1080"/>
        <w:gridCol w:w="1080"/>
        <w:gridCol w:w="1080"/>
        <w:gridCol w:w="1818"/>
      </w:tblGrid>
      <w:tr w:rsidR="00DC5359" w:rsidRPr="008502EB" w:rsidTr="00923109">
        <w:tc>
          <w:tcPr>
            <w:tcW w:w="9576" w:type="dxa"/>
            <w:gridSpan w:val="6"/>
            <w:tcBorders>
              <w:top w:val="nil"/>
              <w:left w:val="nil"/>
              <w:right w:val="nil"/>
            </w:tcBorders>
          </w:tcPr>
          <w:p w:rsidR="00C91B81" w:rsidRDefault="00C91B81" w:rsidP="00923109">
            <w:pPr>
              <w:spacing w:after="0" w:line="240" w:lineRule="auto"/>
              <w:jc w:val="center"/>
              <w:rPr>
                <w:b/>
                <w:sz w:val="20"/>
                <w:szCs w:val="20"/>
              </w:rPr>
            </w:pPr>
          </w:p>
          <w:p w:rsidR="00C91B81" w:rsidRDefault="00C91B81" w:rsidP="00923109">
            <w:pPr>
              <w:spacing w:after="0" w:line="240" w:lineRule="auto"/>
              <w:jc w:val="center"/>
              <w:rPr>
                <w:b/>
                <w:sz w:val="20"/>
                <w:szCs w:val="20"/>
              </w:rPr>
            </w:pPr>
          </w:p>
          <w:p w:rsidR="00DC5359" w:rsidRPr="008502EB" w:rsidRDefault="00DC5359" w:rsidP="00923109">
            <w:pPr>
              <w:spacing w:after="0" w:line="240" w:lineRule="auto"/>
              <w:jc w:val="center"/>
              <w:rPr>
                <w:b/>
                <w:sz w:val="20"/>
                <w:szCs w:val="20"/>
              </w:rPr>
            </w:pPr>
            <w:r w:rsidRPr="008502EB">
              <w:rPr>
                <w:b/>
                <w:sz w:val="20"/>
                <w:szCs w:val="20"/>
              </w:rPr>
              <w:t xml:space="preserve">Table </w:t>
            </w:r>
            <w:r w:rsidR="00923109">
              <w:rPr>
                <w:b/>
                <w:sz w:val="20"/>
                <w:szCs w:val="20"/>
              </w:rPr>
              <w:t>B5</w:t>
            </w:r>
            <w:r w:rsidRPr="008502EB">
              <w:rPr>
                <w:b/>
                <w:sz w:val="20"/>
                <w:szCs w:val="20"/>
              </w:rPr>
              <w:t>: Worcester Public Schools</w:t>
            </w:r>
          </w:p>
          <w:p w:rsidR="00DC5359" w:rsidRPr="008502EB" w:rsidRDefault="00DC5359" w:rsidP="00923109">
            <w:pPr>
              <w:spacing w:after="0" w:line="240" w:lineRule="auto"/>
              <w:jc w:val="center"/>
              <w:rPr>
                <w:b/>
                <w:sz w:val="20"/>
                <w:szCs w:val="20"/>
              </w:rPr>
            </w:pPr>
            <w:r w:rsidRPr="008502EB">
              <w:rPr>
                <w:b/>
                <w:sz w:val="20"/>
                <w:szCs w:val="20"/>
              </w:rPr>
              <w:t>Science Percent Proficient or Advanced by School and Subgroup 2013–2016</w:t>
            </w:r>
          </w:p>
        </w:tc>
      </w:tr>
      <w:tr w:rsidR="00DC5359" w:rsidRPr="008502EB" w:rsidTr="00923109">
        <w:tc>
          <w:tcPr>
            <w:tcW w:w="3438" w:type="dxa"/>
            <w:shd w:val="clear" w:color="auto" w:fill="D9D9D9" w:themeFill="background1" w:themeFillShade="D9"/>
          </w:tcPr>
          <w:p w:rsidR="00DC5359" w:rsidRPr="008502EB" w:rsidRDefault="00DC5359" w:rsidP="00923109">
            <w:pPr>
              <w:spacing w:after="0" w:line="240" w:lineRule="auto"/>
              <w:rPr>
                <w:b/>
                <w:sz w:val="20"/>
                <w:szCs w:val="20"/>
              </w:rPr>
            </w:pPr>
          </w:p>
        </w:tc>
        <w:tc>
          <w:tcPr>
            <w:tcW w:w="1080" w:type="dxa"/>
            <w:shd w:val="clear" w:color="auto" w:fill="D9D9D9" w:themeFill="background1" w:themeFillShade="D9"/>
          </w:tcPr>
          <w:p w:rsidR="00DC5359" w:rsidRPr="008502EB" w:rsidRDefault="00DC5359" w:rsidP="00923109">
            <w:pPr>
              <w:spacing w:after="0" w:line="240" w:lineRule="auto"/>
              <w:jc w:val="center"/>
              <w:rPr>
                <w:b/>
                <w:sz w:val="20"/>
                <w:szCs w:val="20"/>
              </w:rPr>
            </w:pPr>
            <w:r w:rsidRPr="008502EB">
              <w:rPr>
                <w:b/>
                <w:sz w:val="20"/>
                <w:szCs w:val="20"/>
              </w:rPr>
              <w:t>2013</w:t>
            </w:r>
          </w:p>
        </w:tc>
        <w:tc>
          <w:tcPr>
            <w:tcW w:w="1080" w:type="dxa"/>
            <w:shd w:val="clear" w:color="auto" w:fill="D9D9D9" w:themeFill="background1" w:themeFillShade="D9"/>
          </w:tcPr>
          <w:p w:rsidR="00DC5359" w:rsidRPr="008502EB" w:rsidRDefault="00DC5359" w:rsidP="00923109">
            <w:pPr>
              <w:spacing w:after="0" w:line="240" w:lineRule="auto"/>
              <w:jc w:val="center"/>
              <w:rPr>
                <w:b/>
                <w:sz w:val="20"/>
                <w:szCs w:val="20"/>
              </w:rPr>
            </w:pPr>
            <w:r w:rsidRPr="008502EB">
              <w:rPr>
                <w:b/>
                <w:sz w:val="20"/>
                <w:szCs w:val="20"/>
              </w:rPr>
              <w:t>2014</w:t>
            </w:r>
          </w:p>
        </w:tc>
        <w:tc>
          <w:tcPr>
            <w:tcW w:w="1080" w:type="dxa"/>
            <w:shd w:val="clear" w:color="auto" w:fill="D9D9D9" w:themeFill="background1" w:themeFillShade="D9"/>
          </w:tcPr>
          <w:p w:rsidR="00DC5359" w:rsidRPr="008502EB" w:rsidRDefault="00DC5359" w:rsidP="00923109">
            <w:pPr>
              <w:spacing w:after="0" w:line="240" w:lineRule="auto"/>
              <w:jc w:val="center"/>
              <w:rPr>
                <w:b/>
                <w:sz w:val="20"/>
                <w:szCs w:val="20"/>
              </w:rPr>
            </w:pPr>
            <w:r w:rsidRPr="008502EB">
              <w:rPr>
                <w:b/>
                <w:sz w:val="20"/>
                <w:szCs w:val="20"/>
              </w:rPr>
              <w:t>2015</w:t>
            </w:r>
          </w:p>
        </w:tc>
        <w:tc>
          <w:tcPr>
            <w:tcW w:w="1080" w:type="dxa"/>
            <w:shd w:val="clear" w:color="auto" w:fill="D9D9D9" w:themeFill="background1" w:themeFillShade="D9"/>
          </w:tcPr>
          <w:p w:rsidR="00DC5359" w:rsidRPr="008502EB" w:rsidRDefault="00DC5359" w:rsidP="00923109">
            <w:pPr>
              <w:spacing w:after="0" w:line="240" w:lineRule="auto"/>
              <w:jc w:val="center"/>
              <w:rPr>
                <w:b/>
                <w:sz w:val="20"/>
                <w:szCs w:val="20"/>
              </w:rPr>
            </w:pPr>
            <w:r w:rsidRPr="008502EB">
              <w:rPr>
                <w:b/>
                <w:sz w:val="20"/>
                <w:szCs w:val="20"/>
              </w:rPr>
              <w:t>2016</w:t>
            </w:r>
          </w:p>
        </w:tc>
        <w:tc>
          <w:tcPr>
            <w:tcW w:w="1818" w:type="dxa"/>
            <w:shd w:val="clear" w:color="auto" w:fill="D9D9D9" w:themeFill="background1" w:themeFillShade="D9"/>
          </w:tcPr>
          <w:p w:rsidR="00DC5359" w:rsidRPr="008502EB" w:rsidRDefault="00DC5359" w:rsidP="00923109">
            <w:pPr>
              <w:spacing w:after="0" w:line="240" w:lineRule="auto"/>
              <w:jc w:val="center"/>
              <w:rPr>
                <w:b/>
                <w:sz w:val="20"/>
                <w:szCs w:val="20"/>
              </w:rPr>
            </w:pPr>
            <w:r w:rsidRPr="008502EB">
              <w:rPr>
                <w:b/>
                <w:sz w:val="20"/>
                <w:szCs w:val="20"/>
              </w:rPr>
              <w:t>4-Year Trend</w:t>
            </w:r>
          </w:p>
        </w:tc>
      </w:tr>
      <w:tr w:rsidR="00DC5359" w:rsidRPr="008502EB" w:rsidTr="00923109">
        <w:tc>
          <w:tcPr>
            <w:tcW w:w="343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Head Start</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81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 xml:space="preserve">Belmont </w:t>
            </w:r>
            <w:r w:rsidR="00F714E8">
              <w:rPr>
                <w:rFonts w:ascii="Calibri" w:hAnsi="Calibri"/>
                <w:sz w:val="20"/>
                <w:szCs w:val="20"/>
              </w:rPr>
              <w:t xml:space="preserve">Street </w:t>
            </w:r>
            <w:r w:rsidRPr="008502EB">
              <w:rPr>
                <w:rFonts w:ascii="Calibri" w:hAnsi="Calibri"/>
                <w:sz w:val="20"/>
                <w:szCs w:val="20"/>
              </w:rPr>
              <w:t>Community ES</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18%</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31%</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21%</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28%</w:t>
            </w:r>
          </w:p>
        </w:tc>
        <w:tc>
          <w:tcPr>
            <w:tcW w:w="181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10%</w:t>
            </w:r>
          </w:p>
        </w:tc>
      </w:tr>
      <w:tr w:rsidR="00DC5359" w:rsidRPr="008502EB" w:rsidTr="00923109">
        <w:tc>
          <w:tcPr>
            <w:tcW w:w="3438" w:type="dxa"/>
            <w:shd w:val="clear" w:color="auto" w:fill="auto"/>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High Needs</w:t>
            </w:r>
          </w:p>
        </w:tc>
        <w:tc>
          <w:tcPr>
            <w:tcW w:w="1080" w:type="dxa"/>
            <w:shd w:val="clear" w:color="auto" w:fill="auto"/>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19%</w:t>
            </w:r>
          </w:p>
        </w:tc>
        <w:tc>
          <w:tcPr>
            <w:tcW w:w="1080" w:type="dxa"/>
            <w:shd w:val="clear" w:color="auto" w:fill="auto"/>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31%</w:t>
            </w:r>
          </w:p>
        </w:tc>
        <w:tc>
          <w:tcPr>
            <w:tcW w:w="1080" w:type="dxa"/>
            <w:shd w:val="clear" w:color="auto" w:fill="auto"/>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20%</w:t>
            </w:r>
          </w:p>
        </w:tc>
        <w:tc>
          <w:tcPr>
            <w:tcW w:w="1080" w:type="dxa"/>
            <w:shd w:val="clear" w:color="auto" w:fill="auto"/>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26%</w:t>
            </w:r>
          </w:p>
        </w:tc>
        <w:tc>
          <w:tcPr>
            <w:tcW w:w="1818" w:type="dxa"/>
            <w:shd w:val="clear" w:color="auto" w:fill="auto"/>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7%</w:t>
            </w:r>
          </w:p>
        </w:tc>
      </w:tr>
      <w:tr w:rsidR="00DC5359" w:rsidRPr="008502EB" w:rsidTr="00923109">
        <w:tc>
          <w:tcPr>
            <w:tcW w:w="3438" w:type="dxa"/>
            <w:shd w:val="clear" w:color="auto" w:fill="auto"/>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Econ. Disad.</w:t>
            </w:r>
          </w:p>
        </w:tc>
        <w:tc>
          <w:tcPr>
            <w:tcW w:w="1080" w:type="dxa"/>
            <w:shd w:val="clear" w:color="auto" w:fill="auto"/>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shd w:val="clear" w:color="auto" w:fill="auto"/>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shd w:val="clear" w:color="auto" w:fill="auto"/>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22%</w:t>
            </w:r>
          </w:p>
        </w:tc>
        <w:tc>
          <w:tcPr>
            <w:tcW w:w="1080" w:type="dxa"/>
            <w:shd w:val="clear" w:color="auto" w:fill="auto"/>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26%</w:t>
            </w:r>
          </w:p>
        </w:tc>
        <w:tc>
          <w:tcPr>
            <w:tcW w:w="1818" w:type="dxa"/>
            <w:shd w:val="clear" w:color="auto" w:fill="auto"/>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shd w:val="clear" w:color="auto" w:fill="auto"/>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ELLs</w:t>
            </w:r>
          </w:p>
        </w:tc>
        <w:tc>
          <w:tcPr>
            <w:tcW w:w="1080" w:type="dxa"/>
            <w:shd w:val="clear" w:color="auto" w:fill="auto"/>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14%</w:t>
            </w:r>
          </w:p>
        </w:tc>
        <w:tc>
          <w:tcPr>
            <w:tcW w:w="1080" w:type="dxa"/>
            <w:shd w:val="clear" w:color="auto" w:fill="auto"/>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28%</w:t>
            </w:r>
          </w:p>
        </w:tc>
        <w:tc>
          <w:tcPr>
            <w:tcW w:w="1080" w:type="dxa"/>
            <w:shd w:val="clear" w:color="auto" w:fill="auto"/>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21%</w:t>
            </w:r>
          </w:p>
        </w:tc>
        <w:tc>
          <w:tcPr>
            <w:tcW w:w="1080" w:type="dxa"/>
            <w:shd w:val="clear" w:color="auto" w:fill="auto"/>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19%</w:t>
            </w:r>
          </w:p>
        </w:tc>
        <w:tc>
          <w:tcPr>
            <w:tcW w:w="1818" w:type="dxa"/>
            <w:shd w:val="clear" w:color="auto" w:fill="auto"/>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5%</w:t>
            </w:r>
          </w:p>
        </w:tc>
      </w:tr>
      <w:tr w:rsidR="00DC5359" w:rsidRPr="008502EB" w:rsidTr="00923109">
        <w:tc>
          <w:tcPr>
            <w:tcW w:w="3438" w:type="dxa"/>
            <w:shd w:val="clear" w:color="auto" w:fill="auto"/>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SWD</w:t>
            </w:r>
          </w:p>
        </w:tc>
        <w:tc>
          <w:tcPr>
            <w:tcW w:w="1080" w:type="dxa"/>
            <w:shd w:val="clear" w:color="auto" w:fill="auto"/>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0%</w:t>
            </w:r>
          </w:p>
        </w:tc>
        <w:tc>
          <w:tcPr>
            <w:tcW w:w="1080" w:type="dxa"/>
            <w:shd w:val="clear" w:color="auto" w:fill="auto"/>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shd w:val="clear" w:color="auto" w:fill="auto"/>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17%</w:t>
            </w:r>
          </w:p>
        </w:tc>
        <w:tc>
          <w:tcPr>
            <w:tcW w:w="1080" w:type="dxa"/>
            <w:shd w:val="clear" w:color="auto" w:fill="auto"/>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818" w:type="dxa"/>
            <w:shd w:val="clear" w:color="auto" w:fill="auto"/>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Wawecus Road ES</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15%</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40%</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26%</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6%</w:t>
            </w:r>
          </w:p>
        </w:tc>
        <w:tc>
          <w:tcPr>
            <w:tcW w:w="181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-9%</w:t>
            </w:r>
          </w:p>
        </w:tc>
      </w:tr>
      <w:tr w:rsidR="00DC5359" w:rsidRPr="008502EB" w:rsidTr="00923109">
        <w:tc>
          <w:tcPr>
            <w:tcW w:w="3438" w:type="dxa"/>
            <w:shd w:val="clear" w:color="auto" w:fill="auto"/>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15%</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37%</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17%</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7%</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-8%</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21%</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8%</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7%</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SWD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18%</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0%</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Woodland Academy</w:t>
            </w:r>
            <w:r w:rsidR="00F714E8">
              <w:rPr>
                <w:rFonts w:ascii="Calibri" w:hAnsi="Calibri"/>
                <w:sz w:val="20"/>
                <w:szCs w:val="20"/>
              </w:rPr>
              <w:t xml:space="preserve"> ES</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13%</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10%</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8%</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17%</w:t>
            </w:r>
          </w:p>
        </w:tc>
        <w:tc>
          <w:tcPr>
            <w:tcW w:w="181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13%</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10%</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8%</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17%</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8%</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10%</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13%</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12%</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8%</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20%</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7%</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SWD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0%</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0%</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shd w:val="clear" w:color="auto" w:fill="D9D9D9" w:themeFill="background1" w:themeFillShade="D9"/>
            <w:vAlign w:val="bottom"/>
          </w:tcPr>
          <w:p w:rsidR="00DC5359" w:rsidRPr="008502EB" w:rsidRDefault="00DC5359" w:rsidP="00F714E8">
            <w:pPr>
              <w:spacing w:after="0" w:line="240" w:lineRule="auto"/>
              <w:jc w:val="center"/>
              <w:rPr>
                <w:rFonts w:ascii="Calibri" w:hAnsi="Calibri"/>
                <w:sz w:val="20"/>
                <w:szCs w:val="20"/>
              </w:rPr>
            </w:pPr>
            <w:r w:rsidRPr="008502EB">
              <w:rPr>
                <w:rFonts w:ascii="Calibri" w:hAnsi="Calibri"/>
                <w:sz w:val="20"/>
                <w:szCs w:val="20"/>
              </w:rPr>
              <w:t xml:space="preserve">Burncoat </w:t>
            </w:r>
            <w:r w:rsidR="00F714E8">
              <w:rPr>
                <w:rFonts w:ascii="Calibri" w:hAnsi="Calibri"/>
                <w:sz w:val="20"/>
                <w:szCs w:val="20"/>
              </w:rPr>
              <w:t>Street</w:t>
            </w:r>
            <w:r w:rsidR="00F714E8" w:rsidRPr="008502EB">
              <w:rPr>
                <w:rFonts w:ascii="Calibri" w:hAnsi="Calibri"/>
                <w:sz w:val="20"/>
                <w:szCs w:val="20"/>
              </w:rPr>
              <w:t xml:space="preserve"> </w:t>
            </w:r>
            <w:r w:rsidRPr="008502EB">
              <w:rPr>
                <w:rFonts w:ascii="Calibri" w:hAnsi="Calibri"/>
                <w:sz w:val="20"/>
                <w:szCs w:val="20"/>
              </w:rPr>
              <w:t>ES</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13%</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14%</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33%</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48%</w:t>
            </w:r>
          </w:p>
        </w:tc>
        <w:tc>
          <w:tcPr>
            <w:tcW w:w="181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35%</w:t>
            </w:r>
          </w:p>
        </w:tc>
      </w:tr>
      <w:tr w:rsidR="00DC5359" w:rsidRPr="008502EB" w:rsidTr="00923109">
        <w:tc>
          <w:tcPr>
            <w:tcW w:w="3438" w:type="dxa"/>
            <w:shd w:val="clear" w:color="auto" w:fill="auto"/>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13%</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14%</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30%</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44%</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31%</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29%</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45%</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9%</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9%</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53%</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SWD</w:t>
            </w:r>
          </w:p>
        </w:tc>
        <w:tc>
          <w:tcPr>
            <w:tcW w:w="1080" w:type="dxa"/>
            <w:vAlign w:val="bottom"/>
          </w:tcPr>
          <w:p w:rsidR="00DC5359" w:rsidRPr="008502EB" w:rsidRDefault="00DC5359" w:rsidP="00923109">
            <w:pPr>
              <w:spacing w:after="0" w:line="240" w:lineRule="auto"/>
              <w:jc w:val="center"/>
              <w:rPr>
                <w:rFonts w:ascii="Calibri" w:hAnsi="Calibri"/>
                <w:sz w:val="20"/>
                <w:szCs w:val="20"/>
                <w:highlight w:val="yellow"/>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highlight w:val="yellow"/>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highlight w:val="yellow"/>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Canterbury Magnet ES</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19%</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21%</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17%</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18%</w:t>
            </w:r>
          </w:p>
        </w:tc>
        <w:tc>
          <w:tcPr>
            <w:tcW w:w="181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17%</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21%</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16%</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18%</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23%</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18%</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21%</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22%</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17%</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25%</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SWD</w:t>
            </w:r>
          </w:p>
        </w:tc>
        <w:tc>
          <w:tcPr>
            <w:tcW w:w="1080" w:type="dxa"/>
            <w:vAlign w:val="bottom"/>
          </w:tcPr>
          <w:p w:rsidR="00DC5359" w:rsidRPr="008502EB" w:rsidRDefault="00DC5359" w:rsidP="00923109">
            <w:pPr>
              <w:spacing w:after="0" w:line="240" w:lineRule="auto"/>
              <w:jc w:val="center"/>
              <w:rPr>
                <w:rFonts w:ascii="Calibri" w:hAnsi="Calibri"/>
                <w:sz w:val="20"/>
                <w:szCs w:val="20"/>
                <w:highlight w:val="yellow"/>
              </w:rPr>
            </w:pPr>
            <w:r w:rsidRPr="008502EB">
              <w:rPr>
                <w:rFonts w:ascii="Calibri" w:hAnsi="Calibri"/>
                <w:sz w:val="20"/>
                <w:szCs w:val="20"/>
              </w:rPr>
              <w:t>0%</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0%</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highlight w:val="yellow"/>
              </w:rPr>
            </w:pPr>
            <w:r w:rsidRPr="008502EB">
              <w:rPr>
                <w:rFonts w:ascii="Calibri" w:hAnsi="Calibri"/>
                <w:sz w:val="20"/>
                <w:szCs w:val="20"/>
              </w:rPr>
              <w:t>0%</w:t>
            </w:r>
          </w:p>
        </w:tc>
        <w:tc>
          <w:tcPr>
            <w:tcW w:w="1818" w:type="dxa"/>
            <w:vAlign w:val="bottom"/>
          </w:tcPr>
          <w:p w:rsidR="00DC5359" w:rsidRPr="008502EB" w:rsidRDefault="00DC5359" w:rsidP="00923109">
            <w:pPr>
              <w:spacing w:after="0" w:line="240" w:lineRule="auto"/>
              <w:jc w:val="center"/>
              <w:rPr>
                <w:rFonts w:ascii="Calibri" w:hAnsi="Calibri"/>
                <w:sz w:val="20"/>
                <w:szCs w:val="20"/>
                <w:highlight w:val="yellow"/>
              </w:rPr>
            </w:pPr>
            <w:r w:rsidRPr="008502EB">
              <w:rPr>
                <w:rFonts w:ascii="Calibri" w:hAnsi="Calibri"/>
                <w:sz w:val="20"/>
                <w:szCs w:val="20"/>
              </w:rPr>
              <w:t>0%</w:t>
            </w:r>
          </w:p>
        </w:tc>
      </w:tr>
      <w:tr w:rsidR="00DC5359" w:rsidRPr="008502EB" w:rsidTr="00923109">
        <w:tc>
          <w:tcPr>
            <w:tcW w:w="343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Chandler Community ES</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6%</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28%</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17%</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47%</w:t>
            </w:r>
          </w:p>
        </w:tc>
        <w:tc>
          <w:tcPr>
            <w:tcW w:w="181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41%</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6%</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28%</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13%</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48%</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42%</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9%</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48%</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22%</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12%</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42%</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38%</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SWD</w:t>
            </w:r>
          </w:p>
        </w:tc>
        <w:tc>
          <w:tcPr>
            <w:tcW w:w="1080" w:type="dxa"/>
            <w:vAlign w:val="bottom"/>
          </w:tcPr>
          <w:p w:rsidR="00DC5359" w:rsidRPr="008502EB" w:rsidRDefault="00DC5359" w:rsidP="00923109">
            <w:pPr>
              <w:spacing w:after="0" w:line="240" w:lineRule="auto"/>
              <w:jc w:val="center"/>
              <w:rPr>
                <w:rFonts w:ascii="Calibri" w:hAnsi="Calibri"/>
                <w:sz w:val="20"/>
                <w:szCs w:val="20"/>
                <w:highlight w:val="yellow"/>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highlight w:val="yellow"/>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highlight w:val="yellow"/>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23%</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Chandler Magnet</w:t>
            </w:r>
            <w:r w:rsidR="00F714E8">
              <w:rPr>
                <w:rFonts w:ascii="Calibri" w:hAnsi="Calibri"/>
                <w:sz w:val="20"/>
                <w:szCs w:val="20"/>
              </w:rPr>
              <w:t xml:space="preserve"> ES</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8%</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9%</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17%</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9%</w:t>
            </w:r>
          </w:p>
        </w:tc>
        <w:tc>
          <w:tcPr>
            <w:tcW w:w="181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8%</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9%</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14%</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8%</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0%</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11%</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10%</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6%</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5%</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16%</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6%</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0%</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SWD</w:t>
            </w:r>
          </w:p>
        </w:tc>
        <w:tc>
          <w:tcPr>
            <w:tcW w:w="1080" w:type="dxa"/>
            <w:vAlign w:val="bottom"/>
          </w:tcPr>
          <w:p w:rsidR="00DC5359" w:rsidRPr="008502EB" w:rsidRDefault="00DC5359" w:rsidP="00923109">
            <w:pPr>
              <w:spacing w:after="0" w:line="240" w:lineRule="auto"/>
              <w:jc w:val="center"/>
              <w:rPr>
                <w:rFonts w:ascii="Calibri" w:hAnsi="Calibri"/>
                <w:sz w:val="20"/>
                <w:szCs w:val="20"/>
                <w:highlight w:val="yellow"/>
              </w:rPr>
            </w:pPr>
            <w:r w:rsidRPr="008502EB">
              <w:rPr>
                <w:rFonts w:ascii="Calibri" w:hAnsi="Calibri"/>
                <w:sz w:val="20"/>
                <w:szCs w:val="20"/>
              </w:rPr>
              <w:t>0%</w:t>
            </w:r>
          </w:p>
        </w:tc>
        <w:tc>
          <w:tcPr>
            <w:tcW w:w="1080" w:type="dxa"/>
            <w:vAlign w:val="bottom"/>
          </w:tcPr>
          <w:p w:rsidR="00DC5359" w:rsidRPr="008502EB" w:rsidRDefault="00DC5359" w:rsidP="00923109">
            <w:pPr>
              <w:spacing w:after="0" w:line="240" w:lineRule="auto"/>
              <w:jc w:val="center"/>
              <w:rPr>
                <w:rFonts w:ascii="Calibri" w:hAnsi="Calibri"/>
                <w:sz w:val="20"/>
                <w:szCs w:val="20"/>
                <w:highlight w:val="yellow"/>
              </w:rPr>
            </w:pPr>
            <w:r w:rsidRPr="008502EB">
              <w:rPr>
                <w:rFonts w:ascii="Calibri" w:hAnsi="Calibri"/>
                <w:sz w:val="20"/>
                <w:szCs w:val="20"/>
              </w:rPr>
              <w:t>0%</w:t>
            </w:r>
          </w:p>
        </w:tc>
        <w:tc>
          <w:tcPr>
            <w:tcW w:w="1080" w:type="dxa"/>
            <w:vAlign w:val="bottom"/>
          </w:tcPr>
          <w:p w:rsidR="00DC5359" w:rsidRPr="008502EB" w:rsidRDefault="00DC5359" w:rsidP="00923109">
            <w:pPr>
              <w:spacing w:after="0" w:line="240" w:lineRule="auto"/>
              <w:jc w:val="center"/>
              <w:rPr>
                <w:rFonts w:ascii="Calibri" w:hAnsi="Calibri"/>
                <w:sz w:val="20"/>
                <w:szCs w:val="20"/>
                <w:highlight w:val="yellow"/>
              </w:rPr>
            </w:pPr>
            <w:r w:rsidRPr="008502EB">
              <w:rPr>
                <w:rFonts w:ascii="Calibri" w:hAnsi="Calibri"/>
                <w:sz w:val="20"/>
                <w:szCs w:val="20"/>
              </w:rPr>
              <w:t>0%</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City View ES</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13%</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25%</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20%</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19%</w:t>
            </w:r>
          </w:p>
        </w:tc>
        <w:tc>
          <w:tcPr>
            <w:tcW w:w="181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6%</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14%</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23%</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17%</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19%</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5%</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19%</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20%</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9%</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11%</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9%</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21%</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12%</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SWD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0%</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29%</w:t>
            </w:r>
          </w:p>
        </w:tc>
        <w:tc>
          <w:tcPr>
            <w:tcW w:w="1080" w:type="dxa"/>
            <w:vAlign w:val="bottom"/>
          </w:tcPr>
          <w:p w:rsidR="00DC5359" w:rsidRPr="008502EB" w:rsidRDefault="00DC5359" w:rsidP="00923109">
            <w:pPr>
              <w:spacing w:after="0" w:line="240" w:lineRule="auto"/>
              <w:jc w:val="center"/>
              <w:rPr>
                <w:rFonts w:ascii="Calibri" w:hAnsi="Calibri"/>
                <w:sz w:val="20"/>
                <w:szCs w:val="20"/>
                <w:highlight w:val="yellow"/>
              </w:rPr>
            </w:pPr>
            <w:r w:rsidRPr="008502EB">
              <w:rPr>
                <w:rFonts w:ascii="Calibri" w:hAnsi="Calibri"/>
                <w:sz w:val="20"/>
                <w:szCs w:val="20"/>
              </w:rPr>
              <w:t>0%</w:t>
            </w:r>
          </w:p>
        </w:tc>
        <w:tc>
          <w:tcPr>
            <w:tcW w:w="1080" w:type="dxa"/>
            <w:vAlign w:val="bottom"/>
          </w:tcPr>
          <w:p w:rsidR="00DC5359" w:rsidRPr="008502EB" w:rsidRDefault="00DC5359" w:rsidP="00923109">
            <w:pPr>
              <w:spacing w:after="0" w:line="240" w:lineRule="auto"/>
              <w:jc w:val="center"/>
              <w:rPr>
                <w:rFonts w:ascii="Calibri" w:hAnsi="Calibri"/>
                <w:sz w:val="20"/>
                <w:szCs w:val="20"/>
                <w:highlight w:val="yellow"/>
              </w:rPr>
            </w:pPr>
            <w:r w:rsidRPr="008502EB">
              <w:rPr>
                <w:rFonts w:ascii="Calibri" w:hAnsi="Calibri"/>
                <w:sz w:val="20"/>
                <w:szCs w:val="20"/>
              </w:rPr>
              <w:t>0%</w:t>
            </w:r>
          </w:p>
        </w:tc>
        <w:tc>
          <w:tcPr>
            <w:tcW w:w="1818" w:type="dxa"/>
            <w:vAlign w:val="bottom"/>
          </w:tcPr>
          <w:p w:rsidR="00DC5359" w:rsidRPr="008502EB" w:rsidRDefault="00DC5359" w:rsidP="00923109">
            <w:pPr>
              <w:spacing w:after="0" w:line="240" w:lineRule="auto"/>
              <w:jc w:val="center"/>
              <w:rPr>
                <w:rFonts w:ascii="Calibri" w:hAnsi="Calibri"/>
                <w:sz w:val="20"/>
                <w:szCs w:val="20"/>
                <w:highlight w:val="yellow"/>
              </w:rPr>
            </w:pPr>
            <w:r w:rsidRPr="008502EB">
              <w:rPr>
                <w:rFonts w:ascii="Calibri" w:hAnsi="Calibri"/>
                <w:sz w:val="20"/>
                <w:szCs w:val="20"/>
              </w:rPr>
              <w:t>0%</w:t>
            </w:r>
          </w:p>
        </w:tc>
      </w:tr>
      <w:tr w:rsidR="00DC5359" w:rsidRPr="008502EB" w:rsidTr="00923109">
        <w:tc>
          <w:tcPr>
            <w:tcW w:w="343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Clark St</w:t>
            </w:r>
            <w:r w:rsidR="00F714E8">
              <w:rPr>
                <w:rFonts w:ascii="Calibri" w:hAnsi="Calibri"/>
                <w:sz w:val="20"/>
                <w:szCs w:val="20"/>
              </w:rPr>
              <w:t>reet</w:t>
            </w:r>
            <w:r w:rsidRPr="008502EB">
              <w:rPr>
                <w:rFonts w:ascii="Calibri" w:hAnsi="Calibri"/>
                <w:sz w:val="20"/>
                <w:szCs w:val="20"/>
              </w:rPr>
              <w:t xml:space="preserve"> Community</w:t>
            </w:r>
            <w:r w:rsidR="00F714E8">
              <w:rPr>
                <w:rFonts w:ascii="Calibri" w:hAnsi="Calibri"/>
                <w:sz w:val="20"/>
                <w:szCs w:val="20"/>
              </w:rPr>
              <w:t xml:space="preserve"> ES</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45%</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34%</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30%</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17%</w:t>
            </w:r>
          </w:p>
        </w:tc>
        <w:tc>
          <w:tcPr>
            <w:tcW w:w="181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-28%</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40%</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18%</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23%</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14%</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-26%</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17%</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15%</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33%</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17%</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15%</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25%</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-8%</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SWD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20%</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8%</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20%</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0%</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-20%</w:t>
            </w:r>
          </w:p>
        </w:tc>
      </w:tr>
      <w:tr w:rsidR="00DC5359" w:rsidRPr="008502EB" w:rsidTr="00923109">
        <w:tc>
          <w:tcPr>
            <w:tcW w:w="343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Columbus Park ES</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40%</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63%</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55%</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49%</w:t>
            </w:r>
          </w:p>
        </w:tc>
        <w:tc>
          <w:tcPr>
            <w:tcW w:w="181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9%</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37%</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63%</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50%</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50%</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13%</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52%</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46%</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35%</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57%</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57%</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57%</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22%</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SWD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9%</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42%</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20%</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8%</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w:t>
            </w:r>
          </w:p>
        </w:tc>
      </w:tr>
      <w:tr w:rsidR="00DC5359" w:rsidRPr="008502EB" w:rsidTr="00923109">
        <w:tc>
          <w:tcPr>
            <w:tcW w:w="343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Flagg Street ES</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46%</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55%</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62%</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51%</w:t>
            </w:r>
          </w:p>
        </w:tc>
        <w:tc>
          <w:tcPr>
            <w:tcW w:w="181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5%</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19%</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29%</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53%</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7%</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-12%</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50%</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0%</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60%</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SWD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highlight w:val="yellow"/>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818" w:type="dxa"/>
            <w:vAlign w:val="bottom"/>
          </w:tcPr>
          <w:p w:rsidR="00DC5359" w:rsidRPr="008502EB" w:rsidRDefault="00DC5359" w:rsidP="00923109">
            <w:pPr>
              <w:spacing w:after="0" w:line="240" w:lineRule="auto"/>
              <w:jc w:val="center"/>
              <w:rPr>
                <w:rFonts w:ascii="Calibri" w:hAnsi="Calibri"/>
                <w:sz w:val="20"/>
                <w:szCs w:val="20"/>
                <w:highlight w:val="yellow"/>
              </w:rPr>
            </w:pPr>
            <w:r w:rsidRPr="008502EB">
              <w:rPr>
                <w:rFonts w:ascii="Calibri" w:hAnsi="Calibri"/>
                <w:sz w:val="20"/>
                <w:szCs w:val="20"/>
              </w:rPr>
              <w:t>--</w:t>
            </w:r>
          </w:p>
        </w:tc>
      </w:tr>
      <w:tr w:rsidR="00DC5359" w:rsidRPr="008502EB" w:rsidTr="00923109">
        <w:tc>
          <w:tcPr>
            <w:tcW w:w="3438" w:type="dxa"/>
            <w:shd w:val="clear" w:color="auto" w:fill="D9D9D9" w:themeFill="background1" w:themeFillShade="D9"/>
            <w:vAlign w:val="bottom"/>
          </w:tcPr>
          <w:p w:rsidR="00DC5359" w:rsidRPr="008502EB" w:rsidRDefault="009E4EF8" w:rsidP="009E4EF8">
            <w:pPr>
              <w:spacing w:after="0" w:line="240" w:lineRule="auto"/>
              <w:jc w:val="center"/>
              <w:rPr>
                <w:rFonts w:ascii="Calibri" w:hAnsi="Calibri"/>
                <w:sz w:val="20"/>
                <w:szCs w:val="20"/>
              </w:rPr>
            </w:pPr>
            <w:r>
              <w:rPr>
                <w:rFonts w:ascii="Calibri" w:hAnsi="Calibri"/>
                <w:sz w:val="20"/>
                <w:szCs w:val="20"/>
              </w:rPr>
              <w:t xml:space="preserve">Elm Park Community </w:t>
            </w:r>
            <w:r w:rsidR="00F714E8">
              <w:rPr>
                <w:rFonts w:ascii="Calibri" w:hAnsi="Calibri"/>
                <w:sz w:val="20"/>
                <w:szCs w:val="20"/>
              </w:rPr>
              <w:t>ES</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6%</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8%</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7%</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13%</w:t>
            </w:r>
          </w:p>
        </w:tc>
        <w:tc>
          <w:tcPr>
            <w:tcW w:w="181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7%</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6%</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8%</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7%</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11%</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5%</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9%</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9%</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9%</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10%</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9%</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0%</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SPED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5%</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6%</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0%</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8%</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w:t>
            </w:r>
          </w:p>
        </w:tc>
      </w:tr>
      <w:tr w:rsidR="00DC5359" w:rsidRPr="008502EB" w:rsidTr="00923109">
        <w:tc>
          <w:tcPr>
            <w:tcW w:w="343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Goddard</w:t>
            </w:r>
            <w:r w:rsidR="00F714E8">
              <w:rPr>
                <w:rFonts w:ascii="Calibri" w:hAnsi="Calibri"/>
                <w:sz w:val="20"/>
                <w:szCs w:val="20"/>
              </w:rPr>
              <w:t xml:space="preserve"> ES</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15%</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18%</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17%</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w:t>
            </w:r>
          </w:p>
        </w:tc>
        <w:tc>
          <w:tcPr>
            <w:tcW w:w="181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-11%</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14%</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18%</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17%</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-10%</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15%</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6%</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16%</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20%</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21%</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-13%</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SWD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0%</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6%</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0%</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7%</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7%</w:t>
            </w:r>
          </w:p>
        </w:tc>
      </w:tr>
      <w:tr w:rsidR="00DC5359" w:rsidRPr="008502EB" w:rsidTr="00923109">
        <w:tc>
          <w:tcPr>
            <w:tcW w:w="343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Gates Lane</w:t>
            </w:r>
            <w:r w:rsidR="00F714E8">
              <w:rPr>
                <w:rFonts w:ascii="Calibri" w:hAnsi="Calibri"/>
                <w:sz w:val="20"/>
                <w:szCs w:val="20"/>
              </w:rPr>
              <w:t xml:space="preserve"> ES</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49%</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39%</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31%</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24%</w:t>
            </w:r>
          </w:p>
        </w:tc>
        <w:tc>
          <w:tcPr>
            <w:tcW w:w="181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-25%</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45%</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33%</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26%</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25%</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-20%</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22%</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23%</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60%</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33%</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27%</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38%</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-22%</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SWD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13%</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8%</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w:t>
            </w:r>
          </w:p>
        </w:tc>
      </w:tr>
      <w:tr w:rsidR="00DC5359" w:rsidRPr="008502EB" w:rsidTr="00923109">
        <w:tc>
          <w:tcPr>
            <w:tcW w:w="343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Grafton Street ES</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28%</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6%</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23%</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w:t>
            </w:r>
          </w:p>
        </w:tc>
        <w:tc>
          <w:tcPr>
            <w:tcW w:w="181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-25%</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24%</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6%</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19%</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0%</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-24%</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23%</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0%</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24%</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0%</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19%</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0%</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-24%</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SWD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0%</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Heard Street ES</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45%</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72%</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54%</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58%</w:t>
            </w:r>
          </w:p>
        </w:tc>
        <w:tc>
          <w:tcPr>
            <w:tcW w:w="181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13%</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39%</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57%</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46%</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44%</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5%</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44%</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43%</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42%</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50%</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8%</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SWD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20%</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30%</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highlight w:val="yellow"/>
              </w:rPr>
            </w:pPr>
            <w:r w:rsidRPr="008502EB">
              <w:rPr>
                <w:rFonts w:ascii="Calibri" w:hAnsi="Calibri"/>
                <w:color w:val="000000"/>
                <w:sz w:val="20"/>
                <w:szCs w:val="20"/>
              </w:rPr>
              <w:t>--</w:t>
            </w:r>
          </w:p>
        </w:tc>
        <w:tc>
          <w:tcPr>
            <w:tcW w:w="1818" w:type="dxa"/>
            <w:vAlign w:val="bottom"/>
          </w:tcPr>
          <w:p w:rsidR="00DC5359" w:rsidRPr="008502EB" w:rsidRDefault="00DC5359" w:rsidP="00923109">
            <w:pPr>
              <w:spacing w:after="0" w:line="240" w:lineRule="auto"/>
              <w:jc w:val="center"/>
              <w:rPr>
                <w:rFonts w:ascii="Calibri" w:hAnsi="Calibri"/>
                <w:sz w:val="20"/>
                <w:szCs w:val="20"/>
                <w:highlight w:val="yellow"/>
              </w:rPr>
            </w:pPr>
            <w:r w:rsidRPr="008502EB">
              <w:rPr>
                <w:rFonts w:ascii="Calibri" w:hAnsi="Calibri"/>
                <w:sz w:val="20"/>
                <w:szCs w:val="20"/>
              </w:rPr>
              <w:t>--</w:t>
            </w:r>
          </w:p>
        </w:tc>
      </w:tr>
      <w:tr w:rsidR="00DC5359" w:rsidRPr="008502EB" w:rsidTr="00923109">
        <w:tc>
          <w:tcPr>
            <w:tcW w:w="343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Hiatt Magnet ES</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39%</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46%</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34%</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48%</w:t>
            </w:r>
          </w:p>
        </w:tc>
        <w:tc>
          <w:tcPr>
            <w:tcW w:w="181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9%</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32%</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39%</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26%</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48%</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16%</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28%</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42%</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28%</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31%</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10%</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56%</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28%</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SWD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Lake View ES</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65%</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49%</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67%</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65%</w:t>
            </w:r>
          </w:p>
        </w:tc>
        <w:tc>
          <w:tcPr>
            <w:tcW w:w="181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0%</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65%</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46%</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53%</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58%</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-7%</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55%</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64%</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62%</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30%</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42%</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SWD</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highlight w:val="yellow"/>
              </w:rPr>
            </w:pPr>
            <w:r w:rsidRPr="008502EB">
              <w:rPr>
                <w:rFonts w:ascii="Calibri" w:hAnsi="Calibri"/>
                <w:color w:val="000000"/>
                <w:sz w:val="20"/>
                <w:szCs w:val="20"/>
              </w:rPr>
              <w:t>--</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highlight w:val="yellow"/>
              </w:rPr>
            </w:pPr>
            <w:r w:rsidRPr="008502EB">
              <w:rPr>
                <w:rFonts w:ascii="Calibri" w:hAnsi="Calibri"/>
                <w:color w:val="000000"/>
                <w:sz w:val="20"/>
                <w:szCs w:val="20"/>
              </w:rPr>
              <w:t>--</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highlight w:val="yellow"/>
              </w:rPr>
            </w:pPr>
            <w:r w:rsidRPr="008502EB">
              <w:rPr>
                <w:rFonts w:ascii="Calibri" w:hAnsi="Calibri"/>
                <w:color w:val="000000"/>
                <w:sz w:val="20"/>
                <w:szCs w:val="20"/>
              </w:rPr>
              <w:t>--</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Lincoln Street ES</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11%</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33%</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19%</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9%</w:t>
            </w:r>
          </w:p>
        </w:tc>
        <w:tc>
          <w:tcPr>
            <w:tcW w:w="181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11%</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33%</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17%</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9%</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18%</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10%</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7%</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30%</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20%</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6%</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SWD</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highlight w:val="yellow"/>
              </w:rPr>
            </w:pPr>
            <w:r w:rsidRPr="008502EB">
              <w:rPr>
                <w:rFonts w:ascii="Calibri" w:hAnsi="Calibri"/>
                <w:color w:val="000000"/>
                <w:sz w:val="20"/>
                <w:szCs w:val="20"/>
              </w:rPr>
              <w:t>--</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May Street ES</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46%</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45%</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37%</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36%</w:t>
            </w:r>
          </w:p>
        </w:tc>
        <w:tc>
          <w:tcPr>
            <w:tcW w:w="181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-10%</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37%</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46%</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28%</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26%</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-11%</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27%</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31%</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36%</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46%</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33%</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13%</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-23%</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SWD</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McGrath ES</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8%</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19%</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15%</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11%</w:t>
            </w:r>
          </w:p>
        </w:tc>
        <w:tc>
          <w:tcPr>
            <w:tcW w:w="181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8%</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23%</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16%</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9%</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19%</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10%</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12%</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12%</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SWD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highlight w:val="yellow"/>
              </w:rPr>
            </w:pPr>
            <w:r w:rsidRPr="008502EB">
              <w:rPr>
                <w:rFonts w:ascii="Calibri" w:hAnsi="Calibri"/>
                <w:sz w:val="20"/>
                <w:szCs w:val="20"/>
              </w:rPr>
              <w:t>0%</w:t>
            </w:r>
          </w:p>
        </w:tc>
        <w:tc>
          <w:tcPr>
            <w:tcW w:w="1818" w:type="dxa"/>
            <w:vAlign w:val="bottom"/>
          </w:tcPr>
          <w:p w:rsidR="00DC5359" w:rsidRPr="008502EB" w:rsidRDefault="00DC5359" w:rsidP="00923109">
            <w:pPr>
              <w:spacing w:after="0" w:line="240" w:lineRule="auto"/>
              <w:jc w:val="center"/>
              <w:rPr>
                <w:rFonts w:ascii="Calibri" w:hAnsi="Calibri"/>
                <w:sz w:val="20"/>
                <w:szCs w:val="20"/>
                <w:highlight w:val="yellow"/>
              </w:rPr>
            </w:pPr>
            <w:r w:rsidRPr="008502EB">
              <w:rPr>
                <w:rFonts w:ascii="Calibri" w:hAnsi="Calibri"/>
                <w:sz w:val="20"/>
                <w:szCs w:val="20"/>
              </w:rPr>
              <w:t>--</w:t>
            </w:r>
          </w:p>
        </w:tc>
      </w:tr>
      <w:tr w:rsidR="00DC5359" w:rsidRPr="008502EB" w:rsidTr="00923109">
        <w:tc>
          <w:tcPr>
            <w:tcW w:w="343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Midland Street ES</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81%</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58%</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69%</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56%</w:t>
            </w:r>
          </w:p>
        </w:tc>
        <w:tc>
          <w:tcPr>
            <w:tcW w:w="181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-25%</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58%</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39%</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67%</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29%</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-29%</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70%</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20%</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40%</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SWD</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Nelson Place ES</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47%</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47%</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50%</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37%</w:t>
            </w:r>
          </w:p>
        </w:tc>
        <w:tc>
          <w:tcPr>
            <w:tcW w:w="181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-10%</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26%</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24%</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29%</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18%</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-8%</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18%</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25%</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17%</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43%</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8%</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SWD</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18%</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15%</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7%</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-11%</w:t>
            </w:r>
          </w:p>
        </w:tc>
      </w:tr>
      <w:tr w:rsidR="00DC5359" w:rsidRPr="008502EB" w:rsidTr="00923109">
        <w:tc>
          <w:tcPr>
            <w:tcW w:w="343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Norrback Avenue ES</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20%</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48%</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53%</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35%</w:t>
            </w:r>
          </w:p>
        </w:tc>
        <w:tc>
          <w:tcPr>
            <w:tcW w:w="181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15%</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10%</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35%</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40%</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31%</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21%</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39%</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28%</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5%</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40%</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37%</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31%</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26%</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SWD</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11%</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6%</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30%</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14%</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w:t>
            </w:r>
          </w:p>
        </w:tc>
      </w:tr>
      <w:tr w:rsidR="00DC5359" w:rsidRPr="008502EB" w:rsidTr="00923109">
        <w:tc>
          <w:tcPr>
            <w:tcW w:w="343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Quinsigamond ES</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20%</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24%</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16%</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13%</w:t>
            </w:r>
          </w:p>
        </w:tc>
        <w:tc>
          <w:tcPr>
            <w:tcW w:w="181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-7%</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15%</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21%</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14%</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13%</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14%</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9%</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14%</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20%</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9%</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16%</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SWD</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12%</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5%</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8%</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0%</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-12%</w:t>
            </w:r>
          </w:p>
        </w:tc>
      </w:tr>
      <w:tr w:rsidR="00DC5359" w:rsidRPr="008502EB" w:rsidTr="00923109">
        <w:tc>
          <w:tcPr>
            <w:tcW w:w="343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Rice Square ES</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21%</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12%</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28%</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26%</w:t>
            </w:r>
          </w:p>
        </w:tc>
        <w:tc>
          <w:tcPr>
            <w:tcW w:w="181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5%</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17%</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15%</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23%</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17%</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0%</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24%</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22%</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0%</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12%</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18%</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13%</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13%</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SPED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0%</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Roosevelt ES</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33%</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40%</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37%</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30%</w:t>
            </w:r>
          </w:p>
        </w:tc>
        <w:tc>
          <w:tcPr>
            <w:tcW w:w="181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29%</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32%</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22%</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22%</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-7%</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24%</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26%</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21%</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32%</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19%</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20%</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SWD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11%</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7%</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5%</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0%</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-11%</w:t>
            </w:r>
          </w:p>
        </w:tc>
      </w:tr>
      <w:tr w:rsidR="00DC5359" w:rsidRPr="008502EB" w:rsidTr="00923109">
        <w:tc>
          <w:tcPr>
            <w:tcW w:w="343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Worcester Arts Magnet ES</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71%</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60%</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67%</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52%</w:t>
            </w:r>
          </w:p>
        </w:tc>
        <w:tc>
          <w:tcPr>
            <w:tcW w:w="181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-19%</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53%</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50%</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43%</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32%</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-21%</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25%</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33%</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50%</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30%</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SWD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shd w:val="clear" w:color="auto" w:fill="D9D9D9" w:themeFill="background1" w:themeFillShade="D9"/>
            <w:vAlign w:val="bottom"/>
          </w:tcPr>
          <w:p w:rsidR="00DC5359" w:rsidRPr="008502EB" w:rsidRDefault="00DC5359" w:rsidP="00F714E8">
            <w:pPr>
              <w:spacing w:after="0" w:line="240" w:lineRule="auto"/>
              <w:jc w:val="center"/>
              <w:rPr>
                <w:rFonts w:ascii="Calibri" w:hAnsi="Calibri"/>
                <w:sz w:val="20"/>
                <w:szCs w:val="20"/>
              </w:rPr>
            </w:pPr>
            <w:r w:rsidRPr="008502EB">
              <w:rPr>
                <w:rFonts w:ascii="Calibri" w:hAnsi="Calibri"/>
                <w:sz w:val="20"/>
                <w:szCs w:val="20"/>
              </w:rPr>
              <w:t>Tatnuck ES</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26%</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62%</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56%</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64%</w:t>
            </w:r>
          </w:p>
        </w:tc>
        <w:tc>
          <w:tcPr>
            <w:tcW w:w="181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38%</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19%</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57%</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47%</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55%</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36%</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46%</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57%</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20%</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44%</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46%</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72%</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52%</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SWD</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0%</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8%</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18%</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Thorndyke Road ES</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38%</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42%</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25%</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48%</w:t>
            </w:r>
          </w:p>
        </w:tc>
        <w:tc>
          <w:tcPr>
            <w:tcW w:w="181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10%</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31%</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28%</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12%</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24%</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-7%</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5%</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22%</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15%</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15%</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17%</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22%</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7%</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SWD</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9%</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Union Hill ES</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20%</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22%</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23%</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11%</w:t>
            </w:r>
          </w:p>
        </w:tc>
        <w:tc>
          <w:tcPr>
            <w:tcW w:w="181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-9%</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18%</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22%</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23%</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10%</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-8%</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24%</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10%</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24%</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18%</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19%</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10%</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-14%</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SWD</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0%</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8%</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8%</w:t>
            </w:r>
          </w:p>
        </w:tc>
        <w:tc>
          <w:tcPr>
            <w:tcW w:w="1080" w:type="dxa"/>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0%</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0%</w:t>
            </w:r>
          </w:p>
        </w:tc>
      </w:tr>
      <w:tr w:rsidR="00DC5359" w:rsidRPr="008502EB" w:rsidTr="00923109">
        <w:tc>
          <w:tcPr>
            <w:tcW w:w="343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West Tatnuck ES</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53%</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67%</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63%</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color w:val="000000"/>
                <w:sz w:val="20"/>
                <w:szCs w:val="20"/>
              </w:rPr>
            </w:pPr>
            <w:r w:rsidRPr="008502EB">
              <w:rPr>
                <w:rFonts w:ascii="Calibri" w:hAnsi="Calibri"/>
                <w:color w:val="000000"/>
                <w:sz w:val="20"/>
                <w:szCs w:val="20"/>
              </w:rPr>
              <w:t>60%</w:t>
            </w:r>
          </w:p>
        </w:tc>
        <w:tc>
          <w:tcPr>
            <w:tcW w:w="181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7%</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32%</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67%</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47%</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53%</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21%</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SWD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Vernon Hill ES</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23%</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30%</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17%</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18%</w:t>
            </w:r>
          </w:p>
        </w:tc>
        <w:tc>
          <w:tcPr>
            <w:tcW w:w="181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-5%</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21%</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28%</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14%</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15%</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-6%</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18%</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17%</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30%</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22%</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11%</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16%</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-14%</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SWD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0%</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0%</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Burncoat MS</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24%</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31%</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19%</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26%</w:t>
            </w:r>
          </w:p>
        </w:tc>
        <w:tc>
          <w:tcPr>
            <w:tcW w:w="181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15%</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22%</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13%</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15%</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0%</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14%</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15%</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8%</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13%</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8%</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6%</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SWD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6%</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7%</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7%</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w:t>
            </w:r>
          </w:p>
        </w:tc>
      </w:tr>
      <w:tr w:rsidR="00DC5359" w:rsidRPr="008502EB" w:rsidTr="00923109">
        <w:tc>
          <w:tcPr>
            <w:tcW w:w="343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Forest Grove MS</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32%</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33%</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34%</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27%</w:t>
            </w:r>
          </w:p>
        </w:tc>
        <w:tc>
          <w:tcPr>
            <w:tcW w:w="181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-5%</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18%</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19%</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14%</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13%</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-5%</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17%</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13%</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12%</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15%</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6%</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8%</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SWD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w:t>
            </w:r>
          </w:p>
        </w:tc>
      </w:tr>
      <w:tr w:rsidR="00DC5359" w:rsidRPr="008502EB" w:rsidTr="00923109">
        <w:tc>
          <w:tcPr>
            <w:tcW w:w="343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Worcester East MS</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21%</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19%</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13%</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21%</w:t>
            </w:r>
          </w:p>
        </w:tc>
        <w:tc>
          <w:tcPr>
            <w:tcW w:w="181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0%</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18%</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17%</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8%</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15%</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8%</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16%</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15%</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10%</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7%</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8%</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-7%</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SWD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5%</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0%</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w:t>
            </w:r>
          </w:p>
        </w:tc>
      </w:tr>
      <w:tr w:rsidR="00DC5359" w:rsidRPr="008502EB" w:rsidTr="00923109">
        <w:tc>
          <w:tcPr>
            <w:tcW w:w="343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Sullivan MS</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16%</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18%</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20%</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16%</w:t>
            </w:r>
          </w:p>
        </w:tc>
        <w:tc>
          <w:tcPr>
            <w:tcW w:w="181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0%</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14%</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12%</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13%</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9%</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-5%</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13%</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9%</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9%</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9%</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6%</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6%</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5%</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SWD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0%</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w:t>
            </w:r>
          </w:p>
        </w:tc>
      </w:tr>
      <w:tr w:rsidR="00DC5359" w:rsidRPr="008502EB" w:rsidTr="00923109">
        <w:tc>
          <w:tcPr>
            <w:tcW w:w="343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University Park MSHS</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34%</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49%</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48%</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45%</w:t>
            </w:r>
          </w:p>
        </w:tc>
        <w:tc>
          <w:tcPr>
            <w:tcW w:w="181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11%</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33%</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47%</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36%</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33%</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0%</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43%</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37%</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26%</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21%</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17%</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-22%</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SPED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Claremont Academy MSHS</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22%</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16%</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16%</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23%</w:t>
            </w:r>
          </w:p>
        </w:tc>
        <w:tc>
          <w:tcPr>
            <w:tcW w:w="181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20%</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15%</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11%</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21%</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11%</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26%</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16%</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9%</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-7%</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SWD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9%</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0%</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0%</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0%</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-9%</w:t>
            </w:r>
          </w:p>
        </w:tc>
      </w:tr>
      <w:tr w:rsidR="00DC5359" w:rsidRPr="008502EB" w:rsidTr="00923109">
        <w:tc>
          <w:tcPr>
            <w:tcW w:w="343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 xml:space="preserve">Burncoat </w:t>
            </w:r>
            <w:r w:rsidR="00F714E8">
              <w:rPr>
                <w:rFonts w:ascii="Calibri" w:hAnsi="Calibri"/>
                <w:sz w:val="20"/>
                <w:szCs w:val="20"/>
              </w:rPr>
              <w:t xml:space="preserve">Senior </w:t>
            </w:r>
            <w:r w:rsidRPr="008502EB">
              <w:rPr>
                <w:rFonts w:ascii="Calibri" w:hAnsi="Calibri"/>
                <w:sz w:val="20"/>
                <w:szCs w:val="20"/>
              </w:rPr>
              <w:t>HS</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38%</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42%</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43%</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47%</w:t>
            </w:r>
          </w:p>
        </w:tc>
        <w:tc>
          <w:tcPr>
            <w:tcW w:w="181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9%</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27%</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29%</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29%</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25%</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30%</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28%</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17%</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23%</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20%</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13%</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SWD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6%</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14%</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20%</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10%</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w:t>
            </w:r>
          </w:p>
        </w:tc>
      </w:tr>
      <w:tr w:rsidR="00DC5359" w:rsidRPr="008502EB" w:rsidTr="00923109">
        <w:tc>
          <w:tcPr>
            <w:tcW w:w="343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Doherty Memorial HS</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62%</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62%</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60%</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62%</w:t>
            </w:r>
          </w:p>
        </w:tc>
        <w:tc>
          <w:tcPr>
            <w:tcW w:w="181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0%</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46%</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48%</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42%</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43%</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49%</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43%</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44%</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38%</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21%</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34%</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-10%</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SWD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17%</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20%</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18%</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15%</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w:t>
            </w:r>
          </w:p>
        </w:tc>
      </w:tr>
      <w:tr w:rsidR="00DC5359" w:rsidRPr="008502EB" w:rsidTr="00923109">
        <w:tc>
          <w:tcPr>
            <w:tcW w:w="343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North HS</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34%</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31%</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30%</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37%</w:t>
            </w:r>
          </w:p>
        </w:tc>
        <w:tc>
          <w:tcPr>
            <w:tcW w:w="181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32%</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26%</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20%</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29%</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21%</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29%</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18%</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14%</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10%</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21%</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SWD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8%</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9%</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6%</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13%</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5%</w:t>
            </w:r>
          </w:p>
        </w:tc>
      </w:tr>
      <w:tr w:rsidR="00DC5359" w:rsidRPr="008502EB" w:rsidTr="00923109">
        <w:tc>
          <w:tcPr>
            <w:tcW w:w="343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 xml:space="preserve">South </w:t>
            </w:r>
            <w:r w:rsidR="00F714E8">
              <w:rPr>
                <w:rFonts w:ascii="Calibri" w:hAnsi="Calibri"/>
                <w:sz w:val="20"/>
                <w:szCs w:val="20"/>
              </w:rPr>
              <w:t xml:space="preserve">High Community </w:t>
            </w:r>
            <w:r w:rsidRPr="008502EB">
              <w:rPr>
                <w:rFonts w:ascii="Calibri" w:hAnsi="Calibri"/>
                <w:sz w:val="20"/>
                <w:szCs w:val="20"/>
              </w:rPr>
              <w:t>HS</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44%</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48%</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47%</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46%</w:t>
            </w:r>
          </w:p>
        </w:tc>
        <w:tc>
          <w:tcPr>
            <w:tcW w:w="181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39%</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42%</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37%</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37%</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39%</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38%</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33%</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23%</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19%</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15%</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-18%</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SWD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9%</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8%</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17%</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15%</w:t>
            </w:r>
          </w:p>
        </w:tc>
      </w:tr>
      <w:tr w:rsidR="00DC5359" w:rsidRPr="008502EB" w:rsidTr="00923109">
        <w:tc>
          <w:tcPr>
            <w:tcW w:w="343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Worcester Tech</w:t>
            </w:r>
            <w:r w:rsidR="00F714E8">
              <w:rPr>
                <w:rFonts w:ascii="Calibri" w:hAnsi="Calibri"/>
                <w:sz w:val="20"/>
                <w:szCs w:val="20"/>
              </w:rPr>
              <w:t>nical</w:t>
            </w:r>
            <w:r w:rsidRPr="008502EB">
              <w:rPr>
                <w:rFonts w:ascii="Calibri" w:hAnsi="Calibri"/>
                <w:sz w:val="20"/>
                <w:szCs w:val="20"/>
              </w:rPr>
              <w:t xml:space="preserve"> HS</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59%</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57%</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67%</w:t>
            </w:r>
          </w:p>
        </w:tc>
        <w:tc>
          <w:tcPr>
            <w:tcW w:w="1080"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68%</w:t>
            </w:r>
          </w:p>
        </w:tc>
        <w:tc>
          <w:tcPr>
            <w:tcW w:w="1818" w:type="dxa"/>
            <w:shd w:val="clear" w:color="auto" w:fill="D9D9D9" w:themeFill="background1" w:themeFillShade="D9"/>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9%</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High Needs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52%</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51%</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58%</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58%</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6%</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Econ. Disad.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62%</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62%</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sidRPr="008502EB">
              <w:rPr>
                <w:rFonts w:ascii="Calibri" w:hAnsi="Calibri"/>
                <w:sz w:val="20"/>
                <w:szCs w:val="20"/>
              </w:rPr>
              <w:t>ELLs</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41%</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37%</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53%</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47%</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6%</w:t>
            </w:r>
          </w:p>
        </w:tc>
      </w:tr>
      <w:tr w:rsidR="00DC5359" w:rsidRPr="008502EB" w:rsidTr="00923109">
        <w:tc>
          <w:tcPr>
            <w:tcW w:w="3438" w:type="dxa"/>
            <w:vAlign w:val="bottom"/>
          </w:tcPr>
          <w:p w:rsidR="00DC5359" w:rsidRPr="008502EB" w:rsidRDefault="00DC5359" w:rsidP="00923109">
            <w:pPr>
              <w:spacing w:after="0" w:line="240" w:lineRule="auto"/>
              <w:rPr>
                <w:rFonts w:ascii="Calibri" w:hAnsi="Calibri"/>
                <w:sz w:val="20"/>
                <w:szCs w:val="20"/>
              </w:rPr>
            </w:pPr>
            <w:r>
              <w:rPr>
                <w:rFonts w:ascii="Calibri" w:hAnsi="Calibri"/>
                <w:sz w:val="20"/>
                <w:szCs w:val="20"/>
              </w:rPr>
              <w:t>SWD</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27%</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13%</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29%</w:t>
            </w:r>
          </w:p>
        </w:tc>
        <w:tc>
          <w:tcPr>
            <w:tcW w:w="1080"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20%</w:t>
            </w:r>
          </w:p>
        </w:tc>
        <w:tc>
          <w:tcPr>
            <w:tcW w:w="1818" w:type="dxa"/>
            <w:vAlign w:val="bottom"/>
          </w:tcPr>
          <w:p w:rsidR="00DC5359" w:rsidRPr="008502EB" w:rsidRDefault="00DC5359" w:rsidP="00923109">
            <w:pPr>
              <w:spacing w:after="0" w:line="240" w:lineRule="auto"/>
              <w:jc w:val="center"/>
              <w:rPr>
                <w:rFonts w:ascii="Calibri" w:hAnsi="Calibri"/>
                <w:sz w:val="20"/>
                <w:szCs w:val="20"/>
              </w:rPr>
            </w:pPr>
            <w:r w:rsidRPr="008502EB">
              <w:rPr>
                <w:rFonts w:ascii="Calibri" w:hAnsi="Calibri"/>
                <w:sz w:val="20"/>
                <w:szCs w:val="20"/>
              </w:rPr>
              <w:t>-7%</w:t>
            </w:r>
          </w:p>
        </w:tc>
      </w:tr>
    </w:tbl>
    <w:p w:rsidR="002F1EBE" w:rsidRPr="00F04EDB" w:rsidRDefault="002F1EBE" w:rsidP="002F1EBE">
      <w:pPr>
        <w:spacing w:after="0" w:line="240" w:lineRule="auto"/>
        <w:rPr>
          <w:rFonts w:eastAsia="Calibri" w:cs="Times New Roman"/>
        </w:rPr>
      </w:pPr>
      <w:r w:rsidRPr="00F04EDB">
        <w:rPr>
          <w:rFonts w:eastAsia="Calibri" w:cs="Times New Roman"/>
        </w:rPr>
        <w:br w:type="page"/>
      </w:r>
    </w:p>
    <w:p w:rsidR="00514814" w:rsidRPr="005467AC" w:rsidRDefault="00514814" w:rsidP="00514814">
      <w:pPr>
        <w:spacing w:after="0" w:line="240" w:lineRule="auto"/>
        <w:jc w:val="center"/>
        <w:rPr>
          <w:rFonts w:ascii="Calibri" w:eastAsia="Calibri" w:hAnsi="Calibri" w:cs="Times New Roman"/>
          <w:b/>
          <w:sz w:val="20"/>
        </w:rPr>
      </w:pPr>
      <w:r w:rsidRPr="005467AC">
        <w:rPr>
          <w:rFonts w:ascii="Calibri" w:eastAsia="Calibri" w:hAnsi="Calibri" w:cs="Times New Roman"/>
          <w:b/>
          <w:sz w:val="20"/>
        </w:rPr>
        <w:t xml:space="preserve">Table </w:t>
      </w:r>
      <w:r w:rsidR="002F368B" w:rsidRPr="005467AC">
        <w:rPr>
          <w:rFonts w:ascii="Calibri" w:eastAsia="Calibri" w:hAnsi="Calibri" w:cs="Times New Roman"/>
          <w:b/>
          <w:sz w:val="20"/>
        </w:rPr>
        <w:t>B</w:t>
      </w:r>
      <w:r w:rsidR="00923109">
        <w:rPr>
          <w:rFonts w:ascii="Calibri" w:eastAsia="Calibri" w:hAnsi="Calibri" w:cs="Times New Roman"/>
          <w:b/>
          <w:sz w:val="20"/>
        </w:rPr>
        <w:t>6</w:t>
      </w:r>
      <w:r w:rsidR="002F368B" w:rsidRPr="005467AC">
        <w:rPr>
          <w:rFonts w:ascii="Calibri" w:eastAsia="Calibri" w:hAnsi="Calibri" w:cs="Times New Roman"/>
          <w:b/>
          <w:sz w:val="20"/>
        </w:rPr>
        <w:t>a</w:t>
      </w:r>
      <w:r w:rsidRPr="005467AC">
        <w:rPr>
          <w:rFonts w:ascii="Calibri" w:eastAsia="Calibri" w:hAnsi="Calibri" w:cs="Times New Roman"/>
          <w:b/>
          <w:sz w:val="20"/>
        </w:rPr>
        <w:t>: Worcester Public Schools</w:t>
      </w:r>
    </w:p>
    <w:p w:rsidR="00514814" w:rsidRPr="005467AC" w:rsidRDefault="00514814" w:rsidP="00514814">
      <w:pPr>
        <w:spacing w:after="0" w:line="240" w:lineRule="auto"/>
        <w:jc w:val="center"/>
        <w:rPr>
          <w:rFonts w:ascii="Calibri" w:eastAsia="Calibri" w:hAnsi="Calibri" w:cs="Times New Roman"/>
          <w:b/>
          <w:sz w:val="20"/>
        </w:rPr>
      </w:pPr>
      <w:r w:rsidRPr="005467AC">
        <w:rPr>
          <w:rFonts w:ascii="Calibri" w:eastAsia="Calibri" w:hAnsi="Calibri" w:cs="Times New Roman"/>
          <w:b/>
          <w:sz w:val="20"/>
        </w:rPr>
        <w:t>English Language Arts Performance, 2013–2016</w:t>
      </w:r>
    </w:p>
    <w:tbl>
      <w:tblPr>
        <w:tblStyle w:val="TableGrid"/>
        <w:tblW w:w="8928" w:type="dxa"/>
        <w:tblLook w:val="04A0"/>
      </w:tblPr>
      <w:tblGrid>
        <w:gridCol w:w="461"/>
        <w:gridCol w:w="757"/>
        <w:gridCol w:w="870"/>
        <w:gridCol w:w="1049"/>
        <w:gridCol w:w="918"/>
        <w:gridCol w:w="919"/>
        <w:gridCol w:w="919"/>
        <w:gridCol w:w="919"/>
        <w:gridCol w:w="1126"/>
        <w:gridCol w:w="990"/>
      </w:tblGrid>
      <w:tr w:rsidR="00514814" w:rsidRPr="005467AC" w:rsidTr="009D5584">
        <w:tc>
          <w:tcPr>
            <w:tcW w:w="2088" w:type="dxa"/>
            <w:gridSpan w:val="3"/>
            <w:vMerge w:val="restart"/>
            <w:vAlign w:val="center"/>
          </w:tcPr>
          <w:p w:rsidR="00514814" w:rsidRPr="005467AC" w:rsidRDefault="00514814" w:rsidP="009D5584">
            <w:pPr>
              <w:spacing w:after="0" w:line="240" w:lineRule="auto"/>
              <w:jc w:val="center"/>
              <w:rPr>
                <w:rFonts w:ascii="Calibri" w:hAnsi="Calibri"/>
                <w:b/>
                <w:sz w:val="20"/>
                <w:szCs w:val="20"/>
              </w:rPr>
            </w:pPr>
            <w:r w:rsidRPr="005467AC">
              <w:rPr>
                <w:rFonts w:ascii="Calibri" w:hAnsi="Calibri"/>
                <w:b/>
                <w:sz w:val="20"/>
                <w:szCs w:val="20"/>
              </w:rPr>
              <w:t>Grade and Measure</w:t>
            </w:r>
          </w:p>
        </w:tc>
        <w:tc>
          <w:tcPr>
            <w:tcW w:w="1049" w:type="dxa"/>
            <w:vMerge w:val="restart"/>
            <w:vAlign w:val="center"/>
          </w:tcPr>
          <w:p w:rsidR="00514814" w:rsidRPr="005467AC" w:rsidRDefault="00514814" w:rsidP="009D5584">
            <w:pPr>
              <w:spacing w:after="0" w:line="240" w:lineRule="auto"/>
              <w:jc w:val="center"/>
              <w:rPr>
                <w:rFonts w:ascii="Calibri" w:hAnsi="Calibri"/>
                <w:b/>
                <w:sz w:val="20"/>
                <w:szCs w:val="20"/>
              </w:rPr>
            </w:pPr>
            <w:r w:rsidRPr="005467AC">
              <w:rPr>
                <w:rFonts w:ascii="Calibri" w:hAnsi="Calibri"/>
                <w:b/>
                <w:sz w:val="20"/>
                <w:szCs w:val="20"/>
              </w:rPr>
              <w:t>Number Included (2016)</w:t>
            </w:r>
          </w:p>
        </w:tc>
        <w:tc>
          <w:tcPr>
            <w:tcW w:w="1837" w:type="dxa"/>
            <w:gridSpan w:val="2"/>
            <w:vMerge w:val="restart"/>
            <w:vAlign w:val="center"/>
          </w:tcPr>
          <w:p w:rsidR="00514814" w:rsidRPr="005467AC" w:rsidRDefault="00514814" w:rsidP="009D5584">
            <w:pPr>
              <w:spacing w:after="0" w:line="240" w:lineRule="auto"/>
              <w:jc w:val="center"/>
              <w:rPr>
                <w:rFonts w:ascii="Calibri" w:hAnsi="Calibri"/>
                <w:b/>
                <w:sz w:val="20"/>
                <w:szCs w:val="20"/>
              </w:rPr>
            </w:pPr>
            <w:r w:rsidRPr="005467AC">
              <w:rPr>
                <w:rFonts w:ascii="Calibri" w:hAnsi="Calibri"/>
                <w:b/>
                <w:sz w:val="20"/>
                <w:szCs w:val="20"/>
              </w:rPr>
              <w:t>MCAS Year</w:t>
            </w:r>
          </w:p>
        </w:tc>
        <w:tc>
          <w:tcPr>
            <w:tcW w:w="1838" w:type="dxa"/>
            <w:gridSpan w:val="2"/>
            <w:vMerge w:val="restart"/>
            <w:vAlign w:val="center"/>
          </w:tcPr>
          <w:p w:rsidR="00514814" w:rsidRPr="005467AC" w:rsidRDefault="00514814" w:rsidP="009D5584">
            <w:pPr>
              <w:spacing w:after="0" w:line="240" w:lineRule="auto"/>
              <w:jc w:val="center"/>
              <w:rPr>
                <w:rFonts w:ascii="Calibri" w:hAnsi="Calibri"/>
                <w:b/>
                <w:sz w:val="20"/>
                <w:szCs w:val="20"/>
              </w:rPr>
            </w:pPr>
            <w:r w:rsidRPr="005467AC">
              <w:rPr>
                <w:rFonts w:ascii="Calibri" w:hAnsi="Calibri"/>
                <w:b/>
                <w:sz w:val="20"/>
                <w:szCs w:val="20"/>
              </w:rPr>
              <w:t>MCAS/PARCC</w:t>
            </w:r>
          </w:p>
        </w:tc>
        <w:tc>
          <w:tcPr>
            <w:tcW w:w="2116" w:type="dxa"/>
            <w:gridSpan w:val="2"/>
          </w:tcPr>
          <w:p w:rsidR="00514814" w:rsidRPr="005467AC" w:rsidRDefault="00514814" w:rsidP="009D5584">
            <w:pPr>
              <w:spacing w:after="0" w:line="240" w:lineRule="auto"/>
              <w:rPr>
                <w:rFonts w:ascii="Calibri" w:hAnsi="Calibri"/>
                <w:b/>
                <w:sz w:val="20"/>
                <w:szCs w:val="20"/>
              </w:rPr>
            </w:pPr>
            <w:r w:rsidRPr="005467AC">
              <w:rPr>
                <w:rFonts w:ascii="Calibri" w:hAnsi="Calibri"/>
                <w:b/>
                <w:sz w:val="20"/>
                <w:szCs w:val="20"/>
              </w:rPr>
              <w:t>Gains and Declines</w:t>
            </w:r>
          </w:p>
        </w:tc>
      </w:tr>
      <w:tr w:rsidR="00514814" w:rsidRPr="005467AC" w:rsidTr="009D5584">
        <w:trPr>
          <w:trHeight w:val="269"/>
        </w:trPr>
        <w:tc>
          <w:tcPr>
            <w:tcW w:w="2088" w:type="dxa"/>
            <w:gridSpan w:val="3"/>
            <w:vMerge/>
          </w:tcPr>
          <w:p w:rsidR="00514814" w:rsidRPr="005467AC" w:rsidRDefault="00514814" w:rsidP="009D5584">
            <w:pPr>
              <w:spacing w:after="0" w:line="240" w:lineRule="auto"/>
              <w:rPr>
                <w:rFonts w:ascii="Calibri" w:hAnsi="Calibri"/>
                <w:b/>
                <w:sz w:val="20"/>
                <w:szCs w:val="20"/>
              </w:rPr>
            </w:pPr>
          </w:p>
        </w:tc>
        <w:tc>
          <w:tcPr>
            <w:tcW w:w="1049" w:type="dxa"/>
            <w:vMerge/>
          </w:tcPr>
          <w:p w:rsidR="00514814" w:rsidRPr="005467AC" w:rsidRDefault="00514814" w:rsidP="009D5584">
            <w:pPr>
              <w:spacing w:after="0" w:line="240" w:lineRule="auto"/>
              <w:rPr>
                <w:rFonts w:ascii="Calibri" w:hAnsi="Calibri"/>
                <w:b/>
                <w:sz w:val="20"/>
                <w:szCs w:val="20"/>
              </w:rPr>
            </w:pPr>
          </w:p>
        </w:tc>
        <w:tc>
          <w:tcPr>
            <w:tcW w:w="1837" w:type="dxa"/>
            <w:gridSpan w:val="2"/>
            <w:vMerge/>
          </w:tcPr>
          <w:p w:rsidR="00514814" w:rsidRPr="005467AC" w:rsidRDefault="00514814" w:rsidP="009D5584">
            <w:pPr>
              <w:spacing w:after="0" w:line="240" w:lineRule="auto"/>
              <w:rPr>
                <w:rFonts w:ascii="Calibri" w:hAnsi="Calibri"/>
                <w:b/>
                <w:sz w:val="20"/>
                <w:szCs w:val="20"/>
              </w:rPr>
            </w:pPr>
          </w:p>
        </w:tc>
        <w:tc>
          <w:tcPr>
            <w:tcW w:w="1838" w:type="dxa"/>
            <w:gridSpan w:val="2"/>
            <w:vMerge/>
          </w:tcPr>
          <w:p w:rsidR="00514814" w:rsidRPr="005467AC" w:rsidRDefault="00514814" w:rsidP="009D5584">
            <w:pPr>
              <w:spacing w:after="0" w:line="240" w:lineRule="auto"/>
              <w:rPr>
                <w:rFonts w:ascii="Calibri" w:hAnsi="Calibri"/>
                <w:b/>
                <w:sz w:val="20"/>
                <w:szCs w:val="20"/>
              </w:rPr>
            </w:pPr>
          </w:p>
        </w:tc>
        <w:tc>
          <w:tcPr>
            <w:tcW w:w="1126" w:type="dxa"/>
            <w:vMerge w:val="restart"/>
          </w:tcPr>
          <w:p w:rsidR="00514814" w:rsidRPr="005467AC" w:rsidRDefault="00514814" w:rsidP="009D5584">
            <w:pPr>
              <w:spacing w:after="0" w:line="240" w:lineRule="auto"/>
              <w:jc w:val="center"/>
              <w:rPr>
                <w:rFonts w:ascii="Calibri" w:hAnsi="Calibri"/>
                <w:b/>
                <w:sz w:val="20"/>
                <w:szCs w:val="20"/>
              </w:rPr>
            </w:pPr>
            <w:r w:rsidRPr="00E34378">
              <w:rPr>
                <w:rFonts w:ascii="Calibri" w:hAnsi="Calibri"/>
                <w:b/>
                <w:sz w:val="20"/>
                <w:szCs w:val="20"/>
              </w:rPr>
              <w:t>4-Year Trend</w:t>
            </w:r>
          </w:p>
        </w:tc>
        <w:tc>
          <w:tcPr>
            <w:tcW w:w="990" w:type="dxa"/>
            <w:vMerge w:val="restart"/>
            <w:vAlign w:val="center"/>
          </w:tcPr>
          <w:p w:rsidR="00514814" w:rsidRPr="005467AC" w:rsidRDefault="00514814" w:rsidP="009D5584">
            <w:pPr>
              <w:spacing w:after="0" w:line="240" w:lineRule="auto"/>
              <w:jc w:val="center"/>
              <w:rPr>
                <w:rFonts w:ascii="Calibri" w:hAnsi="Calibri"/>
                <w:b/>
                <w:sz w:val="20"/>
                <w:szCs w:val="20"/>
              </w:rPr>
            </w:pPr>
            <w:r w:rsidRPr="005467AC">
              <w:rPr>
                <w:rFonts w:ascii="Calibri" w:hAnsi="Calibri"/>
                <w:b/>
                <w:sz w:val="20"/>
                <w:szCs w:val="20"/>
              </w:rPr>
              <w:t>2-Year Trend</w:t>
            </w:r>
          </w:p>
        </w:tc>
      </w:tr>
      <w:tr w:rsidR="00514814" w:rsidRPr="005467AC" w:rsidTr="009D5584">
        <w:tc>
          <w:tcPr>
            <w:tcW w:w="2088" w:type="dxa"/>
            <w:gridSpan w:val="3"/>
            <w:vMerge/>
          </w:tcPr>
          <w:p w:rsidR="00514814" w:rsidRPr="005467AC" w:rsidRDefault="00514814" w:rsidP="009D5584">
            <w:pPr>
              <w:spacing w:after="0" w:line="240" w:lineRule="auto"/>
              <w:rPr>
                <w:rFonts w:ascii="Calibri" w:hAnsi="Calibri"/>
                <w:sz w:val="20"/>
                <w:szCs w:val="20"/>
              </w:rPr>
            </w:pPr>
          </w:p>
        </w:tc>
        <w:tc>
          <w:tcPr>
            <w:tcW w:w="1049" w:type="dxa"/>
            <w:vMerge/>
          </w:tcPr>
          <w:p w:rsidR="00514814" w:rsidRPr="005467AC" w:rsidRDefault="00514814" w:rsidP="009D5584">
            <w:pPr>
              <w:spacing w:after="0" w:line="240" w:lineRule="auto"/>
              <w:rPr>
                <w:rFonts w:ascii="Calibri" w:hAnsi="Calibri"/>
                <w:sz w:val="20"/>
                <w:szCs w:val="20"/>
              </w:rPr>
            </w:pPr>
          </w:p>
        </w:tc>
        <w:tc>
          <w:tcPr>
            <w:tcW w:w="918" w:type="dxa"/>
            <w:vAlign w:val="center"/>
          </w:tcPr>
          <w:p w:rsidR="00514814" w:rsidRPr="005467AC" w:rsidRDefault="00514814" w:rsidP="009D5584">
            <w:pPr>
              <w:spacing w:after="0" w:line="240" w:lineRule="auto"/>
              <w:jc w:val="center"/>
              <w:rPr>
                <w:rFonts w:ascii="Calibri" w:hAnsi="Calibri"/>
                <w:b/>
                <w:sz w:val="20"/>
                <w:szCs w:val="20"/>
              </w:rPr>
            </w:pPr>
            <w:r w:rsidRPr="005467AC">
              <w:rPr>
                <w:rFonts w:ascii="Calibri" w:hAnsi="Calibri"/>
                <w:b/>
                <w:sz w:val="20"/>
                <w:szCs w:val="20"/>
              </w:rPr>
              <w:t>2013</w:t>
            </w:r>
          </w:p>
        </w:tc>
        <w:tc>
          <w:tcPr>
            <w:tcW w:w="919" w:type="dxa"/>
            <w:vAlign w:val="center"/>
          </w:tcPr>
          <w:p w:rsidR="00514814" w:rsidRPr="005467AC" w:rsidRDefault="00514814" w:rsidP="009D5584">
            <w:pPr>
              <w:spacing w:after="0" w:line="240" w:lineRule="auto"/>
              <w:jc w:val="center"/>
              <w:rPr>
                <w:rFonts w:ascii="Calibri" w:hAnsi="Calibri"/>
                <w:b/>
                <w:sz w:val="20"/>
                <w:szCs w:val="20"/>
              </w:rPr>
            </w:pPr>
            <w:r w:rsidRPr="005467AC">
              <w:rPr>
                <w:rFonts w:ascii="Calibri" w:hAnsi="Calibri"/>
                <w:b/>
                <w:sz w:val="20"/>
                <w:szCs w:val="20"/>
              </w:rPr>
              <w:t>2014</w:t>
            </w:r>
          </w:p>
        </w:tc>
        <w:tc>
          <w:tcPr>
            <w:tcW w:w="919" w:type="dxa"/>
            <w:vAlign w:val="center"/>
          </w:tcPr>
          <w:p w:rsidR="00514814" w:rsidRPr="005467AC" w:rsidRDefault="00514814" w:rsidP="009D5584">
            <w:pPr>
              <w:spacing w:after="0" w:line="240" w:lineRule="auto"/>
              <w:jc w:val="center"/>
              <w:rPr>
                <w:rFonts w:ascii="Calibri" w:hAnsi="Calibri"/>
                <w:b/>
                <w:sz w:val="20"/>
                <w:szCs w:val="20"/>
              </w:rPr>
            </w:pPr>
            <w:r w:rsidRPr="005467AC">
              <w:rPr>
                <w:rFonts w:ascii="Calibri" w:hAnsi="Calibri"/>
                <w:b/>
                <w:sz w:val="20"/>
                <w:szCs w:val="20"/>
              </w:rPr>
              <w:t>2015</w:t>
            </w:r>
          </w:p>
        </w:tc>
        <w:tc>
          <w:tcPr>
            <w:tcW w:w="919" w:type="dxa"/>
            <w:vAlign w:val="center"/>
          </w:tcPr>
          <w:p w:rsidR="00514814" w:rsidRPr="005467AC" w:rsidRDefault="00514814" w:rsidP="009D5584">
            <w:pPr>
              <w:spacing w:after="0" w:line="240" w:lineRule="auto"/>
              <w:jc w:val="center"/>
              <w:rPr>
                <w:rFonts w:ascii="Calibri" w:hAnsi="Calibri"/>
                <w:b/>
                <w:sz w:val="20"/>
                <w:szCs w:val="20"/>
              </w:rPr>
            </w:pPr>
            <w:r w:rsidRPr="005467AC">
              <w:rPr>
                <w:rFonts w:ascii="Calibri" w:hAnsi="Calibri"/>
                <w:b/>
                <w:sz w:val="20"/>
                <w:szCs w:val="20"/>
              </w:rPr>
              <w:t>2016</w:t>
            </w:r>
          </w:p>
        </w:tc>
        <w:tc>
          <w:tcPr>
            <w:tcW w:w="1126" w:type="dxa"/>
            <w:vMerge/>
          </w:tcPr>
          <w:p w:rsidR="00514814" w:rsidRPr="005467AC" w:rsidRDefault="00514814" w:rsidP="009D5584">
            <w:pPr>
              <w:spacing w:after="0" w:line="240" w:lineRule="auto"/>
              <w:rPr>
                <w:rFonts w:ascii="Calibri" w:hAnsi="Calibri"/>
                <w:sz w:val="20"/>
                <w:szCs w:val="20"/>
              </w:rPr>
            </w:pPr>
          </w:p>
        </w:tc>
        <w:tc>
          <w:tcPr>
            <w:tcW w:w="990" w:type="dxa"/>
            <w:vMerge/>
          </w:tcPr>
          <w:p w:rsidR="00514814" w:rsidRPr="005467AC" w:rsidRDefault="00514814" w:rsidP="009D5584">
            <w:pPr>
              <w:spacing w:after="0" w:line="240" w:lineRule="auto"/>
              <w:rPr>
                <w:rFonts w:ascii="Calibri" w:hAnsi="Calibri"/>
                <w:sz w:val="20"/>
                <w:szCs w:val="20"/>
              </w:rPr>
            </w:pPr>
          </w:p>
        </w:tc>
      </w:tr>
      <w:tr w:rsidR="00514814" w:rsidRPr="009066CB" w:rsidTr="009D5584">
        <w:tc>
          <w:tcPr>
            <w:tcW w:w="461" w:type="dxa"/>
            <w:vMerge w:val="restart"/>
            <w:vAlign w:val="center"/>
          </w:tcPr>
          <w:p w:rsidR="00514814" w:rsidRPr="00164FBF" w:rsidRDefault="00514814" w:rsidP="009D5584">
            <w:pPr>
              <w:spacing w:after="0" w:line="240" w:lineRule="auto"/>
              <w:jc w:val="center"/>
              <w:rPr>
                <w:rFonts w:ascii="Calibri" w:hAnsi="Calibri"/>
                <w:sz w:val="20"/>
                <w:szCs w:val="20"/>
              </w:rPr>
            </w:pPr>
            <w:r w:rsidRPr="00164FBF">
              <w:rPr>
                <w:rFonts w:ascii="Calibri" w:hAnsi="Calibri"/>
                <w:sz w:val="20"/>
                <w:szCs w:val="20"/>
              </w:rPr>
              <w:t>3</w:t>
            </w:r>
          </w:p>
        </w:tc>
        <w:tc>
          <w:tcPr>
            <w:tcW w:w="757" w:type="dxa"/>
            <w:vMerge w:val="restart"/>
            <w:vAlign w:val="center"/>
          </w:tcPr>
          <w:p w:rsidR="00514814" w:rsidRPr="006E6CA2" w:rsidRDefault="00514814" w:rsidP="009D5584">
            <w:pPr>
              <w:spacing w:after="0" w:line="240" w:lineRule="auto"/>
              <w:jc w:val="center"/>
              <w:rPr>
                <w:rFonts w:ascii="Calibri" w:hAnsi="Calibri"/>
                <w:sz w:val="20"/>
                <w:szCs w:val="20"/>
              </w:rPr>
            </w:pPr>
            <w:r w:rsidRPr="006E6CA2">
              <w:rPr>
                <w:rFonts w:ascii="Calibri" w:hAnsi="Calibri"/>
                <w:sz w:val="20"/>
                <w:szCs w:val="20"/>
              </w:rPr>
              <w:t>MCAS</w:t>
            </w:r>
          </w:p>
        </w:tc>
        <w:tc>
          <w:tcPr>
            <w:tcW w:w="870" w:type="dxa"/>
          </w:tcPr>
          <w:p w:rsidR="00514814" w:rsidRPr="00A82F8F" w:rsidRDefault="00514814" w:rsidP="009D5584">
            <w:pPr>
              <w:spacing w:after="0" w:line="240" w:lineRule="auto"/>
              <w:rPr>
                <w:rFonts w:ascii="Calibri" w:hAnsi="Calibri"/>
                <w:sz w:val="20"/>
                <w:szCs w:val="20"/>
              </w:rPr>
            </w:pPr>
            <w:r w:rsidRPr="00A82F8F">
              <w:rPr>
                <w:rFonts w:ascii="Calibri" w:hAnsi="Calibri"/>
                <w:sz w:val="20"/>
                <w:szCs w:val="20"/>
              </w:rPr>
              <w:t>CPI</w:t>
            </w:r>
          </w:p>
        </w:tc>
        <w:tc>
          <w:tcPr>
            <w:tcW w:w="1049" w:type="dxa"/>
            <w:vAlign w:val="center"/>
          </w:tcPr>
          <w:p w:rsidR="00514814" w:rsidRPr="00163D95" w:rsidRDefault="00514814" w:rsidP="009D5584">
            <w:pPr>
              <w:spacing w:after="0" w:line="240" w:lineRule="auto"/>
              <w:jc w:val="center"/>
              <w:rPr>
                <w:rFonts w:ascii="Calibri" w:hAnsi="Calibri"/>
                <w:sz w:val="20"/>
                <w:szCs w:val="20"/>
              </w:rPr>
            </w:pPr>
            <w:r w:rsidRPr="00163D95">
              <w:rPr>
                <w:rFonts w:ascii="Calibri" w:hAnsi="Calibri"/>
                <w:sz w:val="20"/>
                <w:szCs w:val="20"/>
              </w:rPr>
              <w:t>734</w:t>
            </w:r>
          </w:p>
        </w:tc>
        <w:tc>
          <w:tcPr>
            <w:tcW w:w="918" w:type="dxa"/>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71.7</w:t>
            </w:r>
          </w:p>
        </w:tc>
        <w:tc>
          <w:tcPr>
            <w:tcW w:w="919" w:type="dxa"/>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70.2</w:t>
            </w:r>
          </w:p>
        </w:tc>
        <w:tc>
          <w:tcPr>
            <w:tcW w:w="919" w:type="dxa"/>
            <w:vAlign w:val="center"/>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71.4</w:t>
            </w:r>
          </w:p>
        </w:tc>
        <w:tc>
          <w:tcPr>
            <w:tcW w:w="919" w:type="dxa"/>
            <w:vAlign w:val="center"/>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75.5</w:t>
            </w:r>
          </w:p>
        </w:tc>
        <w:tc>
          <w:tcPr>
            <w:tcW w:w="1126" w:type="dxa"/>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3.8</w:t>
            </w:r>
          </w:p>
        </w:tc>
        <w:tc>
          <w:tcPr>
            <w:tcW w:w="990" w:type="dxa"/>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4.1</w:t>
            </w:r>
          </w:p>
        </w:tc>
      </w:tr>
      <w:tr w:rsidR="00514814" w:rsidRPr="009066CB" w:rsidTr="009D5584">
        <w:tc>
          <w:tcPr>
            <w:tcW w:w="461" w:type="dxa"/>
            <w:vMerge/>
            <w:vAlign w:val="center"/>
          </w:tcPr>
          <w:p w:rsidR="00514814" w:rsidRPr="00164FBF" w:rsidRDefault="00514814" w:rsidP="009D5584">
            <w:pPr>
              <w:spacing w:after="0" w:line="240" w:lineRule="auto"/>
              <w:jc w:val="center"/>
              <w:rPr>
                <w:rFonts w:ascii="Calibri" w:hAnsi="Calibri"/>
                <w:sz w:val="20"/>
                <w:szCs w:val="20"/>
              </w:rPr>
            </w:pPr>
          </w:p>
        </w:tc>
        <w:tc>
          <w:tcPr>
            <w:tcW w:w="757" w:type="dxa"/>
            <w:vMerge/>
            <w:vAlign w:val="center"/>
          </w:tcPr>
          <w:p w:rsidR="00514814" w:rsidRPr="006E6CA2" w:rsidRDefault="00514814" w:rsidP="009D5584">
            <w:pPr>
              <w:spacing w:after="0" w:line="240" w:lineRule="auto"/>
              <w:jc w:val="center"/>
              <w:rPr>
                <w:rFonts w:ascii="Calibri" w:hAnsi="Calibri"/>
                <w:sz w:val="20"/>
                <w:szCs w:val="20"/>
              </w:rPr>
            </w:pPr>
          </w:p>
        </w:tc>
        <w:tc>
          <w:tcPr>
            <w:tcW w:w="870" w:type="dxa"/>
          </w:tcPr>
          <w:p w:rsidR="00514814" w:rsidRPr="00A82F8F" w:rsidRDefault="00514814" w:rsidP="009D5584">
            <w:pPr>
              <w:spacing w:after="0" w:line="240" w:lineRule="auto"/>
              <w:rPr>
                <w:rFonts w:ascii="Calibri" w:hAnsi="Calibri"/>
                <w:sz w:val="20"/>
                <w:szCs w:val="20"/>
              </w:rPr>
            </w:pPr>
            <w:r w:rsidRPr="00A82F8F">
              <w:rPr>
                <w:rFonts w:ascii="Calibri" w:hAnsi="Calibri"/>
                <w:sz w:val="20"/>
                <w:szCs w:val="20"/>
              </w:rPr>
              <w:t>P+</w:t>
            </w:r>
          </w:p>
        </w:tc>
        <w:tc>
          <w:tcPr>
            <w:tcW w:w="1049" w:type="dxa"/>
            <w:vAlign w:val="center"/>
          </w:tcPr>
          <w:p w:rsidR="00514814" w:rsidRPr="00163D95" w:rsidRDefault="00514814" w:rsidP="009D5584">
            <w:pPr>
              <w:spacing w:after="0" w:line="240" w:lineRule="auto"/>
              <w:jc w:val="center"/>
              <w:rPr>
                <w:rFonts w:ascii="Calibri" w:hAnsi="Calibri"/>
                <w:sz w:val="20"/>
                <w:szCs w:val="20"/>
              </w:rPr>
            </w:pPr>
            <w:r w:rsidRPr="00163D95">
              <w:rPr>
                <w:rFonts w:ascii="Calibri" w:hAnsi="Calibri"/>
                <w:sz w:val="20"/>
                <w:szCs w:val="20"/>
              </w:rPr>
              <w:t>734</w:t>
            </w:r>
          </w:p>
        </w:tc>
        <w:tc>
          <w:tcPr>
            <w:tcW w:w="918" w:type="dxa"/>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34%</w:t>
            </w:r>
          </w:p>
        </w:tc>
        <w:tc>
          <w:tcPr>
            <w:tcW w:w="919" w:type="dxa"/>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38%</w:t>
            </w:r>
          </w:p>
        </w:tc>
        <w:tc>
          <w:tcPr>
            <w:tcW w:w="919" w:type="dxa"/>
            <w:vAlign w:val="center"/>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38%</w:t>
            </w:r>
          </w:p>
        </w:tc>
        <w:tc>
          <w:tcPr>
            <w:tcW w:w="919" w:type="dxa"/>
            <w:vAlign w:val="center"/>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43%</w:t>
            </w:r>
          </w:p>
        </w:tc>
        <w:tc>
          <w:tcPr>
            <w:tcW w:w="1126" w:type="dxa"/>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9%</w:t>
            </w:r>
          </w:p>
        </w:tc>
        <w:tc>
          <w:tcPr>
            <w:tcW w:w="990" w:type="dxa"/>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5%</w:t>
            </w:r>
          </w:p>
        </w:tc>
      </w:tr>
      <w:tr w:rsidR="00514814" w:rsidRPr="009066CB" w:rsidTr="009D5584">
        <w:tc>
          <w:tcPr>
            <w:tcW w:w="461" w:type="dxa"/>
            <w:vMerge/>
            <w:vAlign w:val="center"/>
          </w:tcPr>
          <w:p w:rsidR="00514814" w:rsidRPr="00164FBF" w:rsidRDefault="00514814" w:rsidP="009D5584">
            <w:pPr>
              <w:spacing w:after="0" w:line="240" w:lineRule="auto"/>
              <w:jc w:val="center"/>
              <w:rPr>
                <w:rFonts w:ascii="Calibri" w:hAnsi="Calibri"/>
                <w:sz w:val="20"/>
                <w:szCs w:val="20"/>
              </w:rPr>
            </w:pPr>
          </w:p>
        </w:tc>
        <w:tc>
          <w:tcPr>
            <w:tcW w:w="757" w:type="dxa"/>
            <w:vMerge w:val="restart"/>
            <w:shd w:val="clear" w:color="auto" w:fill="D9D9D9" w:themeFill="background1" w:themeFillShade="D9"/>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PARCC</w:t>
            </w:r>
          </w:p>
        </w:tc>
        <w:tc>
          <w:tcPr>
            <w:tcW w:w="870" w:type="dxa"/>
            <w:shd w:val="clear" w:color="auto" w:fill="D9D9D9" w:themeFill="background1" w:themeFillShade="D9"/>
          </w:tcPr>
          <w:p w:rsidR="00514814" w:rsidRPr="00A82F8F" w:rsidRDefault="00514814" w:rsidP="009D5584">
            <w:pPr>
              <w:spacing w:after="0" w:line="240" w:lineRule="auto"/>
              <w:rPr>
                <w:rFonts w:ascii="Calibri" w:hAnsi="Calibri"/>
                <w:sz w:val="20"/>
                <w:szCs w:val="20"/>
              </w:rPr>
            </w:pPr>
            <w:r w:rsidRPr="00A82F8F">
              <w:rPr>
                <w:rFonts w:ascii="Calibri" w:hAnsi="Calibri"/>
                <w:sz w:val="20"/>
                <w:szCs w:val="20"/>
              </w:rPr>
              <w:t>CPI</w:t>
            </w:r>
          </w:p>
        </w:tc>
        <w:tc>
          <w:tcPr>
            <w:tcW w:w="1049" w:type="dxa"/>
            <w:shd w:val="clear" w:color="auto" w:fill="D9D9D9" w:themeFill="background1" w:themeFillShade="D9"/>
            <w:vAlign w:val="bottom"/>
          </w:tcPr>
          <w:p w:rsidR="00514814" w:rsidRPr="00163D95" w:rsidRDefault="00514814" w:rsidP="009D5584">
            <w:pPr>
              <w:spacing w:after="0" w:line="240" w:lineRule="auto"/>
              <w:jc w:val="center"/>
              <w:rPr>
                <w:rFonts w:ascii="Calibri" w:hAnsi="Calibri"/>
                <w:sz w:val="20"/>
                <w:szCs w:val="20"/>
              </w:rPr>
            </w:pPr>
            <w:r w:rsidRPr="00163D95">
              <w:rPr>
                <w:rFonts w:ascii="Calibri" w:hAnsi="Calibri"/>
                <w:sz w:val="20"/>
                <w:szCs w:val="20"/>
              </w:rPr>
              <w:t>1,076</w:t>
            </w:r>
          </w:p>
        </w:tc>
        <w:tc>
          <w:tcPr>
            <w:tcW w:w="918" w:type="dxa"/>
            <w:shd w:val="clear" w:color="auto" w:fill="D9D9D9" w:themeFill="background1" w:themeFillShade="D9"/>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71.7</w:t>
            </w:r>
          </w:p>
        </w:tc>
        <w:tc>
          <w:tcPr>
            <w:tcW w:w="919" w:type="dxa"/>
            <w:shd w:val="clear" w:color="auto" w:fill="D9D9D9" w:themeFill="background1" w:themeFillShade="D9"/>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70.2</w:t>
            </w:r>
          </w:p>
        </w:tc>
        <w:tc>
          <w:tcPr>
            <w:tcW w:w="919" w:type="dxa"/>
            <w:shd w:val="clear" w:color="auto" w:fill="D9D9D9" w:themeFill="background1" w:themeFillShade="D9"/>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69.8</w:t>
            </w:r>
          </w:p>
        </w:tc>
        <w:tc>
          <w:tcPr>
            <w:tcW w:w="919" w:type="dxa"/>
            <w:shd w:val="clear" w:color="auto" w:fill="D9D9D9" w:themeFill="background1" w:themeFillShade="D9"/>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73.3</w:t>
            </w:r>
          </w:p>
        </w:tc>
        <w:tc>
          <w:tcPr>
            <w:tcW w:w="1126" w:type="dxa"/>
            <w:shd w:val="clear" w:color="auto" w:fill="D9D9D9" w:themeFill="background1" w:themeFillShade="D9"/>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1.6</w:t>
            </w:r>
          </w:p>
        </w:tc>
        <w:tc>
          <w:tcPr>
            <w:tcW w:w="990" w:type="dxa"/>
            <w:shd w:val="clear" w:color="auto" w:fill="D9D9D9" w:themeFill="background1" w:themeFillShade="D9"/>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3.5</w:t>
            </w:r>
          </w:p>
        </w:tc>
      </w:tr>
      <w:tr w:rsidR="00514814" w:rsidRPr="009066CB" w:rsidTr="009D5584">
        <w:tc>
          <w:tcPr>
            <w:tcW w:w="461" w:type="dxa"/>
            <w:vMerge/>
            <w:vAlign w:val="center"/>
          </w:tcPr>
          <w:p w:rsidR="00514814" w:rsidRPr="00164FBF" w:rsidRDefault="00514814" w:rsidP="009D5584">
            <w:pPr>
              <w:spacing w:after="0" w:line="240" w:lineRule="auto"/>
              <w:jc w:val="center"/>
              <w:rPr>
                <w:rFonts w:ascii="Calibri" w:hAnsi="Calibri"/>
                <w:sz w:val="20"/>
                <w:szCs w:val="20"/>
              </w:rPr>
            </w:pPr>
          </w:p>
        </w:tc>
        <w:tc>
          <w:tcPr>
            <w:tcW w:w="757" w:type="dxa"/>
            <w:vMerge/>
            <w:shd w:val="clear" w:color="auto" w:fill="D9D9D9" w:themeFill="background1" w:themeFillShade="D9"/>
            <w:vAlign w:val="center"/>
          </w:tcPr>
          <w:p w:rsidR="00514814" w:rsidRPr="00A82F8F" w:rsidRDefault="00514814" w:rsidP="009D5584">
            <w:pPr>
              <w:spacing w:after="0" w:line="240" w:lineRule="auto"/>
              <w:jc w:val="center"/>
              <w:rPr>
                <w:rFonts w:ascii="Calibri" w:hAnsi="Calibri"/>
                <w:sz w:val="20"/>
                <w:szCs w:val="20"/>
              </w:rPr>
            </w:pPr>
          </w:p>
        </w:tc>
        <w:tc>
          <w:tcPr>
            <w:tcW w:w="870" w:type="dxa"/>
            <w:shd w:val="clear" w:color="auto" w:fill="D9D9D9" w:themeFill="background1" w:themeFillShade="D9"/>
          </w:tcPr>
          <w:p w:rsidR="00514814" w:rsidRPr="00A82F8F" w:rsidRDefault="00514814" w:rsidP="009D5584">
            <w:pPr>
              <w:spacing w:after="0" w:line="240" w:lineRule="auto"/>
              <w:rPr>
                <w:rFonts w:ascii="Calibri" w:hAnsi="Calibri"/>
                <w:sz w:val="20"/>
                <w:szCs w:val="20"/>
              </w:rPr>
            </w:pPr>
            <w:r w:rsidRPr="00A82F8F">
              <w:rPr>
                <w:rFonts w:ascii="Calibri" w:hAnsi="Calibri"/>
                <w:sz w:val="20"/>
                <w:szCs w:val="20"/>
              </w:rPr>
              <w:t>Lv 4&amp;5</w:t>
            </w:r>
          </w:p>
        </w:tc>
        <w:tc>
          <w:tcPr>
            <w:tcW w:w="1049" w:type="dxa"/>
            <w:shd w:val="clear" w:color="auto" w:fill="D9D9D9" w:themeFill="background1" w:themeFillShade="D9"/>
            <w:vAlign w:val="bottom"/>
          </w:tcPr>
          <w:p w:rsidR="00514814" w:rsidRPr="00163D95" w:rsidRDefault="00514814" w:rsidP="009D5584">
            <w:pPr>
              <w:spacing w:after="0" w:line="240" w:lineRule="auto"/>
              <w:jc w:val="center"/>
              <w:rPr>
                <w:rFonts w:ascii="Calibri" w:hAnsi="Calibri"/>
                <w:sz w:val="20"/>
                <w:szCs w:val="20"/>
              </w:rPr>
            </w:pPr>
            <w:r w:rsidRPr="00163D95">
              <w:rPr>
                <w:rFonts w:ascii="Calibri" w:hAnsi="Calibri"/>
                <w:sz w:val="20"/>
                <w:szCs w:val="20"/>
              </w:rPr>
              <w:t>1,055</w:t>
            </w:r>
          </w:p>
        </w:tc>
        <w:tc>
          <w:tcPr>
            <w:tcW w:w="918" w:type="dxa"/>
            <w:shd w:val="clear" w:color="auto" w:fill="D9D9D9" w:themeFill="background1" w:themeFillShade="D9"/>
            <w:vAlign w:val="bottom"/>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w:t>
            </w:r>
          </w:p>
        </w:tc>
        <w:tc>
          <w:tcPr>
            <w:tcW w:w="919" w:type="dxa"/>
            <w:shd w:val="clear" w:color="auto" w:fill="D9D9D9" w:themeFill="background1" w:themeFillShade="D9"/>
            <w:vAlign w:val="bottom"/>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w:t>
            </w:r>
          </w:p>
        </w:tc>
        <w:tc>
          <w:tcPr>
            <w:tcW w:w="919" w:type="dxa"/>
            <w:shd w:val="clear" w:color="auto" w:fill="D9D9D9" w:themeFill="background1" w:themeFillShade="D9"/>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31%</w:t>
            </w:r>
          </w:p>
        </w:tc>
        <w:tc>
          <w:tcPr>
            <w:tcW w:w="919" w:type="dxa"/>
            <w:shd w:val="clear" w:color="auto" w:fill="D9D9D9" w:themeFill="background1" w:themeFillShade="D9"/>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36%</w:t>
            </w:r>
          </w:p>
        </w:tc>
        <w:tc>
          <w:tcPr>
            <w:tcW w:w="1126" w:type="dxa"/>
            <w:shd w:val="clear" w:color="auto" w:fill="D9D9D9" w:themeFill="background1" w:themeFillShade="D9"/>
          </w:tcPr>
          <w:p w:rsidR="00514814" w:rsidRPr="00AA580B" w:rsidRDefault="00514814" w:rsidP="009D5584">
            <w:pPr>
              <w:spacing w:after="0" w:line="240" w:lineRule="auto"/>
              <w:jc w:val="center"/>
              <w:rPr>
                <w:rFonts w:ascii="Calibri" w:hAnsi="Calibri"/>
                <w:sz w:val="20"/>
                <w:szCs w:val="20"/>
              </w:rPr>
            </w:pPr>
            <w:r>
              <w:rPr>
                <w:rFonts w:ascii="Calibri" w:hAnsi="Calibri"/>
                <w:sz w:val="20"/>
                <w:szCs w:val="20"/>
              </w:rPr>
              <w:t>--</w:t>
            </w:r>
          </w:p>
        </w:tc>
        <w:tc>
          <w:tcPr>
            <w:tcW w:w="990" w:type="dxa"/>
            <w:shd w:val="clear" w:color="auto" w:fill="D9D9D9" w:themeFill="background1" w:themeFillShade="D9"/>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5%</w:t>
            </w:r>
          </w:p>
        </w:tc>
      </w:tr>
      <w:tr w:rsidR="00514814" w:rsidRPr="009066CB" w:rsidTr="009D5584">
        <w:tc>
          <w:tcPr>
            <w:tcW w:w="461" w:type="dxa"/>
            <w:vMerge w:val="restart"/>
            <w:vAlign w:val="center"/>
          </w:tcPr>
          <w:p w:rsidR="00514814" w:rsidRPr="00164FBF" w:rsidRDefault="00514814" w:rsidP="009D5584">
            <w:pPr>
              <w:spacing w:after="0" w:line="240" w:lineRule="auto"/>
              <w:jc w:val="center"/>
              <w:rPr>
                <w:rFonts w:ascii="Calibri" w:hAnsi="Calibri"/>
                <w:sz w:val="20"/>
                <w:szCs w:val="20"/>
              </w:rPr>
            </w:pPr>
            <w:r w:rsidRPr="00164FBF">
              <w:rPr>
                <w:rFonts w:ascii="Calibri" w:hAnsi="Calibri"/>
                <w:sz w:val="20"/>
                <w:szCs w:val="20"/>
              </w:rPr>
              <w:t>4</w:t>
            </w:r>
          </w:p>
        </w:tc>
        <w:tc>
          <w:tcPr>
            <w:tcW w:w="757" w:type="dxa"/>
            <w:vMerge w:val="restart"/>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MCAS</w:t>
            </w:r>
          </w:p>
        </w:tc>
        <w:tc>
          <w:tcPr>
            <w:tcW w:w="870" w:type="dxa"/>
          </w:tcPr>
          <w:p w:rsidR="00514814" w:rsidRPr="00A82F8F" w:rsidRDefault="00514814" w:rsidP="009D5584">
            <w:pPr>
              <w:spacing w:after="0" w:line="240" w:lineRule="auto"/>
              <w:rPr>
                <w:rFonts w:ascii="Calibri" w:hAnsi="Calibri"/>
                <w:sz w:val="20"/>
                <w:szCs w:val="20"/>
              </w:rPr>
            </w:pPr>
            <w:r w:rsidRPr="00A82F8F">
              <w:rPr>
                <w:rFonts w:ascii="Calibri" w:hAnsi="Calibri"/>
                <w:sz w:val="20"/>
                <w:szCs w:val="20"/>
              </w:rPr>
              <w:t>CPI</w:t>
            </w:r>
          </w:p>
        </w:tc>
        <w:tc>
          <w:tcPr>
            <w:tcW w:w="1049" w:type="dxa"/>
            <w:vAlign w:val="center"/>
          </w:tcPr>
          <w:p w:rsidR="00514814" w:rsidRPr="00163D95" w:rsidRDefault="00514814" w:rsidP="009D5584">
            <w:pPr>
              <w:spacing w:after="0" w:line="240" w:lineRule="auto"/>
              <w:jc w:val="center"/>
              <w:rPr>
                <w:rFonts w:ascii="Calibri" w:hAnsi="Calibri"/>
                <w:sz w:val="20"/>
                <w:szCs w:val="20"/>
              </w:rPr>
            </w:pPr>
            <w:r w:rsidRPr="00163D95">
              <w:rPr>
                <w:rFonts w:ascii="Calibri" w:hAnsi="Calibri"/>
                <w:sz w:val="20"/>
                <w:szCs w:val="20"/>
              </w:rPr>
              <w:t>753</w:t>
            </w:r>
          </w:p>
        </w:tc>
        <w:tc>
          <w:tcPr>
            <w:tcW w:w="918" w:type="dxa"/>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67.2</w:t>
            </w:r>
          </w:p>
        </w:tc>
        <w:tc>
          <w:tcPr>
            <w:tcW w:w="919" w:type="dxa"/>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67.3</w:t>
            </w:r>
          </w:p>
        </w:tc>
        <w:tc>
          <w:tcPr>
            <w:tcW w:w="919" w:type="dxa"/>
            <w:vAlign w:val="center"/>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73.8</w:t>
            </w:r>
          </w:p>
        </w:tc>
        <w:tc>
          <w:tcPr>
            <w:tcW w:w="919" w:type="dxa"/>
            <w:vAlign w:val="center"/>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73.6</w:t>
            </w:r>
          </w:p>
        </w:tc>
        <w:tc>
          <w:tcPr>
            <w:tcW w:w="1126" w:type="dxa"/>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6.4</w:t>
            </w:r>
          </w:p>
        </w:tc>
        <w:tc>
          <w:tcPr>
            <w:tcW w:w="990" w:type="dxa"/>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-0.2</w:t>
            </w:r>
          </w:p>
        </w:tc>
      </w:tr>
      <w:tr w:rsidR="00514814" w:rsidRPr="009066CB" w:rsidTr="009D5584">
        <w:tc>
          <w:tcPr>
            <w:tcW w:w="461" w:type="dxa"/>
            <w:vMerge/>
            <w:vAlign w:val="center"/>
          </w:tcPr>
          <w:p w:rsidR="00514814" w:rsidRPr="00164FBF" w:rsidRDefault="00514814" w:rsidP="009D5584">
            <w:pPr>
              <w:spacing w:after="0" w:line="240" w:lineRule="auto"/>
              <w:jc w:val="center"/>
              <w:rPr>
                <w:rFonts w:ascii="Calibri" w:hAnsi="Calibri"/>
                <w:sz w:val="20"/>
                <w:szCs w:val="20"/>
              </w:rPr>
            </w:pPr>
          </w:p>
        </w:tc>
        <w:tc>
          <w:tcPr>
            <w:tcW w:w="757" w:type="dxa"/>
            <w:vMerge/>
            <w:vAlign w:val="center"/>
          </w:tcPr>
          <w:p w:rsidR="00514814" w:rsidRPr="00A82F8F" w:rsidRDefault="00514814" w:rsidP="009D5584">
            <w:pPr>
              <w:spacing w:after="0" w:line="240" w:lineRule="auto"/>
              <w:jc w:val="center"/>
              <w:rPr>
                <w:rFonts w:ascii="Calibri" w:hAnsi="Calibri"/>
                <w:sz w:val="20"/>
                <w:szCs w:val="20"/>
              </w:rPr>
            </w:pPr>
          </w:p>
        </w:tc>
        <w:tc>
          <w:tcPr>
            <w:tcW w:w="870" w:type="dxa"/>
          </w:tcPr>
          <w:p w:rsidR="00514814" w:rsidRPr="00A82F8F" w:rsidRDefault="00514814" w:rsidP="009D5584">
            <w:pPr>
              <w:spacing w:after="0" w:line="240" w:lineRule="auto"/>
              <w:rPr>
                <w:rFonts w:ascii="Calibri" w:hAnsi="Calibri"/>
                <w:sz w:val="20"/>
                <w:szCs w:val="20"/>
              </w:rPr>
            </w:pPr>
            <w:r w:rsidRPr="00A82F8F">
              <w:rPr>
                <w:rFonts w:ascii="Calibri" w:hAnsi="Calibri"/>
                <w:sz w:val="20"/>
                <w:szCs w:val="20"/>
              </w:rPr>
              <w:t>P+</w:t>
            </w:r>
          </w:p>
        </w:tc>
        <w:tc>
          <w:tcPr>
            <w:tcW w:w="1049" w:type="dxa"/>
            <w:vAlign w:val="center"/>
          </w:tcPr>
          <w:p w:rsidR="00514814" w:rsidRPr="00163D95" w:rsidRDefault="00514814" w:rsidP="009D5584">
            <w:pPr>
              <w:spacing w:after="0" w:line="240" w:lineRule="auto"/>
              <w:jc w:val="center"/>
              <w:rPr>
                <w:rFonts w:ascii="Calibri" w:hAnsi="Calibri"/>
                <w:sz w:val="20"/>
                <w:szCs w:val="20"/>
              </w:rPr>
            </w:pPr>
            <w:r w:rsidRPr="00163D95">
              <w:rPr>
                <w:rFonts w:ascii="Calibri" w:hAnsi="Calibri"/>
                <w:sz w:val="20"/>
                <w:szCs w:val="20"/>
              </w:rPr>
              <w:t>753</w:t>
            </w:r>
          </w:p>
        </w:tc>
        <w:tc>
          <w:tcPr>
            <w:tcW w:w="918" w:type="dxa"/>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35%</w:t>
            </w:r>
          </w:p>
        </w:tc>
        <w:tc>
          <w:tcPr>
            <w:tcW w:w="919" w:type="dxa"/>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35%</w:t>
            </w:r>
          </w:p>
        </w:tc>
        <w:tc>
          <w:tcPr>
            <w:tcW w:w="919" w:type="dxa"/>
            <w:vAlign w:val="center"/>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45%</w:t>
            </w:r>
          </w:p>
        </w:tc>
        <w:tc>
          <w:tcPr>
            <w:tcW w:w="919" w:type="dxa"/>
            <w:vAlign w:val="center"/>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48%</w:t>
            </w:r>
          </w:p>
        </w:tc>
        <w:tc>
          <w:tcPr>
            <w:tcW w:w="1126" w:type="dxa"/>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13%</w:t>
            </w:r>
          </w:p>
        </w:tc>
        <w:tc>
          <w:tcPr>
            <w:tcW w:w="990" w:type="dxa"/>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3%</w:t>
            </w:r>
          </w:p>
        </w:tc>
      </w:tr>
      <w:tr w:rsidR="00514814" w:rsidRPr="009066CB" w:rsidTr="009D5584">
        <w:tc>
          <w:tcPr>
            <w:tcW w:w="461" w:type="dxa"/>
            <w:vMerge/>
            <w:vAlign w:val="center"/>
          </w:tcPr>
          <w:p w:rsidR="00514814" w:rsidRPr="00164FBF" w:rsidRDefault="00514814" w:rsidP="009D5584">
            <w:pPr>
              <w:spacing w:after="0" w:line="240" w:lineRule="auto"/>
              <w:jc w:val="center"/>
              <w:rPr>
                <w:rFonts w:ascii="Calibri" w:hAnsi="Calibri"/>
                <w:sz w:val="20"/>
                <w:szCs w:val="20"/>
              </w:rPr>
            </w:pPr>
          </w:p>
        </w:tc>
        <w:tc>
          <w:tcPr>
            <w:tcW w:w="757" w:type="dxa"/>
            <w:vMerge/>
            <w:vAlign w:val="center"/>
          </w:tcPr>
          <w:p w:rsidR="00514814" w:rsidRPr="00A82F8F" w:rsidRDefault="00514814" w:rsidP="009D5584">
            <w:pPr>
              <w:spacing w:after="0" w:line="240" w:lineRule="auto"/>
              <w:jc w:val="center"/>
              <w:rPr>
                <w:rFonts w:ascii="Calibri" w:hAnsi="Calibri"/>
                <w:sz w:val="20"/>
                <w:szCs w:val="20"/>
              </w:rPr>
            </w:pPr>
          </w:p>
        </w:tc>
        <w:tc>
          <w:tcPr>
            <w:tcW w:w="870" w:type="dxa"/>
          </w:tcPr>
          <w:p w:rsidR="00514814" w:rsidRPr="00A82F8F" w:rsidRDefault="00514814" w:rsidP="009D5584">
            <w:pPr>
              <w:spacing w:after="0" w:line="240" w:lineRule="auto"/>
              <w:rPr>
                <w:rFonts w:ascii="Calibri" w:hAnsi="Calibri"/>
                <w:sz w:val="20"/>
                <w:szCs w:val="20"/>
              </w:rPr>
            </w:pPr>
            <w:r w:rsidRPr="00A82F8F">
              <w:rPr>
                <w:rFonts w:ascii="Calibri" w:hAnsi="Calibri"/>
                <w:sz w:val="20"/>
                <w:szCs w:val="20"/>
              </w:rPr>
              <w:t>SGP</w:t>
            </w:r>
          </w:p>
        </w:tc>
        <w:tc>
          <w:tcPr>
            <w:tcW w:w="1049" w:type="dxa"/>
            <w:vAlign w:val="center"/>
          </w:tcPr>
          <w:p w:rsidR="00514814" w:rsidRPr="00163D95" w:rsidRDefault="00514814" w:rsidP="009D5584">
            <w:pPr>
              <w:spacing w:after="0" w:line="240" w:lineRule="auto"/>
              <w:jc w:val="center"/>
              <w:rPr>
                <w:rFonts w:ascii="Calibri" w:hAnsi="Calibri"/>
                <w:sz w:val="20"/>
                <w:szCs w:val="20"/>
              </w:rPr>
            </w:pPr>
            <w:r w:rsidRPr="00163D95">
              <w:rPr>
                <w:rFonts w:ascii="Calibri" w:hAnsi="Calibri"/>
                <w:sz w:val="20"/>
                <w:szCs w:val="20"/>
              </w:rPr>
              <w:t>681</w:t>
            </w:r>
          </w:p>
        </w:tc>
        <w:tc>
          <w:tcPr>
            <w:tcW w:w="918" w:type="dxa"/>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48.0</w:t>
            </w:r>
          </w:p>
        </w:tc>
        <w:tc>
          <w:tcPr>
            <w:tcW w:w="919" w:type="dxa"/>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49.0</w:t>
            </w:r>
          </w:p>
        </w:tc>
        <w:tc>
          <w:tcPr>
            <w:tcW w:w="919" w:type="dxa"/>
            <w:vAlign w:val="center"/>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53.0</w:t>
            </w:r>
          </w:p>
        </w:tc>
        <w:tc>
          <w:tcPr>
            <w:tcW w:w="919" w:type="dxa"/>
            <w:vAlign w:val="center"/>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59.0</w:t>
            </w:r>
          </w:p>
        </w:tc>
        <w:tc>
          <w:tcPr>
            <w:tcW w:w="1126" w:type="dxa"/>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11.0</w:t>
            </w:r>
          </w:p>
        </w:tc>
        <w:tc>
          <w:tcPr>
            <w:tcW w:w="990" w:type="dxa"/>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6.0</w:t>
            </w:r>
          </w:p>
        </w:tc>
      </w:tr>
      <w:tr w:rsidR="00514814" w:rsidRPr="009066CB" w:rsidTr="009D5584">
        <w:tc>
          <w:tcPr>
            <w:tcW w:w="461" w:type="dxa"/>
            <w:vMerge/>
            <w:vAlign w:val="center"/>
          </w:tcPr>
          <w:p w:rsidR="00514814" w:rsidRPr="00164FBF" w:rsidRDefault="00514814" w:rsidP="009D5584">
            <w:pPr>
              <w:spacing w:after="0" w:line="240" w:lineRule="auto"/>
              <w:jc w:val="center"/>
              <w:rPr>
                <w:rFonts w:ascii="Calibri" w:hAnsi="Calibri"/>
                <w:sz w:val="20"/>
                <w:szCs w:val="20"/>
              </w:rPr>
            </w:pPr>
          </w:p>
        </w:tc>
        <w:tc>
          <w:tcPr>
            <w:tcW w:w="757" w:type="dxa"/>
            <w:vMerge w:val="restart"/>
            <w:shd w:val="clear" w:color="auto" w:fill="D9D9D9" w:themeFill="background1" w:themeFillShade="D9"/>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PARCC</w:t>
            </w:r>
          </w:p>
        </w:tc>
        <w:tc>
          <w:tcPr>
            <w:tcW w:w="870" w:type="dxa"/>
            <w:shd w:val="clear" w:color="auto" w:fill="D9D9D9" w:themeFill="background1" w:themeFillShade="D9"/>
          </w:tcPr>
          <w:p w:rsidR="00514814" w:rsidRPr="00A82F8F" w:rsidRDefault="00514814" w:rsidP="009D5584">
            <w:pPr>
              <w:spacing w:after="0" w:line="240" w:lineRule="auto"/>
              <w:rPr>
                <w:rFonts w:ascii="Calibri" w:hAnsi="Calibri"/>
                <w:sz w:val="20"/>
                <w:szCs w:val="20"/>
              </w:rPr>
            </w:pPr>
            <w:r w:rsidRPr="00A82F8F">
              <w:rPr>
                <w:rFonts w:ascii="Calibri" w:hAnsi="Calibri"/>
                <w:sz w:val="20"/>
                <w:szCs w:val="20"/>
              </w:rPr>
              <w:t>CPI</w:t>
            </w:r>
          </w:p>
        </w:tc>
        <w:tc>
          <w:tcPr>
            <w:tcW w:w="1049" w:type="dxa"/>
            <w:shd w:val="clear" w:color="auto" w:fill="D9D9D9" w:themeFill="background1" w:themeFillShade="D9"/>
            <w:vAlign w:val="bottom"/>
          </w:tcPr>
          <w:p w:rsidR="00514814" w:rsidRPr="00163D95" w:rsidRDefault="00514814" w:rsidP="009D5584">
            <w:pPr>
              <w:spacing w:after="0" w:line="240" w:lineRule="auto"/>
              <w:jc w:val="center"/>
              <w:rPr>
                <w:rFonts w:ascii="Calibri" w:hAnsi="Calibri"/>
                <w:sz w:val="20"/>
                <w:szCs w:val="20"/>
              </w:rPr>
            </w:pPr>
            <w:r w:rsidRPr="00163D95">
              <w:rPr>
                <w:rFonts w:ascii="Calibri" w:hAnsi="Calibri"/>
                <w:sz w:val="20"/>
                <w:szCs w:val="20"/>
              </w:rPr>
              <w:t>1,122</w:t>
            </w:r>
          </w:p>
        </w:tc>
        <w:tc>
          <w:tcPr>
            <w:tcW w:w="918" w:type="dxa"/>
            <w:shd w:val="clear" w:color="auto" w:fill="D9D9D9" w:themeFill="background1" w:themeFillShade="D9"/>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67.2</w:t>
            </w:r>
          </w:p>
        </w:tc>
        <w:tc>
          <w:tcPr>
            <w:tcW w:w="919" w:type="dxa"/>
            <w:shd w:val="clear" w:color="auto" w:fill="D9D9D9" w:themeFill="background1" w:themeFillShade="D9"/>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67.3</w:t>
            </w:r>
          </w:p>
        </w:tc>
        <w:tc>
          <w:tcPr>
            <w:tcW w:w="919" w:type="dxa"/>
            <w:shd w:val="clear" w:color="auto" w:fill="D9D9D9" w:themeFill="background1" w:themeFillShade="D9"/>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63.4</w:t>
            </w:r>
          </w:p>
        </w:tc>
        <w:tc>
          <w:tcPr>
            <w:tcW w:w="919" w:type="dxa"/>
            <w:shd w:val="clear" w:color="auto" w:fill="D9D9D9" w:themeFill="background1" w:themeFillShade="D9"/>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61.1</w:t>
            </w:r>
          </w:p>
        </w:tc>
        <w:tc>
          <w:tcPr>
            <w:tcW w:w="1126" w:type="dxa"/>
            <w:shd w:val="clear" w:color="auto" w:fill="D9D9D9" w:themeFill="background1" w:themeFillShade="D9"/>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-6.1</w:t>
            </w:r>
          </w:p>
        </w:tc>
        <w:tc>
          <w:tcPr>
            <w:tcW w:w="990" w:type="dxa"/>
            <w:shd w:val="clear" w:color="auto" w:fill="D9D9D9" w:themeFill="background1" w:themeFillShade="D9"/>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-2.3</w:t>
            </w:r>
          </w:p>
        </w:tc>
      </w:tr>
      <w:tr w:rsidR="00514814" w:rsidRPr="009066CB" w:rsidTr="009D5584">
        <w:tc>
          <w:tcPr>
            <w:tcW w:w="461" w:type="dxa"/>
            <w:vMerge/>
            <w:vAlign w:val="center"/>
          </w:tcPr>
          <w:p w:rsidR="00514814" w:rsidRPr="00164FBF" w:rsidRDefault="00514814" w:rsidP="009D5584">
            <w:pPr>
              <w:spacing w:after="0" w:line="240" w:lineRule="auto"/>
              <w:jc w:val="center"/>
              <w:rPr>
                <w:rFonts w:ascii="Calibri" w:hAnsi="Calibri"/>
                <w:sz w:val="20"/>
                <w:szCs w:val="20"/>
              </w:rPr>
            </w:pPr>
          </w:p>
        </w:tc>
        <w:tc>
          <w:tcPr>
            <w:tcW w:w="757" w:type="dxa"/>
            <w:vMerge/>
            <w:shd w:val="clear" w:color="auto" w:fill="D9D9D9" w:themeFill="background1" w:themeFillShade="D9"/>
            <w:vAlign w:val="center"/>
          </w:tcPr>
          <w:p w:rsidR="00514814" w:rsidRPr="00A82F8F" w:rsidRDefault="00514814" w:rsidP="009D5584">
            <w:pPr>
              <w:spacing w:after="0" w:line="240" w:lineRule="auto"/>
              <w:jc w:val="center"/>
              <w:rPr>
                <w:rFonts w:ascii="Calibri" w:hAnsi="Calibri"/>
                <w:sz w:val="20"/>
                <w:szCs w:val="20"/>
              </w:rPr>
            </w:pPr>
          </w:p>
        </w:tc>
        <w:tc>
          <w:tcPr>
            <w:tcW w:w="870" w:type="dxa"/>
            <w:shd w:val="clear" w:color="auto" w:fill="D9D9D9" w:themeFill="background1" w:themeFillShade="D9"/>
          </w:tcPr>
          <w:p w:rsidR="00514814" w:rsidRPr="00A82F8F" w:rsidRDefault="00514814" w:rsidP="009D5584">
            <w:pPr>
              <w:spacing w:after="0" w:line="240" w:lineRule="auto"/>
              <w:rPr>
                <w:rFonts w:ascii="Calibri" w:hAnsi="Calibri"/>
                <w:sz w:val="20"/>
                <w:szCs w:val="20"/>
              </w:rPr>
            </w:pPr>
            <w:r w:rsidRPr="00A82F8F">
              <w:rPr>
                <w:rFonts w:ascii="Calibri" w:hAnsi="Calibri"/>
                <w:sz w:val="20"/>
                <w:szCs w:val="20"/>
              </w:rPr>
              <w:t>Lv 4&amp;5</w:t>
            </w:r>
          </w:p>
        </w:tc>
        <w:tc>
          <w:tcPr>
            <w:tcW w:w="1049" w:type="dxa"/>
            <w:shd w:val="clear" w:color="auto" w:fill="D9D9D9" w:themeFill="background1" w:themeFillShade="D9"/>
            <w:vAlign w:val="bottom"/>
          </w:tcPr>
          <w:p w:rsidR="00514814" w:rsidRPr="00163D95" w:rsidRDefault="00514814" w:rsidP="009D5584">
            <w:pPr>
              <w:spacing w:after="0" w:line="240" w:lineRule="auto"/>
              <w:jc w:val="center"/>
              <w:rPr>
                <w:rFonts w:ascii="Calibri" w:hAnsi="Calibri"/>
                <w:sz w:val="20"/>
                <w:szCs w:val="20"/>
              </w:rPr>
            </w:pPr>
            <w:r w:rsidRPr="00163D95">
              <w:rPr>
                <w:rFonts w:ascii="Calibri" w:hAnsi="Calibri"/>
                <w:sz w:val="20"/>
                <w:szCs w:val="20"/>
              </w:rPr>
              <w:t>1,094</w:t>
            </w:r>
          </w:p>
        </w:tc>
        <w:tc>
          <w:tcPr>
            <w:tcW w:w="918" w:type="dxa"/>
            <w:shd w:val="clear" w:color="auto" w:fill="D9D9D9" w:themeFill="background1" w:themeFillShade="D9"/>
            <w:vAlign w:val="bottom"/>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w:t>
            </w:r>
          </w:p>
        </w:tc>
        <w:tc>
          <w:tcPr>
            <w:tcW w:w="919" w:type="dxa"/>
            <w:shd w:val="clear" w:color="auto" w:fill="D9D9D9" w:themeFill="background1" w:themeFillShade="D9"/>
            <w:vAlign w:val="bottom"/>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w:t>
            </w:r>
          </w:p>
        </w:tc>
        <w:tc>
          <w:tcPr>
            <w:tcW w:w="919" w:type="dxa"/>
            <w:shd w:val="clear" w:color="auto" w:fill="D9D9D9" w:themeFill="background1" w:themeFillShade="D9"/>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34%</w:t>
            </w:r>
          </w:p>
        </w:tc>
        <w:tc>
          <w:tcPr>
            <w:tcW w:w="919" w:type="dxa"/>
            <w:shd w:val="clear" w:color="auto" w:fill="D9D9D9" w:themeFill="background1" w:themeFillShade="D9"/>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33%</w:t>
            </w:r>
          </w:p>
        </w:tc>
        <w:tc>
          <w:tcPr>
            <w:tcW w:w="1126" w:type="dxa"/>
            <w:shd w:val="clear" w:color="auto" w:fill="D9D9D9" w:themeFill="background1" w:themeFillShade="D9"/>
          </w:tcPr>
          <w:p w:rsidR="00514814" w:rsidRPr="00AA580B" w:rsidRDefault="00514814" w:rsidP="009D5584">
            <w:pPr>
              <w:spacing w:after="0" w:line="240" w:lineRule="auto"/>
              <w:jc w:val="center"/>
              <w:rPr>
                <w:rFonts w:ascii="Calibri" w:hAnsi="Calibri"/>
                <w:sz w:val="20"/>
                <w:szCs w:val="20"/>
              </w:rPr>
            </w:pPr>
            <w:r>
              <w:rPr>
                <w:rFonts w:ascii="Calibri" w:hAnsi="Calibri"/>
                <w:sz w:val="20"/>
                <w:szCs w:val="20"/>
              </w:rPr>
              <w:t>--</w:t>
            </w:r>
          </w:p>
        </w:tc>
        <w:tc>
          <w:tcPr>
            <w:tcW w:w="990" w:type="dxa"/>
            <w:shd w:val="clear" w:color="auto" w:fill="D9D9D9" w:themeFill="background1" w:themeFillShade="D9"/>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-1%</w:t>
            </w:r>
          </w:p>
        </w:tc>
      </w:tr>
      <w:tr w:rsidR="00514814" w:rsidRPr="009066CB" w:rsidTr="009D5584">
        <w:tc>
          <w:tcPr>
            <w:tcW w:w="461" w:type="dxa"/>
            <w:vMerge/>
            <w:vAlign w:val="center"/>
          </w:tcPr>
          <w:p w:rsidR="00514814" w:rsidRPr="00164FBF" w:rsidRDefault="00514814" w:rsidP="009D5584">
            <w:pPr>
              <w:spacing w:after="0" w:line="240" w:lineRule="auto"/>
              <w:jc w:val="center"/>
              <w:rPr>
                <w:rFonts w:ascii="Calibri" w:hAnsi="Calibri"/>
                <w:sz w:val="20"/>
                <w:szCs w:val="20"/>
              </w:rPr>
            </w:pPr>
          </w:p>
        </w:tc>
        <w:tc>
          <w:tcPr>
            <w:tcW w:w="757" w:type="dxa"/>
            <w:vMerge/>
            <w:shd w:val="clear" w:color="auto" w:fill="D9D9D9" w:themeFill="background1" w:themeFillShade="D9"/>
            <w:vAlign w:val="center"/>
          </w:tcPr>
          <w:p w:rsidR="00514814" w:rsidRPr="00A82F8F" w:rsidRDefault="00514814" w:rsidP="009D5584">
            <w:pPr>
              <w:spacing w:after="0" w:line="240" w:lineRule="auto"/>
              <w:jc w:val="center"/>
              <w:rPr>
                <w:rFonts w:ascii="Calibri" w:hAnsi="Calibri"/>
                <w:sz w:val="20"/>
                <w:szCs w:val="20"/>
              </w:rPr>
            </w:pPr>
          </w:p>
        </w:tc>
        <w:tc>
          <w:tcPr>
            <w:tcW w:w="870" w:type="dxa"/>
            <w:shd w:val="clear" w:color="auto" w:fill="D9D9D9" w:themeFill="background1" w:themeFillShade="D9"/>
          </w:tcPr>
          <w:p w:rsidR="00514814" w:rsidRPr="00A82F8F" w:rsidRDefault="00514814" w:rsidP="009D5584">
            <w:pPr>
              <w:spacing w:after="0" w:line="240" w:lineRule="auto"/>
              <w:rPr>
                <w:rFonts w:ascii="Calibri" w:hAnsi="Calibri"/>
                <w:sz w:val="20"/>
                <w:szCs w:val="20"/>
              </w:rPr>
            </w:pPr>
            <w:r w:rsidRPr="00A82F8F">
              <w:rPr>
                <w:rFonts w:ascii="Calibri" w:hAnsi="Calibri"/>
                <w:sz w:val="20"/>
                <w:szCs w:val="20"/>
              </w:rPr>
              <w:t>SGP</w:t>
            </w:r>
          </w:p>
        </w:tc>
        <w:tc>
          <w:tcPr>
            <w:tcW w:w="1049" w:type="dxa"/>
            <w:shd w:val="clear" w:color="auto" w:fill="D9D9D9" w:themeFill="background1" w:themeFillShade="D9"/>
            <w:vAlign w:val="bottom"/>
          </w:tcPr>
          <w:p w:rsidR="00514814" w:rsidRPr="00163D95" w:rsidRDefault="00514814" w:rsidP="009D5584">
            <w:pPr>
              <w:spacing w:after="0" w:line="240" w:lineRule="auto"/>
              <w:jc w:val="center"/>
              <w:rPr>
                <w:rFonts w:ascii="Calibri" w:hAnsi="Calibri"/>
                <w:sz w:val="20"/>
                <w:szCs w:val="20"/>
              </w:rPr>
            </w:pPr>
            <w:r w:rsidRPr="00163D95">
              <w:rPr>
                <w:rFonts w:ascii="Calibri" w:hAnsi="Calibri"/>
                <w:sz w:val="20"/>
                <w:szCs w:val="20"/>
              </w:rPr>
              <w:t>987</w:t>
            </w:r>
          </w:p>
        </w:tc>
        <w:tc>
          <w:tcPr>
            <w:tcW w:w="918" w:type="dxa"/>
            <w:shd w:val="clear" w:color="auto" w:fill="D9D9D9" w:themeFill="background1" w:themeFillShade="D9"/>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48.0</w:t>
            </w:r>
          </w:p>
        </w:tc>
        <w:tc>
          <w:tcPr>
            <w:tcW w:w="919" w:type="dxa"/>
            <w:shd w:val="clear" w:color="auto" w:fill="D9D9D9" w:themeFill="background1" w:themeFillShade="D9"/>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49.0</w:t>
            </w:r>
          </w:p>
        </w:tc>
        <w:tc>
          <w:tcPr>
            <w:tcW w:w="919" w:type="dxa"/>
            <w:shd w:val="clear" w:color="auto" w:fill="D9D9D9" w:themeFill="background1" w:themeFillShade="D9"/>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41.0</w:t>
            </w:r>
          </w:p>
        </w:tc>
        <w:tc>
          <w:tcPr>
            <w:tcW w:w="919" w:type="dxa"/>
            <w:shd w:val="clear" w:color="auto" w:fill="D9D9D9" w:themeFill="background1" w:themeFillShade="D9"/>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38.0</w:t>
            </w:r>
          </w:p>
        </w:tc>
        <w:tc>
          <w:tcPr>
            <w:tcW w:w="1126" w:type="dxa"/>
            <w:shd w:val="clear" w:color="auto" w:fill="D9D9D9" w:themeFill="background1" w:themeFillShade="D9"/>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-10.0</w:t>
            </w:r>
          </w:p>
        </w:tc>
        <w:tc>
          <w:tcPr>
            <w:tcW w:w="990" w:type="dxa"/>
            <w:shd w:val="clear" w:color="auto" w:fill="D9D9D9" w:themeFill="background1" w:themeFillShade="D9"/>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-3.0</w:t>
            </w:r>
          </w:p>
        </w:tc>
      </w:tr>
      <w:tr w:rsidR="00514814" w:rsidRPr="009066CB" w:rsidTr="009D5584">
        <w:tc>
          <w:tcPr>
            <w:tcW w:w="461" w:type="dxa"/>
            <w:vMerge w:val="restart"/>
            <w:vAlign w:val="center"/>
          </w:tcPr>
          <w:p w:rsidR="00514814" w:rsidRPr="00164FBF" w:rsidRDefault="00514814" w:rsidP="009D5584">
            <w:pPr>
              <w:spacing w:after="0" w:line="240" w:lineRule="auto"/>
              <w:jc w:val="center"/>
              <w:rPr>
                <w:rFonts w:ascii="Calibri" w:hAnsi="Calibri"/>
                <w:sz w:val="20"/>
                <w:szCs w:val="20"/>
              </w:rPr>
            </w:pPr>
            <w:r w:rsidRPr="00164FBF">
              <w:rPr>
                <w:rFonts w:ascii="Calibri" w:hAnsi="Calibri"/>
                <w:sz w:val="20"/>
                <w:szCs w:val="20"/>
              </w:rPr>
              <w:t>5</w:t>
            </w:r>
          </w:p>
        </w:tc>
        <w:tc>
          <w:tcPr>
            <w:tcW w:w="757" w:type="dxa"/>
            <w:vMerge w:val="restart"/>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MCAS</w:t>
            </w:r>
          </w:p>
        </w:tc>
        <w:tc>
          <w:tcPr>
            <w:tcW w:w="870" w:type="dxa"/>
          </w:tcPr>
          <w:p w:rsidR="00514814" w:rsidRPr="00A82F8F" w:rsidRDefault="00514814" w:rsidP="009D5584">
            <w:pPr>
              <w:spacing w:after="0" w:line="240" w:lineRule="auto"/>
              <w:rPr>
                <w:rFonts w:ascii="Calibri" w:hAnsi="Calibri"/>
                <w:sz w:val="20"/>
                <w:szCs w:val="20"/>
              </w:rPr>
            </w:pPr>
            <w:r w:rsidRPr="00A82F8F">
              <w:rPr>
                <w:rFonts w:ascii="Calibri" w:hAnsi="Calibri"/>
                <w:sz w:val="20"/>
                <w:szCs w:val="20"/>
              </w:rPr>
              <w:t>CPI</w:t>
            </w:r>
          </w:p>
        </w:tc>
        <w:tc>
          <w:tcPr>
            <w:tcW w:w="1049" w:type="dxa"/>
            <w:vAlign w:val="center"/>
          </w:tcPr>
          <w:p w:rsidR="00514814" w:rsidRPr="00163D95" w:rsidRDefault="00514814" w:rsidP="009D5584">
            <w:pPr>
              <w:spacing w:after="0" w:line="240" w:lineRule="auto"/>
              <w:jc w:val="center"/>
              <w:rPr>
                <w:rFonts w:ascii="Calibri" w:hAnsi="Calibri"/>
                <w:sz w:val="20"/>
                <w:szCs w:val="20"/>
              </w:rPr>
            </w:pPr>
            <w:r w:rsidRPr="00163D95">
              <w:rPr>
                <w:rFonts w:ascii="Calibri" w:hAnsi="Calibri"/>
                <w:sz w:val="20"/>
                <w:szCs w:val="20"/>
              </w:rPr>
              <w:t>698</w:t>
            </w:r>
          </w:p>
        </w:tc>
        <w:tc>
          <w:tcPr>
            <w:tcW w:w="918" w:type="dxa"/>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75.2</w:t>
            </w:r>
          </w:p>
        </w:tc>
        <w:tc>
          <w:tcPr>
            <w:tcW w:w="919" w:type="dxa"/>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74.3</w:t>
            </w:r>
          </w:p>
        </w:tc>
        <w:tc>
          <w:tcPr>
            <w:tcW w:w="919" w:type="dxa"/>
            <w:vAlign w:val="center"/>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79</w:t>
            </w:r>
          </w:p>
        </w:tc>
        <w:tc>
          <w:tcPr>
            <w:tcW w:w="919" w:type="dxa"/>
            <w:vAlign w:val="center"/>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83.3</w:t>
            </w:r>
          </w:p>
        </w:tc>
        <w:tc>
          <w:tcPr>
            <w:tcW w:w="1126" w:type="dxa"/>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8.1</w:t>
            </w:r>
          </w:p>
        </w:tc>
        <w:tc>
          <w:tcPr>
            <w:tcW w:w="990" w:type="dxa"/>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4.3</w:t>
            </w:r>
          </w:p>
        </w:tc>
      </w:tr>
      <w:tr w:rsidR="00514814" w:rsidRPr="009066CB" w:rsidTr="009D5584">
        <w:tc>
          <w:tcPr>
            <w:tcW w:w="461" w:type="dxa"/>
            <w:vMerge/>
            <w:vAlign w:val="center"/>
          </w:tcPr>
          <w:p w:rsidR="00514814" w:rsidRPr="00164FBF" w:rsidRDefault="00514814" w:rsidP="009D5584">
            <w:pPr>
              <w:spacing w:after="0" w:line="240" w:lineRule="auto"/>
              <w:jc w:val="center"/>
              <w:rPr>
                <w:rFonts w:ascii="Calibri" w:hAnsi="Calibri"/>
                <w:sz w:val="20"/>
                <w:szCs w:val="20"/>
              </w:rPr>
            </w:pPr>
          </w:p>
        </w:tc>
        <w:tc>
          <w:tcPr>
            <w:tcW w:w="757" w:type="dxa"/>
            <w:vMerge/>
            <w:vAlign w:val="center"/>
          </w:tcPr>
          <w:p w:rsidR="00514814" w:rsidRPr="00A82F8F" w:rsidRDefault="00514814" w:rsidP="009D5584">
            <w:pPr>
              <w:spacing w:after="0" w:line="240" w:lineRule="auto"/>
              <w:jc w:val="center"/>
              <w:rPr>
                <w:rFonts w:ascii="Calibri" w:hAnsi="Calibri"/>
                <w:sz w:val="20"/>
                <w:szCs w:val="20"/>
              </w:rPr>
            </w:pPr>
          </w:p>
        </w:tc>
        <w:tc>
          <w:tcPr>
            <w:tcW w:w="870" w:type="dxa"/>
          </w:tcPr>
          <w:p w:rsidR="00514814" w:rsidRPr="00A82F8F" w:rsidRDefault="00514814" w:rsidP="009D5584">
            <w:pPr>
              <w:spacing w:after="0" w:line="240" w:lineRule="auto"/>
              <w:rPr>
                <w:rFonts w:ascii="Calibri" w:hAnsi="Calibri"/>
                <w:sz w:val="20"/>
                <w:szCs w:val="20"/>
              </w:rPr>
            </w:pPr>
            <w:r w:rsidRPr="00A82F8F">
              <w:rPr>
                <w:rFonts w:ascii="Calibri" w:hAnsi="Calibri"/>
                <w:sz w:val="20"/>
                <w:szCs w:val="20"/>
              </w:rPr>
              <w:t>P+</w:t>
            </w:r>
          </w:p>
        </w:tc>
        <w:tc>
          <w:tcPr>
            <w:tcW w:w="1049" w:type="dxa"/>
            <w:vAlign w:val="center"/>
          </w:tcPr>
          <w:p w:rsidR="00514814" w:rsidRPr="00163D95" w:rsidRDefault="00514814" w:rsidP="009D5584">
            <w:pPr>
              <w:spacing w:after="0" w:line="240" w:lineRule="auto"/>
              <w:jc w:val="center"/>
              <w:rPr>
                <w:rFonts w:ascii="Calibri" w:hAnsi="Calibri"/>
                <w:sz w:val="20"/>
                <w:szCs w:val="20"/>
              </w:rPr>
            </w:pPr>
            <w:r w:rsidRPr="00163D95">
              <w:rPr>
                <w:rFonts w:ascii="Calibri" w:hAnsi="Calibri"/>
                <w:sz w:val="20"/>
                <w:szCs w:val="20"/>
              </w:rPr>
              <w:t>698</w:t>
            </w:r>
          </w:p>
        </w:tc>
        <w:tc>
          <w:tcPr>
            <w:tcW w:w="918" w:type="dxa"/>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50%</w:t>
            </w:r>
          </w:p>
        </w:tc>
        <w:tc>
          <w:tcPr>
            <w:tcW w:w="919" w:type="dxa"/>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45%</w:t>
            </w:r>
          </w:p>
        </w:tc>
        <w:tc>
          <w:tcPr>
            <w:tcW w:w="919" w:type="dxa"/>
            <w:vAlign w:val="center"/>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54%</w:t>
            </w:r>
          </w:p>
        </w:tc>
        <w:tc>
          <w:tcPr>
            <w:tcW w:w="919" w:type="dxa"/>
            <w:vAlign w:val="center"/>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61%</w:t>
            </w:r>
          </w:p>
        </w:tc>
        <w:tc>
          <w:tcPr>
            <w:tcW w:w="1126" w:type="dxa"/>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11%</w:t>
            </w:r>
          </w:p>
        </w:tc>
        <w:tc>
          <w:tcPr>
            <w:tcW w:w="990" w:type="dxa"/>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7%</w:t>
            </w:r>
          </w:p>
        </w:tc>
      </w:tr>
      <w:tr w:rsidR="00514814" w:rsidRPr="009066CB" w:rsidTr="009D5584">
        <w:tc>
          <w:tcPr>
            <w:tcW w:w="461" w:type="dxa"/>
            <w:vMerge/>
            <w:vAlign w:val="center"/>
          </w:tcPr>
          <w:p w:rsidR="00514814" w:rsidRPr="00164FBF" w:rsidRDefault="00514814" w:rsidP="009D5584">
            <w:pPr>
              <w:spacing w:after="0" w:line="240" w:lineRule="auto"/>
              <w:jc w:val="center"/>
              <w:rPr>
                <w:rFonts w:ascii="Calibri" w:hAnsi="Calibri"/>
                <w:sz w:val="20"/>
                <w:szCs w:val="20"/>
              </w:rPr>
            </w:pPr>
          </w:p>
        </w:tc>
        <w:tc>
          <w:tcPr>
            <w:tcW w:w="757" w:type="dxa"/>
            <w:vMerge/>
            <w:vAlign w:val="center"/>
          </w:tcPr>
          <w:p w:rsidR="00514814" w:rsidRPr="00A82F8F" w:rsidRDefault="00514814" w:rsidP="009D5584">
            <w:pPr>
              <w:spacing w:after="0" w:line="240" w:lineRule="auto"/>
              <w:jc w:val="center"/>
              <w:rPr>
                <w:rFonts w:ascii="Calibri" w:hAnsi="Calibri"/>
                <w:sz w:val="20"/>
                <w:szCs w:val="20"/>
              </w:rPr>
            </w:pPr>
          </w:p>
        </w:tc>
        <w:tc>
          <w:tcPr>
            <w:tcW w:w="870" w:type="dxa"/>
          </w:tcPr>
          <w:p w:rsidR="00514814" w:rsidRPr="00A82F8F" w:rsidRDefault="00514814" w:rsidP="009D5584">
            <w:pPr>
              <w:spacing w:after="0" w:line="240" w:lineRule="auto"/>
              <w:rPr>
                <w:rFonts w:ascii="Calibri" w:hAnsi="Calibri"/>
                <w:sz w:val="20"/>
                <w:szCs w:val="20"/>
              </w:rPr>
            </w:pPr>
            <w:r w:rsidRPr="00A82F8F">
              <w:rPr>
                <w:rFonts w:ascii="Calibri" w:hAnsi="Calibri"/>
                <w:sz w:val="20"/>
                <w:szCs w:val="20"/>
              </w:rPr>
              <w:t>SGP</w:t>
            </w:r>
          </w:p>
        </w:tc>
        <w:tc>
          <w:tcPr>
            <w:tcW w:w="1049" w:type="dxa"/>
            <w:vAlign w:val="center"/>
          </w:tcPr>
          <w:p w:rsidR="00514814" w:rsidRPr="00163D95" w:rsidRDefault="00514814" w:rsidP="009D5584">
            <w:pPr>
              <w:spacing w:after="0" w:line="240" w:lineRule="auto"/>
              <w:jc w:val="center"/>
              <w:rPr>
                <w:rFonts w:ascii="Calibri" w:hAnsi="Calibri"/>
                <w:sz w:val="20"/>
                <w:szCs w:val="20"/>
              </w:rPr>
            </w:pPr>
            <w:r w:rsidRPr="00163D95">
              <w:rPr>
                <w:rFonts w:ascii="Calibri" w:hAnsi="Calibri"/>
                <w:sz w:val="20"/>
                <w:szCs w:val="20"/>
              </w:rPr>
              <w:t>628</w:t>
            </w:r>
          </w:p>
        </w:tc>
        <w:tc>
          <w:tcPr>
            <w:tcW w:w="918" w:type="dxa"/>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57.0</w:t>
            </w:r>
          </w:p>
        </w:tc>
        <w:tc>
          <w:tcPr>
            <w:tcW w:w="919" w:type="dxa"/>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54.0</w:t>
            </w:r>
          </w:p>
        </w:tc>
        <w:tc>
          <w:tcPr>
            <w:tcW w:w="919" w:type="dxa"/>
            <w:vAlign w:val="center"/>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56.0</w:t>
            </w:r>
          </w:p>
        </w:tc>
        <w:tc>
          <w:tcPr>
            <w:tcW w:w="919" w:type="dxa"/>
            <w:vAlign w:val="center"/>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61.0</w:t>
            </w:r>
          </w:p>
        </w:tc>
        <w:tc>
          <w:tcPr>
            <w:tcW w:w="1126" w:type="dxa"/>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4.0</w:t>
            </w:r>
          </w:p>
        </w:tc>
        <w:tc>
          <w:tcPr>
            <w:tcW w:w="990" w:type="dxa"/>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5.0</w:t>
            </w:r>
          </w:p>
        </w:tc>
      </w:tr>
      <w:tr w:rsidR="00514814" w:rsidRPr="009066CB" w:rsidTr="009D5584">
        <w:tc>
          <w:tcPr>
            <w:tcW w:w="461" w:type="dxa"/>
            <w:vMerge/>
            <w:vAlign w:val="center"/>
          </w:tcPr>
          <w:p w:rsidR="00514814" w:rsidRPr="00164FBF" w:rsidRDefault="00514814" w:rsidP="009D5584">
            <w:pPr>
              <w:spacing w:after="0" w:line="240" w:lineRule="auto"/>
              <w:jc w:val="center"/>
              <w:rPr>
                <w:rFonts w:ascii="Calibri" w:hAnsi="Calibri"/>
                <w:sz w:val="20"/>
                <w:szCs w:val="20"/>
              </w:rPr>
            </w:pPr>
          </w:p>
        </w:tc>
        <w:tc>
          <w:tcPr>
            <w:tcW w:w="757" w:type="dxa"/>
            <w:vMerge w:val="restart"/>
            <w:shd w:val="clear" w:color="auto" w:fill="D9D9D9" w:themeFill="background1" w:themeFillShade="D9"/>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PARCC</w:t>
            </w:r>
          </w:p>
        </w:tc>
        <w:tc>
          <w:tcPr>
            <w:tcW w:w="870" w:type="dxa"/>
            <w:shd w:val="clear" w:color="auto" w:fill="D9D9D9" w:themeFill="background1" w:themeFillShade="D9"/>
          </w:tcPr>
          <w:p w:rsidR="00514814" w:rsidRPr="00A82F8F" w:rsidRDefault="00514814" w:rsidP="009D5584">
            <w:pPr>
              <w:spacing w:after="0" w:line="240" w:lineRule="auto"/>
              <w:rPr>
                <w:rFonts w:ascii="Calibri" w:hAnsi="Calibri"/>
                <w:sz w:val="20"/>
                <w:szCs w:val="20"/>
              </w:rPr>
            </w:pPr>
            <w:r w:rsidRPr="00A82F8F">
              <w:rPr>
                <w:rFonts w:ascii="Calibri" w:hAnsi="Calibri"/>
                <w:sz w:val="20"/>
                <w:szCs w:val="20"/>
              </w:rPr>
              <w:t>CPI</w:t>
            </w:r>
          </w:p>
        </w:tc>
        <w:tc>
          <w:tcPr>
            <w:tcW w:w="1049" w:type="dxa"/>
            <w:shd w:val="clear" w:color="auto" w:fill="D9D9D9" w:themeFill="background1" w:themeFillShade="D9"/>
            <w:vAlign w:val="bottom"/>
          </w:tcPr>
          <w:p w:rsidR="00514814" w:rsidRPr="00163D95" w:rsidRDefault="00514814" w:rsidP="009D5584">
            <w:pPr>
              <w:spacing w:after="0" w:line="240" w:lineRule="auto"/>
              <w:jc w:val="center"/>
              <w:rPr>
                <w:rFonts w:ascii="Calibri" w:hAnsi="Calibri"/>
                <w:sz w:val="20"/>
                <w:szCs w:val="20"/>
              </w:rPr>
            </w:pPr>
            <w:r w:rsidRPr="00163D95">
              <w:rPr>
                <w:rFonts w:ascii="Calibri" w:hAnsi="Calibri"/>
                <w:sz w:val="20"/>
                <w:szCs w:val="20"/>
              </w:rPr>
              <w:t>1,059</w:t>
            </w:r>
          </w:p>
        </w:tc>
        <w:tc>
          <w:tcPr>
            <w:tcW w:w="918" w:type="dxa"/>
            <w:shd w:val="clear" w:color="auto" w:fill="D9D9D9" w:themeFill="background1" w:themeFillShade="D9"/>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75.2</w:t>
            </w:r>
          </w:p>
        </w:tc>
        <w:tc>
          <w:tcPr>
            <w:tcW w:w="919" w:type="dxa"/>
            <w:shd w:val="clear" w:color="auto" w:fill="D9D9D9" w:themeFill="background1" w:themeFillShade="D9"/>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74.3</w:t>
            </w:r>
          </w:p>
        </w:tc>
        <w:tc>
          <w:tcPr>
            <w:tcW w:w="919" w:type="dxa"/>
            <w:shd w:val="clear" w:color="auto" w:fill="D9D9D9" w:themeFill="background1" w:themeFillShade="D9"/>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72.8</w:t>
            </w:r>
          </w:p>
        </w:tc>
        <w:tc>
          <w:tcPr>
            <w:tcW w:w="919" w:type="dxa"/>
            <w:shd w:val="clear" w:color="auto" w:fill="D9D9D9" w:themeFill="background1" w:themeFillShade="D9"/>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78.7</w:t>
            </w:r>
          </w:p>
        </w:tc>
        <w:tc>
          <w:tcPr>
            <w:tcW w:w="1126" w:type="dxa"/>
            <w:shd w:val="clear" w:color="auto" w:fill="D9D9D9" w:themeFill="background1" w:themeFillShade="D9"/>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3.5</w:t>
            </w:r>
          </w:p>
        </w:tc>
        <w:tc>
          <w:tcPr>
            <w:tcW w:w="990" w:type="dxa"/>
            <w:shd w:val="clear" w:color="auto" w:fill="D9D9D9" w:themeFill="background1" w:themeFillShade="D9"/>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5.9</w:t>
            </w:r>
          </w:p>
        </w:tc>
      </w:tr>
      <w:tr w:rsidR="00514814" w:rsidRPr="009066CB" w:rsidTr="009D5584">
        <w:tc>
          <w:tcPr>
            <w:tcW w:w="461" w:type="dxa"/>
            <w:vMerge/>
            <w:vAlign w:val="center"/>
          </w:tcPr>
          <w:p w:rsidR="00514814" w:rsidRPr="00164FBF" w:rsidRDefault="00514814" w:rsidP="009D5584">
            <w:pPr>
              <w:spacing w:after="0" w:line="240" w:lineRule="auto"/>
              <w:jc w:val="center"/>
              <w:rPr>
                <w:rFonts w:ascii="Calibri" w:hAnsi="Calibri"/>
                <w:sz w:val="20"/>
                <w:szCs w:val="20"/>
              </w:rPr>
            </w:pPr>
          </w:p>
        </w:tc>
        <w:tc>
          <w:tcPr>
            <w:tcW w:w="757" w:type="dxa"/>
            <w:vMerge/>
            <w:shd w:val="clear" w:color="auto" w:fill="D9D9D9" w:themeFill="background1" w:themeFillShade="D9"/>
            <w:vAlign w:val="center"/>
          </w:tcPr>
          <w:p w:rsidR="00514814" w:rsidRPr="00A82F8F" w:rsidRDefault="00514814" w:rsidP="009D5584">
            <w:pPr>
              <w:spacing w:after="0" w:line="240" w:lineRule="auto"/>
              <w:jc w:val="center"/>
              <w:rPr>
                <w:rFonts w:ascii="Calibri" w:hAnsi="Calibri"/>
                <w:sz w:val="20"/>
                <w:szCs w:val="20"/>
              </w:rPr>
            </w:pPr>
          </w:p>
        </w:tc>
        <w:tc>
          <w:tcPr>
            <w:tcW w:w="870" w:type="dxa"/>
            <w:shd w:val="clear" w:color="auto" w:fill="D9D9D9" w:themeFill="background1" w:themeFillShade="D9"/>
          </w:tcPr>
          <w:p w:rsidR="00514814" w:rsidRPr="00A82F8F" w:rsidRDefault="00514814" w:rsidP="009D5584">
            <w:pPr>
              <w:spacing w:after="0" w:line="240" w:lineRule="auto"/>
              <w:rPr>
                <w:rFonts w:ascii="Calibri" w:hAnsi="Calibri"/>
                <w:sz w:val="20"/>
                <w:szCs w:val="20"/>
              </w:rPr>
            </w:pPr>
            <w:r w:rsidRPr="00A82F8F">
              <w:rPr>
                <w:rFonts w:ascii="Calibri" w:hAnsi="Calibri"/>
                <w:sz w:val="20"/>
                <w:szCs w:val="20"/>
              </w:rPr>
              <w:t>Lv 4&amp;5</w:t>
            </w:r>
          </w:p>
        </w:tc>
        <w:tc>
          <w:tcPr>
            <w:tcW w:w="1049" w:type="dxa"/>
            <w:shd w:val="clear" w:color="auto" w:fill="D9D9D9" w:themeFill="background1" w:themeFillShade="D9"/>
            <w:vAlign w:val="bottom"/>
          </w:tcPr>
          <w:p w:rsidR="00514814" w:rsidRPr="00163D95" w:rsidRDefault="00514814" w:rsidP="009D5584">
            <w:pPr>
              <w:spacing w:after="0" w:line="240" w:lineRule="auto"/>
              <w:jc w:val="center"/>
              <w:rPr>
                <w:rFonts w:ascii="Calibri" w:hAnsi="Calibri"/>
                <w:sz w:val="20"/>
                <w:szCs w:val="20"/>
              </w:rPr>
            </w:pPr>
            <w:r w:rsidRPr="00163D95">
              <w:rPr>
                <w:rFonts w:ascii="Calibri" w:hAnsi="Calibri"/>
                <w:sz w:val="20"/>
                <w:szCs w:val="20"/>
              </w:rPr>
              <w:t>1,023</w:t>
            </w:r>
          </w:p>
        </w:tc>
        <w:tc>
          <w:tcPr>
            <w:tcW w:w="918" w:type="dxa"/>
            <w:shd w:val="clear" w:color="auto" w:fill="D9D9D9" w:themeFill="background1" w:themeFillShade="D9"/>
            <w:vAlign w:val="bottom"/>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w:t>
            </w:r>
          </w:p>
        </w:tc>
        <w:tc>
          <w:tcPr>
            <w:tcW w:w="919" w:type="dxa"/>
            <w:shd w:val="clear" w:color="auto" w:fill="D9D9D9" w:themeFill="background1" w:themeFillShade="D9"/>
            <w:vAlign w:val="bottom"/>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w:t>
            </w:r>
          </w:p>
        </w:tc>
        <w:tc>
          <w:tcPr>
            <w:tcW w:w="919" w:type="dxa"/>
            <w:shd w:val="clear" w:color="auto" w:fill="D9D9D9" w:themeFill="background1" w:themeFillShade="D9"/>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36%</w:t>
            </w:r>
          </w:p>
        </w:tc>
        <w:tc>
          <w:tcPr>
            <w:tcW w:w="919" w:type="dxa"/>
            <w:shd w:val="clear" w:color="auto" w:fill="D9D9D9" w:themeFill="background1" w:themeFillShade="D9"/>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41%</w:t>
            </w:r>
          </w:p>
        </w:tc>
        <w:tc>
          <w:tcPr>
            <w:tcW w:w="1126" w:type="dxa"/>
            <w:shd w:val="clear" w:color="auto" w:fill="D9D9D9" w:themeFill="background1" w:themeFillShade="D9"/>
          </w:tcPr>
          <w:p w:rsidR="00514814" w:rsidRPr="00AA580B" w:rsidRDefault="00514814" w:rsidP="009D5584">
            <w:pPr>
              <w:spacing w:after="0" w:line="240" w:lineRule="auto"/>
              <w:jc w:val="center"/>
              <w:rPr>
                <w:rFonts w:ascii="Calibri" w:hAnsi="Calibri"/>
                <w:sz w:val="20"/>
                <w:szCs w:val="20"/>
              </w:rPr>
            </w:pPr>
            <w:r>
              <w:rPr>
                <w:rFonts w:ascii="Calibri" w:hAnsi="Calibri"/>
                <w:sz w:val="20"/>
                <w:szCs w:val="20"/>
              </w:rPr>
              <w:t>--</w:t>
            </w:r>
          </w:p>
        </w:tc>
        <w:tc>
          <w:tcPr>
            <w:tcW w:w="990" w:type="dxa"/>
            <w:shd w:val="clear" w:color="auto" w:fill="D9D9D9" w:themeFill="background1" w:themeFillShade="D9"/>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5%</w:t>
            </w:r>
          </w:p>
        </w:tc>
      </w:tr>
      <w:tr w:rsidR="00514814" w:rsidRPr="009066CB" w:rsidTr="009D5584">
        <w:tc>
          <w:tcPr>
            <w:tcW w:w="461" w:type="dxa"/>
            <w:vMerge/>
            <w:vAlign w:val="center"/>
          </w:tcPr>
          <w:p w:rsidR="00514814" w:rsidRPr="00164FBF" w:rsidRDefault="00514814" w:rsidP="009D5584">
            <w:pPr>
              <w:spacing w:after="0" w:line="240" w:lineRule="auto"/>
              <w:jc w:val="center"/>
              <w:rPr>
                <w:rFonts w:ascii="Calibri" w:hAnsi="Calibri"/>
                <w:sz w:val="20"/>
                <w:szCs w:val="20"/>
              </w:rPr>
            </w:pPr>
          </w:p>
        </w:tc>
        <w:tc>
          <w:tcPr>
            <w:tcW w:w="757" w:type="dxa"/>
            <w:vMerge/>
            <w:shd w:val="clear" w:color="auto" w:fill="D9D9D9" w:themeFill="background1" w:themeFillShade="D9"/>
            <w:vAlign w:val="center"/>
          </w:tcPr>
          <w:p w:rsidR="00514814" w:rsidRPr="00A82F8F" w:rsidRDefault="00514814" w:rsidP="009D5584">
            <w:pPr>
              <w:spacing w:after="0" w:line="240" w:lineRule="auto"/>
              <w:jc w:val="center"/>
              <w:rPr>
                <w:rFonts w:ascii="Calibri" w:hAnsi="Calibri"/>
                <w:sz w:val="20"/>
                <w:szCs w:val="20"/>
              </w:rPr>
            </w:pPr>
          </w:p>
        </w:tc>
        <w:tc>
          <w:tcPr>
            <w:tcW w:w="870" w:type="dxa"/>
            <w:shd w:val="clear" w:color="auto" w:fill="D9D9D9" w:themeFill="background1" w:themeFillShade="D9"/>
          </w:tcPr>
          <w:p w:rsidR="00514814" w:rsidRPr="00A82F8F" w:rsidRDefault="00514814" w:rsidP="009D5584">
            <w:pPr>
              <w:spacing w:after="0" w:line="240" w:lineRule="auto"/>
              <w:rPr>
                <w:rFonts w:ascii="Calibri" w:hAnsi="Calibri"/>
                <w:sz w:val="20"/>
                <w:szCs w:val="20"/>
              </w:rPr>
            </w:pPr>
            <w:r w:rsidRPr="00A82F8F">
              <w:rPr>
                <w:rFonts w:ascii="Calibri" w:hAnsi="Calibri"/>
                <w:sz w:val="20"/>
                <w:szCs w:val="20"/>
              </w:rPr>
              <w:t>SGP</w:t>
            </w:r>
          </w:p>
        </w:tc>
        <w:tc>
          <w:tcPr>
            <w:tcW w:w="1049" w:type="dxa"/>
            <w:shd w:val="clear" w:color="auto" w:fill="D9D9D9" w:themeFill="background1" w:themeFillShade="D9"/>
            <w:vAlign w:val="bottom"/>
          </w:tcPr>
          <w:p w:rsidR="00514814" w:rsidRPr="00163D95" w:rsidRDefault="00514814" w:rsidP="009D5584">
            <w:pPr>
              <w:spacing w:after="0" w:line="240" w:lineRule="auto"/>
              <w:jc w:val="center"/>
              <w:rPr>
                <w:rFonts w:ascii="Calibri" w:hAnsi="Calibri"/>
                <w:sz w:val="20"/>
                <w:szCs w:val="20"/>
              </w:rPr>
            </w:pPr>
            <w:r w:rsidRPr="00163D95">
              <w:rPr>
                <w:rFonts w:ascii="Calibri" w:hAnsi="Calibri"/>
                <w:sz w:val="20"/>
                <w:szCs w:val="20"/>
              </w:rPr>
              <w:t>902</w:t>
            </w:r>
          </w:p>
        </w:tc>
        <w:tc>
          <w:tcPr>
            <w:tcW w:w="918" w:type="dxa"/>
            <w:shd w:val="clear" w:color="auto" w:fill="D9D9D9" w:themeFill="background1" w:themeFillShade="D9"/>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57.0</w:t>
            </w:r>
          </w:p>
        </w:tc>
        <w:tc>
          <w:tcPr>
            <w:tcW w:w="919" w:type="dxa"/>
            <w:shd w:val="clear" w:color="auto" w:fill="D9D9D9" w:themeFill="background1" w:themeFillShade="D9"/>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54.0</w:t>
            </w:r>
          </w:p>
        </w:tc>
        <w:tc>
          <w:tcPr>
            <w:tcW w:w="919" w:type="dxa"/>
            <w:shd w:val="clear" w:color="auto" w:fill="D9D9D9" w:themeFill="background1" w:themeFillShade="D9"/>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49.0</w:t>
            </w:r>
          </w:p>
        </w:tc>
        <w:tc>
          <w:tcPr>
            <w:tcW w:w="919" w:type="dxa"/>
            <w:shd w:val="clear" w:color="auto" w:fill="D9D9D9" w:themeFill="background1" w:themeFillShade="D9"/>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59.0</w:t>
            </w:r>
          </w:p>
        </w:tc>
        <w:tc>
          <w:tcPr>
            <w:tcW w:w="1126" w:type="dxa"/>
            <w:shd w:val="clear" w:color="auto" w:fill="D9D9D9" w:themeFill="background1" w:themeFillShade="D9"/>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2.0</w:t>
            </w:r>
          </w:p>
        </w:tc>
        <w:tc>
          <w:tcPr>
            <w:tcW w:w="990" w:type="dxa"/>
            <w:shd w:val="clear" w:color="auto" w:fill="D9D9D9" w:themeFill="background1" w:themeFillShade="D9"/>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10.0</w:t>
            </w:r>
          </w:p>
        </w:tc>
      </w:tr>
      <w:tr w:rsidR="00514814" w:rsidRPr="009066CB" w:rsidTr="009D5584">
        <w:tc>
          <w:tcPr>
            <w:tcW w:w="461" w:type="dxa"/>
            <w:vMerge w:val="restart"/>
            <w:vAlign w:val="center"/>
          </w:tcPr>
          <w:p w:rsidR="00514814" w:rsidRPr="00164FBF" w:rsidRDefault="00514814" w:rsidP="009D5584">
            <w:pPr>
              <w:spacing w:after="0" w:line="240" w:lineRule="auto"/>
              <w:jc w:val="center"/>
              <w:rPr>
                <w:rFonts w:ascii="Calibri" w:hAnsi="Calibri"/>
                <w:sz w:val="20"/>
                <w:szCs w:val="20"/>
              </w:rPr>
            </w:pPr>
            <w:r w:rsidRPr="00164FBF">
              <w:rPr>
                <w:rFonts w:ascii="Calibri" w:hAnsi="Calibri"/>
                <w:sz w:val="20"/>
                <w:szCs w:val="20"/>
              </w:rPr>
              <w:t>6</w:t>
            </w:r>
          </w:p>
        </w:tc>
        <w:tc>
          <w:tcPr>
            <w:tcW w:w="757" w:type="dxa"/>
            <w:vMerge w:val="restart"/>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MCAS</w:t>
            </w:r>
          </w:p>
        </w:tc>
        <w:tc>
          <w:tcPr>
            <w:tcW w:w="870" w:type="dxa"/>
          </w:tcPr>
          <w:p w:rsidR="00514814" w:rsidRPr="00A82F8F" w:rsidRDefault="00514814" w:rsidP="009D5584">
            <w:pPr>
              <w:spacing w:after="0" w:line="240" w:lineRule="auto"/>
              <w:rPr>
                <w:rFonts w:ascii="Calibri" w:hAnsi="Calibri"/>
                <w:sz w:val="20"/>
                <w:szCs w:val="20"/>
              </w:rPr>
            </w:pPr>
            <w:r w:rsidRPr="00A82F8F">
              <w:rPr>
                <w:rFonts w:ascii="Calibri" w:hAnsi="Calibri"/>
                <w:sz w:val="20"/>
                <w:szCs w:val="20"/>
              </w:rPr>
              <w:t>CPI</w:t>
            </w:r>
          </w:p>
        </w:tc>
        <w:tc>
          <w:tcPr>
            <w:tcW w:w="1049" w:type="dxa"/>
            <w:vAlign w:val="center"/>
          </w:tcPr>
          <w:p w:rsidR="00514814" w:rsidRPr="00163D95" w:rsidRDefault="00514814" w:rsidP="009D5584">
            <w:pPr>
              <w:spacing w:after="0" w:line="240" w:lineRule="auto"/>
              <w:jc w:val="center"/>
              <w:rPr>
                <w:rFonts w:ascii="Calibri" w:hAnsi="Calibri"/>
                <w:sz w:val="20"/>
                <w:szCs w:val="20"/>
              </w:rPr>
            </w:pPr>
            <w:r w:rsidRPr="00163D95">
              <w:rPr>
                <w:rFonts w:ascii="Calibri" w:hAnsi="Calibri"/>
                <w:sz w:val="20"/>
                <w:szCs w:val="20"/>
              </w:rPr>
              <w:t>637</w:t>
            </w:r>
          </w:p>
        </w:tc>
        <w:tc>
          <w:tcPr>
            <w:tcW w:w="918" w:type="dxa"/>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76.9</w:t>
            </w:r>
          </w:p>
        </w:tc>
        <w:tc>
          <w:tcPr>
            <w:tcW w:w="919" w:type="dxa"/>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79.6</w:t>
            </w:r>
          </w:p>
        </w:tc>
        <w:tc>
          <w:tcPr>
            <w:tcW w:w="919" w:type="dxa"/>
            <w:vAlign w:val="center"/>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83.4</w:t>
            </w:r>
          </w:p>
        </w:tc>
        <w:tc>
          <w:tcPr>
            <w:tcW w:w="919" w:type="dxa"/>
            <w:vAlign w:val="center"/>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82.1</w:t>
            </w:r>
          </w:p>
        </w:tc>
        <w:tc>
          <w:tcPr>
            <w:tcW w:w="1126" w:type="dxa"/>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5.2</w:t>
            </w:r>
          </w:p>
        </w:tc>
        <w:tc>
          <w:tcPr>
            <w:tcW w:w="990" w:type="dxa"/>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-1.3</w:t>
            </w:r>
          </w:p>
        </w:tc>
      </w:tr>
      <w:tr w:rsidR="00514814" w:rsidRPr="009066CB" w:rsidTr="009D5584">
        <w:tc>
          <w:tcPr>
            <w:tcW w:w="461" w:type="dxa"/>
            <w:vMerge/>
            <w:vAlign w:val="center"/>
          </w:tcPr>
          <w:p w:rsidR="00514814" w:rsidRPr="00164FBF" w:rsidRDefault="00514814" w:rsidP="009D5584">
            <w:pPr>
              <w:spacing w:after="0" w:line="240" w:lineRule="auto"/>
              <w:jc w:val="center"/>
              <w:rPr>
                <w:rFonts w:ascii="Calibri" w:hAnsi="Calibri"/>
                <w:sz w:val="20"/>
                <w:szCs w:val="20"/>
              </w:rPr>
            </w:pPr>
          </w:p>
        </w:tc>
        <w:tc>
          <w:tcPr>
            <w:tcW w:w="757" w:type="dxa"/>
            <w:vMerge/>
            <w:vAlign w:val="center"/>
          </w:tcPr>
          <w:p w:rsidR="00514814" w:rsidRPr="00A82F8F" w:rsidRDefault="00514814" w:rsidP="009D5584">
            <w:pPr>
              <w:spacing w:after="0" w:line="240" w:lineRule="auto"/>
              <w:jc w:val="center"/>
              <w:rPr>
                <w:rFonts w:ascii="Calibri" w:hAnsi="Calibri"/>
                <w:sz w:val="20"/>
                <w:szCs w:val="20"/>
              </w:rPr>
            </w:pPr>
          </w:p>
        </w:tc>
        <w:tc>
          <w:tcPr>
            <w:tcW w:w="870" w:type="dxa"/>
          </w:tcPr>
          <w:p w:rsidR="00514814" w:rsidRPr="00A82F8F" w:rsidRDefault="00514814" w:rsidP="009D5584">
            <w:pPr>
              <w:spacing w:after="0" w:line="240" w:lineRule="auto"/>
              <w:rPr>
                <w:rFonts w:ascii="Calibri" w:hAnsi="Calibri"/>
                <w:sz w:val="20"/>
                <w:szCs w:val="20"/>
              </w:rPr>
            </w:pPr>
            <w:r w:rsidRPr="00A82F8F">
              <w:rPr>
                <w:rFonts w:ascii="Calibri" w:hAnsi="Calibri"/>
                <w:sz w:val="20"/>
                <w:szCs w:val="20"/>
              </w:rPr>
              <w:t>P+</w:t>
            </w:r>
          </w:p>
        </w:tc>
        <w:tc>
          <w:tcPr>
            <w:tcW w:w="1049" w:type="dxa"/>
            <w:vAlign w:val="center"/>
          </w:tcPr>
          <w:p w:rsidR="00514814" w:rsidRPr="00163D95" w:rsidRDefault="00514814" w:rsidP="009D5584">
            <w:pPr>
              <w:spacing w:after="0" w:line="240" w:lineRule="auto"/>
              <w:jc w:val="center"/>
              <w:rPr>
                <w:rFonts w:ascii="Calibri" w:hAnsi="Calibri"/>
                <w:sz w:val="20"/>
                <w:szCs w:val="20"/>
              </w:rPr>
            </w:pPr>
            <w:r w:rsidRPr="00163D95">
              <w:rPr>
                <w:rFonts w:ascii="Calibri" w:hAnsi="Calibri"/>
                <w:sz w:val="20"/>
                <w:szCs w:val="20"/>
              </w:rPr>
              <w:t>637</w:t>
            </w:r>
          </w:p>
        </w:tc>
        <w:tc>
          <w:tcPr>
            <w:tcW w:w="918" w:type="dxa"/>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52%</w:t>
            </w:r>
          </w:p>
        </w:tc>
        <w:tc>
          <w:tcPr>
            <w:tcW w:w="919" w:type="dxa"/>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57%</w:t>
            </w:r>
          </w:p>
        </w:tc>
        <w:tc>
          <w:tcPr>
            <w:tcW w:w="919" w:type="dxa"/>
            <w:vAlign w:val="center"/>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63%</w:t>
            </w:r>
          </w:p>
        </w:tc>
        <w:tc>
          <w:tcPr>
            <w:tcW w:w="919" w:type="dxa"/>
            <w:vAlign w:val="center"/>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60%</w:t>
            </w:r>
          </w:p>
        </w:tc>
        <w:tc>
          <w:tcPr>
            <w:tcW w:w="1126" w:type="dxa"/>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8%</w:t>
            </w:r>
          </w:p>
        </w:tc>
        <w:tc>
          <w:tcPr>
            <w:tcW w:w="990" w:type="dxa"/>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-3%</w:t>
            </w:r>
          </w:p>
        </w:tc>
      </w:tr>
      <w:tr w:rsidR="00514814" w:rsidRPr="009066CB" w:rsidTr="009D5584">
        <w:tc>
          <w:tcPr>
            <w:tcW w:w="461" w:type="dxa"/>
            <w:vMerge/>
            <w:vAlign w:val="center"/>
          </w:tcPr>
          <w:p w:rsidR="00514814" w:rsidRPr="00164FBF" w:rsidRDefault="00514814" w:rsidP="009D5584">
            <w:pPr>
              <w:spacing w:after="0" w:line="240" w:lineRule="auto"/>
              <w:jc w:val="center"/>
              <w:rPr>
                <w:rFonts w:ascii="Calibri" w:hAnsi="Calibri"/>
                <w:sz w:val="20"/>
                <w:szCs w:val="20"/>
              </w:rPr>
            </w:pPr>
          </w:p>
        </w:tc>
        <w:tc>
          <w:tcPr>
            <w:tcW w:w="757" w:type="dxa"/>
            <w:vMerge/>
            <w:vAlign w:val="center"/>
          </w:tcPr>
          <w:p w:rsidR="00514814" w:rsidRPr="00A82F8F" w:rsidRDefault="00514814" w:rsidP="009D5584">
            <w:pPr>
              <w:spacing w:after="0" w:line="240" w:lineRule="auto"/>
              <w:jc w:val="center"/>
              <w:rPr>
                <w:rFonts w:ascii="Calibri" w:hAnsi="Calibri"/>
                <w:sz w:val="20"/>
                <w:szCs w:val="20"/>
              </w:rPr>
            </w:pPr>
          </w:p>
        </w:tc>
        <w:tc>
          <w:tcPr>
            <w:tcW w:w="870" w:type="dxa"/>
          </w:tcPr>
          <w:p w:rsidR="00514814" w:rsidRPr="00A82F8F" w:rsidRDefault="00514814" w:rsidP="009D5584">
            <w:pPr>
              <w:spacing w:after="0" w:line="240" w:lineRule="auto"/>
              <w:rPr>
                <w:rFonts w:ascii="Calibri" w:hAnsi="Calibri"/>
                <w:sz w:val="20"/>
                <w:szCs w:val="20"/>
              </w:rPr>
            </w:pPr>
            <w:r w:rsidRPr="00A82F8F">
              <w:rPr>
                <w:rFonts w:ascii="Calibri" w:hAnsi="Calibri"/>
                <w:sz w:val="20"/>
                <w:szCs w:val="20"/>
              </w:rPr>
              <w:t>SGP</w:t>
            </w:r>
          </w:p>
        </w:tc>
        <w:tc>
          <w:tcPr>
            <w:tcW w:w="1049" w:type="dxa"/>
            <w:vAlign w:val="center"/>
          </w:tcPr>
          <w:p w:rsidR="00514814" w:rsidRPr="00163D95" w:rsidRDefault="00514814" w:rsidP="009D5584">
            <w:pPr>
              <w:spacing w:after="0" w:line="240" w:lineRule="auto"/>
              <w:jc w:val="center"/>
              <w:rPr>
                <w:rFonts w:ascii="Calibri" w:hAnsi="Calibri"/>
                <w:sz w:val="20"/>
                <w:szCs w:val="20"/>
              </w:rPr>
            </w:pPr>
            <w:r w:rsidRPr="00163D95">
              <w:rPr>
                <w:rFonts w:ascii="Calibri" w:hAnsi="Calibri"/>
                <w:sz w:val="20"/>
                <w:szCs w:val="20"/>
              </w:rPr>
              <w:t>567</w:t>
            </w:r>
          </w:p>
        </w:tc>
        <w:tc>
          <w:tcPr>
            <w:tcW w:w="918" w:type="dxa"/>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56.0</w:t>
            </w:r>
          </w:p>
        </w:tc>
        <w:tc>
          <w:tcPr>
            <w:tcW w:w="919" w:type="dxa"/>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64.0</w:t>
            </w:r>
          </w:p>
        </w:tc>
        <w:tc>
          <w:tcPr>
            <w:tcW w:w="919" w:type="dxa"/>
            <w:vAlign w:val="center"/>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60.0</w:t>
            </w:r>
          </w:p>
        </w:tc>
        <w:tc>
          <w:tcPr>
            <w:tcW w:w="919" w:type="dxa"/>
            <w:vAlign w:val="center"/>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51.0</w:t>
            </w:r>
          </w:p>
        </w:tc>
        <w:tc>
          <w:tcPr>
            <w:tcW w:w="1126" w:type="dxa"/>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-5.0</w:t>
            </w:r>
          </w:p>
        </w:tc>
        <w:tc>
          <w:tcPr>
            <w:tcW w:w="990" w:type="dxa"/>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-9.0</w:t>
            </w:r>
          </w:p>
        </w:tc>
      </w:tr>
      <w:tr w:rsidR="00514814" w:rsidRPr="009066CB" w:rsidTr="009D5584">
        <w:tc>
          <w:tcPr>
            <w:tcW w:w="461" w:type="dxa"/>
            <w:vMerge/>
            <w:vAlign w:val="center"/>
          </w:tcPr>
          <w:p w:rsidR="00514814" w:rsidRPr="00164FBF" w:rsidRDefault="00514814" w:rsidP="009D5584">
            <w:pPr>
              <w:spacing w:after="0" w:line="240" w:lineRule="auto"/>
              <w:jc w:val="center"/>
              <w:rPr>
                <w:rFonts w:ascii="Calibri" w:hAnsi="Calibri"/>
                <w:sz w:val="20"/>
                <w:szCs w:val="20"/>
              </w:rPr>
            </w:pPr>
          </w:p>
        </w:tc>
        <w:tc>
          <w:tcPr>
            <w:tcW w:w="757" w:type="dxa"/>
            <w:vMerge w:val="restart"/>
            <w:shd w:val="clear" w:color="auto" w:fill="D9D9D9" w:themeFill="background1" w:themeFillShade="D9"/>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PARCC</w:t>
            </w:r>
          </w:p>
        </w:tc>
        <w:tc>
          <w:tcPr>
            <w:tcW w:w="870" w:type="dxa"/>
            <w:shd w:val="clear" w:color="auto" w:fill="D9D9D9" w:themeFill="background1" w:themeFillShade="D9"/>
          </w:tcPr>
          <w:p w:rsidR="00514814" w:rsidRPr="00A82F8F" w:rsidRDefault="00514814" w:rsidP="009D5584">
            <w:pPr>
              <w:spacing w:after="0" w:line="240" w:lineRule="auto"/>
              <w:rPr>
                <w:rFonts w:ascii="Calibri" w:hAnsi="Calibri"/>
                <w:sz w:val="20"/>
                <w:szCs w:val="20"/>
              </w:rPr>
            </w:pPr>
            <w:r w:rsidRPr="00A82F8F">
              <w:rPr>
                <w:rFonts w:ascii="Calibri" w:hAnsi="Calibri"/>
                <w:sz w:val="20"/>
                <w:szCs w:val="20"/>
              </w:rPr>
              <w:t>CPI</w:t>
            </w:r>
          </w:p>
        </w:tc>
        <w:tc>
          <w:tcPr>
            <w:tcW w:w="1049" w:type="dxa"/>
            <w:shd w:val="clear" w:color="auto" w:fill="D9D9D9" w:themeFill="background1" w:themeFillShade="D9"/>
            <w:vAlign w:val="bottom"/>
          </w:tcPr>
          <w:p w:rsidR="00514814" w:rsidRPr="00163D95" w:rsidRDefault="00514814" w:rsidP="009D5584">
            <w:pPr>
              <w:spacing w:after="0" w:line="240" w:lineRule="auto"/>
              <w:jc w:val="center"/>
              <w:rPr>
                <w:rFonts w:ascii="Calibri" w:hAnsi="Calibri"/>
                <w:sz w:val="20"/>
                <w:szCs w:val="20"/>
              </w:rPr>
            </w:pPr>
            <w:r w:rsidRPr="00163D95">
              <w:rPr>
                <w:rFonts w:ascii="Calibri" w:hAnsi="Calibri"/>
                <w:sz w:val="20"/>
                <w:szCs w:val="20"/>
              </w:rPr>
              <w:t>1,034</w:t>
            </w:r>
          </w:p>
        </w:tc>
        <w:tc>
          <w:tcPr>
            <w:tcW w:w="918" w:type="dxa"/>
            <w:shd w:val="clear" w:color="auto" w:fill="D9D9D9" w:themeFill="background1" w:themeFillShade="D9"/>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76.9</w:t>
            </w:r>
          </w:p>
        </w:tc>
        <w:tc>
          <w:tcPr>
            <w:tcW w:w="919" w:type="dxa"/>
            <w:shd w:val="clear" w:color="auto" w:fill="D9D9D9" w:themeFill="background1" w:themeFillShade="D9"/>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79.6</w:t>
            </w:r>
          </w:p>
        </w:tc>
        <w:tc>
          <w:tcPr>
            <w:tcW w:w="919" w:type="dxa"/>
            <w:shd w:val="clear" w:color="auto" w:fill="D9D9D9" w:themeFill="background1" w:themeFillShade="D9"/>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76.6</w:t>
            </w:r>
          </w:p>
        </w:tc>
        <w:tc>
          <w:tcPr>
            <w:tcW w:w="919" w:type="dxa"/>
            <w:shd w:val="clear" w:color="auto" w:fill="D9D9D9" w:themeFill="background1" w:themeFillShade="D9"/>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80.9</w:t>
            </w:r>
          </w:p>
        </w:tc>
        <w:tc>
          <w:tcPr>
            <w:tcW w:w="1126" w:type="dxa"/>
            <w:shd w:val="clear" w:color="auto" w:fill="D9D9D9" w:themeFill="background1" w:themeFillShade="D9"/>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4.0</w:t>
            </w:r>
          </w:p>
        </w:tc>
        <w:tc>
          <w:tcPr>
            <w:tcW w:w="990" w:type="dxa"/>
            <w:shd w:val="clear" w:color="auto" w:fill="D9D9D9" w:themeFill="background1" w:themeFillShade="D9"/>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4.3</w:t>
            </w:r>
          </w:p>
        </w:tc>
      </w:tr>
      <w:tr w:rsidR="00514814" w:rsidRPr="009066CB" w:rsidTr="009D5584">
        <w:tc>
          <w:tcPr>
            <w:tcW w:w="461" w:type="dxa"/>
            <w:vMerge/>
            <w:vAlign w:val="center"/>
          </w:tcPr>
          <w:p w:rsidR="00514814" w:rsidRPr="00164FBF" w:rsidRDefault="00514814" w:rsidP="009D5584">
            <w:pPr>
              <w:spacing w:after="0" w:line="240" w:lineRule="auto"/>
              <w:jc w:val="center"/>
              <w:rPr>
                <w:rFonts w:ascii="Calibri" w:hAnsi="Calibri"/>
                <w:sz w:val="20"/>
                <w:szCs w:val="20"/>
              </w:rPr>
            </w:pPr>
          </w:p>
        </w:tc>
        <w:tc>
          <w:tcPr>
            <w:tcW w:w="757" w:type="dxa"/>
            <w:vMerge/>
            <w:shd w:val="clear" w:color="auto" w:fill="D9D9D9" w:themeFill="background1" w:themeFillShade="D9"/>
            <w:vAlign w:val="center"/>
          </w:tcPr>
          <w:p w:rsidR="00514814" w:rsidRPr="00A82F8F" w:rsidRDefault="00514814" w:rsidP="009D5584">
            <w:pPr>
              <w:spacing w:after="0" w:line="240" w:lineRule="auto"/>
              <w:jc w:val="center"/>
              <w:rPr>
                <w:rFonts w:ascii="Calibri" w:hAnsi="Calibri"/>
                <w:sz w:val="20"/>
                <w:szCs w:val="20"/>
              </w:rPr>
            </w:pPr>
          </w:p>
        </w:tc>
        <w:tc>
          <w:tcPr>
            <w:tcW w:w="870" w:type="dxa"/>
            <w:shd w:val="clear" w:color="auto" w:fill="D9D9D9" w:themeFill="background1" w:themeFillShade="D9"/>
          </w:tcPr>
          <w:p w:rsidR="00514814" w:rsidRPr="00A82F8F" w:rsidRDefault="00514814" w:rsidP="009D5584">
            <w:pPr>
              <w:spacing w:after="0" w:line="240" w:lineRule="auto"/>
              <w:rPr>
                <w:rFonts w:ascii="Calibri" w:hAnsi="Calibri"/>
                <w:sz w:val="20"/>
                <w:szCs w:val="20"/>
              </w:rPr>
            </w:pPr>
            <w:r w:rsidRPr="00A82F8F">
              <w:rPr>
                <w:rFonts w:ascii="Calibri" w:hAnsi="Calibri"/>
                <w:sz w:val="20"/>
                <w:szCs w:val="20"/>
              </w:rPr>
              <w:t>Lv 4&amp;5</w:t>
            </w:r>
          </w:p>
        </w:tc>
        <w:tc>
          <w:tcPr>
            <w:tcW w:w="1049" w:type="dxa"/>
            <w:shd w:val="clear" w:color="auto" w:fill="D9D9D9" w:themeFill="background1" w:themeFillShade="D9"/>
            <w:vAlign w:val="bottom"/>
          </w:tcPr>
          <w:p w:rsidR="00514814" w:rsidRPr="00163D95" w:rsidRDefault="00514814" w:rsidP="009D5584">
            <w:pPr>
              <w:spacing w:after="0" w:line="240" w:lineRule="auto"/>
              <w:jc w:val="center"/>
              <w:rPr>
                <w:rFonts w:ascii="Calibri" w:hAnsi="Calibri"/>
                <w:sz w:val="20"/>
                <w:szCs w:val="20"/>
              </w:rPr>
            </w:pPr>
            <w:r w:rsidRPr="00163D95">
              <w:rPr>
                <w:rFonts w:ascii="Calibri" w:hAnsi="Calibri"/>
                <w:sz w:val="20"/>
                <w:szCs w:val="20"/>
              </w:rPr>
              <w:t>1,004</w:t>
            </w:r>
          </w:p>
        </w:tc>
        <w:tc>
          <w:tcPr>
            <w:tcW w:w="918" w:type="dxa"/>
            <w:shd w:val="clear" w:color="auto" w:fill="D9D9D9" w:themeFill="background1" w:themeFillShade="D9"/>
            <w:vAlign w:val="bottom"/>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w:t>
            </w:r>
          </w:p>
        </w:tc>
        <w:tc>
          <w:tcPr>
            <w:tcW w:w="919" w:type="dxa"/>
            <w:shd w:val="clear" w:color="auto" w:fill="D9D9D9" w:themeFill="background1" w:themeFillShade="D9"/>
            <w:vAlign w:val="bottom"/>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w:t>
            </w:r>
          </w:p>
        </w:tc>
        <w:tc>
          <w:tcPr>
            <w:tcW w:w="919" w:type="dxa"/>
            <w:shd w:val="clear" w:color="auto" w:fill="D9D9D9" w:themeFill="background1" w:themeFillShade="D9"/>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40%</w:t>
            </w:r>
          </w:p>
        </w:tc>
        <w:tc>
          <w:tcPr>
            <w:tcW w:w="919" w:type="dxa"/>
            <w:shd w:val="clear" w:color="auto" w:fill="D9D9D9" w:themeFill="background1" w:themeFillShade="D9"/>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49%</w:t>
            </w:r>
          </w:p>
        </w:tc>
        <w:tc>
          <w:tcPr>
            <w:tcW w:w="1126" w:type="dxa"/>
            <w:shd w:val="clear" w:color="auto" w:fill="D9D9D9" w:themeFill="background1" w:themeFillShade="D9"/>
          </w:tcPr>
          <w:p w:rsidR="00514814" w:rsidRPr="00AA580B" w:rsidRDefault="00514814" w:rsidP="009D5584">
            <w:pPr>
              <w:spacing w:after="0" w:line="240" w:lineRule="auto"/>
              <w:jc w:val="center"/>
              <w:rPr>
                <w:rFonts w:ascii="Calibri" w:hAnsi="Calibri"/>
                <w:sz w:val="20"/>
                <w:szCs w:val="20"/>
              </w:rPr>
            </w:pPr>
            <w:r>
              <w:rPr>
                <w:rFonts w:ascii="Calibri" w:hAnsi="Calibri"/>
                <w:sz w:val="20"/>
                <w:szCs w:val="20"/>
              </w:rPr>
              <w:t>--</w:t>
            </w:r>
          </w:p>
        </w:tc>
        <w:tc>
          <w:tcPr>
            <w:tcW w:w="990" w:type="dxa"/>
            <w:shd w:val="clear" w:color="auto" w:fill="D9D9D9" w:themeFill="background1" w:themeFillShade="D9"/>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9%</w:t>
            </w:r>
          </w:p>
        </w:tc>
      </w:tr>
      <w:tr w:rsidR="00514814" w:rsidRPr="009066CB" w:rsidTr="009D5584">
        <w:tc>
          <w:tcPr>
            <w:tcW w:w="461" w:type="dxa"/>
            <w:vMerge/>
            <w:vAlign w:val="center"/>
          </w:tcPr>
          <w:p w:rsidR="00514814" w:rsidRPr="00164FBF" w:rsidRDefault="00514814" w:rsidP="009D5584">
            <w:pPr>
              <w:spacing w:after="0" w:line="240" w:lineRule="auto"/>
              <w:jc w:val="center"/>
              <w:rPr>
                <w:rFonts w:ascii="Calibri" w:hAnsi="Calibri"/>
                <w:sz w:val="20"/>
                <w:szCs w:val="20"/>
              </w:rPr>
            </w:pPr>
          </w:p>
        </w:tc>
        <w:tc>
          <w:tcPr>
            <w:tcW w:w="757" w:type="dxa"/>
            <w:vMerge/>
            <w:shd w:val="clear" w:color="auto" w:fill="D9D9D9" w:themeFill="background1" w:themeFillShade="D9"/>
            <w:vAlign w:val="center"/>
          </w:tcPr>
          <w:p w:rsidR="00514814" w:rsidRPr="00A82F8F" w:rsidRDefault="00514814" w:rsidP="009D5584">
            <w:pPr>
              <w:spacing w:after="0" w:line="240" w:lineRule="auto"/>
              <w:jc w:val="center"/>
              <w:rPr>
                <w:rFonts w:ascii="Calibri" w:hAnsi="Calibri"/>
                <w:sz w:val="20"/>
                <w:szCs w:val="20"/>
              </w:rPr>
            </w:pPr>
          </w:p>
        </w:tc>
        <w:tc>
          <w:tcPr>
            <w:tcW w:w="870" w:type="dxa"/>
            <w:shd w:val="clear" w:color="auto" w:fill="D9D9D9" w:themeFill="background1" w:themeFillShade="D9"/>
          </w:tcPr>
          <w:p w:rsidR="00514814" w:rsidRPr="00A82F8F" w:rsidRDefault="00514814" w:rsidP="009D5584">
            <w:pPr>
              <w:spacing w:after="0" w:line="240" w:lineRule="auto"/>
              <w:rPr>
                <w:rFonts w:ascii="Calibri" w:hAnsi="Calibri"/>
                <w:sz w:val="20"/>
                <w:szCs w:val="20"/>
              </w:rPr>
            </w:pPr>
            <w:r w:rsidRPr="00A82F8F">
              <w:rPr>
                <w:rFonts w:ascii="Calibri" w:hAnsi="Calibri"/>
                <w:sz w:val="20"/>
                <w:szCs w:val="20"/>
              </w:rPr>
              <w:t>SGP</w:t>
            </w:r>
          </w:p>
        </w:tc>
        <w:tc>
          <w:tcPr>
            <w:tcW w:w="1049" w:type="dxa"/>
            <w:shd w:val="clear" w:color="auto" w:fill="D9D9D9" w:themeFill="background1" w:themeFillShade="D9"/>
            <w:vAlign w:val="bottom"/>
          </w:tcPr>
          <w:p w:rsidR="00514814" w:rsidRPr="00163D95" w:rsidRDefault="00514814" w:rsidP="009D5584">
            <w:pPr>
              <w:spacing w:after="0" w:line="240" w:lineRule="auto"/>
              <w:jc w:val="center"/>
              <w:rPr>
                <w:rFonts w:ascii="Calibri" w:hAnsi="Calibri"/>
                <w:sz w:val="20"/>
                <w:szCs w:val="20"/>
              </w:rPr>
            </w:pPr>
            <w:r w:rsidRPr="00163D95">
              <w:rPr>
                <w:rFonts w:ascii="Calibri" w:hAnsi="Calibri"/>
                <w:sz w:val="20"/>
                <w:szCs w:val="20"/>
              </w:rPr>
              <w:t>903</w:t>
            </w:r>
          </w:p>
        </w:tc>
        <w:tc>
          <w:tcPr>
            <w:tcW w:w="918" w:type="dxa"/>
            <w:shd w:val="clear" w:color="auto" w:fill="D9D9D9" w:themeFill="background1" w:themeFillShade="D9"/>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56.0</w:t>
            </w:r>
          </w:p>
        </w:tc>
        <w:tc>
          <w:tcPr>
            <w:tcW w:w="919" w:type="dxa"/>
            <w:shd w:val="clear" w:color="auto" w:fill="D9D9D9" w:themeFill="background1" w:themeFillShade="D9"/>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64.0</w:t>
            </w:r>
          </w:p>
        </w:tc>
        <w:tc>
          <w:tcPr>
            <w:tcW w:w="919" w:type="dxa"/>
            <w:shd w:val="clear" w:color="auto" w:fill="D9D9D9" w:themeFill="background1" w:themeFillShade="D9"/>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57.0</w:t>
            </w:r>
          </w:p>
        </w:tc>
        <w:tc>
          <w:tcPr>
            <w:tcW w:w="919" w:type="dxa"/>
            <w:shd w:val="clear" w:color="auto" w:fill="D9D9D9" w:themeFill="background1" w:themeFillShade="D9"/>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66.0</w:t>
            </w:r>
          </w:p>
        </w:tc>
        <w:tc>
          <w:tcPr>
            <w:tcW w:w="1126" w:type="dxa"/>
            <w:shd w:val="clear" w:color="auto" w:fill="D9D9D9" w:themeFill="background1" w:themeFillShade="D9"/>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10.0</w:t>
            </w:r>
          </w:p>
        </w:tc>
        <w:tc>
          <w:tcPr>
            <w:tcW w:w="990" w:type="dxa"/>
            <w:shd w:val="clear" w:color="auto" w:fill="D9D9D9" w:themeFill="background1" w:themeFillShade="D9"/>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9.0</w:t>
            </w:r>
          </w:p>
        </w:tc>
      </w:tr>
      <w:tr w:rsidR="00514814" w:rsidRPr="009066CB" w:rsidTr="009D5584">
        <w:tc>
          <w:tcPr>
            <w:tcW w:w="461" w:type="dxa"/>
            <w:vMerge w:val="restart"/>
            <w:vAlign w:val="center"/>
          </w:tcPr>
          <w:p w:rsidR="00514814" w:rsidRPr="00164FBF" w:rsidRDefault="00514814" w:rsidP="009D5584">
            <w:pPr>
              <w:spacing w:after="0" w:line="240" w:lineRule="auto"/>
              <w:jc w:val="center"/>
              <w:rPr>
                <w:rFonts w:ascii="Calibri" w:hAnsi="Calibri"/>
                <w:sz w:val="20"/>
                <w:szCs w:val="20"/>
              </w:rPr>
            </w:pPr>
            <w:r w:rsidRPr="00164FBF">
              <w:rPr>
                <w:rFonts w:ascii="Calibri" w:hAnsi="Calibri"/>
                <w:sz w:val="20"/>
                <w:szCs w:val="20"/>
              </w:rPr>
              <w:t>7</w:t>
            </w:r>
          </w:p>
        </w:tc>
        <w:tc>
          <w:tcPr>
            <w:tcW w:w="757" w:type="dxa"/>
            <w:vMerge w:val="restart"/>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MCAS</w:t>
            </w:r>
          </w:p>
        </w:tc>
        <w:tc>
          <w:tcPr>
            <w:tcW w:w="870" w:type="dxa"/>
          </w:tcPr>
          <w:p w:rsidR="00514814" w:rsidRPr="00A82F8F" w:rsidRDefault="00514814" w:rsidP="009D5584">
            <w:pPr>
              <w:spacing w:after="0" w:line="240" w:lineRule="auto"/>
              <w:rPr>
                <w:rFonts w:ascii="Calibri" w:hAnsi="Calibri"/>
                <w:sz w:val="20"/>
                <w:szCs w:val="20"/>
              </w:rPr>
            </w:pPr>
            <w:r w:rsidRPr="00A82F8F">
              <w:rPr>
                <w:rFonts w:ascii="Calibri" w:hAnsi="Calibri"/>
                <w:sz w:val="20"/>
                <w:szCs w:val="20"/>
              </w:rPr>
              <w:t>CPI</w:t>
            </w:r>
          </w:p>
        </w:tc>
        <w:tc>
          <w:tcPr>
            <w:tcW w:w="1049" w:type="dxa"/>
            <w:vAlign w:val="center"/>
          </w:tcPr>
          <w:p w:rsidR="00514814" w:rsidRPr="00163D95" w:rsidRDefault="00514814" w:rsidP="009D5584">
            <w:pPr>
              <w:spacing w:after="0" w:line="240" w:lineRule="auto"/>
              <w:jc w:val="center"/>
              <w:rPr>
                <w:rFonts w:ascii="Calibri" w:hAnsi="Calibri"/>
                <w:sz w:val="20"/>
                <w:szCs w:val="20"/>
              </w:rPr>
            </w:pPr>
            <w:r>
              <w:rPr>
                <w:rFonts w:ascii="Calibri" w:hAnsi="Calibri"/>
                <w:sz w:val="20"/>
                <w:szCs w:val="20"/>
              </w:rPr>
              <w:t>--</w:t>
            </w:r>
          </w:p>
        </w:tc>
        <w:tc>
          <w:tcPr>
            <w:tcW w:w="918" w:type="dxa"/>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78.9</w:t>
            </w:r>
          </w:p>
        </w:tc>
        <w:tc>
          <w:tcPr>
            <w:tcW w:w="919" w:type="dxa"/>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79.1</w:t>
            </w:r>
          </w:p>
        </w:tc>
        <w:tc>
          <w:tcPr>
            <w:tcW w:w="919" w:type="dxa"/>
            <w:vAlign w:val="center"/>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77.7</w:t>
            </w:r>
          </w:p>
        </w:tc>
        <w:tc>
          <w:tcPr>
            <w:tcW w:w="919" w:type="dxa"/>
            <w:vAlign w:val="center"/>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w:t>
            </w:r>
          </w:p>
        </w:tc>
        <w:tc>
          <w:tcPr>
            <w:tcW w:w="1126" w:type="dxa"/>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w:t>
            </w:r>
          </w:p>
        </w:tc>
        <w:tc>
          <w:tcPr>
            <w:tcW w:w="990" w:type="dxa"/>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w:t>
            </w:r>
          </w:p>
        </w:tc>
      </w:tr>
      <w:tr w:rsidR="00514814" w:rsidRPr="009066CB" w:rsidTr="009D5584">
        <w:tc>
          <w:tcPr>
            <w:tcW w:w="461" w:type="dxa"/>
            <w:vMerge/>
            <w:vAlign w:val="center"/>
          </w:tcPr>
          <w:p w:rsidR="00514814" w:rsidRPr="00164FBF" w:rsidRDefault="00514814" w:rsidP="009D5584">
            <w:pPr>
              <w:spacing w:after="0" w:line="240" w:lineRule="auto"/>
              <w:jc w:val="center"/>
              <w:rPr>
                <w:rFonts w:ascii="Calibri" w:hAnsi="Calibri"/>
                <w:sz w:val="20"/>
                <w:szCs w:val="20"/>
              </w:rPr>
            </w:pPr>
          </w:p>
        </w:tc>
        <w:tc>
          <w:tcPr>
            <w:tcW w:w="757" w:type="dxa"/>
            <w:vMerge/>
            <w:vAlign w:val="center"/>
          </w:tcPr>
          <w:p w:rsidR="00514814" w:rsidRPr="00A82F8F" w:rsidRDefault="00514814" w:rsidP="009D5584">
            <w:pPr>
              <w:spacing w:after="0" w:line="240" w:lineRule="auto"/>
              <w:jc w:val="center"/>
              <w:rPr>
                <w:rFonts w:ascii="Calibri" w:hAnsi="Calibri"/>
                <w:sz w:val="20"/>
                <w:szCs w:val="20"/>
              </w:rPr>
            </w:pPr>
          </w:p>
        </w:tc>
        <w:tc>
          <w:tcPr>
            <w:tcW w:w="870" w:type="dxa"/>
          </w:tcPr>
          <w:p w:rsidR="00514814" w:rsidRPr="00A82F8F" w:rsidRDefault="00514814" w:rsidP="009D5584">
            <w:pPr>
              <w:spacing w:after="0" w:line="240" w:lineRule="auto"/>
              <w:rPr>
                <w:rFonts w:ascii="Calibri" w:hAnsi="Calibri"/>
                <w:sz w:val="20"/>
                <w:szCs w:val="20"/>
              </w:rPr>
            </w:pPr>
            <w:r w:rsidRPr="00A82F8F">
              <w:rPr>
                <w:rFonts w:ascii="Calibri" w:hAnsi="Calibri"/>
                <w:sz w:val="20"/>
                <w:szCs w:val="20"/>
              </w:rPr>
              <w:t>P+</w:t>
            </w:r>
          </w:p>
        </w:tc>
        <w:tc>
          <w:tcPr>
            <w:tcW w:w="1049" w:type="dxa"/>
            <w:vAlign w:val="center"/>
          </w:tcPr>
          <w:p w:rsidR="00514814" w:rsidRPr="00163D95" w:rsidRDefault="00514814" w:rsidP="009D5584">
            <w:pPr>
              <w:spacing w:after="0" w:line="240" w:lineRule="auto"/>
              <w:jc w:val="center"/>
              <w:rPr>
                <w:rFonts w:ascii="Calibri" w:hAnsi="Calibri"/>
                <w:sz w:val="20"/>
                <w:szCs w:val="20"/>
              </w:rPr>
            </w:pPr>
            <w:r>
              <w:rPr>
                <w:rFonts w:ascii="Calibri" w:hAnsi="Calibri"/>
                <w:sz w:val="20"/>
                <w:szCs w:val="20"/>
              </w:rPr>
              <w:t>--</w:t>
            </w:r>
          </w:p>
        </w:tc>
        <w:tc>
          <w:tcPr>
            <w:tcW w:w="918" w:type="dxa"/>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53%</w:t>
            </w:r>
          </w:p>
        </w:tc>
        <w:tc>
          <w:tcPr>
            <w:tcW w:w="919" w:type="dxa"/>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55%</w:t>
            </w:r>
          </w:p>
        </w:tc>
        <w:tc>
          <w:tcPr>
            <w:tcW w:w="919" w:type="dxa"/>
            <w:vAlign w:val="center"/>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51%</w:t>
            </w:r>
          </w:p>
        </w:tc>
        <w:tc>
          <w:tcPr>
            <w:tcW w:w="919" w:type="dxa"/>
            <w:vAlign w:val="center"/>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w:t>
            </w:r>
          </w:p>
        </w:tc>
        <w:tc>
          <w:tcPr>
            <w:tcW w:w="1126" w:type="dxa"/>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w:t>
            </w:r>
          </w:p>
        </w:tc>
        <w:tc>
          <w:tcPr>
            <w:tcW w:w="990" w:type="dxa"/>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w:t>
            </w:r>
          </w:p>
        </w:tc>
      </w:tr>
      <w:tr w:rsidR="00514814" w:rsidRPr="009066CB" w:rsidTr="009D5584">
        <w:tc>
          <w:tcPr>
            <w:tcW w:w="461" w:type="dxa"/>
            <w:vMerge/>
            <w:vAlign w:val="center"/>
          </w:tcPr>
          <w:p w:rsidR="00514814" w:rsidRPr="00164FBF" w:rsidRDefault="00514814" w:rsidP="009D5584">
            <w:pPr>
              <w:spacing w:after="0" w:line="240" w:lineRule="auto"/>
              <w:jc w:val="center"/>
              <w:rPr>
                <w:rFonts w:ascii="Calibri" w:hAnsi="Calibri"/>
                <w:sz w:val="20"/>
                <w:szCs w:val="20"/>
              </w:rPr>
            </w:pPr>
          </w:p>
        </w:tc>
        <w:tc>
          <w:tcPr>
            <w:tcW w:w="757" w:type="dxa"/>
            <w:vMerge/>
            <w:vAlign w:val="center"/>
          </w:tcPr>
          <w:p w:rsidR="00514814" w:rsidRPr="00A82F8F" w:rsidRDefault="00514814" w:rsidP="009D5584">
            <w:pPr>
              <w:spacing w:after="0" w:line="240" w:lineRule="auto"/>
              <w:jc w:val="center"/>
              <w:rPr>
                <w:rFonts w:ascii="Calibri" w:hAnsi="Calibri"/>
                <w:sz w:val="20"/>
                <w:szCs w:val="20"/>
              </w:rPr>
            </w:pPr>
          </w:p>
        </w:tc>
        <w:tc>
          <w:tcPr>
            <w:tcW w:w="870" w:type="dxa"/>
          </w:tcPr>
          <w:p w:rsidR="00514814" w:rsidRPr="00A82F8F" w:rsidRDefault="00514814" w:rsidP="009D5584">
            <w:pPr>
              <w:spacing w:after="0" w:line="240" w:lineRule="auto"/>
              <w:rPr>
                <w:rFonts w:ascii="Calibri" w:hAnsi="Calibri"/>
                <w:sz w:val="20"/>
                <w:szCs w:val="20"/>
              </w:rPr>
            </w:pPr>
            <w:r w:rsidRPr="00A82F8F">
              <w:rPr>
                <w:rFonts w:ascii="Calibri" w:hAnsi="Calibri"/>
                <w:sz w:val="20"/>
                <w:szCs w:val="20"/>
              </w:rPr>
              <w:t>SGP</w:t>
            </w:r>
          </w:p>
        </w:tc>
        <w:tc>
          <w:tcPr>
            <w:tcW w:w="1049" w:type="dxa"/>
            <w:vAlign w:val="center"/>
          </w:tcPr>
          <w:p w:rsidR="00514814" w:rsidRPr="00163D95" w:rsidRDefault="00514814" w:rsidP="009D5584">
            <w:pPr>
              <w:spacing w:after="0" w:line="240" w:lineRule="auto"/>
              <w:jc w:val="center"/>
              <w:rPr>
                <w:rFonts w:ascii="Calibri" w:hAnsi="Calibri"/>
                <w:sz w:val="20"/>
                <w:szCs w:val="20"/>
              </w:rPr>
            </w:pPr>
            <w:r>
              <w:rPr>
                <w:rFonts w:ascii="Calibri" w:hAnsi="Calibri"/>
                <w:sz w:val="20"/>
                <w:szCs w:val="20"/>
              </w:rPr>
              <w:t>--</w:t>
            </w:r>
          </w:p>
        </w:tc>
        <w:tc>
          <w:tcPr>
            <w:tcW w:w="918" w:type="dxa"/>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49.0</w:t>
            </w:r>
          </w:p>
        </w:tc>
        <w:tc>
          <w:tcPr>
            <w:tcW w:w="919" w:type="dxa"/>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51.0</w:t>
            </w:r>
          </w:p>
        </w:tc>
        <w:tc>
          <w:tcPr>
            <w:tcW w:w="919" w:type="dxa"/>
            <w:vAlign w:val="center"/>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30.0</w:t>
            </w:r>
          </w:p>
        </w:tc>
        <w:tc>
          <w:tcPr>
            <w:tcW w:w="919" w:type="dxa"/>
            <w:vAlign w:val="center"/>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w:t>
            </w:r>
          </w:p>
        </w:tc>
        <w:tc>
          <w:tcPr>
            <w:tcW w:w="1126" w:type="dxa"/>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w:t>
            </w:r>
          </w:p>
        </w:tc>
        <w:tc>
          <w:tcPr>
            <w:tcW w:w="990" w:type="dxa"/>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w:t>
            </w:r>
          </w:p>
        </w:tc>
      </w:tr>
      <w:tr w:rsidR="00514814" w:rsidRPr="009066CB" w:rsidTr="009D5584">
        <w:tc>
          <w:tcPr>
            <w:tcW w:w="461" w:type="dxa"/>
            <w:vMerge/>
            <w:vAlign w:val="center"/>
          </w:tcPr>
          <w:p w:rsidR="00514814" w:rsidRPr="00164FBF" w:rsidRDefault="00514814" w:rsidP="009D5584">
            <w:pPr>
              <w:spacing w:after="0" w:line="240" w:lineRule="auto"/>
              <w:jc w:val="center"/>
              <w:rPr>
                <w:rFonts w:ascii="Calibri" w:hAnsi="Calibri"/>
                <w:sz w:val="20"/>
                <w:szCs w:val="20"/>
              </w:rPr>
            </w:pPr>
          </w:p>
        </w:tc>
        <w:tc>
          <w:tcPr>
            <w:tcW w:w="757" w:type="dxa"/>
            <w:vMerge w:val="restart"/>
            <w:shd w:val="clear" w:color="auto" w:fill="D9D9D9" w:themeFill="background1" w:themeFillShade="D9"/>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PARCC</w:t>
            </w:r>
          </w:p>
        </w:tc>
        <w:tc>
          <w:tcPr>
            <w:tcW w:w="870" w:type="dxa"/>
            <w:shd w:val="clear" w:color="auto" w:fill="D9D9D9" w:themeFill="background1" w:themeFillShade="D9"/>
          </w:tcPr>
          <w:p w:rsidR="00514814" w:rsidRPr="00A82F8F" w:rsidRDefault="00514814" w:rsidP="009D5584">
            <w:pPr>
              <w:spacing w:after="0" w:line="240" w:lineRule="auto"/>
              <w:rPr>
                <w:rFonts w:ascii="Calibri" w:hAnsi="Calibri"/>
                <w:sz w:val="20"/>
                <w:szCs w:val="20"/>
              </w:rPr>
            </w:pPr>
            <w:r w:rsidRPr="00A82F8F">
              <w:rPr>
                <w:rFonts w:ascii="Calibri" w:hAnsi="Calibri"/>
                <w:sz w:val="20"/>
                <w:szCs w:val="20"/>
              </w:rPr>
              <w:t>CPI</w:t>
            </w:r>
          </w:p>
        </w:tc>
        <w:tc>
          <w:tcPr>
            <w:tcW w:w="1049" w:type="dxa"/>
            <w:shd w:val="clear" w:color="auto" w:fill="D9D9D9" w:themeFill="background1" w:themeFillShade="D9"/>
            <w:vAlign w:val="bottom"/>
          </w:tcPr>
          <w:p w:rsidR="00514814" w:rsidRPr="00163D95" w:rsidRDefault="00514814" w:rsidP="009D5584">
            <w:pPr>
              <w:spacing w:after="0" w:line="240" w:lineRule="auto"/>
              <w:jc w:val="center"/>
              <w:rPr>
                <w:rFonts w:ascii="Calibri" w:hAnsi="Calibri"/>
                <w:sz w:val="20"/>
                <w:szCs w:val="20"/>
              </w:rPr>
            </w:pPr>
            <w:r w:rsidRPr="00163D95">
              <w:rPr>
                <w:rFonts w:ascii="Calibri" w:hAnsi="Calibri"/>
                <w:sz w:val="20"/>
                <w:szCs w:val="20"/>
              </w:rPr>
              <w:t>1,545</w:t>
            </w:r>
          </w:p>
        </w:tc>
        <w:tc>
          <w:tcPr>
            <w:tcW w:w="918" w:type="dxa"/>
            <w:shd w:val="clear" w:color="auto" w:fill="D9D9D9" w:themeFill="background1" w:themeFillShade="D9"/>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78.9</w:t>
            </w:r>
          </w:p>
        </w:tc>
        <w:tc>
          <w:tcPr>
            <w:tcW w:w="919" w:type="dxa"/>
            <w:shd w:val="clear" w:color="auto" w:fill="D9D9D9" w:themeFill="background1" w:themeFillShade="D9"/>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79.1</w:t>
            </w:r>
          </w:p>
        </w:tc>
        <w:tc>
          <w:tcPr>
            <w:tcW w:w="919" w:type="dxa"/>
            <w:shd w:val="clear" w:color="auto" w:fill="D9D9D9" w:themeFill="background1" w:themeFillShade="D9"/>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79.8</w:t>
            </w:r>
          </w:p>
        </w:tc>
        <w:tc>
          <w:tcPr>
            <w:tcW w:w="919" w:type="dxa"/>
            <w:shd w:val="clear" w:color="auto" w:fill="D9D9D9" w:themeFill="background1" w:themeFillShade="D9"/>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80.0</w:t>
            </w:r>
          </w:p>
        </w:tc>
        <w:tc>
          <w:tcPr>
            <w:tcW w:w="1126" w:type="dxa"/>
            <w:shd w:val="clear" w:color="auto" w:fill="D9D9D9" w:themeFill="background1" w:themeFillShade="D9"/>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1.1</w:t>
            </w:r>
          </w:p>
        </w:tc>
        <w:tc>
          <w:tcPr>
            <w:tcW w:w="990" w:type="dxa"/>
            <w:shd w:val="clear" w:color="auto" w:fill="D9D9D9" w:themeFill="background1" w:themeFillShade="D9"/>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0.2</w:t>
            </w:r>
          </w:p>
        </w:tc>
      </w:tr>
      <w:tr w:rsidR="00514814" w:rsidRPr="009066CB" w:rsidTr="009D5584">
        <w:tc>
          <w:tcPr>
            <w:tcW w:w="461" w:type="dxa"/>
            <w:vMerge/>
            <w:vAlign w:val="center"/>
          </w:tcPr>
          <w:p w:rsidR="00514814" w:rsidRPr="00164FBF" w:rsidRDefault="00514814" w:rsidP="009D5584">
            <w:pPr>
              <w:spacing w:after="0" w:line="240" w:lineRule="auto"/>
              <w:jc w:val="center"/>
              <w:rPr>
                <w:rFonts w:ascii="Calibri" w:hAnsi="Calibri"/>
                <w:sz w:val="20"/>
                <w:szCs w:val="20"/>
              </w:rPr>
            </w:pPr>
          </w:p>
        </w:tc>
        <w:tc>
          <w:tcPr>
            <w:tcW w:w="757" w:type="dxa"/>
            <w:vMerge/>
            <w:shd w:val="clear" w:color="auto" w:fill="D9D9D9" w:themeFill="background1" w:themeFillShade="D9"/>
            <w:vAlign w:val="center"/>
          </w:tcPr>
          <w:p w:rsidR="00514814" w:rsidRPr="00A82F8F" w:rsidRDefault="00514814" w:rsidP="009D5584">
            <w:pPr>
              <w:spacing w:after="0" w:line="240" w:lineRule="auto"/>
              <w:jc w:val="center"/>
              <w:rPr>
                <w:rFonts w:ascii="Calibri" w:hAnsi="Calibri"/>
                <w:sz w:val="20"/>
                <w:szCs w:val="20"/>
              </w:rPr>
            </w:pPr>
          </w:p>
        </w:tc>
        <w:tc>
          <w:tcPr>
            <w:tcW w:w="870" w:type="dxa"/>
            <w:shd w:val="clear" w:color="auto" w:fill="D9D9D9" w:themeFill="background1" w:themeFillShade="D9"/>
          </w:tcPr>
          <w:p w:rsidR="00514814" w:rsidRPr="00A82F8F" w:rsidRDefault="00514814" w:rsidP="009D5584">
            <w:pPr>
              <w:spacing w:after="0" w:line="240" w:lineRule="auto"/>
              <w:rPr>
                <w:rFonts w:ascii="Calibri" w:hAnsi="Calibri"/>
                <w:sz w:val="20"/>
                <w:szCs w:val="20"/>
              </w:rPr>
            </w:pPr>
            <w:r w:rsidRPr="00A82F8F">
              <w:rPr>
                <w:rFonts w:ascii="Calibri" w:hAnsi="Calibri"/>
                <w:sz w:val="20"/>
                <w:szCs w:val="20"/>
              </w:rPr>
              <w:t>Lv 4&amp;5</w:t>
            </w:r>
          </w:p>
        </w:tc>
        <w:tc>
          <w:tcPr>
            <w:tcW w:w="1049" w:type="dxa"/>
            <w:shd w:val="clear" w:color="auto" w:fill="D9D9D9" w:themeFill="background1" w:themeFillShade="D9"/>
            <w:vAlign w:val="bottom"/>
          </w:tcPr>
          <w:p w:rsidR="00514814" w:rsidRPr="00163D95" w:rsidRDefault="00514814" w:rsidP="009D5584">
            <w:pPr>
              <w:spacing w:after="0" w:line="240" w:lineRule="auto"/>
              <w:jc w:val="center"/>
              <w:rPr>
                <w:rFonts w:ascii="Calibri" w:hAnsi="Calibri"/>
                <w:sz w:val="20"/>
                <w:szCs w:val="20"/>
              </w:rPr>
            </w:pPr>
            <w:r w:rsidRPr="00163D95">
              <w:rPr>
                <w:rFonts w:ascii="Calibri" w:hAnsi="Calibri"/>
                <w:sz w:val="20"/>
                <w:szCs w:val="20"/>
              </w:rPr>
              <w:t>1,500</w:t>
            </w:r>
          </w:p>
        </w:tc>
        <w:tc>
          <w:tcPr>
            <w:tcW w:w="918" w:type="dxa"/>
            <w:shd w:val="clear" w:color="auto" w:fill="D9D9D9" w:themeFill="background1" w:themeFillShade="D9"/>
            <w:vAlign w:val="bottom"/>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w:t>
            </w:r>
          </w:p>
        </w:tc>
        <w:tc>
          <w:tcPr>
            <w:tcW w:w="919" w:type="dxa"/>
            <w:shd w:val="clear" w:color="auto" w:fill="D9D9D9" w:themeFill="background1" w:themeFillShade="D9"/>
            <w:vAlign w:val="bottom"/>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w:t>
            </w:r>
          </w:p>
        </w:tc>
        <w:tc>
          <w:tcPr>
            <w:tcW w:w="919" w:type="dxa"/>
            <w:shd w:val="clear" w:color="auto" w:fill="D9D9D9" w:themeFill="background1" w:themeFillShade="D9"/>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49%</w:t>
            </w:r>
          </w:p>
        </w:tc>
        <w:tc>
          <w:tcPr>
            <w:tcW w:w="919" w:type="dxa"/>
            <w:shd w:val="clear" w:color="auto" w:fill="D9D9D9" w:themeFill="background1" w:themeFillShade="D9"/>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46%</w:t>
            </w:r>
          </w:p>
        </w:tc>
        <w:tc>
          <w:tcPr>
            <w:tcW w:w="1126" w:type="dxa"/>
            <w:shd w:val="clear" w:color="auto" w:fill="D9D9D9" w:themeFill="background1" w:themeFillShade="D9"/>
          </w:tcPr>
          <w:p w:rsidR="00514814" w:rsidRPr="00AA580B" w:rsidRDefault="00514814" w:rsidP="009D5584">
            <w:pPr>
              <w:spacing w:after="0" w:line="240" w:lineRule="auto"/>
              <w:jc w:val="center"/>
              <w:rPr>
                <w:rFonts w:ascii="Calibri" w:hAnsi="Calibri"/>
                <w:sz w:val="20"/>
                <w:szCs w:val="20"/>
              </w:rPr>
            </w:pPr>
            <w:r>
              <w:rPr>
                <w:rFonts w:ascii="Calibri" w:hAnsi="Calibri"/>
                <w:sz w:val="20"/>
                <w:szCs w:val="20"/>
              </w:rPr>
              <w:t>--</w:t>
            </w:r>
          </w:p>
        </w:tc>
        <w:tc>
          <w:tcPr>
            <w:tcW w:w="990" w:type="dxa"/>
            <w:shd w:val="clear" w:color="auto" w:fill="D9D9D9" w:themeFill="background1" w:themeFillShade="D9"/>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-3%</w:t>
            </w:r>
          </w:p>
        </w:tc>
      </w:tr>
      <w:tr w:rsidR="00514814" w:rsidRPr="009066CB" w:rsidTr="009D5584">
        <w:tc>
          <w:tcPr>
            <w:tcW w:w="461" w:type="dxa"/>
            <w:vMerge/>
            <w:vAlign w:val="center"/>
          </w:tcPr>
          <w:p w:rsidR="00514814" w:rsidRPr="00164FBF" w:rsidRDefault="00514814" w:rsidP="009D5584">
            <w:pPr>
              <w:spacing w:after="0" w:line="240" w:lineRule="auto"/>
              <w:jc w:val="center"/>
              <w:rPr>
                <w:rFonts w:ascii="Calibri" w:hAnsi="Calibri"/>
                <w:sz w:val="20"/>
                <w:szCs w:val="20"/>
              </w:rPr>
            </w:pPr>
          </w:p>
        </w:tc>
        <w:tc>
          <w:tcPr>
            <w:tcW w:w="757" w:type="dxa"/>
            <w:vMerge/>
            <w:shd w:val="clear" w:color="auto" w:fill="D9D9D9" w:themeFill="background1" w:themeFillShade="D9"/>
            <w:vAlign w:val="center"/>
          </w:tcPr>
          <w:p w:rsidR="00514814" w:rsidRPr="00A82F8F" w:rsidRDefault="00514814" w:rsidP="009D5584">
            <w:pPr>
              <w:spacing w:after="0" w:line="240" w:lineRule="auto"/>
              <w:jc w:val="center"/>
              <w:rPr>
                <w:rFonts w:ascii="Calibri" w:hAnsi="Calibri"/>
                <w:sz w:val="20"/>
                <w:szCs w:val="20"/>
              </w:rPr>
            </w:pPr>
          </w:p>
        </w:tc>
        <w:tc>
          <w:tcPr>
            <w:tcW w:w="870" w:type="dxa"/>
            <w:shd w:val="clear" w:color="auto" w:fill="D9D9D9" w:themeFill="background1" w:themeFillShade="D9"/>
          </w:tcPr>
          <w:p w:rsidR="00514814" w:rsidRPr="00A82F8F" w:rsidRDefault="00514814" w:rsidP="009D5584">
            <w:pPr>
              <w:spacing w:after="0" w:line="240" w:lineRule="auto"/>
              <w:rPr>
                <w:rFonts w:ascii="Calibri" w:hAnsi="Calibri"/>
                <w:sz w:val="20"/>
                <w:szCs w:val="20"/>
              </w:rPr>
            </w:pPr>
            <w:r w:rsidRPr="00A82F8F">
              <w:rPr>
                <w:rFonts w:ascii="Calibri" w:hAnsi="Calibri"/>
                <w:sz w:val="20"/>
                <w:szCs w:val="20"/>
              </w:rPr>
              <w:t>SGP</w:t>
            </w:r>
          </w:p>
        </w:tc>
        <w:tc>
          <w:tcPr>
            <w:tcW w:w="1049" w:type="dxa"/>
            <w:shd w:val="clear" w:color="auto" w:fill="D9D9D9" w:themeFill="background1" w:themeFillShade="D9"/>
            <w:vAlign w:val="bottom"/>
          </w:tcPr>
          <w:p w:rsidR="00514814" w:rsidRPr="00163D95" w:rsidRDefault="00514814" w:rsidP="009D5584">
            <w:pPr>
              <w:spacing w:after="0" w:line="240" w:lineRule="auto"/>
              <w:jc w:val="center"/>
              <w:rPr>
                <w:rFonts w:ascii="Calibri" w:hAnsi="Calibri"/>
                <w:sz w:val="20"/>
                <w:szCs w:val="20"/>
              </w:rPr>
            </w:pPr>
            <w:r w:rsidRPr="00163D95">
              <w:rPr>
                <w:rFonts w:ascii="Calibri" w:hAnsi="Calibri"/>
                <w:sz w:val="20"/>
                <w:szCs w:val="20"/>
              </w:rPr>
              <w:t>1,363</w:t>
            </w:r>
          </w:p>
        </w:tc>
        <w:tc>
          <w:tcPr>
            <w:tcW w:w="918" w:type="dxa"/>
            <w:shd w:val="clear" w:color="auto" w:fill="D9D9D9" w:themeFill="background1" w:themeFillShade="D9"/>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49.0</w:t>
            </w:r>
          </w:p>
        </w:tc>
        <w:tc>
          <w:tcPr>
            <w:tcW w:w="919" w:type="dxa"/>
            <w:shd w:val="clear" w:color="auto" w:fill="D9D9D9" w:themeFill="background1" w:themeFillShade="D9"/>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51.0</w:t>
            </w:r>
          </w:p>
        </w:tc>
        <w:tc>
          <w:tcPr>
            <w:tcW w:w="919" w:type="dxa"/>
            <w:shd w:val="clear" w:color="auto" w:fill="D9D9D9" w:themeFill="background1" w:themeFillShade="D9"/>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49.0</w:t>
            </w:r>
          </w:p>
        </w:tc>
        <w:tc>
          <w:tcPr>
            <w:tcW w:w="919" w:type="dxa"/>
            <w:shd w:val="clear" w:color="auto" w:fill="D9D9D9" w:themeFill="background1" w:themeFillShade="D9"/>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43.0</w:t>
            </w:r>
          </w:p>
        </w:tc>
        <w:tc>
          <w:tcPr>
            <w:tcW w:w="1126" w:type="dxa"/>
            <w:shd w:val="clear" w:color="auto" w:fill="D9D9D9" w:themeFill="background1" w:themeFillShade="D9"/>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-6.0</w:t>
            </w:r>
          </w:p>
        </w:tc>
        <w:tc>
          <w:tcPr>
            <w:tcW w:w="990" w:type="dxa"/>
            <w:shd w:val="clear" w:color="auto" w:fill="D9D9D9" w:themeFill="background1" w:themeFillShade="D9"/>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-6.0</w:t>
            </w:r>
          </w:p>
        </w:tc>
      </w:tr>
      <w:tr w:rsidR="00514814" w:rsidRPr="006E6CA2" w:rsidTr="009D5584">
        <w:tc>
          <w:tcPr>
            <w:tcW w:w="461" w:type="dxa"/>
            <w:vMerge w:val="restart"/>
            <w:vAlign w:val="center"/>
          </w:tcPr>
          <w:p w:rsidR="00514814" w:rsidRPr="00164FBF" w:rsidRDefault="00514814" w:rsidP="009D5584">
            <w:pPr>
              <w:spacing w:after="0" w:line="240" w:lineRule="auto"/>
              <w:jc w:val="center"/>
              <w:rPr>
                <w:rFonts w:ascii="Calibri" w:hAnsi="Calibri"/>
                <w:sz w:val="20"/>
                <w:szCs w:val="20"/>
              </w:rPr>
            </w:pPr>
            <w:r w:rsidRPr="00164FBF">
              <w:rPr>
                <w:rFonts w:ascii="Calibri" w:hAnsi="Calibri"/>
                <w:sz w:val="20"/>
                <w:szCs w:val="20"/>
              </w:rPr>
              <w:t>8</w:t>
            </w:r>
          </w:p>
        </w:tc>
        <w:tc>
          <w:tcPr>
            <w:tcW w:w="757" w:type="dxa"/>
            <w:vMerge w:val="restart"/>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MCAS</w:t>
            </w:r>
          </w:p>
        </w:tc>
        <w:tc>
          <w:tcPr>
            <w:tcW w:w="870" w:type="dxa"/>
          </w:tcPr>
          <w:p w:rsidR="00514814" w:rsidRPr="00A82F8F" w:rsidRDefault="00514814" w:rsidP="009D5584">
            <w:pPr>
              <w:spacing w:after="0" w:line="240" w:lineRule="auto"/>
              <w:rPr>
                <w:rFonts w:ascii="Calibri" w:hAnsi="Calibri"/>
                <w:sz w:val="20"/>
                <w:szCs w:val="20"/>
              </w:rPr>
            </w:pPr>
            <w:r w:rsidRPr="00A82F8F">
              <w:rPr>
                <w:rFonts w:ascii="Calibri" w:hAnsi="Calibri"/>
                <w:sz w:val="20"/>
                <w:szCs w:val="20"/>
              </w:rPr>
              <w:t>CPI</w:t>
            </w:r>
          </w:p>
        </w:tc>
        <w:tc>
          <w:tcPr>
            <w:tcW w:w="1049" w:type="dxa"/>
            <w:vAlign w:val="center"/>
          </w:tcPr>
          <w:p w:rsidR="00514814" w:rsidRPr="00163D95" w:rsidRDefault="00514814" w:rsidP="009D5584">
            <w:pPr>
              <w:spacing w:after="0" w:line="240" w:lineRule="auto"/>
              <w:jc w:val="center"/>
              <w:rPr>
                <w:rFonts w:ascii="Calibri" w:hAnsi="Calibri"/>
                <w:sz w:val="20"/>
                <w:szCs w:val="20"/>
              </w:rPr>
            </w:pPr>
            <w:r>
              <w:rPr>
                <w:rFonts w:ascii="Calibri" w:hAnsi="Calibri"/>
                <w:sz w:val="20"/>
                <w:szCs w:val="20"/>
              </w:rPr>
              <w:t>--</w:t>
            </w:r>
          </w:p>
        </w:tc>
        <w:tc>
          <w:tcPr>
            <w:tcW w:w="918" w:type="dxa"/>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79.5</w:t>
            </w:r>
          </w:p>
        </w:tc>
        <w:tc>
          <w:tcPr>
            <w:tcW w:w="919" w:type="dxa"/>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80.6</w:t>
            </w:r>
          </w:p>
        </w:tc>
        <w:tc>
          <w:tcPr>
            <w:tcW w:w="919" w:type="dxa"/>
            <w:vAlign w:val="center"/>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81.3</w:t>
            </w:r>
          </w:p>
        </w:tc>
        <w:tc>
          <w:tcPr>
            <w:tcW w:w="919" w:type="dxa"/>
            <w:vAlign w:val="center"/>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w:t>
            </w:r>
          </w:p>
        </w:tc>
        <w:tc>
          <w:tcPr>
            <w:tcW w:w="1126" w:type="dxa"/>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w:t>
            </w:r>
          </w:p>
        </w:tc>
        <w:tc>
          <w:tcPr>
            <w:tcW w:w="990" w:type="dxa"/>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w:t>
            </w:r>
          </w:p>
        </w:tc>
      </w:tr>
      <w:tr w:rsidR="00514814" w:rsidRPr="006E6CA2" w:rsidTr="009D5584">
        <w:tc>
          <w:tcPr>
            <w:tcW w:w="461" w:type="dxa"/>
            <w:vMerge/>
            <w:vAlign w:val="center"/>
          </w:tcPr>
          <w:p w:rsidR="00514814" w:rsidRPr="009066CB" w:rsidRDefault="00514814" w:rsidP="009D5584">
            <w:pPr>
              <w:spacing w:after="0" w:line="240" w:lineRule="auto"/>
              <w:jc w:val="center"/>
              <w:rPr>
                <w:rFonts w:ascii="Calibri" w:hAnsi="Calibri"/>
                <w:color w:val="FF0000"/>
                <w:sz w:val="20"/>
                <w:szCs w:val="20"/>
              </w:rPr>
            </w:pPr>
          </w:p>
        </w:tc>
        <w:tc>
          <w:tcPr>
            <w:tcW w:w="757" w:type="dxa"/>
            <w:vMerge/>
            <w:vAlign w:val="center"/>
          </w:tcPr>
          <w:p w:rsidR="00514814" w:rsidRPr="00A82F8F" w:rsidRDefault="00514814" w:rsidP="009D5584">
            <w:pPr>
              <w:spacing w:after="0" w:line="240" w:lineRule="auto"/>
              <w:jc w:val="center"/>
              <w:rPr>
                <w:rFonts w:ascii="Calibri" w:hAnsi="Calibri"/>
                <w:sz w:val="20"/>
                <w:szCs w:val="20"/>
              </w:rPr>
            </w:pPr>
          </w:p>
        </w:tc>
        <w:tc>
          <w:tcPr>
            <w:tcW w:w="870" w:type="dxa"/>
          </w:tcPr>
          <w:p w:rsidR="00514814" w:rsidRPr="00A82F8F" w:rsidRDefault="00514814" w:rsidP="009D5584">
            <w:pPr>
              <w:spacing w:after="0" w:line="240" w:lineRule="auto"/>
              <w:rPr>
                <w:rFonts w:ascii="Calibri" w:hAnsi="Calibri"/>
                <w:sz w:val="20"/>
                <w:szCs w:val="20"/>
              </w:rPr>
            </w:pPr>
            <w:r w:rsidRPr="00A82F8F">
              <w:rPr>
                <w:rFonts w:ascii="Calibri" w:hAnsi="Calibri"/>
                <w:sz w:val="20"/>
                <w:szCs w:val="20"/>
              </w:rPr>
              <w:t>P+</w:t>
            </w:r>
          </w:p>
        </w:tc>
        <w:tc>
          <w:tcPr>
            <w:tcW w:w="1049" w:type="dxa"/>
            <w:vAlign w:val="center"/>
          </w:tcPr>
          <w:p w:rsidR="00514814" w:rsidRPr="00163D95" w:rsidRDefault="00514814" w:rsidP="009D5584">
            <w:pPr>
              <w:spacing w:after="0" w:line="240" w:lineRule="auto"/>
              <w:jc w:val="center"/>
              <w:rPr>
                <w:rFonts w:ascii="Calibri" w:hAnsi="Calibri"/>
                <w:sz w:val="20"/>
                <w:szCs w:val="20"/>
              </w:rPr>
            </w:pPr>
            <w:r>
              <w:rPr>
                <w:rFonts w:ascii="Calibri" w:hAnsi="Calibri"/>
                <w:sz w:val="20"/>
                <w:szCs w:val="20"/>
              </w:rPr>
              <w:t>--</w:t>
            </w:r>
          </w:p>
        </w:tc>
        <w:tc>
          <w:tcPr>
            <w:tcW w:w="918" w:type="dxa"/>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59%</w:t>
            </w:r>
          </w:p>
        </w:tc>
        <w:tc>
          <w:tcPr>
            <w:tcW w:w="919" w:type="dxa"/>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61%</w:t>
            </w:r>
          </w:p>
        </w:tc>
        <w:tc>
          <w:tcPr>
            <w:tcW w:w="919" w:type="dxa"/>
            <w:vAlign w:val="center"/>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61%</w:t>
            </w:r>
          </w:p>
        </w:tc>
        <w:tc>
          <w:tcPr>
            <w:tcW w:w="919" w:type="dxa"/>
            <w:vAlign w:val="center"/>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w:t>
            </w:r>
          </w:p>
        </w:tc>
        <w:tc>
          <w:tcPr>
            <w:tcW w:w="1126" w:type="dxa"/>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w:t>
            </w:r>
          </w:p>
        </w:tc>
        <w:tc>
          <w:tcPr>
            <w:tcW w:w="990" w:type="dxa"/>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w:t>
            </w:r>
          </w:p>
        </w:tc>
      </w:tr>
      <w:tr w:rsidR="00514814" w:rsidRPr="006E6CA2" w:rsidTr="009D5584">
        <w:tc>
          <w:tcPr>
            <w:tcW w:w="461" w:type="dxa"/>
            <w:vMerge/>
            <w:vAlign w:val="center"/>
          </w:tcPr>
          <w:p w:rsidR="00514814" w:rsidRPr="009066CB" w:rsidRDefault="00514814" w:rsidP="009D5584">
            <w:pPr>
              <w:spacing w:after="0" w:line="240" w:lineRule="auto"/>
              <w:jc w:val="center"/>
              <w:rPr>
                <w:rFonts w:ascii="Calibri" w:hAnsi="Calibri"/>
                <w:color w:val="FF0000"/>
                <w:sz w:val="20"/>
                <w:szCs w:val="20"/>
              </w:rPr>
            </w:pPr>
          </w:p>
        </w:tc>
        <w:tc>
          <w:tcPr>
            <w:tcW w:w="757" w:type="dxa"/>
            <w:vMerge/>
            <w:vAlign w:val="center"/>
          </w:tcPr>
          <w:p w:rsidR="00514814" w:rsidRPr="00A82F8F" w:rsidRDefault="00514814" w:rsidP="009D5584">
            <w:pPr>
              <w:spacing w:after="0" w:line="240" w:lineRule="auto"/>
              <w:jc w:val="center"/>
              <w:rPr>
                <w:rFonts w:ascii="Calibri" w:hAnsi="Calibri"/>
                <w:sz w:val="20"/>
                <w:szCs w:val="20"/>
              </w:rPr>
            </w:pPr>
          </w:p>
        </w:tc>
        <w:tc>
          <w:tcPr>
            <w:tcW w:w="870" w:type="dxa"/>
          </w:tcPr>
          <w:p w:rsidR="00514814" w:rsidRPr="00A82F8F" w:rsidRDefault="00514814" w:rsidP="009D5584">
            <w:pPr>
              <w:spacing w:after="0" w:line="240" w:lineRule="auto"/>
              <w:rPr>
                <w:rFonts w:ascii="Calibri" w:hAnsi="Calibri"/>
                <w:sz w:val="20"/>
                <w:szCs w:val="20"/>
              </w:rPr>
            </w:pPr>
            <w:r w:rsidRPr="00A82F8F">
              <w:rPr>
                <w:rFonts w:ascii="Calibri" w:hAnsi="Calibri"/>
                <w:sz w:val="20"/>
                <w:szCs w:val="20"/>
              </w:rPr>
              <w:t>SGP</w:t>
            </w:r>
          </w:p>
        </w:tc>
        <w:tc>
          <w:tcPr>
            <w:tcW w:w="1049" w:type="dxa"/>
            <w:vAlign w:val="center"/>
          </w:tcPr>
          <w:p w:rsidR="00514814" w:rsidRPr="00163D95" w:rsidRDefault="00514814" w:rsidP="009D5584">
            <w:pPr>
              <w:spacing w:after="0" w:line="240" w:lineRule="auto"/>
              <w:jc w:val="center"/>
              <w:rPr>
                <w:rFonts w:ascii="Calibri" w:hAnsi="Calibri"/>
                <w:sz w:val="20"/>
                <w:szCs w:val="20"/>
              </w:rPr>
            </w:pPr>
            <w:r>
              <w:rPr>
                <w:rFonts w:ascii="Calibri" w:hAnsi="Calibri"/>
                <w:sz w:val="20"/>
                <w:szCs w:val="20"/>
              </w:rPr>
              <w:t>--</w:t>
            </w:r>
          </w:p>
        </w:tc>
        <w:tc>
          <w:tcPr>
            <w:tcW w:w="918" w:type="dxa"/>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45.0</w:t>
            </w:r>
          </w:p>
        </w:tc>
        <w:tc>
          <w:tcPr>
            <w:tcW w:w="919" w:type="dxa"/>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50.0</w:t>
            </w:r>
          </w:p>
        </w:tc>
        <w:tc>
          <w:tcPr>
            <w:tcW w:w="919" w:type="dxa"/>
            <w:vAlign w:val="center"/>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48.5</w:t>
            </w:r>
          </w:p>
        </w:tc>
        <w:tc>
          <w:tcPr>
            <w:tcW w:w="919" w:type="dxa"/>
            <w:vAlign w:val="center"/>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w:t>
            </w:r>
          </w:p>
        </w:tc>
        <w:tc>
          <w:tcPr>
            <w:tcW w:w="1126" w:type="dxa"/>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w:t>
            </w:r>
          </w:p>
        </w:tc>
        <w:tc>
          <w:tcPr>
            <w:tcW w:w="990" w:type="dxa"/>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w:t>
            </w:r>
          </w:p>
        </w:tc>
      </w:tr>
      <w:tr w:rsidR="00514814" w:rsidRPr="009066CB" w:rsidTr="009D5584">
        <w:tc>
          <w:tcPr>
            <w:tcW w:w="461" w:type="dxa"/>
            <w:vMerge/>
            <w:vAlign w:val="center"/>
          </w:tcPr>
          <w:p w:rsidR="00514814" w:rsidRPr="009066CB" w:rsidRDefault="00514814" w:rsidP="009D5584">
            <w:pPr>
              <w:spacing w:after="0" w:line="240" w:lineRule="auto"/>
              <w:jc w:val="center"/>
              <w:rPr>
                <w:rFonts w:ascii="Calibri" w:hAnsi="Calibri"/>
                <w:color w:val="FF0000"/>
                <w:sz w:val="20"/>
                <w:szCs w:val="20"/>
              </w:rPr>
            </w:pPr>
          </w:p>
        </w:tc>
        <w:tc>
          <w:tcPr>
            <w:tcW w:w="757" w:type="dxa"/>
            <w:vMerge w:val="restart"/>
            <w:shd w:val="clear" w:color="auto" w:fill="D9D9D9" w:themeFill="background1" w:themeFillShade="D9"/>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PARCC</w:t>
            </w:r>
          </w:p>
        </w:tc>
        <w:tc>
          <w:tcPr>
            <w:tcW w:w="870" w:type="dxa"/>
            <w:shd w:val="clear" w:color="auto" w:fill="D9D9D9" w:themeFill="background1" w:themeFillShade="D9"/>
          </w:tcPr>
          <w:p w:rsidR="00514814" w:rsidRPr="00A82F8F" w:rsidRDefault="00514814" w:rsidP="009D5584">
            <w:pPr>
              <w:spacing w:after="0" w:line="240" w:lineRule="auto"/>
              <w:rPr>
                <w:rFonts w:ascii="Calibri" w:hAnsi="Calibri"/>
                <w:sz w:val="20"/>
                <w:szCs w:val="20"/>
              </w:rPr>
            </w:pPr>
            <w:r w:rsidRPr="00A82F8F">
              <w:rPr>
                <w:rFonts w:ascii="Calibri" w:hAnsi="Calibri"/>
                <w:sz w:val="20"/>
                <w:szCs w:val="20"/>
              </w:rPr>
              <w:t>CPI</w:t>
            </w:r>
          </w:p>
        </w:tc>
        <w:tc>
          <w:tcPr>
            <w:tcW w:w="1049" w:type="dxa"/>
            <w:shd w:val="clear" w:color="auto" w:fill="D9D9D9" w:themeFill="background1" w:themeFillShade="D9"/>
            <w:vAlign w:val="bottom"/>
          </w:tcPr>
          <w:p w:rsidR="00514814" w:rsidRPr="00163D95" w:rsidRDefault="00514814" w:rsidP="009D5584">
            <w:pPr>
              <w:spacing w:after="0" w:line="240" w:lineRule="auto"/>
              <w:jc w:val="center"/>
              <w:rPr>
                <w:rFonts w:ascii="Calibri" w:hAnsi="Calibri"/>
                <w:sz w:val="20"/>
                <w:szCs w:val="20"/>
              </w:rPr>
            </w:pPr>
            <w:r w:rsidRPr="00163D95">
              <w:rPr>
                <w:rFonts w:ascii="Calibri" w:hAnsi="Calibri"/>
                <w:sz w:val="20"/>
                <w:szCs w:val="20"/>
              </w:rPr>
              <w:t>1,553</w:t>
            </w:r>
          </w:p>
        </w:tc>
        <w:tc>
          <w:tcPr>
            <w:tcW w:w="918" w:type="dxa"/>
            <w:shd w:val="clear" w:color="auto" w:fill="D9D9D9" w:themeFill="background1" w:themeFillShade="D9"/>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79.5</w:t>
            </w:r>
          </w:p>
        </w:tc>
        <w:tc>
          <w:tcPr>
            <w:tcW w:w="919" w:type="dxa"/>
            <w:shd w:val="clear" w:color="auto" w:fill="D9D9D9" w:themeFill="background1" w:themeFillShade="D9"/>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80.6</w:t>
            </w:r>
          </w:p>
        </w:tc>
        <w:tc>
          <w:tcPr>
            <w:tcW w:w="919" w:type="dxa"/>
            <w:shd w:val="clear" w:color="auto" w:fill="D9D9D9" w:themeFill="background1" w:themeFillShade="D9"/>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87.5</w:t>
            </w:r>
          </w:p>
        </w:tc>
        <w:tc>
          <w:tcPr>
            <w:tcW w:w="919" w:type="dxa"/>
            <w:shd w:val="clear" w:color="auto" w:fill="D9D9D9" w:themeFill="background1" w:themeFillShade="D9"/>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86.9</w:t>
            </w:r>
          </w:p>
        </w:tc>
        <w:tc>
          <w:tcPr>
            <w:tcW w:w="1126" w:type="dxa"/>
            <w:shd w:val="clear" w:color="auto" w:fill="D9D9D9" w:themeFill="background1" w:themeFillShade="D9"/>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7.4</w:t>
            </w:r>
          </w:p>
        </w:tc>
        <w:tc>
          <w:tcPr>
            <w:tcW w:w="990" w:type="dxa"/>
            <w:shd w:val="clear" w:color="auto" w:fill="D9D9D9" w:themeFill="background1" w:themeFillShade="D9"/>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-0.6</w:t>
            </w:r>
          </w:p>
        </w:tc>
      </w:tr>
      <w:tr w:rsidR="00514814" w:rsidRPr="009066CB" w:rsidTr="009D5584">
        <w:tc>
          <w:tcPr>
            <w:tcW w:w="461" w:type="dxa"/>
            <w:vMerge/>
            <w:vAlign w:val="center"/>
          </w:tcPr>
          <w:p w:rsidR="00514814" w:rsidRPr="009066CB" w:rsidRDefault="00514814" w:rsidP="009D5584">
            <w:pPr>
              <w:spacing w:after="0" w:line="240" w:lineRule="auto"/>
              <w:jc w:val="center"/>
              <w:rPr>
                <w:rFonts w:ascii="Calibri" w:hAnsi="Calibri"/>
                <w:color w:val="FF0000"/>
                <w:sz w:val="20"/>
                <w:szCs w:val="20"/>
              </w:rPr>
            </w:pPr>
          </w:p>
        </w:tc>
        <w:tc>
          <w:tcPr>
            <w:tcW w:w="757" w:type="dxa"/>
            <w:vMerge/>
            <w:shd w:val="clear" w:color="auto" w:fill="D9D9D9" w:themeFill="background1" w:themeFillShade="D9"/>
          </w:tcPr>
          <w:p w:rsidR="00514814" w:rsidRPr="009066CB" w:rsidRDefault="00514814" w:rsidP="009D5584">
            <w:pPr>
              <w:spacing w:after="0" w:line="240" w:lineRule="auto"/>
              <w:rPr>
                <w:rFonts w:ascii="Calibri" w:hAnsi="Calibri"/>
                <w:color w:val="FF0000"/>
                <w:sz w:val="20"/>
                <w:szCs w:val="20"/>
              </w:rPr>
            </w:pPr>
          </w:p>
        </w:tc>
        <w:tc>
          <w:tcPr>
            <w:tcW w:w="870" w:type="dxa"/>
            <w:shd w:val="clear" w:color="auto" w:fill="D9D9D9" w:themeFill="background1" w:themeFillShade="D9"/>
          </w:tcPr>
          <w:p w:rsidR="00514814" w:rsidRPr="00A82F8F" w:rsidRDefault="00514814" w:rsidP="009D5584">
            <w:pPr>
              <w:spacing w:after="0" w:line="240" w:lineRule="auto"/>
              <w:rPr>
                <w:rFonts w:ascii="Calibri" w:hAnsi="Calibri"/>
                <w:sz w:val="20"/>
                <w:szCs w:val="20"/>
              </w:rPr>
            </w:pPr>
            <w:r w:rsidRPr="00A82F8F">
              <w:rPr>
                <w:rFonts w:ascii="Calibri" w:hAnsi="Calibri"/>
                <w:sz w:val="20"/>
                <w:szCs w:val="20"/>
              </w:rPr>
              <w:t>Lv 4&amp;5</w:t>
            </w:r>
          </w:p>
        </w:tc>
        <w:tc>
          <w:tcPr>
            <w:tcW w:w="1049" w:type="dxa"/>
            <w:shd w:val="clear" w:color="auto" w:fill="D9D9D9" w:themeFill="background1" w:themeFillShade="D9"/>
            <w:vAlign w:val="bottom"/>
          </w:tcPr>
          <w:p w:rsidR="00514814" w:rsidRPr="00163D95" w:rsidRDefault="00514814" w:rsidP="009D5584">
            <w:pPr>
              <w:spacing w:after="0" w:line="240" w:lineRule="auto"/>
              <w:jc w:val="center"/>
              <w:rPr>
                <w:rFonts w:ascii="Calibri" w:hAnsi="Calibri"/>
                <w:sz w:val="20"/>
                <w:szCs w:val="20"/>
              </w:rPr>
            </w:pPr>
            <w:r w:rsidRPr="00163D95">
              <w:rPr>
                <w:rFonts w:ascii="Calibri" w:hAnsi="Calibri"/>
                <w:sz w:val="20"/>
                <w:szCs w:val="20"/>
              </w:rPr>
              <w:t>1,508</w:t>
            </w:r>
          </w:p>
        </w:tc>
        <w:tc>
          <w:tcPr>
            <w:tcW w:w="918" w:type="dxa"/>
            <w:shd w:val="clear" w:color="auto" w:fill="D9D9D9" w:themeFill="background1" w:themeFillShade="D9"/>
            <w:vAlign w:val="bottom"/>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w:t>
            </w:r>
          </w:p>
        </w:tc>
        <w:tc>
          <w:tcPr>
            <w:tcW w:w="919" w:type="dxa"/>
            <w:shd w:val="clear" w:color="auto" w:fill="D9D9D9" w:themeFill="background1" w:themeFillShade="D9"/>
            <w:vAlign w:val="bottom"/>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w:t>
            </w:r>
          </w:p>
        </w:tc>
        <w:tc>
          <w:tcPr>
            <w:tcW w:w="919" w:type="dxa"/>
            <w:shd w:val="clear" w:color="auto" w:fill="D9D9D9" w:themeFill="background1" w:themeFillShade="D9"/>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50%</w:t>
            </w:r>
          </w:p>
        </w:tc>
        <w:tc>
          <w:tcPr>
            <w:tcW w:w="919" w:type="dxa"/>
            <w:shd w:val="clear" w:color="auto" w:fill="D9D9D9" w:themeFill="background1" w:themeFillShade="D9"/>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50%</w:t>
            </w:r>
          </w:p>
        </w:tc>
        <w:tc>
          <w:tcPr>
            <w:tcW w:w="1126" w:type="dxa"/>
            <w:shd w:val="clear" w:color="auto" w:fill="D9D9D9" w:themeFill="background1" w:themeFillShade="D9"/>
          </w:tcPr>
          <w:p w:rsidR="00514814" w:rsidRPr="00AA580B" w:rsidRDefault="00514814" w:rsidP="009D5584">
            <w:pPr>
              <w:spacing w:after="0" w:line="240" w:lineRule="auto"/>
              <w:jc w:val="center"/>
              <w:rPr>
                <w:rFonts w:ascii="Calibri" w:hAnsi="Calibri"/>
                <w:sz w:val="20"/>
                <w:szCs w:val="20"/>
              </w:rPr>
            </w:pPr>
            <w:r>
              <w:rPr>
                <w:rFonts w:ascii="Calibri" w:hAnsi="Calibri"/>
                <w:sz w:val="20"/>
                <w:szCs w:val="20"/>
              </w:rPr>
              <w:t>--</w:t>
            </w:r>
          </w:p>
        </w:tc>
        <w:tc>
          <w:tcPr>
            <w:tcW w:w="990" w:type="dxa"/>
            <w:shd w:val="clear" w:color="auto" w:fill="D9D9D9" w:themeFill="background1" w:themeFillShade="D9"/>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0%</w:t>
            </w:r>
          </w:p>
        </w:tc>
      </w:tr>
      <w:tr w:rsidR="00514814" w:rsidRPr="009066CB" w:rsidTr="009D5584">
        <w:tc>
          <w:tcPr>
            <w:tcW w:w="461" w:type="dxa"/>
            <w:vMerge/>
            <w:vAlign w:val="center"/>
          </w:tcPr>
          <w:p w:rsidR="00514814" w:rsidRPr="009066CB" w:rsidRDefault="00514814" w:rsidP="009D5584">
            <w:pPr>
              <w:spacing w:after="0" w:line="240" w:lineRule="auto"/>
              <w:jc w:val="center"/>
              <w:rPr>
                <w:rFonts w:ascii="Calibri" w:hAnsi="Calibri"/>
                <w:color w:val="FF0000"/>
                <w:sz w:val="20"/>
                <w:szCs w:val="20"/>
              </w:rPr>
            </w:pPr>
          </w:p>
        </w:tc>
        <w:tc>
          <w:tcPr>
            <w:tcW w:w="757" w:type="dxa"/>
            <w:vMerge/>
            <w:shd w:val="clear" w:color="auto" w:fill="D9D9D9" w:themeFill="background1" w:themeFillShade="D9"/>
          </w:tcPr>
          <w:p w:rsidR="00514814" w:rsidRPr="009066CB" w:rsidRDefault="00514814" w:rsidP="009D5584">
            <w:pPr>
              <w:spacing w:after="0" w:line="240" w:lineRule="auto"/>
              <w:rPr>
                <w:rFonts w:ascii="Calibri" w:hAnsi="Calibri"/>
                <w:color w:val="FF0000"/>
                <w:sz w:val="20"/>
                <w:szCs w:val="20"/>
              </w:rPr>
            </w:pPr>
          </w:p>
        </w:tc>
        <w:tc>
          <w:tcPr>
            <w:tcW w:w="870" w:type="dxa"/>
            <w:shd w:val="clear" w:color="auto" w:fill="D9D9D9" w:themeFill="background1" w:themeFillShade="D9"/>
          </w:tcPr>
          <w:p w:rsidR="00514814" w:rsidRPr="00A82F8F" w:rsidRDefault="00514814" w:rsidP="009D5584">
            <w:pPr>
              <w:spacing w:after="0" w:line="240" w:lineRule="auto"/>
              <w:rPr>
                <w:rFonts w:ascii="Calibri" w:hAnsi="Calibri"/>
                <w:sz w:val="20"/>
                <w:szCs w:val="20"/>
              </w:rPr>
            </w:pPr>
            <w:r w:rsidRPr="00A82F8F">
              <w:rPr>
                <w:rFonts w:ascii="Calibri" w:hAnsi="Calibri"/>
                <w:sz w:val="20"/>
                <w:szCs w:val="20"/>
              </w:rPr>
              <w:t>SGP</w:t>
            </w:r>
          </w:p>
        </w:tc>
        <w:tc>
          <w:tcPr>
            <w:tcW w:w="1049" w:type="dxa"/>
            <w:shd w:val="clear" w:color="auto" w:fill="D9D9D9" w:themeFill="background1" w:themeFillShade="D9"/>
            <w:vAlign w:val="bottom"/>
          </w:tcPr>
          <w:p w:rsidR="00514814" w:rsidRPr="00163D95" w:rsidRDefault="00514814" w:rsidP="009D5584">
            <w:pPr>
              <w:spacing w:after="0" w:line="240" w:lineRule="auto"/>
              <w:jc w:val="center"/>
              <w:rPr>
                <w:rFonts w:ascii="Calibri" w:hAnsi="Calibri"/>
                <w:sz w:val="20"/>
                <w:szCs w:val="20"/>
              </w:rPr>
            </w:pPr>
            <w:r w:rsidRPr="00163D95">
              <w:rPr>
                <w:rFonts w:ascii="Calibri" w:hAnsi="Calibri"/>
                <w:sz w:val="20"/>
                <w:szCs w:val="20"/>
              </w:rPr>
              <w:t>1,373</w:t>
            </w:r>
          </w:p>
        </w:tc>
        <w:tc>
          <w:tcPr>
            <w:tcW w:w="918" w:type="dxa"/>
            <w:shd w:val="clear" w:color="auto" w:fill="D9D9D9" w:themeFill="background1" w:themeFillShade="D9"/>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45.0</w:t>
            </w:r>
          </w:p>
        </w:tc>
        <w:tc>
          <w:tcPr>
            <w:tcW w:w="919" w:type="dxa"/>
            <w:shd w:val="clear" w:color="auto" w:fill="D9D9D9" w:themeFill="background1" w:themeFillShade="D9"/>
            <w:vAlign w:val="center"/>
          </w:tcPr>
          <w:p w:rsidR="00514814" w:rsidRPr="00A82F8F" w:rsidRDefault="00514814" w:rsidP="009D5584">
            <w:pPr>
              <w:spacing w:after="0" w:line="240" w:lineRule="auto"/>
              <w:jc w:val="center"/>
              <w:rPr>
                <w:rFonts w:ascii="Calibri" w:hAnsi="Calibri"/>
                <w:sz w:val="20"/>
                <w:szCs w:val="20"/>
              </w:rPr>
            </w:pPr>
            <w:r w:rsidRPr="00A82F8F">
              <w:rPr>
                <w:rFonts w:ascii="Calibri" w:hAnsi="Calibri"/>
                <w:sz w:val="20"/>
                <w:szCs w:val="20"/>
              </w:rPr>
              <w:t>50.0</w:t>
            </w:r>
          </w:p>
        </w:tc>
        <w:tc>
          <w:tcPr>
            <w:tcW w:w="919" w:type="dxa"/>
            <w:shd w:val="clear" w:color="auto" w:fill="D9D9D9" w:themeFill="background1" w:themeFillShade="D9"/>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57.0</w:t>
            </w:r>
          </w:p>
        </w:tc>
        <w:tc>
          <w:tcPr>
            <w:tcW w:w="919" w:type="dxa"/>
            <w:shd w:val="clear" w:color="auto" w:fill="D9D9D9" w:themeFill="background1" w:themeFillShade="D9"/>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53.0</w:t>
            </w:r>
          </w:p>
        </w:tc>
        <w:tc>
          <w:tcPr>
            <w:tcW w:w="1126" w:type="dxa"/>
            <w:shd w:val="clear" w:color="auto" w:fill="D9D9D9" w:themeFill="background1" w:themeFillShade="D9"/>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8.0</w:t>
            </w:r>
          </w:p>
        </w:tc>
        <w:tc>
          <w:tcPr>
            <w:tcW w:w="990" w:type="dxa"/>
            <w:shd w:val="clear" w:color="auto" w:fill="D9D9D9" w:themeFill="background1" w:themeFillShade="D9"/>
            <w:vAlign w:val="bottom"/>
          </w:tcPr>
          <w:p w:rsidR="00514814" w:rsidRPr="00AA580B" w:rsidRDefault="00514814" w:rsidP="009D5584">
            <w:pPr>
              <w:spacing w:after="0" w:line="240" w:lineRule="auto"/>
              <w:jc w:val="center"/>
              <w:rPr>
                <w:rFonts w:ascii="Calibri" w:hAnsi="Calibri"/>
                <w:sz w:val="20"/>
                <w:szCs w:val="20"/>
              </w:rPr>
            </w:pPr>
            <w:r w:rsidRPr="00AA580B">
              <w:rPr>
                <w:rFonts w:ascii="Calibri" w:hAnsi="Calibri"/>
                <w:sz w:val="20"/>
                <w:szCs w:val="20"/>
              </w:rPr>
              <w:t>-4.0</w:t>
            </w:r>
          </w:p>
        </w:tc>
      </w:tr>
    </w:tbl>
    <w:p w:rsidR="00514814" w:rsidRDefault="00514814" w:rsidP="00514814">
      <w:pPr>
        <w:spacing w:after="0" w:line="240" w:lineRule="auto"/>
        <w:rPr>
          <w:rFonts w:ascii="Calibri" w:eastAsia="Times New Roman" w:hAnsi="Calibri" w:cs="Times New Roman"/>
          <w:sz w:val="20"/>
          <w:szCs w:val="20"/>
        </w:rPr>
      </w:pPr>
    </w:p>
    <w:p w:rsidR="002F1EBE" w:rsidRPr="00F04EDB" w:rsidRDefault="002F1EBE" w:rsidP="00514814">
      <w:pPr>
        <w:spacing w:after="0"/>
        <w:jc w:val="center"/>
        <w:rPr>
          <w:rFonts w:eastAsia="Times New Roman" w:cs="Times New Roman"/>
        </w:rPr>
      </w:pPr>
    </w:p>
    <w:p w:rsidR="002F1EBE" w:rsidRPr="00F04EDB" w:rsidRDefault="002F1EBE" w:rsidP="002F1EBE">
      <w:pPr>
        <w:spacing w:after="0" w:line="240" w:lineRule="auto"/>
        <w:rPr>
          <w:rFonts w:eastAsia="Times New Roman" w:cs="Times New Roman"/>
        </w:rPr>
      </w:pPr>
    </w:p>
    <w:p w:rsidR="002F1EBE" w:rsidRPr="00F04EDB" w:rsidRDefault="002F1EBE" w:rsidP="002F1EBE">
      <w:pPr>
        <w:spacing w:after="0" w:line="240" w:lineRule="auto"/>
        <w:rPr>
          <w:rFonts w:eastAsia="Times New Roman" w:cs="Times New Roman"/>
        </w:rPr>
      </w:pPr>
    </w:p>
    <w:p w:rsidR="002F1EBE" w:rsidRPr="00F04EDB" w:rsidRDefault="002F1EBE" w:rsidP="002F1EBE">
      <w:pPr>
        <w:spacing w:after="0" w:line="240" w:lineRule="auto"/>
        <w:rPr>
          <w:rFonts w:eastAsia="Times New Roman" w:cs="Times New Roman"/>
        </w:rPr>
      </w:pPr>
    </w:p>
    <w:p w:rsidR="002F1EBE" w:rsidRPr="00F04EDB" w:rsidRDefault="002F1EBE" w:rsidP="002F1EBE">
      <w:pPr>
        <w:spacing w:after="0" w:line="240" w:lineRule="auto"/>
        <w:rPr>
          <w:rFonts w:eastAsia="Times New Roman" w:cs="Times New Roman"/>
        </w:rPr>
      </w:pPr>
    </w:p>
    <w:p w:rsidR="002F1EBE" w:rsidRPr="00F04EDB" w:rsidRDefault="002F1EBE" w:rsidP="002F1EBE">
      <w:pPr>
        <w:spacing w:after="0" w:line="240" w:lineRule="auto"/>
        <w:rPr>
          <w:rFonts w:eastAsia="Times New Roman" w:cs="Times New Roman"/>
        </w:rPr>
      </w:pPr>
      <w:r w:rsidRPr="00F04EDB">
        <w:rPr>
          <w:rFonts w:eastAsia="Times New Roman" w:cs="Times New Roman"/>
        </w:rPr>
        <w:br w:type="page"/>
      </w:r>
    </w:p>
    <w:tbl>
      <w:tblPr>
        <w:tblStyle w:val="TableGrid"/>
        <w:tblW w:w="8928" w:type="dxa"/>
        <w:tblLook w:val="04A0"/>
      </w:tblPr>
      <w:tblGrid>
        <w:gridCol w:w="554"/>
        <w:gridCol w:w="724"/>
        <w:gridCol w:w="1396"/>
        <w:gridCol w:w="882"/>
        <w:gridCol w:w="883"/>
        <w:gridCol w:w="883"/>
        <w:gridCol w:w="883"/>
        <w:gridCol w:w="883"/>
        <w:gridCol w:w="884"/>
        <w:gridCol w:w="956"/>
      </w:tblGrid>
      <w:tr w:rsidR="00366203" w:rsidRPr="00E34378" w:rsidTr="009D5584">
        <w:tc>
          <w:tcPr>
            <w:tcW w:w="8928" w:type="dxa"/>
            <w:gridSpan w:val="10"/>
            <w:tcBorders>
              <w:top w:val="nil"/>
              <w:left w:val="nil"/>
              <w:right w:val="nil"/>
            </w:tcBorders>
            <w:vAlign w:val="center"/>
          </w:tcPr>
          <w:p w:rsidR="00366203" w:rsidRPr="00E34378" w:rsidRDefault="00366203" w:rsidP="009D5584">
            <w:pPr>
              <w:spacing w:after="0" w:line="240" w:lineRule="auto"/>
              <w:jc w:val="center"/>
              <w:rPr>
                <w:rFonts w:ascii="Calibri" w:eastAsia="Calibri" w:hAnsi="Calibri"/>
                <w:b/>
                <w:sz w:val="20"/>
                <w:szCs w:val="20"/>
              </w:rPr>
            </w:pPr>
            <w:r w:rsidRPr="00E34378">
              <w:rPr>
                <w:rFonts w:ascii="Calibri" w:eastAsia="Calibri" w:hAnsi="Calibri"/>
                <w:b/>
                <w:sz w:val="20"/>
                <w:szCs w:val="20"/>
              </w:rPr>
              <w:t xml:space="preserve">Table </w:t>
            </w:r>
            <w:r w:rsidR="002F368B" w:rsidRPr="00E34378">
              <w:rPr>
                <w:rFonts w:ascii="Calibri" w:eastAsia="Calibri" w:hAnsi="Calibri"/>
                <w:b/>
                <w:sz w:val="20"/>
                <w:szCs w:val="20"/>
              </w:rPr>
              <w:t>B</w:t>
            </w:r>
            <w:r w:rsidR="00923109">
              <w:rPr>
                <w:rFonts w:ascii="Calibri" w:eastAsia="Calibri" w:hAnsi="Calibri"/>
                <w:b/>
                <w:sz w:val="20"/>
                <w:szCs w:val="20"/>
              </w:rPr>
              <w:t>6</w:t>
            </w:r>
            <w:r w:rsidR="002F368B" w:rsidRPr="00E34378">
              <w:rPr>
                <w:rFonts w:ascii="Calibri" w:eastAsia="Calibri" w:hAnsi="Calibri"/>
                <w:b/>
                <w:sz w:val="20"/>
                <w:szCs w:val="20"/>
              </w:rPr>
              <w:t>b</w:t>
            </w:r>
            <w:r w:rsidRPr="00E34378">
              <w:rPr>
                <w:rFonts w:ascii="Calibri" w:eastAsia="Calibri" w:hAnsi="Calibri"/>
                <w:b/>
                <w:sz w:val="20"/>
                <w:szCs w:val="20"/>
              </w:rPr>
              <w:t xml:space="preserve">: </w:t>
            </w:r>
            <w:r w:rsidRPr="00E34378">
              <w:rPr>
                <w:rFonts w:ascii="Calibri" w:eastAsia="Calibri" w:hAnsi="Calibri" w:cs="Times New Roman"/>
                <w:b/>
                <w:sz w:val="20"/>
              </w:rPr>
              <w:t>Worcester</w:t>
            </w:r>
            <w:r w:rsidRPr="00E34378">
              <w:rPr>
                <w:rFonts w:ascii="Calibri" w:eastAsia="Calibri" w:hAnsi="Calibri"/>
                <w:b/>
                <w:sz w:val="20"/>
                <w:szCs w:val="20"/>
              </w:rPr>
              <w:t xml:space="preserve"> Public Schools</w:t>
            </w:r>
          </w:p>
          <w:p w:rsidR="00366203" w:rsidRPr="00E34378" w:rsidRDefault="00366203" w:rsidP="009D5584">
            <w:pPr>
              <w:spacing w:after="0" w:line="240" w:lineRule="auto"/>
              <w:jc w:val="center"/>
              <w:rPr>
                <w:rFonts w:ascii="Calibri" w:eastAsia="Calibri" w:hAnsi="Calibri"/>
                <w:b/>
              </w:rPr>
            </w:pPr>
            <w:r w:rsidRPr="00E34378">
              <w:rPr>
                <w:rFonts w:ascii="Calibri" w:eastAsia="Calibri" w:hAnsi="Calibri"/>
                <w:b/>
                <w:sz w:val="20"/>
                <w:szCs w:val="20"/>
              </w:rPr>
              <w:t>English Language Arts Performance, 2013–2016</w:t>
            </w:r>
            <w:r w:rsidRPr="00E34378">
              <w:rPr>
                <w:rStyle w:val="FootnoteReference"/>
                <w:rFonts w:ascii="Calibri" w:eastAsia="Calibri" w:hAnsi="Calibri"/>
                <w:b/>
                <w:sz w:val="20"/>
                <w:szCs w:val="20"/>
              </w:rPr>
              <w:footnoteReference w:id="25"/>
            </w:r>
          </w:p>
        </w:tc>
      </w:tr>
      <w:tr w:rsidR="00366203" w:rsidRPr="00E34378" w:rsidTr="009D5584">
        <w:tc>
          <w:tcPr>
            <w:tcW w:w="1278" w:type="dxa"/>
            <w:gridSpan w:val="2"/>
            <w:vMerge w:val="restart"/>
            <w:vAlign w:val="center"/>
          </w:tcPr>
          <w:p w:rsidR="00366203" w:rsidRPr="00E34378" w:rsidRDefault="00366203" w:rsidP="009D5584">
            <w:pPr>
              <w:spacing w:after="0" w:line="240" w:lineRule="auto"/>
              <w:jc w:val="center"/>
              <w:rPr>
                <w:rFonts w:ascii="Calibri" w:hAnsi="Calibri"/>
                <w:b/>
                <w:sz w:val="20"/>
                <w:szCs w:val="20"/>
              </w:rPr>
            </w:pPr>
            <w:r w:rsidRPr="00E34378">
              <w:rPr>
                <w:rFonts w:ascii="Calibri" w:hAnsi="Calibri"/>
                <w:b/>
                <w:sz w:val="20"/>
                <w:szCs w:val="20"/>
              </w:rPr>
              <w:t>Grade and Measure</w:t>
            </w:r>
          </w:p>
        </w:tc>
        <w:tc>
          <w:tcPr>
            <w:tcW w:w="1396" w:type="dxa"/>
            <w:vMerge w:val="restart"/>
            <w:vAlign w:val="center"/>
          </w:tcPr>
          <w:p w:rsidR="00366203" w:rsidRPr="00E34378" w:rsidRDefault="00366203" w:rsidP="009D5584">
            <w:pPr>
              <w:spacing w:after="0" w:line="240" w:lineRule="auto"/>
              <w:jc w:val="center"/>
              <w:rPr>
                <w:rFonts w:ascii="Calibri" w:hAnsi="Calibri"/>
                <w:b/>
                <w:sz w:val="20"/>
                <w:szCs w:val="20"/>
              </w:rPr>
            </w:pPr>
            <w:r w:rsidRPr="00E34378">
              <w:rPr>
                <w:rFonts w:ascii="Calibri" w:hAnsi="Calibri"/>
                <w:b/>
                <w:sz w:val="20"/>
                <w:szCs w:val="20"/>
              </w:rPr>
              <w:t>Number Included (2016)</w:t>
            </w:r>
          </w:p>
        </w:tc>
        <w:tc>
          <w:tcPr>
            <w:tcW w:w="3531" w:type="dxa"/>
            <w:gridSpan w:val="4"/>
            <w:vMerge w:val="restart"/>
            <w:vAlign w:val="center"/>
          </w:tcPr>
          <w:p w:rsidR="00366203" w:rsidRPr="00E34378" w:rsidRDefault="00366203" w:rsidP="009D5584">
            <w:pPr>
              <w:spacing w:after="0" w:line="240" w:lineRule="auto"/>
              <w:jc w:val="center"/>
              <w:rPr>
                <w:rFonts w:ascii="Calibri" w:hAnsi="Calibri"/>
                <w:b/>
                <w:sz w:val="20"/>
                <w:szCs w:val="20"/>
              </w:rPr>
            </w:pPr>
            <w:r w:rsidRPr="00E34378">
              <w:rPr>
                <w:rFonts w:ascii="Calibri" w:hAnsi="Calibri"/>
                <w:b/>
                <w:sz w:val="20"/>
                <w:szCs w:val="20"/>
              </w:rPr>
              <w:t>MCAS/Accountability Year</w:t>
            </w:r>
          </w:p>
        </w:tc>
        <w:tc>
          <w:tcPr>
            <w:tcW w:w="883" w:type="dxa"/>
            <w:shd w:val="clear" w:color="auto" w:fill="D9D9D9" w:themeFill="background1" w:themeFillShade="D9"/>
            <w:vAlign w:val="bottom"/>
          </w:tcPr>
          <w:p w:rsidR="00366203" w:rsidRPr="00E34378" w:rsidRDefault="00366203" w:rsidP="009D5584">
            <w:pPr>
              <w:spacing w:after="0" w:line="240" w:lineRule="auto"/>
              <w:jc w:val="center"/>
              <w:rPr>
                <w:rFonts w:ascii="Calibri" w:hAnsi="Calibri"/>
                <w:sz w:val="20"/>
                <w:szCs w:val="20"/>
              </w:rPr>
            </w:pPr>
          </w:p>
        </w:tc>
        <w:tc>
          <w:tcPr>
            <w:tcW w:w="1840" w:type="dxa"/>
            <w:gridSpan w:val="2"/>
            <w:vAlign w:val="bottom"/>
          </w:tcPr>
          <w:p w:rsidR="00366203" w:rsidRPr="00E34378" w:rsidRDefault="00366203" w:rsidP="009D5584">
            <w:pPr>
              <w:spacing w:after="0" w:line="240" w:lineRule="auto"/>
              <w:jc w:val="center"/>
              <w:rPr>
                <w:rFonts w:ascii="Calibri" w:hAnsi="Calibri"/>
                <w:b/>
                <w:sz w:val="20"/>
                <w:szCs w:val="20"/>
              </w:rPr>
            </w:pPr>
            <w:r w:rsidRPr="00E34378">
              <w:rPr>
                <w:rFonts w:ascii="Calibri" w:hAnsi="Calibri"/>
                <w:b/>
                <w:sz w:val="20"/>
                <w:szCs w:val="20"/>
              </w:rPr>
              <w:t>Gains and Declines</w:t>
            </w:r>
          </w:p>
        </w:tc>
      </w:tr>
      <w:tr w:rsidR="00366203" w:rsidRPr="00E34378" w:rsidTr="009D5584">
        <w:tc>
          <w:tcPr>
            <w:tcW w:w="1278" w:type="dxa"/>
            <w:gridSpan w:val="2"/>
            <w:vMerge/>
            <w:vAlign w:val="center"/>
          </w:tcPr>
          <w:p w:rsidR="00366203" w:rsidRPr="00E34378" w:rsidRDefault="00366203" w:rsidP="009D5584">
            <w:pPr>
              <w:spacing w:after="0" w:line="240" w:lineRule="auto"/>
              <w:rPr>
                <w:rFonts w:ascii="Calibri" w:hAnsi="Calibri"/>
                <w:sz w:val="20"/>
                <w:szCs w:val="20"/>
              </w:rPr>
            </w:pPr>
          </w:p>
        </w:tc>
        <w:tc>
          <w:tcPr>
            <w:tcW w:w="1396" w:type="dxa"/>
            <w:vMerge/>
            <w:vAlign w:val="bottom"/>
          </w:tcPr>
          <w:p w:rsidR="00366203" w:rsidRPr="00E34378" w:rsidRDefault="00366203" w:rsidP="009D5584">
            <w:pPr>
              <w:spacing w:after="0" w:line="240" w:lineRule="auto"/>
              <w:jc w:val="center"/>
              <w:rPr>
                <w:rFonts w:ascii="Calibri" w:hAnsi="Calibri"/>
                <w:sz w:val="20"/>
                <w:szCs w:val="20"/>
              </w:rPr>
            </w:pPr>
          </w:p>
        </w:tc>
        <w:tc>
          <w:tcPr>
            <w:tcW w:w="3531" w:type="dxa"/>
            <w:gridSpan w:val="4"/>
            <w:vMerge/>
            <w:vAlign w:val="bottom"/>
          </w:tcPr>
          <w:p w:rsidR="00366203" w:rsidRPr="00E34378" w:rsidRDefault="00366203" w:rsidP="009D5584">
            <w:pPr>
              <w:spacing w:after="0" w:line="240" w:lineRule="auto"/>
              <w:jc w:val="center"/>
              <w:rPr>
                <w:rFonts w:ascii="Calibri" w:hAnsi="Calibri"/>
                <w:sz w:val="20"/>
                <w:szCs w:val="20"/>
              </w:rPr>
            </w:pPr>
          </w:p>
        </w:tc>
        <w:tc>
          <w:tcPr>
            <w:tcW w:w="883" w:type="dxa"/>
            <w:shd w:val="clear" w:color="auto" w:fill="D9D9D9" w:themeFill="background1" w:themeFillShade="D9"/>
            <w:vAlign w:val="bottom"/>
          </w:tcPr>
          <w:p w:rsidR="00366203" w:rsidRPr="00E34378" w:rsidRDefault="00366203" w:rsidP="009D5584">
            <w:pPr>
              <w:spacing w:after="0" w:line="240" w:lineRule="auto"/>
              <w:jc w:val="center"/>
              <w:rPr>
                <w:rFonts w:ascii="Calibri" w:hAnsi="Calibri"/>
                <w:sz w:val="20"/>
                <w:szCs w:val="20"/>
              </w:rPr>
            </w:pPr>
          </w:p>
        </w:tc>
        <w:tc>
          <w:tcPr>
            <w:tcW w:w="884" w:type="dxa"/>
            <w:vMerge w:val="restart"/>
            <w:vAlign w:val="center"/>
          </w:tcPr>
          <w:p w:rsidR="00366203" w:rsidRPr="00E34378" w:rsidRDefault="00366203" w:rsidP="009D5584">
            <w:pPr>
              <w:spacing w:after="0" w:line="240" w:lineRule="auto"/>
              <w:jc w:val="center"/>
              <w:rPr>
                <w:rFonts w:ascii="Calibri" w:hAnsi="Calibri"/>
                <w:sz w:val="20"/>
                <w:szCs w:val="20"/>
              </w:rPr>
            </w:pPr>
            <w:r w:rsidRPr="00E34378">
              <w:rPr>
                <w:rFonts w:ascii="Calibri" w:hAnsi="Calibri"/>
                <w:b/>
                <w:sz w:val="20"/>
                <w:szCs w:val="20"/>
              </w:rPr>
              <w:t>4-Year Trend</w:t>
            </w:r>
          </w:p>
        </w:tc>
        <w:tc>
          <w:tcPr>
            <w:tcW w:w="956" w:type="dxa"/>
            <w:vMerge w:val="restart"/>
            <w:vAlign w:val="center"/>
          </w:tcPr>
          <w:p w:rsidR="00366203" w:rsidRPr="00E34378" w:rsidRDefault="00366203" w:rsidP="009D5584">
            <w:pPr>
              <w:spacing w:after="0" w:line="240" w:lineRule="auto"/>
              <w:jc w:val="center"/>
              <w:rPr>
                <w:rFonts w:ascii="Calibri" w:hAnsi="Calibri"/>
                <w:sz w:val="20"/>
                <w:szCs w:val="20"/>
              </w:rPr>
            </w:pPr>
            <w:r w:rsidRPr="00E34378">
              <w:rPr>
                <w:rFonts w:ascii="Calibri" w:hAnsi="Calibri"/>
                <w:b/>
                <w:sz w:val="20"/>
                <w:szCs w:val="20"/>
              </w:rPr>
              <w:t>2-Year Trend</w:t>
            </w:r>
          </w:p>
        </w:tc>
      </w:tr>
      <w:tr w:rsidR="00366203" w:rsidRPr="00E34378" w:rsidTr="009D5584">
        <w:tc>
          <w:tcPr>
            <w:tcW w:w="1278" w:type="dxa"/>
            <w:gridSpan w:val="2"/>
            <w:vMerge/>
            <w:vAlign w:val="center"/>
          </w:tcPr>
          <w:p w:rsidR="00366203" w:rsidRPr="00E34378" w:rsidRDefault="00366203" w:rsidP="009D5584">
            <w:pPr>
              <w:spacing w:after="0" w:line="240" w:lineRule="auto"/>
              <w:rPr>
                <w:rFonts w:ascii="Calibri" w:hAnsi="Calibri"/>
                <w:sz w:val="20"/>
                <w:szCs w:val="20"/>
              </w:rPr>
            </w:pPr>
          </w:p>
        </w:tc>
        <w:tc>
          <w:tcPr>
            <w:tcW w:w="1396" w:type="dxa"/>
            <w:vMerge/>
            <w:vAlign w:val="bottom"/>
          </w:tcPr>
          <w:p w:rsidR="00366203" w:rsidRPr="00E34378" w:rsidRDefault="00366203" w:rsidP="009D5584">
            <w:pPr>
              <w:spacing w:after="0" w:line="240" w:lineRule="auto"/>
              <w:jc w:val="center"/>
              <w:rPr>
                <w:rFonts w:ascii="Calibri" w:hAnsi="Calibri"/>
                <w:sz w:val="20"/>
                <w:szCs w:val="20"/>
              </w:rPr>
            </w:pPr>
          </w:p>
        </w:tc>
        <w:tc>
          <w:tcPr>
            <w:tcW w:w="882" w:type="dxa"/>
            <w:vAlign w:val="center"/>
          </w:tcPr>
          <w:p w:rsidR="00366203" w:rsidRPr="00E34378" w:rsidRDefault="00366203" w:rsidP="009D5584">
            <w:pPr>
              <w:spacing w:after="0" w:line="240" w:lineRule="auto"/>
              <w:jc w:val="center"/>
              <w:rPr>
                <w:rFonts w:ascii="Calibri" w:hAnsi="Calibri"/>
                <w:b/>
                <w:sz w:val="20"/>
                <w:szCs w:val="20"/>
              </w:rPr>
            </w:pPr>
            <w:r w:rsidRPr="00E34378">
              <w:rPr>
                <w:rFonts w:ascii="Calibri" w:hAnsi="Calibri"/>
                <w:b/>
                <w:sz w:val="20"/>
                <w:szCs w:val="20"/>
              </w:rPr>
              <w:t>2013</w:t>
            </w:r>
          </w:p>
        </w:tc>
        <w:tc>
          <w:tcPr>
            <w:tcW w:w="883" w:type="dxa"/>
            <w:vAlign w:val="center"/>
          </w:tcPr>
          <w:p w:rsidR="00366203" w:rsidRPr="00E34378" w:rsidRDefault="00366203" w:rsidP="009D5584">
            <w:pPr>
              <w:spacing w:after="0" w:line="240" w:lineRule="auto"/>
              <w:jc w:val="center"/>
              <w:rPr>
                <w:rFonts w:ascii="Calibri" w:hAnsi="Calibri"/>
                <w:b/>
                <w:sz w:val="20"/>
                <w:szCs w:val="20"/>
              </w:rPr>
            </w:pPr>
            <w:r w:rsidRPr="00E34378">
              <w:rPr>
                <w:rFonts w:ascii="Calibri" w:hAnsi="Calibri"/>
                <w:b/>
                <w:sz w:val="20"/>
                <w:szCs w:val="20"/>
              </w:rPr>
              <w:t>2014</w:t>
            </w:r>
          </w:p>
        </w:tc>
        <w:tc>
          <w:tcPr>
            <w:tcW w:w="883" w:type="dxa"/>
            <w:vAlign w:val="center"/>
          </w:tcPr>
          <w:p w:rsidR="00366203" w:rsidRPr="00E34378" w:rsidRDefault="00366203" w:rsidP="009D5584">
            <w:pPr>
              <w:spacing w:after="0" w:line="240" w:lineRule="auto"/>
              <w:jc w:val="center"/>
              <w:rPr>
                <w:rFonts w:ascii="Calibri" w:hAnsi="Calibri"/>
                <w:b/>
                <w:sz w:val="20"/>
                <w:szCs w:val="20"/>
              </w:rPr>
            </w:pPr>
            <w:r w:rsidRPr="00E34378">
              <w:rPr>
                <w:rFonts w:ascii="Calibri" w:hAnsi="Calibri"/>
                <w:b/>
                <w:sz w:val="20"/>
                <w:szCs w:val="20"/>
              </w:rPr>
              <w:t>2015</w:t>
            </w:r>
          </w:p>
        </w:tc>
        <w:tc>
          <w:tcPr>
            <w:tcW w:w="883" w:type="dxa"/>
            <w:vAlign w:val="center"/>
          </w:tcPr>
          <w:p w:rsidR="00366203" w:rsidRPr="00E34378" w:rsidRDefault="00366203" w:rsidP="009D5584">
            <w:pPr>
              <w:spacing w:after="0" w:line="240" w:lineRule="auto"/>
              <w:jc w:val="center"/>
              <w:rPr>
                <w:rFonts w:ascii="Calibri" w:hAnsi="Calibri"/>
                <w:b/>
                <w:sz w:val="20"/>
                <w:szCs w:val="20"/>
              </w:rPr>
            </w:pPr>
            <w:r w:rsidRPr="00E34378">
              <w:rPr>
                <w:rFonts w:ascii="Calibri" w:hAnsi="Calibri"/>
                <w:b/>
                <w:sz w:val="20"/>
                <w:szCs w:val="20"/>
              </w:rPr>
              <w:t>2016</w:t>
            </w:r>
          </w:p>
        </w:tc>
        <w:tc>
          <w:tcPr>
            <w:tcW w:w="883" w:type="dxa"/>
            <w:shd w:val="clear" w:color="auto" w:fill="D9D9D9" w:themeFill="background1" w:themeFillShade="D9"/>
            <w:vAlign w:val="bottom"/>
          </w:tcPr>
          <w:p w:rsidR="00366203" w:rsidRPr="00E34378" w:rsidRDefault="00366203" w:rsidP="009D5584">
            <w:pPr>
              <w:spacing w:after="0" w:line="240" w:lineRule="auto"/>
              <w:jc w:val="center"/>
              <w:rPr>
                <w:rFonts w:ascii="Calibri" w:hAnsi="Calibri"/>
                <w:b/>
                <w:sz w:val="20"/>
                <w:szCs w:val="20"/>
              </w:rPr>
            </w:pPr>
            <w:r w:rsidRPr="00E34378">
              <w:rPr>
                <w:rFonts w:ascii="Calibri" w:hAnsi="Calibri"/>
                <w:b/>
                <w:sz w:val="20"/>
                <w:szCs w:val="20"/>
              </w:rPr>
              <w:t>State (2016)</w:t>
            </w:r>
          </w:p>
        </w:tc>
        <w:tc>
          <w:tcPr>
            <w:tcW w:w="884" w:type="dxa"/>
            <w:vMerge/>
            <w:vAlign w:val="bottom"/>
          </w:tcPr>
          <w:p w:rsidR="00366203" w:rsidRPr="00E34378" w:rsidRDefault="00366203" w:rsidP="009D5584">
            <w:pPr>
              <w:spacing w:after="0" w:line="240" w:lineRule="auto"/>
              <w:jc w:val="center"/>
              <w:rPr>
                <w:rFonts w:ascii="Calibri" w:hAnsi="Calibri"/>
                <w:b/>
                <w:sz w:val="20"/>
                <w:szCs w:val="20"/>
              </w:rPr>
            </w:pPr>
          </w:p>
        </w:tc>
        <w:tc>
          <w:tcPr>
            <w:tcW w:w="956" w:type="dxa"/>
            <w:vMerge/>
            <w:vAlign w:val="bottom"/>
          </w:tcPr>
          <w:p w:rsidR="00366203" w:rsidRPr="00E34378" w:rsidRDefault="00366203" w:rsidP="009D5584">
            <w:pPr>
              <w:spacing w:after="0" w:line="240" w:lineRule="auto"/>
              <w:jc w:val="center"/>
              <w:rPr>
                <w:rFonts w:ascii="Calibri" w:hAnsi="Calibri"/>
                <w:b/>
                <w:sz w:val="20"/>
                <w:szCs w:val="20"/>
              </w:rPr>
            </w:pPr>
          </w:p>
        </w:tc>
      </w:tr>
      <w:tr w:rsidR="00366203" w:rsidRPr="00E34378" w:rsidTr="009D5584">
        <w:tc>
          <w:tcPr>
            <w:tcW w:w="554" w:type="dxa"/>
            <w:vMerge w:val="restart"/>
            <w:vAlign w:val="center"/>
          </w:tcPr>
          <w:p w:rsidR="00366203" w:rsidRPr="00E34378" w:rsidRDefault="00366203" w:rsidP="009D5584">
            <w:pPr>
              <w:spacing w:after="0" w:line="240" w:lineRule="auto"/>
              <w:jc w:val="center"/>
              <w:rPr>
                <w:rFonts w:ascii="Calibri" w:hAnsi="Calibri"/>
                <w:sz w:val="20"/>
                <w:szCs w:val="20"/>
              </w:rPr>
            </w:pPr>
            <w:r w:rsidRPr="00E34378">
              <w:rPr>
                <w:rFonts w:ascii="Calibri" w:hAnsi="Calibri"/>
                <w:sz w:val="20"/>
                <w:szCs w:val="20"/>
              </w:rPr>
              <w:t>10</w:t>
            </w:r>
          </w:p>
        </w:tc>
        <w:tc>
          <w:tcPr>
            <w:tcW w:w="724" w:type="dxa"/>
          </w:tcPr>
          <w:p w:rsidR="00366203" w:rsidRPr="00E34378" w:rsidRDefault="00366203" w:rsidP="009D5584">
            <w:pPr>
              <w:spacing w:after="0" w:line="240" w:lineRule="auto"/>
              <w:rPr>
                <w:rFonts w:ascii="Calibri" w:hAnsi="Calibri"/>
                <w:sz w:val="20"/>
                <w:szCs w:val="20"/>
              </w:rPr>
            </w:pPr>
            <w:r w:rsidRPr="00E34378">
              <w:rPr>
                <w:rFonts w:ascii="Calibri" w:hAnsi="Calibri"/>
                <w:sz w:val="20"/>
                <w:szCs w:val="20"/>
              </w:rPr>
              <w:t>CPI</w:t>
            </w:r>
          </w:p>
        </w:tc>
        <w:tc>
          <w:tcPr>
            <w:tcW w:w="1396" w:type="dxa"/>
            <w:vAlign w:val="center"/>
          </w:tcPr>
          <w:p w:rsidR="00366203" w:rsidRPr="00E34378" w:rsidRDefault="00366203" w:rsidP="009D5584">
            <w:pPr>
              <w:spacing w:after="0" w:line="240" w:lineRule="auto"/>
              <w:jc w:val="center"/>
              <w:rPr>
                <w:rFonts w:ascii="Calibri" w:hAnsi="Calibri"/>
                <w:sz w:val="20"/>
                <w:szCs w:val="20"/>
              </w:rPr>
            </w:pPr>
            <w:r w:rsidRPr="00E34378">
              <w:rPr>
                <w:rFonts w:ascii="Calibri" w:hAnsi="Calibri"/>
                <w:sz w:val="20"/>
                <w:szCs w:val="20"/>
              </w:rPr>
              <w:t>1,730</w:t>
            </w:r>
          </w:p>
        </w:tc>
        <w:tc>
          <w:tcPr>
            <w:tcW w:w="882" w:type="dxa"/>
            <w:vAlign w:val="center"/>
          </w:tcPr>
          <w:p w:rsidR="00366203" w:rsidRPr="00E34378" w:rsidRDefault="00366203" w:rsidP="009D5584">
            <w:pPr>
              <w:spacing w:after="0" w:line="240" w:lineRule="auto"/>
              <w:jc w:val="center"/>
              <w:rPr>
                <w:rFonts w:ascii="Calibri" w:hAnsi="Calibri"/>
                <w:sz w:val="20"/>
                <w:szCs w:val="20"/>
              </w:rPr>
            </w:pPr>
            <w:r w:rsidRPr="00E34378">
              <w:rPr>
                <w:rFonts w:ascii="Calibri" w:hAnsi="Calibri"/>
                <w:sz w:val="20"/>
                <w:szCs w:val="20"/>
              </w:rPr>
              <w:t>92.1</w:t>
            </w:r>
          </w:p>
        </w:tc>
        <w:tc>
          <w:tcPr>
            <w:tcW w:w="883" w:type="dxa"/>
            <w:vAlign w:val="center"/>
          </w:tcPr>
          <w:p w:rsidR="00366203" w:rsidRPr="00E34378" w:rsidRDefault="00366203" w:rsidP="009D5584">
            <w:pPr>
              <w:spacing w:after="0" w:line="240" w:lineRule="auto"/>
              <w:jc w:val="center"/>
              <w:rPr>
                <w:rFonts w:ascii="Calibri" w:hAnsi="Calibri"/>
                <w:sz w:val="20"/>
                <w:szCs w:val="20"/>
              </w:rPr>
            </w:pPr>
            <w:r w:rsidRPr="00E34378">
              <w:rPr>
                <w:rFonts w:ascii="Calibri" w:hAnsi="Calibri"/>
                <w:sz w:val="20"/>
                <w:szCs w:val="20"/>
              </w:rPr>
              <w:t>89.6</w:t>
            </w:r>
          </w:p>
        </w:tc>
        <w:tc>
          <w:tcPr>
            <w:tcW w:w="883" w:type="dxa"/>
            <w:vAlign w:val="center"/>
          </w:tcPr>
          <w:p w:rsidR="00366203" w:rsidRPr="00E34378" w:rsidRDefault="00366203" w:rsidP="009D5584">
            <w:pPr>
              <w:spacing w:after="0" w:line="240" w:lineRule="auto"/>
              <w:jc w:val="center"/>
              <w:rPr>
                <w:rFonts w:ascii="Calibri" w:hAnsi="Calibri"/>
                <w:sz w:val="20"/>
                <w:szCs w:val="20"/>
              </w:rPr>
            </w:pPr>
            <w:r w:rsidRPr="00E34378">
              <w:rPr>
                <w:rFonts w:ascii="Calibri" w:hAnsi="Calibri"/>
                <w:sz w:val="20"/>
                <w:szCs w:val="20"/>
              </w:rPr>
              <w:t>92.0</w:t>
            </w:r>
          </w:p>
        </w:tc>
        <w:tc>
          <w:tcPr>
            <w:tcW w:w="883" w:type="dxa"/>
            <w:vAlign w:val="center"/>
          </w:tcPr>
          <w:p w:rsidR="00366203" w:rsidRPr="00E34378" w:rsidRDefault="00366203" w:rsidP="009D5584">
            <w:pPr>
              <w:spacing w:after="0" w:line="240" w:lineRule="auto"/>
              <w:jc w:val="center"/>
              <w:rPr>
                <w:rFonts w:ascii="Calibri" w:hAnsi="Calibri"/>
                <w:sz w:val="20"/>
                <w:szCs w:val="20"/>
              </w:rPr>
            </w:pPr>
            <w:r w:rsidRPr="00E34378">
              <w:rPr>
                <w:rFonts w:ascii="Calibri" w:hAnsi="Calibri"/>
                <w:sz w:val="20"/>
                <w:szCs w:val="20"/>
              </w:rPr>
              <w:t>92.7</w:t>
            </w:r>
          </w:p>
        </w:tc>
        <w:tc>
          <w:tcPr>
            <w:tcW w:w="883" w:type="dxa"/>
            <w:shd w:val="clear" w:color="auto" w:fill="D9D9D9" w:themeFill="background1" w:themeFillShade="D9"/>
            <w:vAlign w:val="bottom"/>
          </w:tcPr>
          <w:p w:rsidR="00366203" w:rsidRPr="00E34378" w:rsidRDefault="00366203" w:rsidP="009D5584">
            <w:pPr>
              <w:spacing w:after="0" w:line="240" w:lineRule="auto"/>
              <w:jc w:val="center"/>
              <w:rPr>
                <w:rFonts w:ascii="Calibri" w:hAnsi="Calibri"/>
                <w:sz w:val="20"/>
                <w:szCs w:val="20"/>
              </w:rPr>
            </w:pPr>
            <w:r w:rsidRPr="00E34378">
              <w:rPr>
                <w:rFonts w:ascii="Calibri" w:hAnsi="Calibri"/>
                <w:sz w:val="20"/>
                <w:szCs w:val="20"/>
              </w:rPr>
              <w:t>96.7</w:t>
            </w:r>
          </w:p>
        </w:tc>
        <w:tc>
          <w:tcPr>
            <w:tcW w:w="884" w:type="dxa"/>
            <w:vAlign w:val="center"/>
          </w:tcPr>
          <w:p w:rsidR="00366203" w:rsidRPr="00E34378" w:rsidRDefault="00366203" w:rsidP="009D5584">
            <w:pPr>
              <w:spacing w:after="0" w:line="240" w:lineRule="auto"/>
              <w:jc w:val="center"/>
              <w:rPr>
                <w:rFonts w:ascii="Calibri" w:hAnsi="Calibri"/>
                <w:sz w:val="20"/>
                <w:szCs w:val="20"/>
              </w:rPr>
            </w:pPr>
            <w:r w:rsidRPr="00E34378">
              <w:rPr>
                <w:rFonts w:ascii="Calibri" w:hAnsi="Calibri"/>
                <w:sz w:val="20"/>
                <w:szCs w:val="20"/>
              </w:rPr>
              <w:t>0.6</w:t>
            </w:r>
          </w:p>
        </w:tc>
        <w:tc>
          <w:tcPr>
            <w:tcW w:w="956" w:type="dxa"/>
            <w:vAlign w:val="center"/>
          </w:tcPr>
          <w:p w:rsidR="00366203" w:rsidRPr="00E34378" w:rsidRDefault="00366203" w:rsidP="009D5584">
            <w:pPr>
              <w:spacing w:after="0" w:line="240" w:lineRule="auto"/>
              <w:jc w:val="center"/>
              <w:rPr>
                <w:rFonts w:ascii="Calibri" w:hAnsi="Calibri"/>
                <w:sz w:val="20"/>
                <w:szCs w:val="20"/>
              </w:rPr>
            </w:pPr>
            <w:r w:rsidRPr="00E34378">
              <w:rPr>
                <w:rFonts w:ascii="Calibri" w:hAnsi="Calibri"/>
                <w:sz w:val="20"/>
                <w:szCs w:val="20"/>
              </w:rPr>
              <w:t>0.7</w:t>
            </w:r>
          </w:p>
        </w:tc>
      </w:tr>
      <w:tr w:rsidR="00366203" w:rsidRPr="00E34378" w:rsidTr="009D5584">
        <w:tc>
          <w:tcPr>
            <w:tcW w:w="554" w:type="dxa"/>
            <w:vMerge/>
            <w:vAlign w:val="center"/>
          </w:tcPr>
          <w:p w:rsidR="00366203" w:rsidRPr="00E34378" w:rsidRDefault="00366203" w:rsidP="009D5584">
            <w:pPr>
              <w:spacing w:after="0" w:line="240" w:lineRule="auto"/>
              <w:jc w:val="center"/>
              <w:rPr>
                <w:rFonts w:ascii="Calibri" w:hAnsi="Calibri"/>
                <w:sz w:val="20"/>
                <w:szCs w:val="20"/>
              </w:rPr>
            </w:pPr>
          </w:p>
        </w:tc>
        <w:tc>
          <w:tcPr>
            <w:tcW w:w="724" w:type="dxa"/>
          </w:tcPr>
          <w:p w:rsidR="00366203" w:rsidRPr="00E34378" w:rsidRDefault="00366203" w:rsidP="009D5584">
            <w:pPr>
              <w:spacing w:after="0" w:line="240" w:lineRule="auto"/>
              <w:rPr>
                <w:rFonts w:ascii="Calibri" w:hAnsi="Calibri"/>
                <w:sz w:val="20"/>
                <w:szCs w:val="20"/>
              </w:rPr>
            </w:pPr>
            <w:r w:rsidRPr="00E34378">
              <w:rPr>
                <w:rFonts w:ascii="Calibri" w:hAnsi="Calibri"/>
                <w:sz w:val="20"/>
                <w:szCs w:val="20"/>
              </w:rPr>
              <w:t>P+</w:t>
            </w:r>
          </w:p>
        </w:tc>
        <w:tc>
          <w:tcPr>
            <w:tcW w:w="1396" w:type="dxa"/>
            <w:vAlign w:val="center"/>
          </w:tcPr>
          <w:p w:rsidR="00366203" w:rsidRPr="00E34378" w:rsidRDefault="00366203" w:rsidP="009D5584">
            <w:pPr>
              <w:spacing w:after="0" w:line="240" w:lineRule="auto"/>
              <w:jc w:val="center"/>
              <w:rPr>
                <w:rFonts w:ascii="Calibri" w:hAnsi="Calibri"/>
                <w:sz w:val="20"/>
                <w:szCs w:val="20"/>
              </w:rPr>
            </w:pPr>
            <w:r w:rsidRPr="00E34378">
              <w:rPr>
                <w:rFonts w:ascii="Calibri" w:hAnsi="Calibri"/>
                <w:sz w:val="20"/>
                <w:szCs w:val="20"/>
              </w:rPr>
              <w:t>1,730</w:t>
            </w:r>
          </w:p>
        </w:tc>
        <w:tc>
          <w:tcPr>
            <w:tcW w:w="882" w:type="dxa"/>
            <w:vAlign w:val="center"/>
          </w:tcPr>
          <w:p w:rsidR="00366203" w:rsidRPr="00E34378" w:rsidRDefault="00366203" w:rsidP="009D5584">
            <w:pPr>
              <w:spacing w:after="0" w:line="240" w:lineRule="auto"/>
              <w:jc w:val="center"/>
              <w:rPr>
                <w:rFonts w:ascii="Calibri" w:hAnsi="Calibri"/>
                <w:sz w:val="20"/>
                <w:szCs w:val="20"/>
              </w:rPr>
            </w:pPr>
            <w:r w:rsidRPr="00E34378">
              <w:rPr>
                <w:rFonts w:ascii="Calibri" w:hAnsi="Calibri"/>
                <w:sz w:val="20"/>
                <w:szCs w:val="20"/>
              </w:rPr>
              <w:t>80%</w:t>
            </w:r>
          </w:p>
        </w:tc>
        <w:tc>
          <w:tcPr>
            <w:tcW w:w="883" w:type="dxa"/>
            <w:vAlign w:val="center"/>
          </w:tcPr>
          <w:p w:rsidR="00366203" w:rsidRPr="00E34378" w:rsidRDefault="00366203" w:rsidP="009D5584">
            <w:pPr>
              <w:spacing w:after="0" w:line="240" w:lineRule="auto"/>
              <w:jc w:val="center"/>
              <w:rPr>
                <w:rFonts w:ascii="Calibri" w:hAnsi="Calibri"/>
                <w:sz w:val="20"/>
                <w:szCs w:val="20"/>
              </w:rPr>
            </w:pPr>
            <w:r w:rsidRPr="00E34378">
              <w:rPr>
                <w:rFonts w:ascii="Calibri" w:hAnsi="Calibri"/>
                <w:sz w:val="20"/>
                <w:szCs w:val="20"/>
              </w:rPr>
              <w:t>77%</w:t>
            </w:r>
          </w:p>
        </w:tc>
        <w:tc>
          <w:tcPr>
            <w:tcW w:w="883" w:type="dxa"/>
            <w:vAlign w:val="center"/>
          </w:tcPr>
          <w:p w:rsidR="00366203" w:rsidRPr="00E34378" w:rsidRDefault="00366203" w:rsidP="009D5584">
            <w:pPr>
              <w:spacing w:after="0" w:line="240" w:lineRule="auto"/>
              <w:jc w:val="center"/>
              <w:rPr>
                <w:rFonts w:ascii="Calibri" w:hAnsi="Calibri"/>
                <w:sz w:val="20"/>
                <w:szCs w:val="20"/>
              </w:rPr>
            </w:pPr>
            <w:r w:rsidRPr="00E34378">
              <w:rPr>
                <w:rFonts w:ascii="Calibri" w:hAnsi="Calibri"/>
                <w:sz w:val="20"/>
                <w:szCs w:val="20"/>
              </w:rPr>
              <w:t>81%</w:t>
            </w:r>
          </w:p>
        </w:tc>
        <w:tc>
          <w:tcPr>
            <w:tcW w:w="883" w:type="dxa"/>
            <w:vAlign w:val="center"/>
          </w:tcPr>
          <w:p w:rsidR="00366203" w:rsidRPr="00E34378" w:rsidRDefault="00366203" w:rsidP="009D5584">
            <w:pPr>
              <w:spacing w:after="0" w:line="240" w:lineRule="auto"/>
              <w:jc w:val="center"/>
              <w:rPr>
                <w:rFonts w:ascii="Calibri" w:hAnsi="Calibri"/>
                <w:sz w:val="20"/>
                <w:szCs w:val="20"/>
              </w:rPr>
            </w:pPr>
            <w:r w:rsidRPr="00E34378">
              <w:rPr>
                <w:rFonts w:ascii="Calibri" w:hAnsi="Calibri"/>
                <w:sz w:val="20"/>
                <w:szCs w:val="20"/>
              </w:rPr>
              <w:t>82%</w:t>
            </w:r>
          </w:p>
        </w:tc>
        <w:tc>
          <w:tcPr>
            <w:tcW w:w="883" w:type="dxa"/>
            <w:shd w:val="clear" w:color="auto" w:fill="D9D9D9" w:themeFill="background1" w:themeFillShade="D9"/>
            <w:vAlign w:val="bottom"/>
          </w:tcPr>
          <w:p w:rsidR="00366203" w:rsidRPr="00E34378" w:rsidRDefault="00366203" w:rsidP="009D5584">
            <w:pPr>
              <w:spacing w:after="0" w:line="240" w:lineRule="auto"/>
              <w:jc w:val="center"/>
              <w:rPr>
                <w:rFonts w:ascii="Calibri" w:hAnsi="Calibri"/>
                <w:sz w:val="20"/>
                <w:szCs w:val="20"/>
              </w:rPr>
            </w:pPr>
            <w:r w:rsidRPr="00E34378">
              <w:rPr>
                <w:rFonts w:ascii="Calibri" w:hAnsi="Calibri"/>
                <w:sz w:val="20"/>
                <w:szCs w:val="20"/>
              </w:rPr>
              <w:t>91%</w:t>
            </w:r>
          </w:p>
        </w:tc>
        <w:tc>
          <w:tcPr>
            <w:tcW w:w="884" w:type="dxa"/>
            <w:vAlign w:val="center"/>
          </w:tcPr>
          <w:p w:rsidR="00366203" w:rsidRPr="00E34378" w:rsidRDefault="00366203" w:rsidP="009D5584">
            <w:pPr>
              <w:spacing w:after="0" w:line="240" w:lineRule="auto"/>
              <w:jc w:val="center"/>
              <w:rPr>
                <w:rFonts w:ascii="Calibri" w:hAnsi="Calibri"/>
                <w:sz w:val="20"/>
                <w:szCs w:val="20"/>
              </w:rPr>
            </w:pPr>
            <w:r w:rsidRPr="00E34378">
              <w:rPr>
                <w:rFonts w:ascii="Calibri" w:hAnsi="Calibri"/>
                <w:sz w:val="20"/>
                <w:szCs w:val="20"/>
              </w:rPr>
              <w:t>2%</w:t>
            </w:r>
          </w:p>
        </w:tc>
        <w:tc>
          <w:tcPr>
            <w:tcW w:w="956" w:type="dxa"/>
            <w:vAlign w:val="center"/>
          </w:tcPr>
          <w:p w:rsidR="00366203" w:rsidRPr="00E34378" w:rsidRDefault="00366203" w:rsidP="009D5584">
            <w:pPr>
              <w:spacing w:after="0" w:line="240" w:lineRule="auto"/>
              <w:jc w:val="center"/>
              <w:rPr>
                <w:rFonts w:ascii="Calibri" w:hAnsi="Calibri"/>
                <w:sz w:val="20"/>
                <w:szCs w:val="20"/>
              </w:rPr>
            </w:pPr>
            <w:r w:rsidRPr="00E34378">
              <w:rPr>
                <w:rFonts w:ascii="Calibri" w:hAnsi="Calibri"/>
                <w:sz w:val="20"/>
                <w:szCs w:val="20"/>
              </w:rPr>
              <w:t>1%</w:t>
            </w:r>
          </w:p>
        </w:tc>
      </w:tr>
      <w:tr w:rsidR="00366203" w:rsidRPr="00E34378" w:rsidTr="009D5584">
        <w:tc>
          <w:tcPr>
            <w:tcW w:w="554" w:type="dxa"/>
            <w:vMerge/>
            <w:vAlign w:val="center"/>
          </w:tcPr>
          <w:p w:rsidR="00366203" w:rsidRPr="00E34378" w:rsidRDefault="00366203" w:rsidP="009D5584">
            <w:pPr>
              <w:spacing w:after="0" w:line="240" w:lineRule="auto"/>
              <w:jc w:val="center"/>
              <w:rPr>
                <w:rFonts w:ascii="Calibri" w:hAnsi="Calibri"/>
                <w:sz w:val="20"/>
                <w:szCs w:val="20"/>
              </w:rPr>
            </w:pPr>
          </w:p>
        </w:tc>
        <w:tc>
          <w:tcPr>
            <w:tcW w:w="724" w:type="dxa"/>
          </w:tcPr>
          <w:p w:rsidR="00366203" w:rsidRPr="00E34378" w:rsidRDefault="00366203" w:rsidP="009D5584">
            <w:pPr>
              <w:spacing w:after="0" w:line="240" w:lineRule="auto"/>
              <w:rPr>
                <w:rFonts w:ascii="Calibri" w:hAnsi="Calibri"/>
                <w:sz w:val="20"/>
                <w:szCs w:val="20"/>
              </w:rPr>
            </w:pPr>
            <w:r w:rsidRPr="00E34378">
              <w:rPr>
                <w:rFonts w:ascii="Calibri" w:hAnsi="Calibri"/>
                <w:sz w:val="20"/>
                <w:szCs w:val="20"/>
              </w:rPr>
              <w:t>SGP</w:t>
            </w:r>
          </w:p>
        </w:tc>
        <w:tc>
          <w:tcPr>
            <w:tcW w:w="1396" w:type="dxa"/>
            <w:vAlign w:val="center"/>
          </w:tcPr>
          <w:p w:rsidR="00366203" w:rsidRPr="00E34378" w:rsidRDefault="00366203" w:rsidP="009D5584">
            <w:pPr>
              <w:spacing w:after="0" w:line="240" w:lineRule="auto"/>
              <w:jc w:val="center"/>
              <w:rPr>
                <w:rFonts w:ascii="Calibri" w:hAnsi="Calibri"/>
                <w:sz w:val="20"/>
                <w:szCs w:val="20"/>
              </w:rPr>
            </w:pPr>
            <w:r w:rsidRPr="00E34378">
              <w:rPr>
                <w:rFonts w:ascii="Calibri" w:hAnsi="Calibri"/>
                <w:sz w:val="20"/>
                <w:szCs w:val="20"/>
              </w:rPr>
              <w:t>1,383</w:t>
            </w:r>
          </w:p>
        </w:tc>
        <w:tc>
          <w:tcPr>
            <w:tcW w:w="882" w:type="dxa"/>
            <w:vAlign w:val="center"/>
          </w:tcPr>
          <w:p w:rsidR="00366203" w:rsidRPr="00E34378" w:rsidRDefault="00366203" w:rsidP="009D5584">
            <w:pPr>
              <w:spacing w:after="0" w:line="240" w:lineRule="auto"/>
              <w:jc w:val="center"/>
              <w:rPr>
                <w:rFonts w:ascii="Calibri" w:hAnsi="Calibri"/>
                <w:sz w:val="20"/>
                <w:szCs w:val="20"/>
              </w:rPr>
            </w:pPr>
            <w:r w:rsidRPr="00E34378">
              <w:rPr>
                <w:rFonts w:ascii="Calibri" w:hAnsi="Calibri"/>
                <w:sz w:val="20"/>
                <w:szCs w:val="20"/>
              </w:rPr>
              <w:t>57.0</w:t>
            </w:r>
          </w:p>
        </w:tc>
        <w:tc>
          <w:tcPr>
            <w:tcW w:w="883" w:type="dxa"/>
            <w:vAlign w:val="center"/>
          </w:tcPr>
          <w:p w:rsidR="00366203" w:rsidRPr="00E34378" w:rsidRDefault="00366203" w:rsidP="009D5584">
            <w:pPr>
              <w:spacing w:after="0" w:line="240" w:lineRule="auto"/>
              <w:jc w:val="center"/>
              <w:rPr>
                <w:rFonts w:ascii="Calibri" w:hAnsi="Calibri"/>
                <w:sz w:val="20"/>
                <w:szCs w:val="20"/>
              </w:rPr>
            </w:pPr>
            <w:r w:rsidRPr="00E34378">
              <w:rPr>
                <w:rFonts w:ascii="Calibri" w:hAnsi="Calibri"/>
                <w:sz w:val="20"/>
                <w:szCs w:val="20"/>
              </w:rPr>
              <w:t>47.0</w:t>
            </w:r>
          </w:p>
        </w:tc>
        <w:tc>
          <w:tcPr>
            <w:tcW w:w="883" w:type="dxa"/>
            <w:vAlign w:val="center"/>
          </w:tcPr>
          <w:p w:rsidR="00366203" w:rsidRPr="00E34378" w:rsidRDefault="00366203" w:rsidP="009D5584">
            <w:pPr>
              <w:spacing w:after="0" w:line="240" w:lineRule="auto"/>
              <w:jc w:val="center"/>
              <w:rPr>
                <w:rFonts w:ascii="Calibri" w:hAnsi="Calibri"/>
                <w:sz w:val="20"/>
                <w:szCs w:val="20"/>
              </w:rPr>
            </w:pPr>
            <w:r w:rsidRPr="00E34378">
              <w:rPr>
                <w:rFonts w:ascii="Calibri" w:hAnsi="Calibri"/>
                <w:sz w:val="20"/>
                <w:szCs w:val="20"/>
              </w:rPr>
              <w:t>52.0</w:t>
            </w:r>
          </w:p>
        </w:tc>
        <w:tc>
          <w:tcPr>
            <w:tcW w:w="883" w:type="dxa"/>
            <w:vAlign w:val="center"/>
          </w:tcPr>
          <w:p w:rsidR="00366203" w:rsidRPr="00E34378" w:rsidRDefault="00366203" w:rsidP="009D5584">
            <w:pPr>
              <w:spacing w:after="0" w:line="240" w:lineRule="auto"/>
              <w:jc w:val="center"/>
              <w:rPr>
                <w:rFonts w:ascii="Calibri" w:hAnsi="Calibri"/>
                <w:sz w:val="20"/>
                <w:szCs w:val="20"/>
              </w:rPr>
            </w:pPr>
            <w:r w:rsidRPr="00E34378">
              <w:rPr>
                <w:rFonts w:ascii="Calibri" w:hAnsi="Calibri"/>
                <w:sz w:val="20"/>
                <w:szCs w:val="20"/>
              </w:rPr>
              <w:t>54.0</w:t>
            </w:r>
          </w:p>
        </w:tc>
        <w:tc>
          <w:tcPr>
            <w:tcW w:w="883" w:type="dxa"/>
            <w:shd w:val="clear" w:color="auto" w:fill="D9D9D9" w:themeFill="background1" w:themeFillShade="D9"/>
            <w:vAlign w:val="bottom"/>
          </w:tcPr>
          <w:p w:rsidR="00366203" w:rsidRPr="00E34378" w:rsidRDefault="00366203" w:rsidP="009D5584">
            <w:pPr>
              <w:spacing w:after="0" w:line="240" w:lineRule="auto"/>
              <w:jc w:val="center"/>
              <w:rPr>
                <w:rFonts w:ascii="Calibri" w:hAnsi="Calibri"/>
                <w:sz w:val="20"/>
                <w:szCs w:val="20"/>
              </w:rPr>
            </w:pPr>
            <w:r w:rsidRPr="00E34378">
              <w:rPr>
                <w:rFonts w:ascii="Calibri" w:hAnsi="Calibri"/>
                <w:sz w:val="20"/>
                <w:szCs w:val="20"/>
              </w:rPr>
              <w:t>50.0</w:t>
            </w:r>
          </w:p>
        </w:tc>
        <w:tc>
          <w:tcPr>
            <w:tcW w:w="884" w:type="dxa"/>
            <w:vAlign w:val="center"/>
          </w:tcPr>
          <w:p w:rsidR="00366203" w:rsidRPr="00E34378" w:rsidRDefault="00366203" w:rsidP="009D5584">
            <w:pPr>
              <w:spacing w:after="0" w:line="240" w:lineRule="auto"/>
              <w:jc w:val="center"/>
              <w:rPr>
                <w:rFonts w:ascii="Calibri" w:hAnsi="Calibri"/>
                <w:sz w:val="20"/>
                <w:szCs w:val="20"/>
              </w:rPr>
            </w:pPr>
            <w:r w:rsidRPr="00E34378">
              <w:rPr>
                <w:rFonts w:ascii="Calibri" w:hAnsi="Calibri"/>
                <w:sz w:val="20"/>
                <w:szCs w:val="20"/>
              </w:rPr>
              <w:t>-3.0</w:t>
            </w:r>
          </w:p>
        </w:tc>
        <w:tc>
          <w:tcPr>
            <w:tcW w:w="956" w:type="dxa"/>
            <w:vAlign w:val="center"/>
          </w:tcPr>
          <w:p w:rsidR="00366203" w:rsidRPr="00E34378" w:rsidRDefault="00366203" w:rsidP="009D5584">
            <w:pPr>
              <w:spacing w:after="0" w:line="240" w:lineRule="auto"/>
              <w:jc w:val="center"/>
              <w:rPr>
                <w:rFonts w:ascii="Calibri" w:hAnsi="Calibri"/>
                <w:sz w:val="20"/>
                <w:szCs w:val="20"/>
              </w:rPr>
            </w:pPr>
            <w:r w:rsidRPr="00E34378">
              <w:rPr>
                <w:rFonts w:ascii="Calibri" w:hAnsi="Calibri"/>
                <w:sz w:val="20"/>
                <w:szCs w:val="20"/>
              </w:rPr>
              <w:t>2.0</w:t>
            </w:r>
          </w:p>
        </w:tc>
      </w:tr>
      <w:tr w:rsidR="00366203" w:rsidRPr="00E34378" w:rsidTr="009D5584">
        <w:tc>
          <w:tcPr>
            <w:tcW w:w="554" w:type="dxa"/>
            <w:vMerge w:val="restart"/>
            <w:vAlign w:val="center"/>
          </w:tcPr>
          <w:p w:rsidR="00366203" w:rsidRPr="00E34378" w:rsidRDefault="00366203" w:rsidP="009D5584">
            <w:pPr>
              <w:spacing w:after="0" w:line="240" w:lineRule="auto"/>
              <w:jc w:val="center"/>
              <w:rPr>
                <w:rFonts w:ascii="Calibri" w:hAnsi="Calibri"/>
                <w:sz w:val="20"/>
                <w:szCs w:val="20"/>
              </w:rPr>
            </w:pPr>
            <w:r w:rsidRPr="00E34378">
              <w:rPr>
                <w:rFonts w:ascii="Calibri" w:hAnsi="Calibri"/>
                <w:sz w:val="20"/>
                <w:szCs w:val="20"/>
              </w:rPr>
              <w:t>All</w:t>
            </w:r>
          </w:p>
        </w:tc>
        <w:tc>
          <w:tcPr>
            <w:tcW w:w="724" w:type="dxa"/>
          </w:tcPr>
          <w:p w:rsidR="00366203" w:rsidRPr="00E34378" w:rsidRDefault="00366203" w:rsidP="009D5584">
            <w:pPr>
              <w:spacing w:after="0" w:line="240" w:lineRule="auto"/>
              <w:rPr>
                <w:rFonts w:ascii="Calibri" w:hAnsi="Calibri"/>
                <w:sz w:val="20"/>
                <w:szCs w:val="20"/>
              </w:rPr>
            </w:pPr>
            <w:r w:rsidRPr="00E34378">
              <w:rPr>
                <w:rFonts w:ascii="Calibri" w:hAnsi="Calibri"/>
                <w:sz w:val="20"/>
                <w:szCs w:val="20"/>
              </w:rPr>
              <w:t>CPI</w:t>
            </w:r>
          </w:p>
        </w:tc>
        <w:tc>
          <w:tcPr>
            <w:tcW w:w="1396" w:type="dxa"/>
            <w:vAlign w:val="center"/>
          </w:tcPr>
          <w:p w:rsidR="00366203" w:rsidRPr="00E34378" w:rsidRDefault="00366203" w:rsidP="009D5584">
            <w:pPr>
              <w:spacing w:after="0" w:line="240" w:lineRule="auto"/>
              <w:jc w:val="center"/>
              <w:rPr>
                <w:rFonts w:ascii="Calibri" w:hAnsi="Calibri"/>
                <w:sz w:val="20"/>
                <w:szCs w:val="20"/>
              </w:rPr>
            </w:pPr>
            <w:r w:rsidRPr="00E34378">
              <w:rPr>
                <w:rFonts w:ascii="Calibri" w:hAnsi="Calibri"/>
                <w:sz w:val="20"/>
                <w:szCs w:val="20"/>
              </w:rPr>
              <w:t>12,107</w:t>
            </w:r>
          </w:p>
        </w:tc>
        <w:tc>
          <w:tcPr>
            <w:tcW w:w="882" w:type="dxa"/>
            <w:vAlign w:val="center"/>
          </w:tcPr>
          <w:p w:rsidR="00366203" w:rsidRPr="00E34378" w:rsidRDefault="00366203" w:rsidP="009D5584">
            <w:pPr>
              <w:spacing w:after="0" w:line="240" w:lineRule="auto"/>
              <w:jc w:val="center"/>
              <w:rPr>
                <w:rFonts w:ascii="Calibri" w:hAnsi="Calibri"/>
                <w:sz w:val="20"/>
                <w:szCs w:val="20"/>
              </w:rPr>
            </w:pPr>
            <w:r w:rsidRPr="00E34378">
              <w:rPr>
                <w:rFonts w:ascii="Calibri" w:hAnsi="Calibri"/>
                <w:sz w:val="20"/>
                <w:szCs w:val="20"/>
              </w:rPr>
              <w:t>77.1</w:t>
            </w:r>
          </w:p>
        </w:tc>
        <w:tc>
          <w:tcPr>
            <w:tcW w:w="883" w:type="dxa"/>
            <w:vAlign w:val="center"/>
          </w:tcPr>
          <w:p w:rsidR="00366203" w:rsidRPr="00E34378" w:rsidRDefault="00366203" w:rsidP="009D5584">
            <w:pPr>
              <w:spacing w:after="0" w:line="240" w:lineRule="auto"/>
              <w:jc w:val="center"/>
              <w:rPr>
                <w:rFonts w:ascii="Calibri" w:hAnsi="Calibri"/>
                <w:sz w:val="20"/>
                <w:szCs w:val="20"/>
              </w:rPr>
            </w:pPr>
            <w:r w:rsidRPr="00E34378">
              <w:rPr>
                <w:rFonts w:ascii="Calibri" w:hAnsi="Calibri"/>
                <w:sz w:val="20"/>
                <w:szCs w:val="20"/>
              </w:rPr>
              <w:t>77.1</w:t>
            </w:r>
          </w:p>
        </w:tc>
        <w:tc>
          <w:tcPr>
            <w:tcW w:w="883" w:type="dxa"/>
            <w:vAlign w:val="center"/>
          </w:tcPr>
          <w:p w:rsidR="00366203" w:rsidRPr="00E34378" w:rsidRDefault="00366203" w:rsidP="009D5584">
            <w:pPr>
              <w:spacing w:after="0" w:line="240" w:lineRule="auto"/>
              <w:jc w:val="center"/>
              <w:rPr>
                <w:rFonts w:ascii="Calibri" w:hAnsi="Calibri"/>
                <w:sz w:val="20"/>
                <w:szCs w:val="20"/>
              </w:rPr>
            </w:pPr>
            <w:r w:rsidRPr="00E34378">
              <w:rPr>
                <w:rFonts w:ascii="Calibri" w:hAnsi="Calibri"/>
                <w:sz w:val="20"/>
                <w:szCs w:val="20"/>
              </w:rPr>
              <w:t>77.9</w:t>
            </w:r>
          </w:p>
        </w:tc>
        <w:tc>
          <w:tcPr>
            <w:tcW w:w="883" w:type="dxa"/>
            <w:vAlign w:val="center"/>
          </w:tcPr>
          <w:p w:rsidR="00366203" w:rsidRPr="00E34378" w:rsidRDefault="00366203" w:rsidP="009D5584">
            <w:pPr>
              <w:spacing w:after="0" w:line="240" w:lineRule="auto"/>
              <w:jc w:val="center"/>
              <w:rPr>
                <w:rFonts w:ascii="Calibri" w:hAnsi="Calibri"/>
                <w:sz w:val="20"/>
                <w:szCs w:val="20"/>
              </w:rPr>
            </w:pPr>
            <w:r w:rsidRPr="00E34378">
              <w:rPr>
                <w:rFonts w:ascii="Calibri" w:hAnsi="Calibri"/>
                <w:sz w:val="20"/>
                <w:szCs w:val="20"/>
              </w:rPr>
              <w:t>79.5</w:t>
            </w:r>
          </w:p>
        </w:tc>
        <w:tc>
          <w:tcPr>
            <w:tcW w:w="883" w:type="dxa"/>
            <w:shd w:val="clear" w:color="auto" w:fill="D9D9D9" w:themeFill="background1" w:themeFillShade="D9"/>
            <w:vAlign w:val="bottom"/>
          </w:tcPr>
          <w:p w:rsidR="00366203" w:rsidRPr="00E34378" w:rsidRDefault="00366203" w:rsidP="009D5584">
            <w:pPr>
              <w:spacing w:after="0" w:line="240" w:lineRule="auto"/>
              <w:jc w:val="center"/>
              <w:rPr>
                <w:rFonts w:ascii="Calibri" w:hAnsi="Calibri"/>
                <w:sz w:val="20"/>
                <w:szCs w:val="20"/>
              </w:rPr>
            </w:pPr>
            <w:r w:rsidRPr="00E34378">
              <w:rPr>
                <w:rFonts w:ascii="Calibri" w:hAnsi="Calibri"/>
                <w:sz w:val="20"/>
                <w:szCs w:val="20"/>
              </w:rPr>
              <w:t>87.2</w:t>
            </w:r>
          </w:p>
        </w:tc>
        <w:tc>
          <w:tcPr>
            <w:tcW w:w="884" w:type="dxa"/>
            <w:vAlign w:val="center"/>
          </w:tcPr>
          <w:p w:rsidR="00366203" w:rsidRPr="00E34378" w:rsidRDefault="00366203" w:rsidP="009D5584">
            <w:pPr>
              <w:spacing w:after="0" w:line="240" w:lineRule="auto"/>
              <w:jc w:val="center"/>
              <w:rPr>
                <w:rFonts w:ascii="Calibri" w:hAnsi="Calibri"/>
                <w:sz w:val="20"/>
                <w:szCs w:val="20"/>
              </w:rPr>
            </w:pPr>
            <w:r w:rsidRPr="00E34378">
              <w:rPr>
                <w:rFonts w:ascii="Calibri" w:hAnsi="Calibri"/>
                <w:sz w:val="20"/>
                <w:szCs w:val="20"/>
              </w:rPr>
              <w:t>2.4</w:t>
            </w:r>
          </w:p>
        </w:tc>
        <w:tc>
          <w:tcPr>
            <w:tcW w:w="956" w:type="dxa"/>
            <w:vAlign w:val="center"/>
          </w:tcPr>
          <w:p w:rsidR="00366203" w:rsidRPr="00E34378" w:rsidRDefault="00366203" w:rsidP="009D5584">
            <w:pPr>
              <w:spacing w:after="0" w:line="240" w:lineRule="auto"/>
              <w:jc w:val="center"/>
              <w:rPr>
                <w:rFonts w:ascii="Calibri" w:hAnsi="Calibri"/>
                <w:sz w:val="20"/>
                <w:szCs w:val="20"/>
              </w:rPr>
            </w:pPr>
            <w:r w:rsidRPr="00E34378">
              <w:rPr>
                <w:rFonts w:ascii="Calibri" w:hAnsi="Calibri"/>
                <w:sz w:val="20"/>
                <w:szCs w:val="20"/>
              </w:rPr>
              <w:t>1.6</w:t>
            </w:r>
          </w:p>
        </w:tc>
      </w:tr>
      <w:tr w:rsidR="00366203" w:rsidRPr="00E34378" w:rsidTr="009D5584">
        <w:tc>
          <w:tcPr>
            <w:tcW w:w="554" w:type="dxa"/>
            <w:vMerge/>
          </w:tcPr>
          <w:p w:rsidR="00366203" w:rsidRPr="00E34378" w:rsidRDefault="00366203" w:rsidP="009D5584">
            <w:pPr>
              <w:spacing w:after="0" w:line="240" w:lineRule="auto"/>
              <w:rPr>
                <w:rFonts w:ascii="Calibri" w:hAnsi="Calibri"/>
                <w:sz w:val="20"/>
                <w:szCs w:val="20"/>
              </w:rPr>
            </w:pPr>
          </w:p>
        </w:tc>
        <w:tc>
          <w:tcPr>
            <w:tcW w:w="724" w:type="dxa"/>
          </w:tcPr>
          <w:p w:rsidR="00366203" w:rsidRPr="00E34378" w:rsidRDefault="00366203" w:rsidP="009D5584">
            <w:pPr>
              <w:spacing w:after="0" w:line="240" w:lineRule="auto"/>
              <w:rPr>
                <w:rFonts w:ascii="Calibri" w:hAnsi="Calibri"/>
                <w:sz w:val="20"/>
                <w:szCs w:val="20"/>
              </w:rPr>
            </w:pPr>
            <w:r w:rsidRPr="00E34378">
              <w:rPr>
                <w:rFonts w:ascii="Calibri" w:hAnsi="Calibri"/>
                <w:sz w:val="20"/>
                <w:szCs w:val="20"/>
              </w:rPr>
              <w:t>P+</w:t>
            </w:r>
          </w:p>
        </w:tc>
        <w:tc>
          <w:tcPr>
            <w:tcW w:w="1396" w:type="dxa"/>
            <w:vAlign w:val="center"/>
          </w:tcPr>
          <w:p w:rsidR="00366203" w:rsidRPr="00E34378" w:rsidRDefault="00366203" w:rsidP="009D5584">
            <w:pPr>
              <w:spacing w:after="0" w:line="240" w:lineRule="auto"/>
              <w:jc w:val="center"/>
              <w:rPr>
                <w:rFonts w:ascii="Calibri" w:hAnsi="Calibri"/>
                <w:sz w:val="20"/>
                <w:szCs w:val="20"/>
              </w:rPr>
            </w:pPr>
            <w:r w:rsidRPr="00E34378">
              <w:rPr>
                <w:rFonts w:ascii="Calibri" w:hAnsi="Calibri"/>
                <w:sz w:val="20"/>
                <w:szCs w:val="20"/>
              </w:rPr>
              <w:t>--</w:t>
            </w:r>
          </w:p>
        </w:tc>
        <w:tc>
          <w:tcPr>
            <w:tcW w:w="882" w:type="dxa"/>
            <w:vAlign w:val="center"/>
          </w:tcPr>
          <w:p w:rsidR="00366203" w:rsidRPr="00E34378" w:rsidRDefault="00366203" w:rsidP="009D5584">
            <w:pPr>
              <w:spacing w:after="0" w:line="240" w:lineRule="auto"/>
              <w:jc w:val="center"/>
              <w:rPr>
                <w:rFonts w:ascii="Calibri" w:hAnsi="Calibri"/>
                <w:sz w:val="20"/>
                <w:szCs w:val="20"/>
              </w:rPr>
            </w:pPr>
            <w:r w:rsidRPr="00E34378">
              <w:rPr>
                <w:rFonts w:ascii="Calibri" w:hAnsi="Calibri"/>
                <w:sz w:val="20"/>
                <w:szCs w:val="20"/>
              </w:rPr>
              <w:t>51%</w:t>
            </w:r>
          </w:p>
        </w:tc>
        <w:tc>
          <w:tcPr>
            <w:tcW w:w="883" w:type="dxa"/>
            <w:vAlign w:val="center"/>
          </w:tcPr>
          <w:p w:rsidR="00366203" w:rsidRPr="00E34378" w:rsidRDefault="00366203" w:rsidP="009D5584">
            <w:pPr>
              <w:spacing w:after="0" w:line="240" w:lineRule="auto"/>
              <w:jc w:val="center"/>
              <w:rPr>
                <w:rFonts w:ascii="Calibri" w:hAnsi="Calibri"/>
                <w:sz w:val="20"/>
                <w:szCs w:val="20"/>
              </w:rPr>
            </w:pPr>
            <w:r w:rsidRPr="00E34378">
              <w:rPr>
                <w:rFonts w:ascii="Calibri" w:hAnsi="Calibri"/>
                <w:sz w:val="20"/>
                <w:szCs w:val="20"/>
              </w:rPr>
              <w:t>52%</w:t>
            </w:r>
          </w:p>
        </w:tc>
        <w:tc>
          <w:tcPr>
            <w:tcW w:w="883" w:type="dxa"/>
            <w:vAlign w:val="center"/>
          </w:tcPr>
          <w:p w:rsidR="00366203" w:rsidRPr="00E34378" w:rsidRDefault="00366203" w:rsidP="009D5584">
            <w:pPr>
              <w:spacing w:after="0" w:line="240" w:lineRule="auto"/>
              <w:jc w:val="center"/>
              <w:rPr>
                <w:rFonts w:ascii="Calibri" w:hAnsi="Calibri"/>
                <w:sz w:val="20"/>
                <w:szCs w:val="20"/>
              </w:rPr>
            </w:pPr>
            <w:r w:rsidRPr="00E34378">
              <w:rPr>
                <w:rFonts w:ascii="Calibri" w:hAnsi="Calibri"/>
                <w:sz w:val="20"/>
                <w:szCs w:val="20"/>
              </w:rPr>
              <w:t>--</w:t>
            </w:r>
          </w:p>
        </w:tc>
        <w:tc>
          <w:tcPr>
            <w:tcW w:w="883" w:type="dxa"/>
            <w:vAlign w:val="center"/>
          </w:tcPr>
          <w:p w:rsidR="00366203" w:rsidRPr="00E34378" w:rsidRDefault="00366203" w:rsidP="009D5584">
            <w:pPr>
              <w:spacing w:after="0" w:line="240" w:lineRule="auto"/>
              <w:jc w:val="center"/>
              <w:rPr>
                <w:rFonts w:ascii="Calibri" w:hAnsi="Calibri"/>
                <w:sz w:val="20"/>
                <w:szCs w:val="20"/>
              </w:rPr>
            </w:pPr>
            <w:r w:rsidRPr="00E34378">
              <w:rPr>
                <w:rFonts w:ascii="Calibri" w:hAnsi="Calibri"/>
                <w:sz w:val="20"/>
                <w:szCs w:val="20"/>
              </w:rPr>
              <w:t>--</w:t>
            </w:r>
          </w:p>
        </w:tc>
        <w:tc>
          <w:tcPr>
            <w:tcW w:w="883" w:type="dxa"/>
            <w:shd w:val="clear" w:color="auto" w:fill="D9D9D9" w:themeFill="background1" w:themeFillShade="D9"/>
            <w:vAlign w:val="bottom"/>
          </w:tcPr>
          <w:p w:rsidR="00366203" w:rsidRPr="00E34378" w:rsidRDefault="00366203" w:rsidP="009D5584">
            <w:pPr>
              <w:spacing w:after="0" w:line="240" w:lineRule="auto"/>
              <w:jc w:val="center"/>
              <w:rPr>
                <w:rFonts w:ascii="Calibri" w:hAnsi="Calibri"/>
                <w:sz w:val="20"/>
                <w:szCs w:val="20"/>
              </w:rPr>
            </w:pPr>
            <w:r w:rsidRPr="00E34378">
              <w:rPr>
                <w:rFonts w:ascii="Calibri" w:hAnsi="Calibri"/>
                <w:sz w:val="20"/>
                <w:szCs w:val="20"/>
              </w:rPr>
              <w:t>--</w:t>
            </w:r>
          </w:p>
        </w:tc>
        <w:tc>
          <w:tcPr>
            <w:tcW w:w="884" w:type="dxa"/>
            <w:vAlign w:val="center"/>
          </w:tcPr>
          <w:p w:rsidR="00366203" w:rsidRPr="00E34378" w:rsidRDefault="00366203" w:rsidP="009D5584">
            <w:pPr>
              <w:spacing w:after="0" w:line="240" w:lineRule="auto"/>
              <w:jc w:val="center"/>
              <w:rPr>
                <w:rFonts w:ascii="Calibri" w:hAnsi="Calibri"/>
                <w:sz w:val="20"/>
                <w:szCs w:val="20"/>
              </w:rPr>
            </w:pPr>
            <w:r w:rsidRPr="00E34378">
              <w:rPr>
                <w:rFonts w:ascii="Calibri" w:hAnsi="Calibri"/>
                <w:sz w:val="20"/>
                <w:szCs w:val="20"/>
              </w:rPr>
              <w:t>--</w:t>
            </w:r>
          </w:p>
        </w:tc>
        <w:tc>
          <w:tcPr>
            <w:tcW w:w="956" w:type="dxa"/>
            <w:vAlign w:val="center"/>
          </w:tcPr>
          <w:p w:rsidR="00366203" w:rsidRPr="00E34378" w:rsidRDefault="00366203" w:rsidP="009D5584">
            <w:pPr>
              <w:spacing w:after="0" w:line="240" w:lineRule="auto"/>
              <w:jc w:val="center"/>
              <w:rPr>
                <w:rFonts w:ascii="Calibri" w:hAnsi="Calibri"/>
                <w:sz w:val="20"/>
                <w:szCs w:val="20"/>
              </w:rPr>
            </w:pPr>
            <w:r w:rsidRPr="00E34378">
              <w:rPr>
                <w:rFonts w:ascii="Calibri" w:hAnsi="Calibri"/>
                <w:sz w:val="20"/>
                <w:szCs w:val="20"/>
              </w:rPr>
              <w:t>--</w:t>
            </w:r>
          </w:p>
        </w:tc>
      </w:tr>
      <w:tr w:rsidR="00366203" w:rsidRPr="00E34378" w:rsidTr="009D5584">
        <w:tc>
          <w:tcPr>
            <w:tcW w:w="554" w:type="dxa"/>
            <w:vMerge/>
            <w:tcBorders>
              <w:bottom w:val="single" w:sz="4" w:space="0" w:color="auto"/>
            </w:tcBorders>
          </w:tcPr>
          <w:p w:rsidR="00366203" w:rsidRPr="00E34378" w:rsidRDefault="00366203" w:rsidP="009D5584">
            <w:pPr>
              <w:spacing w:after="0" w:line="240" w:lineRule="auto"/>
              <w:rPr>
                <w:rFonts w:ascii="Calibri" w:hAnsi="Calibri"/>
                <w:sz w:val="20"/>
                <w:szCs w:val="20"/>
              </w:rPr>
            </w:pPr>
          </w:p>
        </w:tc>
        <w:tc>
          <w:tcPr>
            <w:tcW w:w="724" w:type="dxa"/>
            <w:tcBorders>
              <w:bottom w:val="single" w:sz="4" w:space="0" w:color="auto"/>
            </w:tcBorders>
          </w:tcPr>
          <w:p w:rsidR="00366203" w:rsidRPr="00E34378" w:rsidRDefault="00366203" w:rsidP="009D5584">
            <w:pPr>
              <w:spacing w:after="0" w:line="240" w:lineRule="auto"/>
              <w:rPr>
                <w:rFonts w:ascii="Calibri" w:hAnsi="Calibri"/>
                <w:sz w:val="20"/>
                <w:szCs w:val="20"/>
              </w:rPr>
            </w:pPr>
            <w:r w:rsidRPr="00E34378">
              <w:rPr>
                <w:rFonts w:ascii="Calibri" w:hAnsi="Calibri"/>
                <w:sz w:val="20"/>
                <w:szCs w:val="20"/>
              </w:rPr>
              <w:t>SGP</w:t>
            </w:r>
          </w:p>
        </w:tc>
        <w:tc>
          <w:tcPr>
            <w:tcW w:w="1396" w:type="dxa"/>
            <w:tcBorders>
              <w:bottom w:val="single" w:sz="4" w:space="0" w:color="auto"/>
            </w:tcBorders>
            <w:vAlign w:val="center"/>
          </w:tcPr>
          <w:p w:rsidR="00366203" w:rsidRPr="00E34378" w:rsidRDefault="00366203" w:rsidP="009D5584">
            <w:pPr>
              <w:spacing w:after="0" w:line="240" w:lineRule="auto"/>
              <w:jc w:val="center"/>
              <w:rPr>
                <w:rFonts w:ascii="Calibri" w:hAnsi="Calibri"/>
                <w:sz w:val="20"/>
                <w:szCs w:val="20"/>
              </w:rPr>
            </w:pPr>
            <w:r w:rsidRPr="00E34378">
              <w:rPr>
                <w:rFonts w:ascii="Calibri" w:hAnsi="Calibri"/>
                <w:sz w:val="20"/>
                <w:szCs w:val="20"/>
              </w:rPr>
              <w:t>8,858</w:t>
            </w:r>
          </w:p>
        </w:tc>
        <w:tc>
          <w:tcPr>
            <w:tcW w:w="882" w:type="dxa"/>
            <w:tcBorders>
              <w:bottom w:val="single" w:sz="4" w:space="0" w:color="auto"/>
            </w:tcBorders>
            <w:vAlign w:val="center"/>
          </w:tcPr>
          <w:p w:rsidR="00366203" w:rsidRPr="00E34378" w:rsidRDefault="00366203" w:rsidP="009D5584">
            <w:pPr>
              <w:spacing w:after="0" w:line="240" w:lineRule="auto"/>
              <w:jc w:val="center"/>
              <w:rPr>
                <w:rFonts w:ascii="Calibri" w:hAnsi="Calibri"/>
                <w:sz w:val="20"/>
                <w:szCs w:val="20"/>
              </w:rPr>
            </w:pPr>
            <w:r w:rsidRPr="00E34378">
              <w:rPr>
                <w:rFonts w:ascii="Calibri" w:hAnsi="Calibri"/>
                <w:sz w:val="20"/>
                <w:szCs w:val="20"/>
              </w:rPr>
              <w:t>51.0</w:t>
            </w:r>
          </w:p>
        </w:tc>
        <w:tc>
          <w:tcPr>
            <w:tcW w:w="883" w:type="dxa"/>
            <w:tcBorders>
              <w:bottom w:val="single" w:sz="4" w:space="0" w:color="auto"/>
            </w:tcBorders>
            <w:vAlign w:val="center"/>
          </w:tcPr>
          <w:p w:rsidR="00366203" w:rsidRPr="00E34378" w:rsidRDefault="00366203" w:rsidP="009D5584">
            <w:pPr>
              <w:spacing w:after="0" w:line="240" w:lineRule="auto"/>
              <w:jc w:val="center"/>
              <w:rPr>
                <w:rFonts w:ascii="Calibri" w:hAnsi="Calibri"/>
                <w:sz w:val="20"/>
                <w:szCs w:val="20"/>
              </w:rPr>
            </w:pPr>
            <w:r w:rsidRPr="00E34378">
              <w:rPr>
                <w:rFonts w:ascii="Calibri" w:hAnsi="Calibri"/>
                <w:sz w:val="20"/>
                <w:szCs w:val="20"/>
              </w:rPr>
              <w:t>53.0</w:t>
            </w:r>
          </w:p>
        </w:tc>
        <w:tc>
          <w:tcPr>
            <w:tcW w:w="883" w:type="dxa"/>
            <w:tcBorders>
              <w:bottom w:val="single" w:sz="4" w:space="0" w:color="auto"/>
            </w:tcBorders>
            <w:vAlign w:val="center"/>
          </w:tcPr>
          <w:p w:rsidR="00366203" w:rsidRPr="00E34378" w:rsidRDefault="00366203" w:rsidP="009D5584">
            <w:pPr>
              <w:spacing w:after="0" w:line="240" w:lineRule="auto"/>
              <w:jc w:val="center"/>
              <w:rPr>
                <w:rFonts w:ascii="Calibri" w:hAnsi="Calibri"/>
                <w:sz w:val="20"/>
                <w:szCs w:val="20"/>
              </w:rPr>
            </w:pPr>
            <w:r w:rsidRPr="00E34378">
              <w:rPr>
                <w:rFonts w:ascii="Calibri" w:hAnsi="Calibri"/>
                <w:sz w:val="20"/>
                <w:szCs w:val="20"/>
              </w:rPr>
              <w:t>51.0</w:t>
            </w:r>
          </w:p>
        </w:tc>
        <w:tc>
          <w:tcPr>
            <w:tcW w:w="883" w:type="dxa"/>
            <w:tcBorders>
              <w:bottom w:val="single" w:sz="4" w:space="0" w:color="auto"/>
            </w:tcBorders>
            <w:vAlign w:val="center"/>
          </w:tcPr>
          <w:p w:rsidR="00366203" w:rsidRPr="00E34378" w:rsidRDefault="00366203" w:rsidP="009D5584">
            <w:pPr>
              <w:spacing w:after="0" w:line="240" w:lineRule="auto"/>
              <w:jc w:val="center"/>
              <w:rPr>
                <w:rFonts w:ascii="Calibri" w:hAnsi="Calibri"/>
                <w:sz w:val="20"/>
                <w:szCs w:val="20"/>
              </w:rPr>
            </w:pPr>
            <w:r w:rsidRPr="00E34378">
              <w:rPr>
                <w:rFonts w:ascii="Calibri" w:hAnsi="Calibri"/>
                <w:sz w:val="20"/>
                <w:szCs w:val="20"/>
              </w:rPr>
              <w:t>53.0</w:t>
            </w:r>
          </w:p>
        </w:tc>
        <w:tc>
          <w:tcPr>
            <w:tcW w:w="883" w:type="dxa"/>
            <w:tcBorders>
              <w:bottom w:val="single" w:sz="4" w:space="0" w:color="auto"/>
            </w:tcBorders>
            <w:shd w:val="clear" w:color="auto" w:fill="D9D9D9" w:themeFill="background1" w:themeFillShade="D9"/>
            <w:vAlign w:val="bottom"/>
          </w:tcPr>
          <w:p w:rsidR="00366203" w:rsidRPr="00E34378" w:rsidRDefault="00366203" w:rsidP="009D5584">
            <w:pPr>
              <w:spacing w:after="0" w:line="240" w:lineRule="auto"/>
              <w:jc w:val="center"/>
              <w:rPr>
                <w:rFonts w:ascii="Calibri" w:hAnsi="Calibri"/>
                <w:sz w:val="20"/>
                <w:szCs w:val="20"/>
              </w:rPr>
            </w:pPr>
            <w:r w:rsidRPr="00E34378">
              <w:rPr>
                <w:rFonts w:ascii="Calibri" w:hAnsi="Calibri"/>
                <w:sz w:val="20"/>
                <w:szCs w:val="20"/>
              </w:rPr>
              <w:t>50.0</w:t>
            </w:r>
          </w:p>
        </w:tc>
        <w:tc>
          <w:tcPr>
            <w:tcW w:w="884" w:type="dxa"/>
            <w:tcBorders>
              <w:bottom w:val="single" w:sz="4" w:space="0" w:color="auto"/>
            </w:tcBorders>
            <w:vAlign w:val="center"/>
          </w:tcPr>
          <w:p w:rsidR="00366203" w:rsidRPr="00E34378" w:rsidRDefault="00366203" w:rsidP="009D5584">
            <w:pPr>
              <w:spacing w:after="0" w:line="240" w:lineRule="auto"/>
              <w:jc w:val="center"/>
              <w:rPr>
                <w:rFonts w:ascii="Calibri" w:hAnsi="Calibri"/>
                <w:sz w:val="20"/>
                <w:szCs w:val="20"/>
              </w:rPr>
            </w:pPr>
            <w:r w:rsidRPr="00E34378">
              <w:rPr>
                <w:rFonts w:ascii="Calibri" w:hAnsi="Calibri"/>
                <w:sz w:val="20"/>
                <w:szCs w:val="20"/>
              </w:rPr>
              <w:t>2.0</w:t>
            </w:r>
          </w:p>
        </w:tc>
        <w:tc>
          <w:tcPr>
            <w:tcW w:w="956" w:type="dxa"/>
            <w:tcBorders>
              <w:bottom w:val="single" w:sz="4" w:space="0" w:color="auto"/>
            </w:tcBorders>
            <w:vAlign w:val="center"/>
          </w:tcPr>
          <w:p w:rsidR="00366203" w:rsidRPr="00E34378" w:rsidRDefault="00366203" w:rsidP="009D5584">
            <w:pPr>
              <w:spacing w:after="0" w:line="240" w:lineRule="auto"/>
              <w:jc w:val="center"/>
              <w:rPr>
                <w:rFonts w:ascii="Calibri" w:hAnsi="Calibri"/>
                <w:sz w:val="20"/>
                <w:szCs w:val="20"/>
              </w:rPr>
            </w:pPr>
            <w:r w:rsidRPr="00E34378">
              <w:rPr>
                <w:rFonts w:ascii="Calibri" w:hAnsi="Calibri"/>
                <w:sz w:val="20"/>
                <w:szCs w:val="20"/>
              </w:rPr>
              <w:t>2.0</w:t>
            </w:r>
          </w:p>
        </w:tc>
      </w:tr>
    </w:tbl>
    <w:p w:rsidR="00366203" w:rsidRPr="00E34378" w:rsidRDefault="00366203" w:rsidP="00366203">
      <w:pPr>
        <w:spacing w:after="0" w:line="240" w:lineRule="auto"/>
      </w:pPr>
    </w:p>
    <w:p w:rsidR="002F1EBE" w:rsidRPr="00F04EDB" w:rsidRDefault="002F1EBE" w:rsidP="002F1EBE">
      <w:pPr>
        <w:spacing w:after="0" w:line="240" w:lineRule="auto"/>
        <w:rPr>
          <w:rFonts w:eastAsia="Times New Roman" w:cs="Times New Roman"/>
        </w:rPr>
      </w:pPr>
    </w:p>
    <w:p w:rsidR="002F1EBE" w:rsidRPr="00F04EDB" w:rsidRDefault="002F1EBE" w:rsidP="002F1EBE">
      <w:pPr>
        <w:spacing w:after="0" w:line="240" w:lineRule="auto"/>
        <w:rPr>
          <w:rFonts w:eastAsia="Times New Roman" w:cs="Times New Roman"/>
        </w:rPr>
      </w:pPr>
    </w:p>
    <w:p w:rsidR="002F1EBE" w:rsidRPr="00F04EDB" w:rsidRDefault="002F1EBE" w:rsidP="002F1EBE">
      <w:pPr>
        <w:spacing w:after="0" w:line="240" w:lineRule="auto"/>
        <w:rPr>
          <w:rFonts w:eastAsia="Times New Roman" w:cs="Times New Roman"/>
        </w:rPr>
      </w:pPr>
    </w:p>
    <w:p w:rsidR="002F1EBE" w:rsidRPr="00F04EDB" w:rsidRDefault="002F1EBE" w:rsidP="002F1EBE">
      <w:pPr>
        <w:spacing w:after="0" w:line="240" w:lineRule="auto"/>
        <w:rPr>
          <w:rFonts w:eastAsia="Times New Roman" w:cs="Times New Roman"/>
        </w:rPr>
      </w:pPr>
      <w:r w:rsidRPr="00F04EDB">
        <w:rPr>
          <w:rFonts w:eastAsia="Times New Roman" w:cs="Times New Roman"/>
        </w:rPr>
        <w:br w:type="page"/>
      </w:r>
    </w:p>
    <w:p w:rsidR="002F1EBE" w:rsidRPr="00F04EDB" w:rsidRDefault="002F1EBE" w:rsidP="002F1EBE">
      <w:pPr>
        <w:spacing w:after="0"/>
        <w:jc w:val="center"/>
        <w:rPr>
          <w:rFonts w:eastAsia="Calibri" w:cs="Times New Roman"/>
          <w:color w:val="FF0000"/>
        </w:rPr>
      </w:pPr>
    </w:p>
    <w:p w:rsidR="00C542E4" w:rsidRPr="005467AC" w:rsidRDefault="00C542E4" w:rsidP="00C542E4">
      <w:pPr>
        <w:spacing w:after="0" w:line="240" w:lineRule="auto"/>
        <w:jc w:val="center"/>
        <w:rPr>
          <w:rFonts w:ascii="Calibri" w:eastAsia="Calibri" w:hAnsi="Calibri" w:cs="Times New Roman"/>
          <w:b/>
          <w:sz w:val="20"/>
        </w:rPr>
      </w:pPr>
      <w:r w:rsidRPr="005467AC">
        <w:rPr>
          <w:rFonts w:ascii="Calibri" w:eastAsia="Calibri" w:hAnsi="Calibri" w:cs="Times New Roman"/>
          <w:b/>
          <w:sz w:val="20"/>
        </w:rPr>
        <w:t xml:space="preserve">Table </w:t>
      </w:r>
      <w:r w:rsidR="002F368B" w:rsidRPr="005467AC">
        <w:rPr>
          <w:rFonts w:ascii="Calibri" w:eastAsia="Calibri" w:hAnsi="Calibri" w:cs="Times New Roman"/>
          <w:b/>
          <w:sz w:val="20"/>
        </w:rPr>
        <w:t>B</w:t>
      </w:r>
      <w:r w:rsidR="00923109">
        <w:rPr>
          <w:rFonts w:ascii="Calibri" w:eastAsia="Calibri" w:hAnsi="Calibri" w:cs="Times New Roman"/>
          <w:b/>
          <w:sz w:val="20"/>
        </w:rPr>
        <w:t>6</w:t>
      </w:r>
      <w:r w:rsidR="002F368B">
        <w:rPr>
          <w:rFonts w:ascii="Calibri" w:eastAsia="Calibri" w:hAnsi="Calibri" w:cs="Times New Roman"/>
          <w:b/>
          <w:sz w:val="20"/>
        </w:rPr>
        <w:t>c</w:t>
      </w:r>
      <w:r w:rsidRPr="005467AC">
        <w:rPr>
          <w:rFonts w:ascii="Calibri" w:eastAsia="Calibri" w:hAnsi="Calibri" w:cs="Times New Roman"/>
          <w:b/>
          <w:sz w:val="20"/>
        </w:rPr>
        <w:t>: Worcester Public Schools</w:t>
      </w:r>
    </w:p>
    <w:p w:rsidR="00C542E4" w:rsidRPr="005467AC" w:rsidRDefault="00C542E4" w:rsidP="00C542E4">
      <w:pPr>
        <w:spacing w:after="0" w:line="240" w:lineRule="auto"/>
        <w:jc w:val="center"/>
        <w:rPr>
          <w:rFonts w:ascii="Calibri" w:eastAsia="Calibri" w:hAnsi="Calibri" w:cs="Times New Roman"/>
          <w:b/>
          <w:sz w:val="20"/>
        </w:rPr>
      </w:pPr>
      <w:r>
        <w:rPr>
          <w:rFonts w:ascii="Calibri" w:eastAsia="Calibri" w:hAnsi="Calibri" w:cs="Times New Roman"/>
          <w:b/>
          <w:sz w:val="20"/>
        </w:rPr>
        <w:t>Mathematics</w:t>
      </w:r>
      <w:r w:rsidRPr="005467AC">
        <w:rPr>
          <w:rFonts w:ascii="Calibri" w:eastAsia="Calibri" w:hAnsi="Calibri" w:cs="Times New Roman"/>
          <w:b/>
          <w:sz w:val="20"/>
        </w:rPr>
        <w:t xml:space="preserve"> Performance, 2013–2016</w:t>
      </w:r>
    </w:p>
    <w:tbl>
      <w:tblPr>
        <w:tblStyle w:val="TableGrid"/>
        <w:tblW w:w="8928" w:type="dxa"/>
        <w:tblLook w:val="04A0"/>
      </w:tblPr>
      <w:tblGrid>
        <w:gridCol w:w="461"/>
        <w:gridCol w:w="757"/>
        <w:gridCol w:w="870"/>
        <w:gridCol w:w="1049"/>
        <w:gridCol w:w="918"/>
        <w:gridCol w:w="919"/>
        <w:gridCol w:w="919"/>
        <w:gridCol w:w="919"/>
        <w:gridCol w:w="1126"/>
        <w:gridCol w:w="990"/>
      </w:tblGrid>
      <w:tr w:rsidR="00C542E4" w:rsidRPr="005467AC" w:rsidTr="009D5584">
        <w:tc>
          <w:tcPr>
            <w:tcW w:w="2088" w:type="dxa"/>
            <w:gridSpan w:val="3"/>
            <w:vMerge w:val="restart"/>
            <w:vAlign w:val="center"/>
          </w:tcPr>
          <w:p w:rsidR="00C542E4" w:rsidRPr="005467AC" w:rsidRDefault="00C542E4" w:rsidP="009D5584">
            <w:pPr>
              <w:spacing w:after="0" w:line="240" w:lineRule="auto"/>
              <w:jc w:val="center"/>
              <w:rPr>
                <w:rFonts w:ascii="Calibri" w:hAnsi="Calibri"/>
                <w:b/>
                <w:sz w:val="20"/>
                <w:szCs w:val="20"/>
              </w:rPr>
            </w:pPr>
            <w:r w:rsidRPr="005467AC">
              <w:rPr>
                <w:rFonts w:ascii="Calibri" w:hAnsi="Calibri"/>
                <w:b/>
                <w:sz w:val="20"/>
                <w:szCs w:val="20"/>
              </w:rPr>
              <w:t>Grade and Measure</w:t>
            </w:r>
          </w:p>
        </w:tc>
        <w:tc>
          <w:tcPr>
            <w:tcW w:w="1049" w:type="dxa"/>
            <w:vMerge w:val="restart"/>
            <w:vAlign w:val="center"/>
          </w:tcPr>
          <w:p w:rsidR="00C542E4" w:rsidRPr="005467AC" w:rsidRDefault="00C542E4" w:rsidP="009D5584">
            <w:pPr>
              <w:spacing w:after="0" w:line="240" w:lineRule="auto"/>
              <w:jc w:val="center"/>
              <w:rPr>
                <w:rFonts w:ascii="Calibri" w:hAnsi="Calibri"/>
                <w:b/>
                <w:sz w:val="20"/>
                <w:szCs w:val="20"/>
              </w:rPr>
            </w:pPr>
            <w:r w:rsidRPr="005467AC">
              <w:rPr>
                <w:rFonts w:ascii="Calibri" w:hAnsi="Calibri"/>
                <w:b/>
                <w:sz w:val="20"/>
                <w:szCs w:val="20"/>
              </w:rPr>
              <w:t>Number Included (2016)</w:t>
            </w:r>
          </w:p>
        </w:tc>
        <w:tc>
          <w:tcPr>
            <w:tcW w:w="1837" w:type="dxa"/>
            <w:gridSpan w:val="2"/>
            <w:vMerge w:val="restart"/>
            <w:vAlign w:val="center"/>
          </w:tcPr>
          <w:p w:rsidR="00C542E4" w:rsidRPr="005467AC" w:rsidRDefault="00C542E4" w:rsidP="009D5584">
            <w:pPr>
              <w:spacing w:after="0" w:line="240" w:lineRule="auto"/>
              <w:jc w:val="center"/>
              <w:rPr>
                <w:rFonts w:ascii="Calibri" w:hAnsi="Calibri"/>
                <w:b/>
                <w:sz w:val="20"/>
                <w:szCs w:val="20"/>
              </w:rPr>
            </w:pPr>
            <w:r w:rsidRPr="005467AC">
              <w:rPr>
                <w:rFonts w:ascii="Calibri" w:hAnsi="Calibri"/>
                <w:b/>
                <w:sz w:val="20"/>
                <w:szCs w:val="20"/>
              </w:rPr>
              <w:t>MCAS Year</w:t>
            </w:r>
          </w:p>
        </w:tc>
        <w:tc>
          <w:tcPr>
            <w:tcW w:w="1838" w:type="dxa"/>
            <w:gridSpan w:val="2"/>
            <w:vMerge w:val="restart"/>
            <w:vAlign w:val="center"/>
          </w:tcPr>
          <w:p w:rsidR="00C542E4" w:rsidRPr="005467AC" w:rsidRDefault="00C542E4" w:rsidP="009D5584">
            <w:pPr>
              <w:spacing w:after="0" w:line="240" w:lineRule="auto"/>
              <w:jc w:val="center"/>
              <w:rPr>
                <w:rFonts w:ascii="Calibri" w:hAnsi="Calibri"/>
                <w:b/>
                <w:sz w:val="20"/>
                <w:szCs w:val="20"/>
              </w:rPr>
            </w:pPr>
            <w:r w:rsidRPr="005467AC">
              <w:rPr>
                <w:rFonts w:ascii="Calibri" w:hAnsi="Calibri"/>
                <w:b/>
                <w:sz w:val="20"/>
                <w:szCs w:val="20"/>
              </w:rPr>
              <w:t>MCAS/PARCC</w:t>
            </w:r>
          </w:p>
        </w:tc>
        <w:tc>
          <w:tcPr>
            <w:tcW w:w="2116" w:type="dxa"/>
            <w:gridSpan w:val="2"/>
          </w:tcPr>
          <w:p w:rsidR="00C542E4" w:rsidRPr="005467AC" w:rsidRDefault="00C542E4" w:rsidP="009D5584">
            <w:pPr>
              <w:spacing w:after="0" w:line="240" w:lineRule="auto"/>
              <w:rPr>
                <w:rFonts w:ascii="Calibri" w:hAnsi="Calibri"/>
                <w:b/>
                <w:sz w:val="20"/>
                <w:szCs w:val="20"/>
              </w:rPr>
            </w:pPr>
            <w:r w:rsidRPr="005467AC">
              <w:rPr>
                <w:rFonts w:ascii="Calibri" w:hAnsi="Calibri"/>
                <w:b/>
                <w:sz w:val="20"/>
                <w:szCs w:val="20"/>
              </w:rPr>
              <w:t>Gains and Declines</w:t>
            </w:r>
          </w:p>
        </w:tc>
      </w:tr>
      <w:tr w:rsidR="00C542E4" w:rsidRPr="005467AC" w:rsidTr="009D5584">
        <w:trPr>
          <w:trHeight w:val="269"/>
        </w:trPr>
        <w:tc>
          <w:tcPr>
            <w:tcW w:w="2088" w:type="dxa"/>
            <w:gridSpan w:val="3"/>
            <w:vMerge/>
          </w:tcPr>
          <w:p w:rsidR="00C542E4" w:rsidRPr="005467AC" w:rsidRDefault="00C542E4" w:rsidP="009D5584">
            <w:pPr>
              <w:spacing w:after="0" w:line="240" w:lineRule="auto"/>
              <w:rPr>
                <w:rFonts w:ascii="Calibri" w:hAnsi="Calibri"/>
                <w:b/>
                <w:sz w:val="20"/>
                <w:szCs w:val="20"/>
              </w:rPr>
            </w:pPr>
          </w:p>
        </w:tc>
        <w:tc>
          <w:tcPr>
            <w:tcW w:w="1049" w:type="dxa"/>
            <w:vMerge/>
          </w:tcPr>
          <w:p w:rsidR="00C542E4" w:rsidRPr="005467AC" w:rsidRDefault="00C542E4" w:rsidP="009D5584">
            <w:pPr>
              <w:spacing w:after="0" w:line="240" w:lineRule="auto"/>
              <w:rPr>
                <w:rFonts w:ascii="Calibri" w:hAnsi="Calibri"/>
                <w:b/>
                <w:sz w:val="20"/>
                <w:szCs w:val="20"/>
              </w:rPr>
            </w:pPr>
          </w:p>
        </w:tc>
        <w:tc>
          <w:tcPr>
            <w:tcW w:w="1837" w:type="dxa"/>
            <w:gridSpan w:val="2"/>
            <w:vMerge/>
          </w:tcPr>
          <w:p w:rsidR="00C542E4" w:rsidRPr="005467AC" w:rsidRDefault="00C542E4" w:rsidP="009D5584">
            <w:pPr>
              <w:spacing w:after="0" w:line="240" w:lineRule="auto"/>
              <w:rPr>
                <w:rFonts w:ascii="Calibri" w:hAnsi="Calibri"/>
                <w:b/>
                <w:sz w:val="20"/>
                <w:szCs w:val="20"/>
              </w:rPr>
            </w:pPr>
          </w:p>
        </w:tc>
        <w:tc>
          <w:tcPr>
            <w:tcW w:w="1838" w:type="dxa"/>
            <w:gridSpan w:val="2"/>
            <w:vMerge/>
          </w:tcPr>
          <w:p w:rsidR="00C542E4" w:rsidRPr="005467AC" w:rsidRDefault="00C542E4" w:rsidP="009D5584">
            <w:pPr>
              <w:spacing w:after="0" w:line="240" w:lineRule="auto"/>
              <w:rPr>
                <w:rFonts w:ascii="Calibri" w:hAnsi="Calibri"/>
                <w:b/>
                <w:sz w:val="20"/>
                <w:szCs w:val="20"/>
              </w:rPr>
            </w:pPr>
          </w:p>
        </w:tc>
        <w:tc>
          <w:tcPr>
            <w:tcW w:w="1126" w:type="dxa"/>
            <w:vMerge w:val="restart"/>
          </w:tcPr>
          <w:p w:rsidR="00C542E4" w:rsidRPr="005467AC" w:rsidRDefault="00C542E4" w:rsidP="009D5584">
            <w:pPr>
              <w:spacing w:after="0" w:line="240" w:lineRule="auto"/>
              <w:jc w:val="center"/>
              <w:rPr>
                <w:rFonts w:ascii="Calibri" w:hAnsi="Calibri"/>
                <w:b/>
                <w:sz w:val="20"/>
                <w:szCs w:val="20"/>
              </w:rPr>
            </w:pPr>
            <w:r w:rsidRPr="00E34378">
              <w:rPr>
                <w:rFonts w:ascii="Calibri" w:hAnsi="Calibri"/>
                <w:b/>
                <w:sz w:val="20"/>
                <w:szCs w:val="20"/>
              </w:rPr>
              <w:t>4-Year Trend</w:t>
            </w:r>
          </w:p>
        </w:tc>
        <w:tc>
          <w:tcPr>
            <w:tcW w:w="990" w:type="dxa"/>
            <w:vMerge w:val="restart"/>
            <w:vAlign w:val="center"/>
          </w:tcPr>
          <w:p w:rsidR="00C542E4" w:rsidRPr="005467AC" w:rsidRDefault="00C542E4" w:rsidP="009D5584">
            <w:pPr>
              <w:spacing w:after="0" w:line="240" w:lineRule="auto"/>
              <w:jc w:val="center"/>
              <w:rPr>
                <w:rFonts w:ascii="Calibri" w:hAnsi="Calibri"/>
                <w:b/>
                <w:sz w:val="20"/>
                <w:szCs w:val="20"/>
              </w:rPr>
            </w:pPr>
            <w:r w:rsidRPr="005467AC">
              <w:rPr>
                <w:rFonts w:ascii="Calibri" w:hAnsi="Calibri"/>
                <w:b/>
                <w:sz w:val="20"/>
                <w:szCs w:val="20"/>
              </w:rPr>
              <w:t>2-Year Trend</w:t>
            </w:r>
          </w:p>
        </w:tc>
      </w:tr>
      <w:tr w:rsidR="00C542E4" w:rsidRPr="005467AC" w:rsidTr="009D5584">
        <w:tc>
          <w:tcPr>
            <w:tcW w:w="2088" w:type="dxa"/>
            <w:gridSpan w:val="3"/>
            <w:vMerge/>
          </w:tcPr>
          <w:p w:rsidR="00C542E4" w:rsidRPr="005467AC" w:rsidRDefault="00C542E4" w:rsidP="009D5584">
            <w:pPr>
              <w:spacing w:after="0" w:line="240" w:lineRule="auto"/>
              <w:rPr>
                <w:rFonts w:ascii="Calibri" w:hAnsi="Calibri"/>
                <w:sz w:val="20"/>
                <w:szCs w:val="20"/>
              </w:rPr>
            </w:pPr>
          </w:p>
        </w:tc>
        <w:tc>
          <w:tcPr>
            <w:tcW w:w="1049" w:type="dxa"/>
            <w:vMerge/>
          </w:tcPr>
          <w:p w:rsidR="00C542E4" w:rsidRPr="005467AC" w:rsidRDefault="00C542E4" w:rsidP="009D5584">
            <w:pPr>
              <w:spacing w:after="0" w:line="240" w:lineRule="auto"/>
              <w:rPr>
                <w:rFonts w:ascii="Calibri" w:hAnsi="Calibri"/>
                <w:sz w:val="20"/>
                <w:szCs w:val="20"/>
              </w:rPr>
            </w:pPr>
          </w:p>
        </w:tc>
        <w:tc>
          <w:tcPr>
            <w:tcW w:w="918" w:type="dxa"/>
            <w:vAlign w:val="center"/>
          </w:tcPr>
          <w:p w:rsidR="00C542E4" w:rsidRPr="005467AC" w:rsidRDefault="00C542E4" w:rsidP="009D5584">
            <w:pPr>
              <w:spacing w:after="0" w:line="240" w:lineRule="auto"/>
              <w:jc w:val="center"/>
              <w:rPr>
                <w:rFonts w:ascii="Calibri" w:hAnsi="Calibri"/>
                <w:b/>
                <w:sz w:val="20"/>
                <w:szCs w:val="20"/>
              </w:rPr>
            </w:pPr>
            <w:r w:rsidRPr="005467AC">
              <w:rPr>
                <w:rFonts w:ascii="Calibri" w:hAnsi="Calibri"/>
                <w:b/>
                <w:sz w:val="20"/>
                <w:szCs w:val="20"/>
              </w:rPr>
              <w:t>2013</w:t>
            </w:r>
          </w:p>
        </w:tc>
        <w:tc>
          <w:tcPr>
            <w:tcW w:w="919" w:type="dxa"/>
            <w:vAlign w:val="center"/>
          </w:tcPr>
          <w:p w:rsidR="00C542E4" w:rsidRPr="005467AC" w:rsidRDefault="00C542E4" w:rsidP="009D5584">
            <w:pPr>
              <w:spacing w:after="0" w:line="240" w:lineRule="auto"/>
              <w:jc w:val="center"/>
              <w:rPr>
                <w:rFonts w:ascii="Calibri" w:hAnsi="Calibri"/>
                <w:b/>
                <w:sz w:val="20"/>
                <w:szCs w:val="20"/>
              </w:rPr>
            </w:pPr>
            <w:r w:rsidRPr="005467AC">
              <w:rPr>
                <w:rFonts w:ascii="Calibri" w:hAnsi="Calibri"/>
                <w:b/>
                <w:sz w:val="20"/>
                <w:szCs w:val="20"/>
              </w:rPr>
              <w:t>2014</w:t>
            </w:r>
          </w:p>
        </w:tc>
        <w:tc>
          <w:tcPr>
            <w:tcW w:w="919" w:type="dxa"/>
            <w:vAlign w:val="center"/>
          </w:tcPr>
          <w:p w:rsidR="00C542E4" w:rsidRPr="005467AC" w:rsidRDefault="00C542E4" w:rsidP="009D5584">
            <w:pPr>
              <w:spacing w:after="0" w:line="240" w:lineRule="auto"/>
              <w:jc w:val="center"/>
              <w:rPr>
                <w:rFonts w:ascii="Calibri" w:hAnsi="Calibri"/>
                <w:b/>
                <w:sz w:val="20"/>
                <w:szCs w:val="20"/>
              </w:rPr>
            </w:pPr>
            <w:r w:rsidRPr="005467AC">
              <w:rPr>
                <w:rFonts w:ascii="Calibri" w:hAnsi="Calibri"/>
                <w:b/>
                <w:sz w:val="20"/>
                <w:szCs w:val="20"/>
              </w:rPr>
              <w:t>2015</w:t>
            </w:r>
          </w:p>
        </w:tc>
        <w:tc>
          <w:tcPr>
            <w:tcW w:w="919" w:type="dxa"/>
            <w:vAlign w:val="center"/>
          </w:tcPr>
          <w:p w:rsidR="00C542E4" w:rsidRPr="005467AC" w:rsidRDefault="00C542E4" w:rsidP="009D5584">
            <w:pPr>
              <w:spacing w:after="0" w:line="240" w:lineRule="auto"/>
              <w:jc w:val="center"/>
              <w:rPr>
                <w:rFonts w:ascii="Calibri" w:hAnsi="Calibri"/>
                <w:b/>
                <w:sz w:val="20"/>
                <w:szCs w:val="20"/>
              </w:rPr>
            </w:pPr>
            <w:r w:rsidRPr="005467AC">
              <w:rPr>
                <w:rFonts w:ascii="Calibri" w:hAnsi="Calibri"/>
                <w:b/>
                <w:sz w:val="20"/>
                <w:szCs w:val="20"/>
              </w:rPr>
              <w:t>2016</w:t>
            </w:r>
          </w:p>
        </w:tc>
        <w:tc>
          <w:tcPr>
            <w:tcW w:w="1126" w:type="dxa"/>
            <w:vMerge/>
          </w:tcPr>
          <w:p w:rsidR="00C542E4" w:rsidRPr="005467AC" w:rsidRDefault="00C542E4" w:rsidP="009D5584">
            <w:pPr>
              <w:spacing w:after="0" w:line="240" w:lineRule="auto"/>
              <w:rPr>
                <w:rFonts w:ascii="Calibri" w:hAnsi="Calibri"/>
                <w:sz w:val="20"/>
                <w:szCs w:val="20"/>
              </w:rPr>
            </w:pPr>
          </w:p>
        </w:tc>
        <w:tc>
          <w:tcPr>
            <w:tcW w:w="990" w:type="dxa"/>
            <w:vMerge/>
          </w:tcPr>
          <w:p w:rsidR="00C542E4" w:rsidRPr="005467AC" w:rsidRDefault="00C542E4" w:rsidP="009D5584">
            <w:pPr>
              <w:spacing w:after="0" w:line="240" w:lineRule="auto"/>
              <w:rPr>
                <w:rFonts w:ascii="Calibri" w:hAnsi="Calibri"/>
                <w:sz w:val="20"/>
                <w:szCs w:val="20"/>
              </w:rPr>
            </w:pPr>
          </w:p>
        </w:tc>
      </w:tr>
      <w:tr w:rsidR="00C542E4" w:rsidRPr="0066275B" w:rsidTr="009E7CC3">
        <w:trPr>
          <w:trHeight w:val="245"/>
        </w:trPr>
        <w:tc>
          <w:tcPr>
            <w:tcW w:w="461" w:type="dxa"/>
            <w:vMerge w:val="restart"/>
            <w:vAlign w:val="center"/>
          </w:tcPr>
          <w:p w:rsidR="00C542E4" w:rsidRPr="00164FBF" w:rsidRDefault="00C542E4" w:rsidP="009D5584">
            <w:pPr>
              <w:spacing w:after="0" w:line="240" w:lineRule="auto"/>
              <w:jc w:val="center"/>
              <w:rPr>
                <w:rFonts w:ascii="Calibri" w:hAnsi="Calibri"/>
                <w:sz w:val="20"/>
                <w:szCs w:val="20"/>
              </w:rPr>
            </w:pPr>
            <w:r w:rsidRPr="00164FBF">
              <w:rPr>
                <w:rFonts w:ascii="Calibri" w:hAnsi="Calibri"/>
                <w:sz w:val="20"/>
                <w:szCs w:val="20"/>
              </w:rPr>
              <w:t>3</w:t>
            </w:r>
          </w:p>
        </w:tc>
        <w:tc>
          <w:tcPr>
            <w:tcW w:w="757" w:type="dxa"/>
            <w:vMerge w:val="restart"/>
            <w:vAlign w:val="center"/>
          </w:tcPr>
          <w:p w:rsidR="00C542E4" w:rsidRPr="006E6CA2" w:rsidRDefault="00C542E4" w:rsidP="009D5584">
            <w:pPr>
              <w:spacing w:after="0" w:line="240" w:lineRule="auto"/>
              <w:jc w:val="center"/>
              <w:rPr>
                <w:rFonts w:ascii="Calibri" w:hAnsi="Calibri"/>
                <w:sz w:val="20"/>
                <w:szCs w:val="20"/>
              </w:rPr>
            </w:pPr>
            <w:r w:rsidRPr="006E6CA2">
              <w:rPr>
                <w:rFonts w:ascii="Calibri" w:hAnsi="Calibri"/>
                <w:sz w:val="20"/>
                <w:szCs w:val="20"/>
              </w:rPr>
              <w:t>MCAS</w:t>
            </w:r>
          </w:p>
        </w:tc>
        <w:tc>
          <w:tcPr>
            <w:tcW w:w="870" w:type="dxa"/>
          </w:tcPr>
          <w:p w:rsidR="00C542E4" w:rsidRPr="00A82F8F" w:rsidRDefault="00C542E4" w:rsidP="009D5584">
            <w:pPr>
              <w:spacing w:after="0" w:line="240" w:lineRule="auto"/>
              <w:rPr>
                <w:rFonts w:ascii="Calibri" w:hAnsi="Calibri"/>
                <w:sz w:val="20"/>
                <w:szCs w:val="20"/>
              </w:rPr>
            </w:pPr>
            <w:r w:rsidRPr="00A82F8F">
              <w:rPr>
                <w:rFonts w:ascii="Calibri" w:hAnsi="Calibri"/>
                <w:sz w:val="20"/>
                <w:szCs w:val="20"/>
              </w:rPr>
              <w:t>CPI</w:t>
            </w:r>
          </w:p>
        </w:tc>
        <w:tc>
          <w:tcPr>
            <w:tcW w:w="1049"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734</w:t>
            </w:r>
          </w:p>
        </w:tc>
        <w:tc>
          <w:tcPr>
            <w:tcW w:w="918"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70.3</w:t>
            </w:r>
          </w:p>
        </w:tc>
        <w:tc>
          <w:tcPr>
            <w:tcW w:w="919"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70.5</w:t>
            </w:r>
          </w:p>
        </w:tc>
        <w:tc>
          <w:tcPr>
            <w:tcW w:w="919"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72.8</w:t>
            </w:r>
          </w:p>
        </w:tc>
        <w:tc>
          <w:tcPr>
            <w:tcW w:w="919"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76.8</w:t>
            </w:r>
          </w:p>
        </w:tc>
        <w:tc>
          <w:tcPr>
            <w:tcW w:w="1126" w:type="dxa"/>
            <w:vAlign w:val="center"/>
          </w:tcPr>
          <w:p w:rsidR="00C542E4" w:rsidRPr="0066275B" w:rsidRDefault="00C542E4" w:rsidP="009D5584">
            <w:pPr>
              <w:spacing w:after="0" w:line="240" w:lineRule="auto"/>
              <w:jc w:val="center"/>
              <w:rPr>
                <w:rFonts w:ascii="Calibri" w:hAnsi="Calibri"/>
              </w:rPr>
            </w:pPr>
            <w:r w:rsidRPr="0066275B">
              <w:rPr>
                <w:rFonts w:ascii="Calibri" w:hAnsi="Calibri"/>
              </w:rPr>
              <w:t>6.5</w:t>
            </w:r>
          </w:p>
        </w:tc>
        <w:tc>
          <w:tcPr>
            <w:tcW w:w="990" w:type="dxa"/>
            <w:vAlign w:val="center"/>
          </w:tcPr>
          <w:p w:rsidR="00C542E4" w:rsidRPr="0066275B" w:rsidRDefault="00C542E4" w:rsidP="009D5584">
            <w:pPr>
              <w:spacing w:after="0" w:line="240" w:lineRule="auto"/>
              <w:jc w:val="center"/>
              <w:rPr>
                <w:rFonts w:ascii="Calibri" w:hAnsi="Calibri"/>
              </w:rPr>
            </w:pPr>
            <w:r w:rsidRPr="0066275B">
              <w:rPr>
                <w:rFonts w:ascii="Calibri" w:hAnsi="Calibri"/>
              </w:rPr>
              <w:t>4</w:t>
            </w:r>
          </w:p>
        </w:tc>
      </w:tr>
      <w:tr w:rsidR="00C542E4" w:rsidRPr="0066275B" w:rsidTr="009E7CC3">
        <w:trPr>
          <w:trHeight w:val="245"/>
        </w:trPr>
        <w:tc>
          <w:tcPr>
            <w:tcW w:w="461" w:type="dxa"/>
            <w:vMerge/>
            <w:vAlign w:val="center"/>
          </w:tcPr>
          <w:p w:rsidR="00C542E4" w:rsidRPr="00164FBF" w:rsidRDefault="00C542E4" w:rsidP="009D5584">
            <w:pPr>
              <w:spacing w:after="0" w:line="240" w:lineRule="auto"/>
              <w:jc w:val="center"/>
              <w:rPr>
                <w:rFonts w:ascii="Calibri" w:hAnsi="Calibri"/>
                <w:sz w:val="20"/>
                <w:szCs w:val="20"/>
              </w:rPr>
            </w:pPr>
          </w:p>
        </w:tc>
        <w:tc>
          <w:tcPr>
            <w:tcW w:w="757" w:type="dxa"/>
            <w:vMerge/>
            <w:vAlign w:val="center"/>
          </w:tcPr>
          <w:p w:rsidR="00C542E4" w:rsidRPr="006E6CA2" w:rsidRDefault="00C542E4" w:rsidP="009D5584">
            <w:pPr>
              <w:spacing w:after="0" w:line="240" w:lineRule="auto"/>
              <w:jc w:val="center"/>
              <w:rPr>
                <w:rFonts w:ascii="Calibri" w:hAnsi="Calibri"/>
                <w:sz w:val="20"/>
                <w:szCs w:val="20"/>
              </w:rPr>
            </w:pPr>
          </w:p>
        </w:tc>
        <w:tc>
          <w:tcPr>
            <w:tcW w:w="870" w:type="dxa"/>
          </w:tcPr>
          <w:p w:rsidR="00C542E4" w:rsidRPr="00A82F8F" w:rsidRDefault="00C542E4" w:rsidP="009D5584">
            <w:pPr>
              <w:spacing w:after="0" w:line="240" w:lineRule="auto"/>
              <w:rPr>
                <w:rFonts w:ascii="Calibri" w:hAnsi="Calibri"/>
                <w:sz w:val="20"/>
                <w:szCs w:val="20"/>
              </w:rPr>
            </w:pPr>
            <w:r w:rsidRPr="00A82F8F">
              <w:rPr>
                <w:rFonts w:ascii="Calibri" w:hAnsi="Calibri"/>
                <w:sz w:val="20"/>
                <w:szCs w:val="20"/>
              </w:rPr>
              <w:t>P+</w:t>
            </w:r>
          </w:p>
        </w:tc>
        <w:tc>
          <w:tcPr>
            <w:tcW w:w="1049"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734</w:t>
            </w:r>
          </w:p>
        </w:tc>
        <w:tc>
          <w:tcPr>
            <w:tcW w:w="918"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43%</w:t>
            </w:r>
          </w:p>
        </w:tc>
        <w:tc>
          <w:tcPr>
            <w:tcW w:w="919"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46%</w:t>
            </w:r>
          </w:p>
        </w:tc>
        <w:tc>
          <w:tcPr>
            <w:tcW w:w="919"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50%</w:t>
            </w:r>
          </w:p>
        </w:tc>
        <w:tc>
          <w:tcPr>
            <w:tcW w:w="919"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53%</w:t>
            </w:r>
          </w:p>
        </w:tc>
        <w:tc>
          <w:tcPr>
            <w:tcW w:w="1126" w:type="dxa"/>
            <w:vAlign w:val="center"/>
          </w:tcPr>
          <w:p w:rsidR="00C542E4" w:rsidRPr="0066275B" w:rsidRDefault="00C542E4" w:rsidP="009D5584">
            <w:pPr>
              <w:spacing w:after="0" w:line="240" w:lineRule="auto"/>
              <w:jc w:val="center"/>
              <w:rPr>
                <w:rFonts w:ascii="Calibri" w:hAnsi="Calibri"/>
              </w:rPr>
            </w:pPr>
            <w:r w:rsidRPr="0066275B">
              <w:rPr>
                <w:rFonts w:ascii="Calibri" w:hAnsi="Calibri"/>
              </w:rPr>
              <w:t>10%</w:t>
            </w:r>
          </w:p>
        </w:tc>
        <w:tc>
          <w:tcPr>
            <w:tcW w:w="990" w:type="dxa"/>
            <w:vAlign w:val="center"/>
          </w:tcPr>
          <w:p w:rsidR="00C542E4" w:rsidRPr="0066275B" w:rsidRDefault="00C542E4" w:rsidP="009D5584">
            <w:pPr>
              <w:spacing w:after="0" w:line="240" w:lineRule="auto"/>
              <w:jc w:val="center"/>
              <w:rPr>
                <w:rFonts w:ascii="Calibri" w:hAnsi="Calibri"/>
              </w:rPr>
            </w:pPr>
            <w:r w:rsidRPr="0066275B">
              <w:rPr>
                <w:rFonts w:ascii="Calibri" w:hAnsi="Calibri"/>
              </w:rPr>
              <w:t>3%</w:t>
            </w:r>
          </w:p>
        </w:tc>
      </w:tr>
      <w:tr w:rsidR="00C542E4" w:rsidRPr="0066275B" w:rsidTr="009E7CC3">
        <w:trPr>
          <w:trHeight w:val="245"/>
        </w:trPr>
        <w:tc>
          <w:tcPr>
            <w:tcW w:w="461" w:type="dxa"/>
            <w:vMerge/>
            <w:vAlign w:val="center"/>
          </w:tcPr>
          <w:p w:rsidR="00C542E4" w:rsidRPr="00164FBF" w:rsidRDefault="00C542E4" w:rsidP="009D5584">
            <w:pPr>
              <w:spacing w:after="0" w:line="240" w:lineRule="auto"/>
              <w:jc w:val="center"/>
              <w:rPr>
                <w:rFonts w:ascii="Calibri" w:hAnsi="Calibri"/>
                <w:sz w:val="20"/>
                <w:szCs w:val="20"/>
              </w:rPr>
            </w:pPr>
          </w:p>
        </w:tc>
        <w:tc>
          <w:tcPr>
            <w:tcW w:w="757" w:type="dxa"/>
            <w:vMerge w:val="restart"/>
            <w:shd w:val="clear" w:color="auto" w:fill="D9D9D9" w:themeFill="background1" w:themeFillShade="D9"/>
            <w:vAlign w:val="center"/>
          </w:tcPr>
          <w:p w:rsidR="00C542E4" w:rsidRPr="00A82F8F" w:rsidRDefault="00C542E4" w:rsidP="009D5584">
            <w:pPr>
              <w:spacing w:after="0" w:line="240" w:lineRule="auto"/>
              <w:jc w:val="center"/>
              <w:rPr>
                <w:rFonts w:ascii="Calibri" w:hAnsi="Calibri"/>
                <w:sz w:val="20"/>
                <w:szCs w:val="20"/>
              </w:rPr>
            </w:pPr>
            <w:r w:rsidRPr="00A82F8F">
              <w:rPr>
                <w:rFonts w:ascii="Calibri" w:hAnsi="Calibri"/>
                <w:sz w:val="20"/>
                <w:szCs w:val="20"/>
              </w:rPr>
              <w:t>PARCC</w:t>
            </w:r>
          </w:p>
        </w:tc>
        <w:tc>
          <w:tcPr>
            <w:tcW w:w="870" w:type="dxa"/>
            <w:shd w:val="clear" w:color="auto" w:fill="D9D9D9" w:themeFill="background1" w:themeFillShade="D9"/>
          </w:tcPr>
          <w:p w:rsidR="00C542E4" w:rsidRPr="00A82F8F" w:rsidRDefault="00C542E4" w:rsidP="009D5584">
            <w:pPr>
              <w:spacing w:after="0" w:line="240" w:lineRule="auto"/>
              <w:rPr>
                <w:rFonts w:ascii="Calibri" w:hAnsi="Calibri"/>
                <w:sz w:val="20"/>
                <w:szCs w:val="20"/>
              </w:rPr>
            </w:pPr>
            <w:r w:rsidRPr="00A82F8F">
              <w:rPr>
                <w:rFonts w:ascii="Calibri" w:hAnsi="Calibri"/>
                <w:sz w:val="20"/>
                <w:szCs w:val="20"/>
              </w:rPr>
              <w:t>CPI</w:t>
            </w:r>
          </w:p>
        </w:tc>
        <w:tc>
          <w:tcPr>
            <w:tcW w:w="1049" w:type="dxa"/>
            <w:shd w:val="clear" w:color="auto" w:fill="D9D9D9" w:themeFill="background1" w:themeFillShade="D9"/>
            <w:vAlign w:val="bottom"/>
          </w:tcPr>
          <w:p w:rsidR="00C542E4" w:rsidRPr="005F47D0" w:rsidRDefault="00C542E4" w:rsidP="009D5584">
            <w:pPr>
              <w:spacing w:after="0" w:line="240" w:lineRule="auto"/>
              <w:jc w:val="center"/>
              <w:rPr>
                <w:rFonts w:ascii="Calibri" w:hAnsi="Calibri"/>
                <w:sz w:val="20"/>
                <w:szCs w:val="20"/>
              </w:rPr>
            </w:pPr>
            <w:r>
              <w:rPr>
                <w:rFonts w:ascii="Calibri" w:hAnsi="Calibri"/>
                <w:sz w:val="20"/>
                <w:szCs w:val="20"/>
              </w:rPr>
              <w:t>1,088</w:t>
            </w:r>
          </w:p>
        </w:tc>
        <w:tc>
          <w:tcPr>
            <w:tcW w:w="918" w:type="dxa"/>
            <w:shd w:val="clear" w:color="auto" w:fill="D9D9D9" w:themeFill="background1" w:themeFillShade="D9"/>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70.3</w:t>
            </w:r>
          </w:p>
        </w:tc>
        <w:tc>
          <w:tcPr>
            <w:tcW w:w="919" w:type="dxa"/>
            <w:shd w:val="clear" w:color="auto" w:fill="D9D9D9" w:themeFill="background1" w:themeFillShade="D9"/>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70.5</w:t>
            </w:r>
          </w:p>
        </w:tc>
        <w:tc>
          <w:tcPr>
            <w:tcW w:w="919" w:type="dxa"/>
            <w:shd w:val="clear" w:color="auto" w:fill="D9D9D9" w:themeFill="background1" w:themeFillShade="D9"/>
            <w:vAlign w:val="bottom"/>
          </w:tcPr>
          <w:p w:rsidR="00C542E4" w:rsidRPr="005F47D0" w:rsidRDefault="00C542E4" w:rsidP="009D5584">
            <w:pPr>
              <w:spacing w:after="0" w:line="240" w:lineRule="auto"/>
              <w:jc w:val="center"/>
              <w:rPr>
                <w:rFonts w:ascii="Calibri" w:hAnsi="Calibri"/>
                <w:sz w:val="20"/>
                <w:szCs w:val="20"/>
              </w:rPr>
            </w:pPr>
            <w:r>
              <w:rPr>
                <w:rFonts w:ascii="Calibri" w:hAnsi="Calibri"/>
                <w:sz w:val="20"/>
                <w:szCs w:val="20"/>
              </w:rPr>
              <w:t>67.6</w:t>
            </w:r>
          </w:p>
        </w:tc>
        <w:tc>
          <w:tcPr>
            <w:tcW w:w="919" w:type="dxa"/>
            <w:shd w:val="clear" w:color="auto" w:fill="D9D9D9" w:themeFill="background1" w:themeFillShade="D9"/>
            <w:vAlign w:val="bottom"/>
          </w:tcPr>
          <w:p w:rsidR="00C542E4" w:rsidRPr="005F47D0" w:rsidRDefault="00C542E4" w:rsidP="009D5584">
            <w:pPr>
              <w:spacing w:after="0" w:line="240" w:lineRule="auto"/>
              <w:jc w:val="center"/>
              <w:rPr>
                <w:rFonts w:ascii="Calibri" w:hAnsi="Calibri"/>
                <w:sz w:val="20"/>
                <w:szCs w:val="20"/>
              </w:rPr>
            </w:pPr>
            <w:r>
              <w:rPr>
                <w:rFonts w:ascii="Calibri" w:hAnsi="Calibri"/>
                <w:sz w:val="20"/>
                <w:szCs w:val="20"/>
              </w:rPr>
              <w:t>71.7</w:t>
            </w:r>
          </w:p>
        </w:tc>
        <w:tc>
          <w:tcPr>
            <w:tcW w:w="1126" w:type="dxa"/>
            <w:shd w:val="clear" w:color="auto" w:fill="D9D9D9" w:themeFill="background1" w:themeFillShade="D9"/>
          </w:tcPr>
          <w:p w:rsidR="00C542E4" w:rsidRPr="0066275B" w:rsidRDefault="00C542E4" w:rsidP="009D5584">
            <w:pPr>
              <w:spacing w:after="0" w:line="240" w:lineRule="auto"/>
              <w:jc w:val="center"/>
              <w:rPr>
                <w:rFonts w:ascii="Calibri" w:hAnsi="Calibri"/>
              </w:rPr>
            </w:pPr>
            <w:r w:rsidRPr="0066275B">
              <w:rPr>
                <w:rFonts w:ascii="Calibri" w:hAnsi="Calibri"/>
              </w:rPr>
              <w:t>1.4</w:t>
            </w:r>
          </w:p>
        </w:tc>
        <w:tc>
          <w:tcPr>
            <w:tcW w:w="990" w:type="dxa"/>
            <w:shd w:val="clear" w:color="auto" w:fill="D9D9D9" w:themeFill="background1" w:themeFillShade="D9"/>
            <w:vAlign w:val="bottom"/>
          </w:tcPr>
          <w:p w:rsidR="00C542E4" w:rsidRPr="0066275B" w:rsidRDefault="00C542E4" w:rsidP="009D5584">
            <w:pPr>
              <w:spacing w:after="0" w:line="240" w:lineRule="auto"/>
              <w:jc w:val="center"/>
              <w:rPr>
                <w:rFonts w:ascii="Calibri" w:hAnsi="Calibri"/>
              </w:rPr>
            </w:pPr>
            <w:r w:rsidRPr="0066275B">
              <w:rPr>
                <w:rFonts w:ascii="Calibri" w:hAnsi="Calibri"/>
              </w:rPr>
              <w:t>4.1</w:t>
            </w:r>
          </w:p>
        </w:tc>
      </w:tr>
      <w:tr w:rsidR="00C542E4" w:rsidRPr="0066275B" w:rsidTr="009E7CC3">
        <w:trPr>
          <w:trHeight w:val="245"/>
        </w:trPr>
        <w:tc>
          <w:tcPr>
            <w:tcW w:w="461" w:type="dxa"/>
            <w:vMerge/>
            <w:vAlign w:val="center"/>
          </w:tcPr>
          <w:p w:rsidR="00C542E4" w:rsidRPr="00164FBF" w:rsidRDefault="00C542E4" w:rsidP="009D5584">
            <w:pPr>
              <w:spacing w:after="0" w:line="240" w:lineRule="auto"/>
              <w:jc w:val="center"/>
              <w:rPr>
                <w:rFonts w:ascii="Calibri" w:hAnsi="Calibri"/>
                <w:sz w:val="20"/>
                <w:szCs w:val="20"/>
              </w:rPr>
            </w:pPr>
          </w:p>
        </w:tc>
        <w:tc>
          <w:tcPr>
            <w:tcW w:w="757" w:type="dxa"/>
            <w:vMerge/>
            <w:shd w:val="clear" w:color="auto" w:fill="D9D9D9" w:themeFill="background1" w:themeFillShade="D9"/>
            <w:vAlign w:val="center"/>
          </w:tcPr>
          <w:p w:rsidR="00C542E4" w:rsidRPr="00A82F8F" w:rsidRDefault="00C542E4" w:rsidP="009D5584">
            <w:pPr>
              <w:spacing w:after="0" w:line="240" w:lineRule="auto"/>
              <w:jc w:val="center"/>
              <w:rPr>
                <w:rFonts w:ascii="Calibri" w:hAnsi="Calibri"/>
                <w:sz w:val="20"/>
                <w:szCs w:val="20"/>
              </w:rPr>
            </w:pPr>
          </w:p>
        </w:tc>
        <w:tc>
          <w:tcPr>
            <w:tcW w:w="870" w:type="dxa"/>
            <w:shd w:val="clear" w:color="auto" w:fill="D9D9D9" w:themeFill="background1" w:themeFillShade="D9"/>
          </w:tcPr>
          <w:p w:rsidR="00C542E4" w:rsidRPr="00A82F8F" w:rsidRDefault="00C542E4" w:rsidP="009D5584">
            <w:pPr>
              <w:spacing w:after="0" w:line="240" w:lineRule="auto"/>
              <w:rPr>
                <w:rFonts w:ascii="Calibri" w:hAnsi="Calibri"/>
                <w:sz w:val="20"/>
                <w:szCs w:val="20"/>
              </w:rPr>
            </w:pPr>
            <w:r w:rsidRPr="00A82F8F">
              <w:rPr>
                <w:rFonts w:ascii="Calibri" w:hAnsi="Calibri"/>
                <w:sz w:val="20"/>
                <w:szCs w:val="20"/>
              </w:rPr>
              <w:t>Lv 4&amp;5</w:t>
            </w:r>
          </w:p>
        </w:tc>
        <w:tc>
          <w:tcPr>
            <w:tcW w:w="1049" w:type="dxa"/>
            <w:shd w:val="clear" w:color="auto" w:fill="D9D9D9" w:themeFill="background1" w:themeFillShade="D9"/>
            <w:vAlign w:val="bottom"/>
          </w:tcPr>
          <w:p w:rsidR="00C542E4" w:rsidRPr="005F47D0" w:rsidRDefault="00C542E4" w:rsidP="009D5584">
            <w:pPr>
              <w:spacing w:after="0" w:line="240" w:lineRule="auto"/>
              <w:jc w:val="center"/>
              <w:rPr>
                <w:rFonts w:ascii="Calibri" w:hAnsi="Calibri"/>
                <w:sz w:val="20"/>
                <w:szCs w:val="20"/>
              </w:rPr>
            </w:pPr>
            <w:r>
              <w:rPr>
                <w:rFonts w:ascii="Calibri" w:hAnsi="Calibri"/>
                <w:sz w:val="20"/>
                <w:szCs w:val="20"/>
              </w:rPr>
              <w:t>1,067</w:t>
            </w:r>
          </w:p>
        </w:tc>
        <w:tc>
          <w:tcPr>
            <w:tcW w:w="918" w:type="dxa"/>
            <w:shd w:val="clear" w:color="auto" w:fill="D9D9D9" w:themeFill="background1" w:themeFillShade="D9"/>
            <w:vAlign w:val="bottom"/>
          </w:tcPr>
          <w:p w:rsidR="00C542E4" w:rsidRPr="005F47D0" w:rsidRDefault="00C542E4" w:rsidP="009D5584">
            <w:pPr>
              <w:spacing w:after="0" w:line="240" w:lineRule="auto"/>
              <w:jc w:val="center"/>
              <w:rPr>
                <w:rFonts w:ascii="Calibri" w:hAnsi="Calibri"/>
                <w:sz w:val="20"/>
                <w:szCs w:val="20"/>
              </w:rPr>
            </w:pPr>
            <w:r>
              <w:rPr>
                <w:rFonts w:ascii="Calibri" w:hAnsi="Calibri"/>
                <w:sz w:val="20"/>
                <w:szCs w:val="20"/>
              </w:rPr>
              <w:t>--</w:t>
            </w:r>
          </w:p>
        </w:tc>
        <w:tc>
          <w:tcPr>
            <w:tcW w:w="919" w:type="dxa"/>
            <w:shd w:val="clear" w:color="auto" w:fill="D9D9D9" w:themeFill="background1" w:themeFillShade="D9"/>
            <w:vAlign w:val="bottom"/>
          </w:tcPr>
          <w:p w:rsidR="00C542E4" w:rsidRPr="005F47D0" w:rsidRDefault="00C542E4" w:rsidP="009D5584">
            <w:pPr>
              <w:spacing w:after="0" w:line="240" w:lineRule="auto"/>
              <w:jc w:val="center"/>
              <w:rPr>
                <w:rFonts w:ascii="Calibri" w:hAnsi="Calibri"/>
                <w:sz w:val="20"/>
                <w:szCs w:val="20"/>
              </w:rPr>
            </w:pPr>
            <w:r>
              <w:rPr>
                <w:rFonts w:ascii="Calibri" w:hAnsi="Calibri"/>
                <w:sz w:val="20"/>
                <w:szCs w:val="20"/>
              </w:rPr>
              <w:t>--</w:t>
            </w:r>
          </w:p>
        </w:tc>
        <w:tc>
          <w:tcPr>
            <w:tcW w:w="919" w:type="dxa"/>
            <w:shd w:val="clear" w:color="auto" w:fill="D9D9D9" w:themeFill="background1" w:themeFillShade="D9"/>
            <w:vAlign w:val="bottom"/>
          </w:tcPr>
          <w:p w:rsidR="00C542E4" w:rsidRPr="005F47D0" w:rsidRDefault="00C542E4" w:rsidP="009D5584">
            <w:pPr>
              <w:spacing w:after="0" w:line="240" w:lineRule="auto"/>
              <w:jc w:val="center"/>
              <w:rPr>
                <w:rFonts w:ascii="Calibri" w:hAnsi="Calibri"/>
                <w:sz w:val="20"/>
                <w:szCs w:val="20"/>
              </w:rPr>
            </w:pPr>
            <w:r>
              <w:rPr>
                <w:rFonts w:ascii="Calibri" w:hAnsi="Calibri"/>
                <w:sz w:val="20"/>
                <w:szCs w:val="20"/>
              </w:rPr>
              <w:t>29%</w:t>
            </w:r>
          </w:p>
        </w:tc>
        <w:tc>
          <w:tcPr>
            <w:tcW w:w="919" w:type="dxa"/>
            <w:shd w:val="clear" w:color="auto" w:fill="D9D9D9" w:themeFill="background1" w:themeFillShade="D9"/>
            <w:vAlign w:val="bottom"/>
          </w:tcPr>
          <w:p w:rsidR="00C542E4" w:rsidRPr="005F47D0" w:rsidRDefault="00C542E4" w:rsidP="009D5584">
            <w:pPr>
              <w:spacing w:after="0" w:line="240" w:lineRule="auto"/>
              <w:jc w:val="center"/>
              <w:rPr>
                <w:rFonts w:ascii="Calibri" w:hAnsi="Calibri"/>
                <w:sz w:val="20"/>
                <w:szCs w:val="20"/>
              </w:rPr>
            </w:pPr>
            <w:r>
              <w:rPr>
                <w:rFonts w:ascii="Calibri" w:hAnsi="Calibri"/>
                <w:sz w:val="20"/>
                <w:szCs w:val="20"/>
              </w:rPr>
              <w:t>34%</w:t>
            </w:r>
          </w:p>
        </w:tc>
        <w:tc>
          <w:tcPr>
            <w:tcW w:w="1126" w:type="dxa"/>
            <w:shd w:val="clear" w:color="auto" w:fill="D9D9D9" w:themeFill="background1" w:themeFillShade="D9"/>
          </w:tcPr>
          <w:p w:rsidR="00C542E4" w:rsidRPr="0066275B" w:rsidRDefault="00C542E4" w:rsidP="009D5584">
            <w:pPr>
              <w:spacing w:after="0" w:line="240" w:lineRule="auto"/>
              <w:jc w:val="center"/>
              <w:rPr>
                <w:rFonts w:ascii="Calibri" w:hAnsi="Calibri"/>
              </w:rPr>
            </w:pPr>
            <w:r w:rsidRPr="0066275B">
              <w:rPr>
                <w:rFonts w:ascii="Calibri" w:hAnsi="Calibri"/>
              </w:rPr>
              <w:t>--</w:t>
            </w:r>
          </w:p>
        </w:tc>
        <w:tc>
          <w:tcPr>
            <w:tcW w:w="990" w:type="dxa"/>
            <w:shd w:val="clear" w:color="auto" w:fill="D9D9D9" w:themeFill="background1" w:themeFillShade="D9"/>
            <w:vAlign w:val="bottom"/>
          </w:tcPr>
          <w:p w:rsidR="00C542E4" w:rsidRPr="0066275B" w:rsidRDefault="00C542E4" w:rsidP="009D5584">
            <w:pPr>
              <w:spacing w:after="0" w:line="240" w:lineRule="auto"/>
              <w:jc w:val="center"/>
              <w:rPr>
                <w:rFonts w:ascii="Calibri" w:hAnsi="Calibri"/>
              </w:rPr>
            </w:pPr>
            <w:r w:rsidRPr="0066275B">
              <w:rPr>
                <w:rFonts w:ascii="Calibri" w:hAnsi="Calibri"/>
              </w:rPr>
              <w:t>5%</w:t>
            </w:r>
          </w:p>
        </w:tc>
      </w:tr>
      <w:tr w:rsidR="00C542E4" w:rsidRPr="0066275B" w:rsidTr="009E7CC3">
        <w:trPr>
          <w:trHeight w:val="245"/>
        </w:trPr>
        <w:tc>
          <w:tcPr>
            <w:tcW w:w="461" w:type="dxa"/>
            <w:vMerge w:val="restart"/>
            <w:vAlign w:val="center"/>
          </w:tcPr>
          <w:p w:rsidR="00C542E4" w:rsidRPr="00164FBF" w:rsidRDefault="00C542E4" w:rsidP="009D5584">
            <w:pPr>
              <w:spacing w:after="0" w:line="240" w:lineRule="auto"/>
              <w:jc w:val="center"/>
              <w:rPr>
                <w:rFonts w:ascii="Calibri" w:hAnsi="Calibri"/>
                <w:sz w:val="20"/>
                <w:szCs w:val="20"/>
              </w:rPr>
            </w:pPr>
            <w:r w:rsidRPr="00164FBF">
              <w:rPr>
                <w:rFonts w:ascii="Calibri" w:hAnsi="Calibri"/>
                <w:sz w:val="20"/>
                <w:szCs w:val="20"/>
              </w:rPr>
              <w:t>4</w:t>
            </w:r>
          </w:p>
        </w:tc>
        <w:tc>
          <w:tcPr>
            <w:tcW w:w="757" w:type="dxa"/>
            <w:vMerge w:val="restart"/>
            <w:vAlign w:val="center"/>
          </w:tcPr>
          <w:p w:rsidR="00C542E4" w:rsidRPr="00A82F8F" w:rsidRDefault="00C542E4" w:rsidP="009D5584">
            <w:pPr>
              <w:spacing w:after="0" w:line="240" w:lineRule="auto"/>
              <w:jc w:val="center"/>
              <w:rPr>
                <w:rFonts w:ascii="Calibri" w:hAnsi="Calibri"/>
                <w:sz w:val="20"/>
                <w:szCs w:val="20"/>
              </w:rPr>
            </w:pPr>
            <w:r w:rsidRPr="00A82F8F">
              <w:rPr>
                <w:rFonts w:ascii="Calibri" w:hAnsi="Calibri"/>
                <w:sz w:val="20"/>
                <w:szCs w:val="20"/>
              </w:rPr>
              <w:t>MCAS</w:t>
            </w:r>
          </w:p>
        </w:tc>
        <w:tc>
          <w:tcPr>
            <w:tcW w:w="870" w:type="dxa"/>
          </w:tcPr>
          <w:p w:rsidR="00C542E4" w:rsidRPr="00A82F8F" w:rsidRDefault="00C542E4" w:rsidP="009D5584">
            <w:pPr>
              <w:spacing w:after="0" w:line="240" w:lineRule="auto"/>
              <w:rPr>
                <w:rFonts w:ascii="Calibri" w:hAnsi="Calibri"/>
                <w:sz w:val="20"/>
                <w:szCs w:val="20"/>
              </w:rPr>
            </w:pPr>
            <w:r w:rsidRPr="00A82F8F">
              <w:rPr>
                <w:rFonts w:ascii="Calibri" w:hAnsi="Calibri"/>
                <w:sz w:val="20"/>
                <w:szCs w:val="20"/>
              </w:rPr>
              <w:t>CPI</w:t>
            </w:r>
          </w:p>
        </w:tc>
        <w:tc>
          <w:tcPr>
            <w:tcW w:w="1049"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748</w:t>
            </w:r>
          </w:p>
        </w:tc>
        <w:tc>
          <w:tcPr>
            <w:tcW w:w="918"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67.7</w:t>
            </w:r>
          </w:p>
        </w:tc>
        <w:tc>
          <w:tcPr>
            <w:tcW w:w="919"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65.5</w:t>
            </w:r>
          </w:p>
        </w:tc>
        <w:tc>
          <w:tcPr>
            <w:tcW w:w="919"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67</w:t>
            </w:r>
            <w:r>
              <w:rPr>
                <w:rFonts w:ascii="Calibri" w:hAnsi="Calibri"/>
                <w:color w:val="000000"/>
                <w:sz w:val="20"/>
                <w:szCs w:val="20"/>
              </w:rPr>
              <w:t>.0</w:t>
            </w:r>
          </w:p>
        </w:tc>
        <w:tc>
          <w:tcPr>
            <w:tcW w:w="919"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72.1</w:t>
            </w:r>
          </w:p>
        </w:tc>
        <w:tc>
          <w:tcPr>
            <w:tcW w:w="1126" w:type="dxa"/>
            <w:vAlign w:val="center"/>
          </w:tcPr>
          <w:p w:rsidR="00C542E4" w:rsidRPr="0066275B" w:rsidRDefault="00C542E4" w:rsidP="009D5584">
            <w:pPr>
              <w:spacing w:after="0" w:line="240" w:lineRule="auto"/>
              <w:jc w:val="center"/>
              <w:rPr>
                <w:rFonts w:ascii="Calibri" w:hAnsi="Calibri"/>
              </w:rPr>
            </w:pPr>
            <w:r w:rsidRPr="0066275B">
              <w:rPr>
                <w:rFonts w:ascii="Calibri" w:hAnsi="Calibri"/>
              </w:rPr>
              <w:t>4.4</w:t>
            </w:r>
          </w:p>
        </w:tc>
        <w:tc>
          <w:tcPr>
            <w:tcW w:w="990" w:type="dxa"/>
            <w:vAlign w:val="center"/>
          </w:tcPr>
          <w:p w:rsidR="00C542E4" w:rsidRPr="0066275B" w:rsidRDefault="00C542E4" w:rsidP="009D5584">
            <w:pPr>
              <w:spacing w:after="0" w:line="240" w:lineRule="auto"/>
              <w:jc w:val="center"/>
              <w:rPr>
                <w:rFonts w:ascii="Calibri" w:hAnsi="Calibri"/>
              </w:rPr>
            </w:pPr>
            <w:r w:rsidRPr="0066275B">
              <w:rPr>
                <w:rFonts w:ascii="Calibri" w:hAnsi="Calibri"/>
              </w:rPr>
              <w:t>5.1</w:t>
            </w:r>
          </w:p>
        </w:tc>
      </w:tr>
      <w:tr w:rsidR="00C542E4" w:rsidRPr="0066275B" w:rsidTr="009E7CC3">
        <w:trPr>
          <w:trHeight w:val="245"/>
        </w:trPr>
        <w:tc>
          <w:tcPr>
            <w:tcW w:w="461" w:type="dxa"/>
            <w:vMerge/>
            <w:vAlign w:val="center"/>
          </w:tcPr>
          <w:p w:rsidR="00C542E4" w:rsidRPr="00164FBF" w:rsidRDefault="00C542E4" w:rsidP="009D5584">
            <w:pPr>
              <w:spacing w:after="0" w:line="240" w:lineRule="auto"/>
              <w:jc w:val="center"/>
              <w:rPr>
                <w:rFonts w:ascii="Calibri" w:hAnsi="Calibri"/>
                <w:sz w:val="20"/>
                <w:szCs w:val="20"/>
              </w:rPr>
            </w:pPr>
          </w:p>
        </w:tc>
        <w:tc>
          <w:tcPr>
            <w:tcW w:w="757" w:type="dxa"/>
            <w:vMerge/>
            <w:vAlign w:val="center"/>
          </w:tcPr>
          <w:p w:rsidR="00C542E4" w:rsidRPr="00A82F8F" w:rsidRDefault="00C542E4" w:rsidP="009D5584">
            <w:pPr>
              <w:spacing w:after="0" w:line="240" w:lineRule="auto"/>
              <w:jc w:val="center"/>
              <w:rPr>
                <w:rFonts w:ascii="Calibri" w:hAnsi="Calibri"/>
                <w:sz w:val="20"/>
                <w:szCs w:val="20"/>
              </w:rPr>
            </w:pPr>
          </w:p>
        </w:tc>
        <w:tc>
          <w:tcPr>
            <w:tcW w:w="870" w:type="dxa"/>
          </w:tcPr>
          <w:p w:rsidR="00C542E4" w:rsidRPr="00A82F8F" w:rsidRDefault="00C542E4" w:rsidP="009D5584">
            <w:pPr>
              <w:spacing w:after="0" w:line="240" w:lineRule="auto"/>
              <w:rPr>
                <w:rFonts w:ascii="Calibri" w:hAnsi="Calibri"/>
                <w:sz w:val="20"/>
                <w:szCs w:val="20"/>
              </w:rPr>
            </w:pPr>
            <w:r w:rsidRPr="00A82F8F">
              <w:rPr>
                <w:rFonts w:ascii="Calibri" w:hAnsi="Calibri"/>
                <w:sz w:val="20"/>
                <w:szCs w:val="20"/>
              </w:rPr>
              <w:t>P+</w:t>
            </w:r>
          </w:p>
        </w:tc>
        <w:tc>
          <w:tcPr>
            <w:tcW w:w="1049"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748</w:t>
            </w:r>
          </w:p>
        </w:tc>
        <w:tc>
          <w:tcPr>
            <w:tcW w:w="918"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31%</w:t>
            </w:r>
          </w:p>
        </w:tc>
        <w:tc>
          <w:tcPr>
            <w:tcW w:w="919"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30%</w:t>
            </w:r>
          </w:p>
        </w:tc>
        <w:tc>
          <w:tcPr>
            <w:tcW w:w="919"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31%</w:t>
            </w:r>
          </w:p>
        </w:tc>
        <w:tc>
          <w:tcPr>
            <w:tcW w:w="919"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38%</w:t>
            </w:r>
          </w:p>
        </w:tc>
        <w:tc>
          <w:tcPr>
            <w:tcW w:w="1126" w:type="dxa"/>
            <w:vAlign w:val="center"/>
          </w:tcPr>
          <w:p w:rsidR="00C542E4" w:rsidRPr="0066275B" w:rsidRDefault="00C542E4" w:rsidP="009D5584">
            <w:pPr>
              <w:spacing w:after="0" w:line="240" w:lineRule="auto"/>
              <w:jc w:val="center"/>
              <w:rPr>
                <w:rFonts w:ascii="Calibri" w:hAnsi="Calibri"/>
              </w:rPr>
            </w:pPr>
            <w:r w:rsidRPr="0066275B">
              <w:rPr>
                <w:rFonts w:ascii="Calibri" w:hAnsi="Calibri"/>
              </w:rPr>
              <w:t>7%</w:t>
            </w:r>
          </w:p>
        </w:tc>
        <w:tc>
          <w:tcPr>
            <w:tcW w:w="990" w:type="dxa"/>
            <w:vAlign w:val="center"/>
          </w:tcPr>
          <w:p w:rsidR="00C542E4" w:rsidRPr="0066275B" w:rsidRDefault="00C542E4" w:rsidP="009D5584">
            <w:pPr>
              <w:spacing w:after="0" w:line="240" w:lineRule="auto"/>
              <w:jc w:val="center"/>
              <w:rPr>
                <w:rFonts w:ascii="Calibri" w:hAnsi="Calibri"/>
              </w:rPr>
            </w:pPr>
            <w:r w:rsidRPr="0066275B">
              <w:rPr>
                <w:rFonts w:ascii="Calibri" w:hAnsi="Calibri"/>
              </w:rPr>
              <w:t>7%</w:t>
            </w:r>
          </w:p>
        </w:tc>
      </w:tr>
      <w:tr w:rsidR="00C542E4" w:rsidRPr="0066275B" w:rsidTr="009E7CC3">
        <w:trPr>
          <w:trHeight w:val="245"/>
        </w:trPr>
        <w:tc>
          <w:tcPr>
            <w:tcW w:w="461" w:type="dxa"/>
            <w:vMerge/>
            <w:vAlign w:val="center"/>
          </w:tcPr>
          <w:p w:rsidR="00C542E4" w:rsidRPr="00164FBF" w:rsidRDefault="00C542E4" w:rsidP="009D5584">
            <w:pPr>
              <w:spacing w:after="0" w:line="240" w:lineRule="auto"/>
              <w:jc w:val="center"/>
              <w:rPr>
                <w:rFonts w:ascii="Calibri" w:hAnsi="Calibri"/>
                <w:sz w:val="20"/>
                <w:szCs w:val="20"/>
              </w:rPr>
            </w:pPr>
          </w:p>
        </w:tc>
        <w:tc>
          <w:tcPr>
            <w:tcW w:w="757" w:type="dxa"/>
            <w:vMerge/>
            <w:vAlign w:val="center"/>
          </w:tcPr>
          <w:p w:rsidR="00C542E4" w:rsidRPr="00A82F8F" w:rsidRDefault="00C542E4" w:rsidP="009D5584">
            <w:pPr>
              <w:spacing w:after="0" w:line="240" w:lineRule="auto"/>
              <w:jc w:val="center"/>
              <w:rPr>
                <w:rFonts w:ascii="Calibri" w:hAnsi="Calibri"/>
                <w:sz w:val="20"/>
                <w:szCs w:val="20"/>
              </w:rPr>
            </w:pPr>
          </w:p>
        </w:tc>
        <w:tc>
          <w:tcPr>
            <w:tcW w:w="870" w:type="dxa"/>
          </w:tcPr>
          <w:p w:rsidR="00C542E4" w:rsidRPr="00A82F8F" w:rsidRDefault="00C542E4" w:rsidP="009D5584">
            <w:pPr>
              <w:spacing w:after="0" w:line="240" w:lineRule="auto"/>
              <w:rPr>
                <w:rFonts w:ascii="Calibri" w:hAnsi="Calibri"/>
                <w:sz w:val="20"/>
                <w:szCs w:val="20"/>
              </w:rPr>
            </w:pPr>
            <w:r w:rsidRPr="00A82F8F">
              <w:rPr>
                <w:rFonts w:ascii="Calibri" w:hAnsi="Calibri"/>
                <w:sz w:val="20"/>
                <w:szCs w:val="20"/>
              </w:rPr>
              <w:t>SGP</w:t>
            </w:r>
          </w:p>
        </w:tc>
        <w:tc>
          <w:tcPr>
            <w:tcW w:w="1049"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682</w:t>
            </w:r>
          </w:p>
        </w:tc>
        <w:tc>
          <w:tcPr>
            <w:tcW w:w="918"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50.0</w:t>
            </w:r>
          </w:p>
        </w:tc>
        <w:tc>
          <w:tcPr>
            <w:tcW w:w="919"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42.5</w:t>
            </w:r>
          </w:p>
        </w:tc>
        <w:tc>
          <w:tcPr>
            <w:tcW w:w="919"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44.0</w:t>
            </w:r>
          </w:p>
        </w:tc>
        <w:tc>
          <w:tcPr>
            <w:tcW w:w="919"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53.0</w:t>
            </w:r>
          </w:p>
        </w:tc>
        <w:tc>
          <w:tcPr>
            <w:tcW w:w="1126" w:type="dxa"/>
            <w:vAlign w:val="center"/>
          </w:tcPr>
          <w:p w:rsidR="00C542E4" w:rsidRPr="0066275B" w:rsidRDefault="00C542E4" w:rsidP="009D5584">
            <w:pPr>
              <w:spacing w:after="0" w:line="240" w:lineRule="auto"/>
              <w:jc w:val="center"/>
              <w:rPr>
                <w:rFonts w:ascii="Calibri" w:hAnsi="Calibri"/>
              </w:rPr>
            </w:pPr>
            <w:r w:rsidRPr="0066275B">
              <w:rPr>
                <w:rFonts w:ascii="Calibri" w:hAnsi="Calibri"/>
              </w:rPr>
              <w:t>3.0</w:t>
            </w:r>
          </w:p>
        </w:tc>
        <w:tc>
          <w:tcPr>
            <w:tcW w:w="990" w:type="dxa"/>
            <w:vAlign w:val="center"/>
          </w:tcPr>
          <w:p w:rsidR="00C542E4" w:rsidRPr="0066275B" w:rsidRDefault="00C542E4" w:rsidP="009D5584">
            <w:pPr>
              <w:spacing w:after="0" w:line="240" w:lineRule="auto"/>
              <w:jc w:val="center"/>
              <w:rPr>
                <w:rFonts w:ascii="Calibri" w:hAnsi="Calibri"/>
              </w:rPr>
            </w:pPr>
            <w:r w:rsidRPr="0066275B">
              <w:rPr>
                <w:rFonts w:ascii="Calibri" w:hAnsi="Calibri"/>
              </w:rPr>
              <w:t>9.0</w:t>
            </w:r>
          </w:p>
        </w:tc>
      </w:tr>
      <w:tr w:rsidR="00C542E4" w:rsidRPr="0066275B" w:rsidTr="009E7CC3">
        <w:trPr>
          <w:trHeight w:val="245"/>
        </w:trPr>
        <w:tc>
          <w:tcPr>
            <w:tcW w:w="461" w:type="dxa"/>
            <w:vMerge/>
            <w:vAlign w:val="center"/>
          </w:tcPr>
          <w:p w:rsidR="00C542E4" w:rsidRPr="00164FBF" w:rsidRDefault="00C542E4" w:rsidP="009D5584">
            <w:pPr>
              <w:spacing w:after="0" w:line="240" w:lineRule="auto"/>
              <w:jc w:val="center"/>
              <w:rPr>
                <w:rFonts w:ascii="Calibri" w:hAnsi="Calibri"/>
                <w:sz w:val="20"/>
                <w:szCs w:val="20"/>
              </w:rPr>
            </w:pPr>
          </w:p>
        </w:tc>
        <w:tc>
          <w:tcPr>
            <w:tcW w:w="757" w:type="dxa"/>
            <w:vMerge w:val="restart"/>
            <w:shd w:val="clear" w:color="auto" w:fill="D9D9D9" w:themeFill="background1" w:themeFillShade="D9"/>
            <w:vAlign w:val="center"/>
          </w:tcPr>
          <w:p w:rsidR="00C542E4" w:rsidRPr="00A82F8F" w:rsidRDefault="00C542E4" w:rsidP="009D5584">
            <w:pPr>
              <w:spacing w:after="0" w:line="240" w:lineRule="auto"/>
              <w:jc w:val="center"/>
              <w:rPr>
                <w:rFonts w:ascii="Calibri" w:hAnsi="Calibri"/>
                <w:sz w:val="20"/>
                <w:szCs w:val="20"/>
              </w:rPr>
            </w:pPr>
            <w:r w:rsidRPr="00A82F8F">
              <w:rPr>
                <w:rFonts w:ascii="Calibri" w:hAnsi="Calibri"/>
                <w:sz w:val="20"/>
                <w:szCs w:val="20"/>
              </w:rPr>
              <w:t>PARCC</w:t>
            </w:r>
          </w:p>
        </w:tc>
        <w:tc>
          <w:tcPr>
            <w:tcW w:w="870" w:type="dxa"/>
            <w:shd w:val="clear" w:color="auto" w:fill="D9D9D9" w:themeFill="background1" w:themeFillShade="D9"/>
          </w:tcPr>
          <w:p w:rsidR="00C542E4" w:rsidRPr="00A82F8F" w:rsidRDefault="00C542E4" w:rsidP="009D5584">
            <w:pPr>
              <w:spacing w:after="0" w:line="240" w:lineRule="auto"/>
              <w:rPr>
                <w:rFonts w:ascii="Calibri" w:hAnsi="Calibri"/>
                <w:sz w:val="20"/>
                <w:szCs w:val="20"/>
              </w:rPr>
            </w:pPr>
            <w:r w:rsidRPr="00A82F8F">
              <w:rPr>
                <w:rFonts w:ascii="Calibri" w:hAnsi="Calibri"/>
                <w:sz w:val="20"/>
                <w:szCs w:val="20"/>
              </w:rPr>
              <w:t>CPI</w:t>
            </w:r>
          </w:p>
        </w:tc>
        <w:tc>
          <w:tcPr>
            <w:tcW w:w="1049" w:type="dxa"/>
            <w:shd w:val="clear" w:color="auto" w:fill="D9D9D9" w:themeFill="background1" w:themeFillShade="D9"/>
            <w:vAlign w:val="bottom"/>
          </w:tcPr>
          <w:p w:rsidR="00C542E4" w:rsidRPr="005F47D0" w:rsidRDefault="00C542E4" w:rsidP="009D5584">
            <w:pPr>
              <w:spacing w:after="0" w:line="240" w:lineRule="auto"/>
              <w:jc w:val="center"/>
              <w:rPr>
                <w:rFonts w:ascii="Calibri" w:hAnsi="Calibri"/>
                <w:sz w:val="20"/>
                <w:szCs w:val="20"/>
              </w:rPr>
            </w:pPr>
            <w:r>
              <w:rPr>
                <w:rFonts w:ascii="Calibri" w:hAnsi="Calibri"/>
                <w:sz w:val="20"/>
                <w:szCs w:val="20"/>
              </w:rPr>
              <w:t>1,127</w:t>
            </w:r>
          </w:p>
        </w:tc>
        <w:tc>
          <w:tcPr>
            <w:tcW w:w="918" w:type="dxa"/>
            <w:shd w:val="clear" w:color="auto" w:fill="D9D9D9" w:themeFill="background1" w:themeFillShade="D9"/>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67.7</w:t>
            </w:r>
          </w:p>
        </w:tc>
        <w:tc>
          <w:tcPr>
            <w:tcW w:w="919" w:type="dxa"/>
            <w:shd w:val="clear" w:color="auto" w:fill="D9D9D9" w:themeFill="background1" w:themeFillShade="D9"/>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65.5</w:t>
            </w:r>
          </w:p>
        </w:tc>
        <w:tc>
          <w:tcPr>
            <w:tcW w:w="919" w:type="dxa"/>
            <w:shd w:val="clear" w:color="auto" w:fill="D9D9D9" w:themeFill="background1" w:themeFillShade="D9"/>
            <w:vAlign w:val="bottom"/>
          </w:tcPr>
          <w:p w:rsidR="00C542E4" w:rsidRPr="005F47D0" w:rsidRDefault="00C542E4" w:rsidP="009D5584">
            <w:pPr>
              <w:spacing w:after="0" w:line="240" w:lineRule="auto"/>
              <w:jc w:val="center"/>
              <w:rPr>
                <w:rFonts w:ascii="Calibri" w:hAnsi="Calibri"/>
                <w:sz w:val="20"/>
                <w:szCs w:val="20"/>
              </w:rPr>
            </w:pPr>
            <w:r>
              <w:rPr>
                <w:rFonts w:ascii="Calibri" w:hAnsi="Calibri"/>
                <w:sz w:val="20"/>
                <w:szCs w:val="20"/>
              </w:rPr>
              <w:t>63.4</w:t>
            </w:r>
          </w:p>
        </w:tc>
        <w:tc>
          <w:tcPr>
            <w:tcW w:w="919" w:type="dxa"/>
            <w:shd w:val="clear" w:color="auto" w:fill="D9D9D9" w:themeFill="background1" w:themeFillShade="D9"/>
            <w:vAlign w:val="bottom"/>
          </w:tcPr>
          <w:p w:rsidR="00C542E4" w:rsidRPr="005F47D0" w:rsidRDefault="00C542E4" w:rsidP="009D5584">
            <w:pPr>
              <w:spacing w:after="0" w:line="240" w:lineRule="auto"/>
              <w:jc w:val="center"/>
              <w:rPr>
                <w:rFonts w:ascii="Calibri" w:hAnsi="Calibri"/>
                <w:sz w:val="20"/>
                <w:szCs w:val="20"/>
              </w:rPr>
            </w:pPr>
            <w:r>
              <w:rPr>
                <w:rFonts w:ascii="Calibri" w:hAnsi="Calibri"/>
                <w:sz w:val="20"/>
                <w:szCs w:val="20"/>
              </w:rPr>
              <w:t>59.9</w:t>
            </w:r>
          </w:p>
        </w:tc>
        <w:tc>
          <w:tcPr>
            <w:tcW w:w="1126" w:type="dxa"/>
            <w:shd w:val="clear" w:color="auto" w:fill="D9D9D9" w:themeFill="background1" w:themeFillShade="D9"/>
          </w:tcPr>
          <w:p w:rsidR="00C542E4" w:rsidRPr="0066275B" w:rsidRDefault="00C542E4" w:rsidP="009D5584">
            <w:pPr>
              <w:spacing w:after="0" w:line="240" w:lineRule="auto"/>
              <w:jc w:val="center"/>
              <w:rPr>
                <w:rFonts w:ascii="Calibri" w:hAnsi="Calibri"/>
              </w:rPr>
            </w:pPr>
            <w:r w:rsidRPr="0066275B">
              <w:rPr>
                <w:rFonts w:ascii="Calibri" w:hAnsi="Calibri"/>
              </w:rPr>
              <w:t>-7.8</w:t>
            </w:r>
          </w:p>
        </w:tc>
        <w:tc>
          <w:tcPr>
            <w:tcW w:w="990" w:type="dxa"/>
            <w:shd w:val="clear" w:color="auto" w:fill="D9D9D9" w:themeFill="background1" w:themeFillShade="D9"/>
            <w:vAlign w:val="bottom"/>
          </w:tcPr>
          <w:p w:rsidR="00C542E4" w:rsidRPr="0066275B" w:rsidRDefault="00C542E4" w:rsidP="009D5584">
            <w:pPr>
              <w:spacing w:after="0" w:line="240" w:lineRule="auto"/>
              <w:jc w:val="center"/>
              <w:rPr>
                <w:rFonts w:ascii="Calibri" w:hAnsi="Calibri"/>
              </w:rPr>
            </w:pPr>
            <w:r w:rsidRPr="0066275B">
              <w:rPr>
                <w:rFonts w:ascii="Calibri" w:hAnsi="Calibri"/>
              </w:rPr>
              <w:t>-3.5</w:t>
            </w:r>
          </w:p>
        </w:tc>
      </w:tr>
      <w:tr w:rsidR="00C542E4" w:rsidRPr="0066275B" w:rsidTr="009E7CC3">
        <w:trPr>
          <w:trHeight w:val="245"/>
        </w:trPr>
        <w:tc>
          <w:tcPr>
            <w:tcW w:w="461" w:type="dxa"/>
            <w:vMerge/>
            <w:vAlign w:val="center"/>
          </w:tcPr>
          <w:p w:rsidR="00C542E4" w:rsidRPr="00164FBF" w:rsidRDefault="00C542E4" w:rsidP="009D5584">
            <w:pPr>
              <w:spacing w:after="0" w:line="240" w:lineRule="auto"/>
              <w:jc w:val="center"/>
              <w:rPr>
                <w:rFonts w:ascii="Calibri" w:hAnsi="Calibri"/>
                <w:sz w:val="20"/>
                <w:szCs w:val="20"/>
              </w:rPr>
            </w:pPr>
          </w:p>
        </w:tc>
        <w:tc>
          <w:tcPr>
            <w:tcW w:w="757" w:type="dxa"/>
            <w:vMerge/>
            <w:shd w:val="clear" w:color="auto" w:fill="D9D9D9" w:themeFill="background1" w:themeFillShade="D9"/>
            <w:vAlign w:val="center"/>
          </w:tcPr>
          <w:p w:rsidR="00C542E4" w:rsidRPr="00A82F8F" w:rsidRDefault="00C542E4" w:rsidP="009D5584">
            <w:pPr>
              <w:spacing w:after="0" w:line="240" w:lineRule="auto"/>
              <w:jc w:val="center"/>
              <w:rPr>
                <w:rFonts w:ascii="Calibri" w:hAnsi="Calibri"/>
                <w:sz w:val="20"/>
                <w:szCs w:val="20"/>
              </w:rPr>
            </w:pPr>
          </w:p>
        </w:tc>
        <w:tc>
          <w:tcPr>
            <w:tcW w:w="870" w:type="dxa"/>
            <w:shd w:val="clear" w:color="auto" w:fill="D9D9D9" w:themeFill="background1" w:themeFillShade="D9"/>
          </w:tcPr>
          <w:p w:rsidR="00C542E4" w:rsidRPr="00A82F8F" w:rsidRDefault="00C542E4" w:rsidP="009D5584">
            <w:pPr>
              <w:spacing w:after="0" w:line="240" w:lineRule="auto"/>
              <w:rPr>
                <w:rFonts w:ascii="Calibri" w:hAnsi="Calibri"/>
                <w:sz w:val="20"/>
                <w:szCs w:val="20"/>
              </w:rPr>
            </w:pPr>
            <w:r w:rsidRPr="00A82F8F">
              <w:rPr>
                <w:rFonts w:ascii="Calibri" w:hAnsi="Calibri"/>
                <w:sz w:val="20"/>
                <w:szCs w:val="20"/>
              </w:rPr>
              <w:t>Lv 4&amp;5</w:t>
            </w:r>
          </w:p>
        </w:tc>
        <w:tc>
          <w:tcPr>
            <w:tcW w:w="1049" w:type="dxa"/>
            <w:shd w:val="clear" w:color="auto" w:fill="D9D9D9" w:themeFill="background1" w:themeFillShade="D9"/>
            <w:vAlign w:val="bottom"/>
          </w:tcPr>
          <w:p w:rsidR="00C542E4" w:rsidRPr="005F47D0" w:rsidRDefault="00C542E4" w:rsidP="009D5584">
            <w:pPr>
              <w:spacing w:after="0" w:line="240" w:lineRule="auto"/>
              <w:jc w:val="center"/>
              <w:rPr>
                <w:rFonts w:ascii="Calibri" w:hAnsi="Calibri"/>
                <w:sz w:val="20"/>
                <w:szCs w:val="20"/>
              </w:rPr>
            </w:pPr>
            <w:r>
              <w:rPr>
                <w:rFonts w:ascii="Calibri" w:hAnsi="Calibri"/>
                <w:sz w:val="20"/>
                <w:szCs w:val="20"/>
              </w:rPr>
              <w:t>1,099</w:t>
            </w:r>
          </w:p>
        </w:tc>
        <w:tc>
          <w:tcPr>
            <w:tcW w:w="918" w:type="dxa"/>
            <w:shd w:val="clear" w:color="auto" w:fill="D9D9D9" w:themeFill="background1" w:themeFillShade="D9"/>
            <w:vAlign w:val="center"/>
          </w:tcPr>
          <w:p w:rsidR="00C542E4" w:rsidRPr="005F47D0" w:rsidRDefault="00C542E4" w:rsidP="009D5584">
            <w:pPr>
              <w:spacing w:after="0" w:line="240" w:lineRule="auto"/>
              <w:jc w:val="center"/>
              <w:rPr>
                <w:rFonts w:ascii="Calibri" w:hAnsi="Calibri"/>
                <w:color w:val="000000"/>
                <w:sz w:val="20"/>
                <w:szCs w:val="20"/>
              </w:rPr>
            </w:pPr>
            <w:r>
              <w:rPr>
                <w:rFonts w:ascii="Calibri" w:hAnsi="Calibri"/>
                <w:color w:val="000000"/>
                <w:sz w:val="20"/>
                <w:szCs w:val="20"/>
              </w:rPr>
              <w:t>--</w:t>
            </w:r>
          </w:p>
        </w:tc>
        <w:tc>
          <w:tcPr>
            <w:tcW w:w="919" w:type="dxa"/>
            <w:shd w:val="clear" w:color="auto" w:fill="D9D9D9" w:themeFill="background1" w:themeFillShade="D9"/>
            <w:vAlign w:val="center"/>
          </w:tcPr>
          <w:p w:rsidR="00C542E4" w:rsidRPr="005F47D0" w:rsidRDefault="00C542E4" w:rsidP="009D5584">
            <w:pPr>
              <w:spacing w:after="0" w:line="240" w:lineRule="auto"/>
              <w:jc w:val="center"/>
              <w:rPr>
                <w:rFonts w:ascii="Calibri" w:hAnsi="Calibri"/>
                <w:color w:val="000000"/>
                <w:sz w:val="20"/>
                <w:szCs w:val="20"/>
              </w:rPr>
            </w:pPr>
            <w:r>
              <w:rPr>
                <w:rFonts w:ascii="Calibri" w:hAnsi="Calibri"/>
                <w:color w:val="000000"/>
                <w:sz w:val="20"/>
                <w:szCs w:val="20"/>
              </w:rPr>
              <w:t>--</w:t>
            </w:r>
          </w:p>
        </w:tc>
        <w:tc>
          <w:tcPr>
            <w:tcW w:w="919" w:type="dxa"/>
            <w:shd w:val="clear" w:color="auto" w:fill="D9D9D9" w:themeFill="background1" w:themeFillShade="D9"/>
            <w:vAlign w:val="bottom"/>
          </w:tcPr>
          <w:p w:rsidR="00C542E4" w:rsidRPr="005F47D0" w:rsidRDefault="00C542E4" w:rsidP="009D5584">
            <w:pPr>
              <w:spacing w:after="0" w:line="240" w:lineRule="auto"/>
              <w:jc w:val="center"/>
              <w:rPr>
                <w:rFonts w:ascii="Calibri" w:hAnsi="Calibri"/>
                <w:sz w:val="20"/>
                <w:szCs w:val="20"/>
              </w:rPr>
            </w:pPr>
            <w:r>
              <w:rPr>
                <w:rFonts w:ascii="Calibri" w:hAnsi="Calibri"/>
                <w:sz w:val="20"/>
                <w:szCs w:val="20"/>
              </w:rPr>
              <w:t>27%</w:t>
            </w:r>
          </w:p>
        </w:tc>
        <w:tc>
          <w:tcPr>
            <w:tcW w:w="919" w:type="dxa"/>
            <w:shd w:val="clear" w:color="auto" w:fill="D9D9D9" w:themeFill="background1" w:themeFillShade="D9"/>
            <w:vAlign w:val="bottom"/>
          </w:tcPr>
          <w:p w:rsidR="00C542E4" w:rsidRPr="005F47D0" w:rsidRDefault="00C542E4" w:rsidP="009D5584">
            <w:pPr>
              <w:spacing w:after="0" w:line="240" w:lineRule="auto"/>
              <w:jc w:val="center"/>
              <w:rPr>
                <w:rFonts w:ascii="Calibri" w:hAnsi="Calibri"/>
                <w:sz w:val="20"/>
                <w:szCs w:val="20"/>
              </w:rPr>
            </w:pPr>
            <w:r>
              <w:rPr>
                <w:rFonts w:ascii="Calibri" w:hAnsi="Calibri"/>
                <w:sz w:val="20"/>
                <w:szCs w:val="20"/>
              </w:rPr>
              <w:t>27%</w:t>
            </w:r>
          </w:p>
        </w:tc>
        <w:tc>
          <w:tcPr>
            <w:tcW w:w="1126" w:type="dxa"/>
            <w:shd w:val="clear" w:color="auto" w:fill="D9D9D9" w:themeFill="background1" w:themeFillShade="D9"/>
          </w:tcPr>
          <w:p w:rsidR="00C542E4" w:rsidRPr="0066275B" w:rsidRDefault="00C542E4" w:rsidP="009D5584">
            <w:pPr>
              <w:spacing w:after="0" w:line="240" w:lineRule="auto"/>
              <w:jc w:val="center"/>
              <w:rPr>
                <w:rFonts w:ascii="Calibri" w:hAnsi="Calibri"/>
              </w:rPr>
            </w:pPr>
            <w:r w:rsidRPr="0066275B">
              <w:rPr>
                <w:rFonts w:ascii="Calibri" w:hAnsi="Calibri"/>
              </w:rPr>
              <w:t>--</w:t>
            </w:r>
          </w:p>
        </w:tc>
        <w:tc>
          <w:tcPr>
            <w:tcW w:w="990" w:type="dxa"/>
            <w:shd w:val="clear" w:color="auto" w:fill="D9D9D9" w:themeFill="background1" w:themeFillShade="D9"/>
            <w:vAlign w:val="bottom"/>
          </w:tcPr>
          <w:p w:rsidR="00C542E4" w:rsidRPr="0066275B" w:rsidRDefault="00C542E4" w:rsidP="009D5584">
            <w:pPr>
              <w:spacing w:after="0" w:line="240" w:lineRule="auto"/>
              <w:jc w:val="center"/>
              <w:rPr>
                <w:rFonts w:ascii="Calibri" w:hAnsi="Calibri"/>
              </w:rPr>
            </w:pPr>
            <w:r w:rsidRPr="0066275B">
              <w:rPr>
                <w:rFonts w:ascii="Calibri" w:hAnsi="Calibri"/>
              </w:rPr>
              <w:t>0%</w:t>
            </w:r>
          </w:p>
        </w:tc>
      </w:tr>
      <w:tr w:rsidR="00C542E4" w:rsidRPr="0066275B" w:rsidTr="009E7CC3">
        <w:trPr>
          <w:trHeight w:val="245"/>
        </w:trPr>
        <w:tc>
          <w:tcPr>
            <w:tcW w:w="461" w:type="dxa"/>
            <w:vMerge/>
            <w:vAlign w:val="center"/>
          </w:tcPr>
          <w:p w:rsidR="00C542E4" w:rsidRPr="00164FBF" w:rsidRDefault="00C542E4" w:rsidP="009D5584">
            <w:pPr>
              <w:spacing w:after="0" w:line="240" w:lineRule="auto"/>
              <w:jc w:val="center"/>
              <w:rPr>
                <w:rFonts w:ascii="Calibri" w:hAnsi="Calibri"/>
                <w:sz w:val="20"/>
                <w:szCs w:val="20"/>
              </w:rPr>
            </w:pPr>
          </w:p>
        </w:tc>
        <w:tc>
          <w:tcPr>
            <w:tcW w:w="757" w:type="dxa"/>
            <w:vMerge/>
            <w:shd w:val="clear" w:color="auto" w:fill="D9D9D9" w:themeFill="background1" w:themeFillShade="D9"/>
            <w:vAlign w:val="center"/>
          </w:tcPr>
          <w:p w:rsidR="00C542E4" w:rsidRPr="00A82F8F" w:rsidRDefault="00C542E4" w:rsidP="009D5584">
            <w:pPr>
              <w:spacing w:after="0" w:line="240" w:lineRule="auto"/>
              <w:jc w:val="center"/>
              <w:rPr>
                <w:rFonts w:ascii="Calibri" w:hAnsi="Calibri"/>
                <w:sz w:val="20"/>
                <w:szCs w:val="20"/>
              </w:rPr>
            </w:pPr>
          </w:p>
        </w:tc>
        <w:tc>
          <w:tcPr>
            <w:tcW w:w="870" w:type="dxa"/>
            <w:shd w:val="clear" w:color="auto" w:fill="D9D9D9" w:themeFill="background1" w:themeFillShade="D9"/>
          </w:tcPr>
          <w:p w:rsidR="00C542E4" w:rsidRPr="00A82F8F" w:rsidRDefault="00C542E4" w:rsidP="009D5584">
            <w:pPr>
              <w:spacing w:after="0" w:line="240" w:lineRule="auto"/>
              <w:rPr>
                <w:rFonts w:ascii="Calibri" w:hAnsi="Calibri"/>
                <w:sz w:val="20"/>
                <w:szCs w:val="20"/>
              </w:rPr>
            </w:pPr>
            <w:r w:rsidRPr="00A82F8F">
              <w:rPr>
                <w:rFonts w:ascii="Calibri" w:hAnsi="Calibri"/>
                <w:sz w:val="20"/>
                <w:szCs w:val="20"/>
              </w:rPr>
              <w:t>SGP</w:t>
            </w:r>
          </w:p>
        </w:tc>
        <w:tc>
          <w:tcPr>
            <w:tcW w:w="1049" w:type="dxa"/>
            <w:shd w:val="clear" w:color="auto" w:fill="D9D9D9" w:themeFill="background1" w:themeFillShade="D9"/>
            <w:vAlign w:val="bottom"/>
          </w:tcPr>
          <w:p w:rsidR="00C542E4" w:rsidRPr="005F47D0" w:rsidRDefault="00C542E4" w:rsidP="009D5584">
            <w:pPr>
              <w:spacing w:after="0" w:line="240" w:lineRule="auto"/>
              <w:jc w:val="center"/>
              <w:rPr>
                <w:rFonts w:ascii="Calibri" w:hAnsi="Calibri"/>
                <w:sz w:val="20"/>
                <w:szCs w:val="20"/>
              </w:rPr>
            </w:pPr>
            <w:r>
              <w:rPr>
                <w:rFonts w:ascii="Calibri" w:hAnsi="Calibri"/>
                <w:sz w:val="20"/>
                <w:szCs w:val="20"/>
              </w:rPr>
              <w:t>987</w:t>
            </w:r>
          </w:p>
        </w:tc>
        <w:tc>
          <w:tcPr>
            <w:tcW w:w="918" w:type="dxa"/>
            <w:shd w:val="clear" w:color="auto" w:fill="D9D9D9" w:themeFill="background1" w:themeFillShade="D9"/>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50.0</w:t>
            </w:r>
          </w:p>
        </w:tc>
        <w:tc>
          <w:tcPr>
            <w:tcW w:w="919" w:type="dxa"/>
            <w:shd w:val="clear" w:color="auto" w:fill="D9D9D9" w:themeFill="background1" w:themeFillShade="D9"/>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42.5</w:t>
            </w:r>
          </w:p>
        </w:tc>
        <w:tc>
          <w:tcPr>
            <w:tcW w:w="919" w:type="dxa"/>
            <w:shd w:val="clear" w:color="auto" w:fill="D9D9D9" w:themeFill="background1" w:themeFillShade="D9"/>
            <w:vAlign w:val="bottom"/>
          </w:tcPr>
          <w:p w:rsidR="00C542E4" w:rsidRPr="005F47D0" w:rsidRDefault="00C542E4" w:rsidP="009D5584">
            <w:pPr>
              <w:spacing w:after="0" w:line="240" w:lineRule="auto"/>
              <w:jc w:val="center"/>
              <w:rPr>
                <w:rFonts w:ascii="Calibri" w:hAnsi="Calibri"/>
                <w:sz w:val="20"/>
                <w:szCs w:val="20"/>
              </w:rPr>
            </w:pPr>
            <w:r>
              <w:rPr>
                <w:rFonts w:ascii="Calibri" w:hAnsi="Calibri"/>
                <w:sz w:val="20"/>
                <w:szCs w:val="20"/>
              </w:rPr>
              <w:t>44.0</w:t>
            </w:r>
          </w:p>
        </w:tc>
        <w:tc>
          <w:tcPr>
            <w:tcW w:w="919" w:type="dxa"/>
            <w:shd w:val="clear" w:color="auto" w:fill="D9D9D9" w:themeFill="background1" w:themeFillShade="D9"/>
            <w:vAlign w:val="bottom"/>
          </w:tcPr>
          <w:p w:rsidR="00C542E4" w:rsidRPr="005F47D0" w:rsidRDefault="00C542E4" w:rsidP="009D5584">
            <w:pPr>
              <w:spacing w:after="0" w:line="240" w:lineRule="auto"/>
              <w:jc w:val="center"/>
              <w:rPr>
                <w:rFonts w:ascii="Calibri" w:hAnsi="Calibri"/>
                <w:sz w:val="20"/>
                <w:szCs w:val="20"/>
              </w:rPr>
            </w:pPr>
            <w:r>
              <w:rPr>
                <w:rFonts w:ascii="Calibri" w:hAnsi="Calibri"/>
                <w:sz w:val="20"/>
                <w:szCs w:val="20"/>
              </w:rPr>
              <w:t>36.0</w:t>
            </w:r>
          </w:p>
        </w:tc>
        <w:tc>
          <w:tcPr>
            <w:tcW w:w="1126" w:type="dxa"/>
            <w:shd w:val="clear" w:color="auto" w:fill="D9D9D9" w:themeFill="background1" w:themeFillShade="D9"/>
          </w:tcPr>
          <w:p w:rsidR="00C542E4" w:rsidRPr="0066275B" w:rsidRDefault="00C542E4" w:rsidP="009D5584">
            <w:pPr>
              <w:spacing w:after="0" w:line="240" w:lineRule="auto"/>
              <w:jc w:val="center"/>
              <w:rPr>
                <w:rFonts w:ascii="Calibri" w:hAnsi="Calibri"/>
              </w:rPr>
            </w:pPr>
            <w:r w:rsidRPr="0066275B">
              <w:rPr>
                <w:rFonts w:ascii="Calibri" w:hAnsi="Calibri"/>
              </w:rPr>
              <w:t>-14.0</w:t>
            </w:r>
          </w:p>
        </w:tc>
        <w:tc>
          <w:tcPr>
            <w:tcW w:w="990" w:type="dxa"/>
            <w:shd w:val="clear" w:color="auto" w:fill="D9D9D9" w:themeFill="background1" w:themeFillShade="D9"/>
            <w:vAlign w:val="bottom"/>
          </w:tcPr>
          <w:p w:rsidR="00C542E4" w:rsidRPr="0066275B" w:rsidRDefault="00C542E4" w:rsidP="009D5584">
            <w:pPr>
              <w:spacing w:after="0" w:line="240" w:lineRule="auto"/>
              <w:jc w:val="center"/>
              <w:rPr>
                <w:rFonts w:ascii="Calibri" w:hAnsi="Calibri"/>
              </w:rPr>
            </w:pPr>
            <w:r w:rsidRPr="0066275B">
              <w:rPr>
                <w:rFonts w:ascii="Calibri" w:hAnsi="Calibri"/>
              </w:rPr>
              <w:t>-8.0</w:t>
            </w:r>
          </w:p>
        </w:tc>
      </w:tr>
      <w:tr w:rsidR="00C542E4" w:rsidRPr="0066275B" w:rsidTr="009E7CC3">
        <w:trPr>
          <w:trHeight w:val="245"/>
        </w:trPr>
        <w:tc>
          <w:tcPr>
            <w:tcW w:w="461" w:type="dxa"/>
            <w:vMerge w:val="restart"/>
            <w:vAlign w:val="center"/>
          </w:tcPr>
          <w:p w:rsidR="00C542E4" w:rsidRPr="00164FBF" w:rsidRDefault="00C542E4" w:rsidP="009D5584">
            <w:pPr>
              <w:spacing w:after="0" w:line="240" w:lineRule="auto"/>
              <w:jc w:val="center"/>
              <w:rPr>
                <w:rFonts w:ascii="Calibri" w:hAnsi="Calibri"/>
                <w:sz w:val="20"/>
                <w:szCs w:val="20"/>
              </w:rPr>
            </w:pPr>
            <w:r w:rsidRPr="00164FBF">
              <w:rPr>
                <w:rFonts w:ascii="Calibri" w:hAnsi="Calibri"/>
                <w:sz w:val="20"/>
                <w:szCs w:val="20"/>
              </w:rPr>
              <w:t>5</w:t>
            </w:r>
          </w:p>
        </w:tc>
        <w:tc>
          <w:tcPr>
            <w:tcW w:w="757" w:type="dxa"/>
            <w:vMerge w:val="restart"/>
            <w:vAlign w:val="center"/>
          </w:tcPr>
          <w:p w:rsidR="00C542E4" w:rsidRPr="00A82F8F" w:rsidRDefault="00C542E4" w:rsidP="009D5584">
            <w:pPr>
              <w:spacing w:after="0" w:line="240" w:lineRule="auto"/>
              <w:jc w:val="center"/>
              <w:rPr>
                <w:rFonts w:ascii="Calibri" w:hAnsi="Calibri"/>
                <w:sz w:val="20"/>
                <w:szCs w:val="20"/>
              </w:rPr>
            </w:pPr>
            <w:r w:rsidRPr="00A82F8F">
              <w:rPr>
                <w:rFonts w:ascii="Calibri" w:hAnsi="Calibri"/>
                <w:sz w:val="20"/>
                <w:szCs w:val="20"/>
              </w:rPr>
              <w:t>MCAS</w:t>
            </w:r>
          </w:p>
        </w:tc>
        <w:tc>
          <w:tcPr>
            <w:tcW w:w="870" w:type="dxa"/>
          </w:tcPr>
          <w:p w:rsidR="00C542E4" w:rsidRPr="00A82F8F" w:rsidRDefault="00C542E4" w:rsidP="009D5584">
            <w:pPr>
              <w:spacing w:after="0" w:line="240" w:lineRule="auto"/>
              <w:rPr>
                <w:rFonts w:ascii="Calibri" w:hAnsi="Calibri"/>
                <w:sz w:val="20"/>
                <w:szCs w:val="20"/>
              </w:rPr>
            </w:pPr>
            <w:r w:rsidRPr="00A82F8F">
              <w:rPr>
                <w:rFonts w:ascii="Calibri" w:hAnsi="Calibri"/>
                <w:sz w:val="20"/>
                <w:szCs w:val="20"/>
              </w:rPr>
              <w:t>CPI</w:t>
            </w:r>
          </w:p>
        </w:tc>
        <w:tc>
          <w:tcPr>
            <w:tcW w:w="1049"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702</w:t>
            </w:r>
          </w:p>
        </w:tc>
        <w:tc>
          <w:tcPr>
            <w:tcW w:w="918"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67.8</w:t>
            </w:r>
          </w:p>
        </w:tc>
        <w:tc>
          <w:tcPr>
            <w:tcW w:w="919"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65.1</w:t>
            </w:r>
          </w:p>
        </w:tc>
        <w:tc>
          <w:tcPr>
            <w:tcW w:w="919"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71.9</w:t>
            </w:r>
          </w:p>
        </w:tc>
        <w:tc>
          <w:tcPr>
            <w:tcW w:w="919"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73.1</w:t>
            </w:r>
          </w:p>
        </w:tc>
        <w:tc>
          <w:tcPr>
            <w:tcW w:w="1126" w:type="dxa"/>
            <w:vAlign w:val="center"/>
          </w:tcPr>
          <w:p w:rsidR="00C542E4" w:rsidRPr="0066275B" w:rsidRDefault="00C542E4" w:rsidP="009D5584">
            <w:pPr>
              <w:spacing w:after="0" w:line="240" w:lineRule="auto"/>
              <w:jc w:val="center"/>
              <w:rPr>
                <w:rFonts w:ascii="Calibri" w:hAnsi="Calibri"/>
              </w:rPr>
            </w:pPr>
            <w:r w:rsidRPr="0066275B">
              <w:rPr>
                <w:rFonts w:ascii="Calibri" w:hAnsi="Calibri"/>
              </w:rPr>
              <w:t>5.3</w:t>
            </w:r>
          </w:p>
        </w:tc>
        <w:tc>
          <w:tcPr>
            <w:tcW w:w="990" w:type="dxa"/>
            <w:vAlign w:val="center"/>
          </w:tcPr>
          <w:p w:rsidR="00C542E4" w:rsidRPr="0066275B" w:rsidRDefault="00C542E4" w:rsidP="009D5584">
            <w:pPr>
              <w:spacing w:after="0" w:line="240" w:lineRule="auto"/>
              <w:jc w:val="center"/>
              <w:rPr>
                <w:rFonts w:ascii="Calibri" w:hAnsi="Calibri"/>
              </w:rPr>
            </w:pPr>
            <w:r w:rsidRPr="0066275B">
              <w:rPr>
                <w:rFonts w:ascii="Calibri" w:hAnsi="Calibri"/>
              </w:rPr>
              <w:t>1.2</w:t>
            </w:r>
          </w:p>
        </w:tc>
      </w:tr>
      <w:tr w:rsidR="00C542E4" w:rsidRPr="0066275B" w:rsidTr="009E7CC3">
        <w:trPr>
          <w:trHeight w:val="245"/>
        </w:trPr>
        <w:tc>
          <w:tcPr>
            <w:tcW w:w="461" w:type="dxa"/>
            <w:vMerge/>
            <w:vAlign w:val="center"/>
          </w:tcPr>
          <w:p w:rsidR="00C542E4" w:rsidRPr="00164FBF" w:rsidRDefault="00C542E4" w:rsidP="009D5584">
            <w:pPr>
              <w:spacing w:after="0" w:line="240" w:lineRule="auto"/>
              <w:jc w:val="center"/>
              <w:rPr>
                <w:rFonts w:ascii="Calibri" w:hAnsi="Calibri"/>
                <w:sz w:val="20"/>
                <w:szCs w:val="20"/>
              </w:rPr>
            </w:pPr>
          </w:p>
        </w:tc>
        <w:tc>
          <w:tcPr>
            <w:tcW w:w="757" w:type="dxa"/>
            <w:vMerge/>
            <w:vAlign w:val="center"/>
          </w:tcPr>
          <w:p w:rsidR="00C542E4" w:rsidRPr="00A82F8F" w:rsidRDefault="00C542E4" w:rsidP="009D5584">
            <w:pPr>
              <w:spacing w:after="0" w:line="240" w:lineRule="auto"/>
              <w:jc w:val="center"/>
              <w:rPr>
                <w:rFonts w:ascii="Calibri" w:hAnsi="Calibri"/>
                <w:sz w:val="20"/>
                <w:szCs w:val="20"/>
              </w:rPr>
            </w:pPr>
          </w:p>
        </w:tc>
        <w:tc>
          <w:tcPr>
            <w:tcW w:w="870" w:type="dxa"/>
          </w:tcPr>
          <w:p w:rsidR="00C542E4" w:rsidRPr="00A82F8F" w:rsidRDefault="00C542E4" w:rsidP="009D5584">
            <w:pPr>
              <w:spacing w:after="0" w:line="240" w:lineRule="auto"/>
              <w:rPr>
                <w:rFonts w:ascii="Calibri" w:hAnsi="Calibri"/>
                <w:sz w:val="20"/>
                <w:szCs w:val="20"/>
              </w:rPr>
            </w:pPr>
            <w:r w:rsidRPr="00A82F8F">
              <w:rPr>
                <w:rFonts w:ascii="Calibri" w:hAnsi="Calibri"/>
                <w:sz w:val="20"/>
                <w:szCs w:val="20"/>
              </w:rPr>
              <w:t>P+</w:t>
            </w:r>
          </w:p>
        </w:tc>
        <w:tc>
          <w:tcPr>
            <w:tcW w:w="1049"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702</w:t>
            </w:r>
          </w:p>
        </w:tc>
        <w:tc>
          <w:tcPr>
            <w:tcW w:w="918"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43%</w:t>
            </w:r>
          </w:p>
        </w:tc>
        <w:tc>
          <w:tcPr>
            <w:tcW w:w="919"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38%</w:t>
            </w:r>
          </w:p>
        </w:tc>
        <w:tc>
          <w:tcPr>
            <w:tcW w:w="919"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46%</w:t>
            </w:r>
          </w:p>
        </w:tc>
        <w:tc>
          <w:tcPr>
            <w:tcW w:w="919"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45%</w:t>
            </w:r>
          </w:p>
        </w:tc>
        <w:tc>
          <w:tcPr>
            <w:tcW w:w="1126" w:type="dxa"/>
            <w:vAlign w:val="center"/>
          </w:tcPr>
          <w:p w:rsidR="00C542E4" w:rsidRPr="0066275B" w:rsidRDefault="00C542E4" w:rsidP="009D5584">
            <w:pPr>
              <w:spacing w:after="0" w:line="240" w:lineRule="auto"/>
              <w:jc w:val="center"/>
              <w:rPr>
                <w:rFonts w:ascii="Calibri" w:hAnsi="Calibri"/>
              </w:rPr>
            </w:pPr>
            <w:r w:rsidRPr="0066275B">
              <w:rPr>
                <w:rFonts w:ascii="Calibri" w:hAnsi="Calibri"/>
              </w:rPr>
              <w:t>2%</w:t>
            </w:r>
          </w:p>
        </w:tc>
        <w:tc>
          <w:tcPr>
            <w:tcW w:w="990" w:type="dxa"/>
            <w:vAlign w:val="center"/>
          </w:tcPr>
          <w:p w:rsidR="00C542E4" w:rsidRPr="0066275B" w:rsidRDefault="00C542E4" w:rsidP="009D5584">
            <w:pPr>
              <w:spacing w:after="0" w:line="240" w:lineRule="auto"/>
              <w:jc w:val="center"/>
              <w:rPr>
                <w:rFonts w:ascii="Calibri" w:hAnsi="Calibri"/>
              </w:rPr>
            </w:pPr>
            <w:r w:rsidRPr="0066275B">
              <w:rPr>
                <w:rFonts w:ascii="Calibri" w:hAnsi="Calibri"/>
              </w:rPr>
              <w:t>-1%</w:t>
            </w:r>
          </w:p>
        </w:tc>
      </w:tr>
      <w:tr w:rsidR="00C542E4" w:rsidRPr="0066275B" w:rsidTr="009E7CC3">
        <w:trPr>
          <w:trHeight w:val="245"/>
        </w:trPr>
        <w:tc>
          <w:tcPr>
            <w:tcW w:w="461" w:type="dxa"/>
            <w:vMerge/>
            <w:vAlign w:val="center"/>
          </w:tcPr>
          <w:p w:rsidR="00C542E4" w:rsidRPr="00164FBF" w:rsidRDefault="00C542E4" w:rsidP="009D5584">
            <w:pPr>
              <w:spacing w:after="0" w:line="240" w:lineRule="auto"/>
              <w:jc w:val="center"/>
              <w:rPr>
                <w:rFonts w:ascii="Calibri" w:hAnsi="Calibri"/>
                <w:sz w:val="20"/>
                <w:szCs w:val="20"/>
              </w:rPr>
            </w:pPr>
          </w:p>
        </w:tc>
        <w:tc>
          <w:tcPr>
            <w:tcW w:w="757" w:type="dxa"/>
            <w:vMerge/>
            <w:vAlign w:val="center"/>
          </w:tcPr>
          <w:p w:rsidR="00C542E4" w:rsidRPr="00A82F8F" w:rsidRDefault="00C542E4" w:rsidP="009D5584">
            <w:pPr>
              <w:spacing w:after="0" w:line="240" w:lineRule="auto"/>
              <w:jc w:val="center"/>
              <w:rPr>
                <w:rFonts w:ascii="Calibri" w:hAnsi="Calibri"/>
                <w:sz w:val="20"/>
                <w:szCs w:val="20"/>
              </w:rPr>
            </w:pPr>
          </w:p>
        </w:tc>
        <w:tc>
          <w:tcPr>
            <w:tcW w:w="870" w:type="dxa"/>
          </w:tcPr>
          <w:p w:rsidR="00C542E4" w:rsidRPr="00A82F8F" w:rsidRDefault="00C542E4" w:rsidP="009D5584">
            <w:pPr>
              <w:spacing w:after="0" w:line="240" w:lineRule="auto"/>
              <w:rPr>
                <w:rFonts w:ascii="Calibri" w:hAnsi="Calibri"/>
                <w:sz w:val="20"/>
                <w:szCs w:val="20"/>
              </w:rPr>
            </w:pPr>
            <w:r w:rsidRPr="00A82F8F">
              <w:rPr>
                <w:rFonts w:ascii="Calibri" w:hAnsi="Calibri"/>
                <w:sz w:val="20"/>
                <w:szCs w:val="20"/>
              </w:rPr>
              <w:t>SGP</w:t>
            </w:r>
          </w:p>
        </w:tc>
        <w:tc>
          <w:tcPr>
            <w:tcW w:w="1049"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633</w:t>
            </w:r>
          </w:p>
        </w:tc>
        <w:tc>
          <w:tcPr>
            <w:tcW w:w="918"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53.0</w:t>
            </w:r>
          </w:p>
        </w:tc>
        <w:tc>
          <w:tcPr>
            <w:tcW w:w="919"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49.0</w:t>
            </w:r>
          </w:p>
        </w:tc>
        <w:tc>
          <w:tcPr>
            <w:tcW w:w="919"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60.0</w:t>
            </w:r>
          </w:p>
        </w:tc>
        <w:tc>
          <w:tcPr>
            <w:tcW w:w="919"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65.0</w:t>
            </w:r>
          </w:p>
        </w:tc>
        <w:tc>
          <w:tcPr>
            <w:tcW w:w="1126" w:type="dxa"/>
            <w:vAlign w:val="center"/>
          </w:tcPr>
          <w:p w:rsidR="00C542E4" w:rsidRPr="0066275B" w:rsidRDefault="00C542E4" w:rsidP="009D5584">
            <w:pPr>
              <w:spacing w:after="0" w:line="240" w:lineRule="auto"/>
              <w:jc w:val="center"/>
              <w:rPr>
                <w:rFonts w:ascii="Calibri" w:hAnsi="Calibri"/>
              </w:rPr>
            </w:pPr>
            <w:r w:rsidRPr="0066275B">
              <w:rPr>
                <w:rFonts w:ascii="Calibri" w:hAnsi="Calibri"/>
              </w:rPr>
              <w:t>12.0</w:t>
            </w:r>
          </w:p>
        </w:tc>
        <w:tc>
          <w:tcPr>
            <w:tcW w:w="990" w:type="dxa"/>
            <w:vAlign w:val="center"/>
          </w:tcPr>
          <w:p w:rsidR="00C542E4" w:rsidRPr="0066275B" w:rsidRDefault="00C542E4" w:rsidP="009D5584">
            <w:pPr>
              <w:spacing w:after="0" w:line="240" w:lineRule="auto"/>
              <w:jc w:val="center"/>
              <w:rPr>
                <w:rFonts w:ascii="Calibri" w:hAnsi="Calibri"/>
              </w:rPr>
            </w:pPr>
            <w:r w:rsidRPr="0066275B">
              <w:rPr>
                <w:rFonts w:ascii="Calibri" w:hAnsi="Calibri"/>
              </w:rPr>
              <w:t>5.0</w:t>
            </w:r>
          </w:p>
        </w:tc>
      </w:tr>
      <w:tr w:rsidR="00C542E4" w:rsidRPr="0066275B" w:rsidTr="009E7CC3">
        <w:trPr>
          <w:trHeight w:val="245"/>
        </w:trPr>
        <w:tc>
          <w:tcPr>
            <w:tcW w:w="461" w:type="dxa"/>
            <w:vMerge/>
            <w:vAlign w:val="center"/>
          </w:tcPr>
          <w:p w:rsidR="00C542E4" w:rsidRPr="00164FBF" w:rsidRDefault="00C542E4" w:rsidP="009D5584">
            <w:pPr>
              <w:spacing w:after="0" w:line="240" w:lineRule="auto"/>
              <w:jc w:val="center"/>
              <w:rPr>
                <w:rFonts w:ascii="Calibri" w:hAnsi="Calibri"/>
                <w:sz w:val="20"/>
                <w:szCs w:val="20"/>
              </w:rPr>
            </w:pPr>
          </w:p>
        </w:tc>
        <w:tc>
          <w:tcPr>
            <w:tcW w:w="757" w:type="dxa"/>
            <w:vMerge w:val="restart"/>
            <w:shd w:val="clear" w:color="auto" w:fill="D9D9D9" w:themeFill="background1" w:themeFillShade="D9"/>
            <w:vAlign w:val="center"/>
          </w:tcPr>
          <w:p w:rsidR="00C542E4" w:rsidRPr="00A82F8F" w:rsidRDefault="00C542E4" w:rsidP="009D5584">
            <w:pPr>
              <w:spacing w:after="0" w:line="240" w:lineRule="auto"/>
              <w:jc w:val="center"/>
              <w:rPr>
                <w:rFonts w:ascii="Calibri" w:hAnsi="Calibri"/>
                <w:sz w:val="20"/>
                <w:szCs w:val="20"/>
              </w:rPr>
            </w:pPr>
            <w:r w:rsidRPr="00A82F8F">
              <w:rPr>
                <w:rFonts w:ascii="Calibri" w:hAnsi="Calibri"/>
                <w:sz w:val="20"/>
                <w:szCs w:val="20"/>
              </w:rPr>
              <w:t>PARCC</w:t>
            </w:r>
          </w:p>
        </w:tc>
        <w:tc>
          <w:tcPr>
            <w:tcW w:w="870" w:type="dxa"/>
            <w:shd w:val="clear" w:color="auto" w:fill="D9D9D9" w:themeFill="background1" w:themeFillShade="D9"/>
          </w:tcPr>
          <w:p w:rsidR="00C542E4" w:rsidRPr="00A82F8F" w:rsidRDefault="00C542E4" w:rsidP="009D5584">
            <w:pPr>
              <w:spacing w:after="0" w:line="240" w:lineRule="auto"/>
              <w:rPr>
                <w:rFonts w:ascii="Calibri" w:hAnsi="Calibri"/>
                <w:sz w:val="20"/>
                <w:szCs w:val="20"/>
              </w:rPr>
            </w:pPr>
            <w:r w:rsidRPr="00A82F8F">
              <w:rPr>
                <w:rFonts w:ascii="Calibri" w:hAnsi="Calibri"/>
                <w:sz w:val="20"/>
                <w:szCs w:val="20"/>
              </w:rPr>
              <w:t>CPI</w:t>
            </w:r>
          </w:p>
        </w:tc>
        <w:tc>
          <w:tcPr>
            <w:tcW w:w="1049" w:type="dxa"/>
            <w:shd w:val="clear" w:color="auto" w:fill="D9D9D9" w:themeFill="background1" w:themeFillShade="D9"/>
            <w:vAlign w:val="bottom"/>
          </w:tcPr>
          <w:p w:rsidR="00C542E4" w:rsidRPr="005F47D0" w:rsidRDefault="00C542E4" w:rsidP="009D5584">
            <w:pPr>
              <w:spacing w:after="0" w:line="240" w:lineRule="auto"/>
              <w:jc w:val="center"/>
              <w:rPr>
                <w:rFonts w:ascii="Calibri" w:hAnsi="Calibri"/>
                <w:sz w:val="20"/>
                <w:szCs w:val="20"/>
              </w:rPr>
            </w:pPr>
            <w:r>
              <w:rPr>
                <w:rFonts w:ascii="Calibri" w:hAnsi="Calibri"/>
                <w:sz w:val="20"/>
                <w:szCs w:val="20"/>
              </w:rPr>
              <w:t>1,074</w:t>
            </w:r>
          </w:p>
        </w:tc>
        <w:tc>
          <w:tcPr>
            <w:tcW w:w="918" w:type="dxa"/>
            <w:shd w:val="clear" w:color="auto" w:fill="D9D9D9" w:themeFill="background1" w:themeFillShade="D9"/>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67.8</w:t>
            </w:r>
          </w:p>
        </w:tc>
        <w:tc>
          <w:tcPr>
            <w:tcW w:w="919" w:type="dxa"/>
            <w:shd w:val="clear" w:color="auto" w:fill="D9D9D9" w:themeFill="background1" w:themeFillShade="D9"/>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65.1</w:t>
            </w:r>
          </w:p>
        </w:tc>
        <w:tc>
          <w:tcPr>
            <w:tcW w:w="919" w:type="dxa"/>
            <w:shd w:val="clear" w:color="auto" w:fill="D9D9D9" w:themeFill="background1" w:themeFillShade="D9"/>
            <w:vAlign w:val="bottom"/>
          </w:tcPr>
          <w:p w:rsidR="00C542E4" w:rsidRPr="005F47D0" w:rsidRDefault="00C542E4" w:rsidP="009D5584">
            <w:pPr>
              <w:spacing w:after="0" w:line="240" w:lineRule="auto"/>
              <w:jc w:val="center"/>
              <w:rPr>
                <w:rFonts w:ascii="Calibri" w:hAnsi="Calibri"/>
                <w:sz w:val="20"/>
                <w:szCs w:val="20"/>
              </w:rPr>
            </w:pPr>
            <w:r>
              <w:rPr>
                <w:rFonts w:ascii="Calibri" w:hAnsi="Calibri"/>
                <w:sz w:val="20"/>
                <w:szCs w:val="20"/>
              </w:rPr>
              <w:t>60.4</w:t>
            </w:r>
          </w:p>
        </w:tc>
        <w:tc>
          <w:tcPr>
            <w:tcW w:w="919" w:type="dxa"/>
            <w:shd w:val="clear" w:color="auto" w:fill="D9D9D9" w:themeFill="background1" w:themeFillShade="D9"/>
            <w:vAlign w:val="bottom"/>
          </w:tcPr>
          <w:p w:rsidR="00C542E4" w:rsidRPr="005F47D0" w:rsidRDefault="00C542E4" w:rsidP="009D5584">
            <w:pPr>
              <w:spacing w:after="0" w:line="240" w:lineRule="auto"/>
              <w:jc w:val="center"/>
              <w:rPr>
                <w:rFonts w:ascii="Calibri" w:hAnsi="Calibri"/>
                <w:sz w:val="20"/>
                <w:szCs w:val="20"/>
              </w:rPr>
            </w:pPr>
            <w:r>
              <w:rPr>
                <w:rFonts w:ascii="Calibri" w:hAnsi="Calibri"/>
                <w:sz w:val="20"/>
                <w:szCs w:val="20"/>
              </w:rPr>
              <w:t>61.5</w:t>
            </w:r>
          </w:p>
        </w:tc>
        <w:tc>
          <w:tcPr>
            <w:tcW w:w="1126" w:type="dxa"/>
            <w:shd w:val="clear" w:color="auto" w:fill="D9D9D9" w:themeFill="background1" w:themeFillShade="D9"/>
          </w:tcPr>
          <w:p w:rsidR="00C542E4" w:rsidRPr="0066275B" w:rsidRDefault="00C542E4" w:rsidP="009D5584">
            <w:pPr>
              <w:spacing w:after="0" w:line="240" w:lineRule="auto"/>
              <w:jc w:val="center"/>
              <w:rPr>
                <w:rFonts w:ascii="Calibri" w:hAnsi="Calibri"/>
              </w:rPr>
            </w:pPr>
            <w:r w:rsidRPr="0066275B">
              <w:rPr>
                <w:rFonts w:ascii="Calibri" w:hAnsi="Calibri"/>
              </w:rPr>
              <w:t>-6.3</w:t>
            </w:r>
          </w:p>
        </w:tc>
        <w:tc>
          <w:tcPr>
            <w:tcW w:w="990" w:type="dxa"/>
            <w:shd w:val="clear" w:color="auto" w:fill="D9D9D9" w:themeFill="background1" w:themeFillShade="D9"/>
            <w:vAlign w:val="bottom"/>
          </w:tcPr>
          <w:p w:rsidR="00C542E4" w:rsidRPr="0066275B" w:rsidRDefault="00C542E4" w:rsidP="009D5584">
            <w:pPr>
              <w:spacing w:after="0" w:line="240" w:lineRule="auto"/>
              <w:jc w:val="center"/>
              <w:rPr>
                <w:rFonts w:ascii="Calibri" w:hAnsi="Calibri"/>
              </w:rPr>
            </w:pPr>
            <w:r w:rsidRPr="0066275B">
              <w:rPr>
                <w:rFonts w:ascii="Calibri" w:hAnsi="Calibri"/>
              </w:rPr>
              <w:t>1.1</w:t>
            </w:r>
          </w:p>
        </w:tc>
      </w:tr>
      <w:tr w:rsidR="00C542E4" w:rsidRPr="0066275B" w:rsidTr="009E7CC3">
        <w:trPr>
          <w:trHeight w:val="245"/>
        </w:trPr>
        <w:tc>
          <w:tcPr>
            <w:tcW w:w="461" w:type="dxa"/>
            <w:vMerge/>
            <w:vAlign w:val="center"/>
          </w:tcPr>
          <w:p w:rsidR="00C542E4" w:rsidRPr="00164FBF" w:rsidRDefault="00C542E4" w:rsidP="009D5584">
            <w:pPr>
              <w:spacing w:after="0" w:line="240" w:lineRule="auto"/>
              <w:jc w:val="center"/>
              <w:rPr>
                <w:rFonts w:ascii="Calibri" w:hAnsi="Calibri"/>
                <w:sz w:val="20"/>
                <w:szCs w:val="20"/>
              </w:rPr>
            </w:pPr>
          </w:p>
        </w:tc>
        <w:tc>
          <w:tcPr>
            <w:tcW w:w="757" w:type="dxa"/>
            <w:vMerge/>
            <w:shd w:val="clear" w:color="auto" w:fill="D9D9D9" w:themeFill="background1" w:themeFillShade="D9"/>
            <w:vAlign w:val="center"/>
          </w:tcPr>
          <w:p w:rsidR="00C542E4" w:rsidRPr="00A82F8F" w:rsidRDefault="00C542E4" w:rsidP="009D5584">
            <w:pPr>
              <w:spacing w:after="0" w:line="240" w:lineRule="auto"/>
              <w:jc w:val="center"/>
              <w:rPr>
                <w:rFonts w:ascii="Calibri" w:hAnsi="Calibri"/>
                <w:sz w:val="20"/>
                <w:szCs w:val="20"/>
              </w:rPr>
            </w:pPr>
          </w:p>
        </w:tc>
        <w:tc>
          <w:tcPr>
            <w:tcW w:w="870" w:type="dxa"/>
            <w:shd w:val="clear" w:color="auto" w:fill="D9D9D9" w:themeFill="background1" w:themeFillShade="D9"/>
          </w:tcPr>
          <w:p w:rsidR="00C542E4" w:rsidRPr="00A82F8F" w:rsidRDefault="00C542E4" w:rsidP="009D5584">
            <w:pPr>
              <w:spacing w:after="0" w:line="240" w:lineRule="auto"/>
              <w:rPr>
                <w:rFonts w:ascii="Calibri" w:hAnsi="Calibri"/>
                <w:sz w:val="20"/>
                <w:szCs w:val="20"/>
              </w:rPr>
            </w:pPr>
            <w:r w:rsidRPr="00A82F8F">
              <w:rPr>
                <w:rFonts w:ascii="Calibri" w:hAnsi="Calibri"/>
                <w:sz w:val="20"/>
                <w:szCs w:val="20"/>
              </w:rPr>
              <w:t>Lv 4&amp;5</w:t>
            </w:r>
          </w:p>
        </w:tc>
        <w:tc>
          <w:tcPr>
            <w:tcW w:w="1049" w:type="dxa"/>
            <w:shd w:val="clear" w:color="auto" w:fill="D9D9D9" w:themeFill="background1" w:themeFillShade="D9"/>
            <w:vAlign w:val="bottom"/>
          </w:tcPr>
          <w:p w:rsidR="00C542E4" w:rsidRPr="005F47D0" w:rsidRDefault="00C542E4" w:rsidP="009D5584">
            <w:pPr>
              <w:spacing w:after="0" w:line="240" w:lineRule="auto"/>
              <w:jc w:val="center"/>
              <w:rPr>
                <w:rFonts w:ascii="Calibri" w:hAnsi="Calibri"/>
                <w:sz w:val="20"/>
                <w:szCs w:val="20"/>
              </w:rPr>
            </w:pPr>
            <w:r>
              <w:rPr>
                <w:rFonts w:ascii="Calibri" w:hAnsi="Calibri"/>
                <w:sz w:val="20"/>
                <w:szCs w:val="20"/>
              </w:rPr>
              <w:t>1,038</w:t>
            </w:r>
          </w:p>
        </w:tc>
        <w:tc>
          <w:tcPr>
            <w:tcW w:w="918" w:type="dxa"/>
            <w:shd w:val="clear" w:color="auto" w:fill="D9D9D9" w:themeFill="background1" w:themeFillShade="D9"/>
            <w:vAlign w:val="center"/>
          </w:tcPr>
          <w:p w:rsidR="00C542E4" w:rsidRPr="005F47D0" w:rsidRDefault="00C542E4" w:rsidP="009D5584">
            <w:pPr>
              <w:spacing w:after="0" w:line="240" w:lineRule="auto"/>
              <w:jc w:val="center"/>
              <w:rPr>
                <w:rFonts w:ascii="Calibri" w:hAnsi="Calibri"/>
                <w:color w:val="000000"/>
                <w:sz w:val="20"/>
                <w:szCs w:val="20"/>
              </w:rPr>
            </w:pPr>
            <w:r>
              <w:rPr>
                <w:rFonts w:ascii="Calibri" w:hAnsi="Calibri"/>
                <w:color w:val="000000"/>
                <w:sz w:val="20"/>
                <w:szCs w:val="20"/>
              </w:rPr>
              <w:t>--</w:t>
            </w:r>
          </w:p>
        </w:tc>
        <w:tc>
          <w:tcPr>
            <w:tcW w:w="919" w:type="dxa"/>
            <w:shd w:val="clear" w:color="auto" w:fill="D9D9D9" w:themeFill="background1" w:themeFillShade="D9"/>
            <w:vAlign w:val="center"/>
          </w:tcPr>
          <w:p w:rsidR="00C542E4" w:rsidRPr="005F47D0" w:rsidRDefault="00C542E4" w:rsidP="009D5584">
            <w:pPr>
              <w:spacing w:after="0" w:line="240" w:lineRule="auto"/>
              <w:jc w:val="center"/>
              <w:rPr>
                <w:rFonts w:ascii="Calibri" w:hAnsi="Calibri"/>
                <w:color w:val="000000"/>
                <w:sz w:val="20"/>
                <w:szCs w:val="20"/>
              </w:rPr>
            </w:pPr>
            <w:r>
              <w:rPr>
                <w:rFonts w:ascii="Calibri" w:hAnsi="Calibri"/>
                <w:color w:val="000000"/>
                <w:sz w:val="20"/>
                <w:szCs w:val="20"/>
              </w:rPr>
              <w:t>--</w:t>
            </w:r>
          </w:p>
        </w:tc>
        <w:tc>
          <w:tcPr>
            <w:tcW w:w="919" w:type="dxa"/>
            <w:shd w:val="clear" w:color="auto" w:fill="D9D9D9" w:themeFill="background1" w:themeFillShade="D9"/>
            <w:vAlign w:val="bottom"/>
          </w:tcPr>
          <w:p w:rsidR="00C542E4" w:rsidRPr="005F47D0" w:rsidRDefault="00C542E4" w:rsidP="009D5584">
            <w:pPr>
              <w:spacing w:after="0" w:line="240" w:lineRule="auto"/>
              <w:jc w:val="center"/>
              <w:rPr>
                <w:rFonts w:ascii="Calibri" w:hAnsi="Calibri"/>
                <w:sz w:val="20"/>
                <w:szCs w:val="20"/>
              </w:rPr>
            </w:pPr>
            <w:r>
              <w:rPr>
                <w:rFonts w:ascii="Calibri" w:hAnsi="Calibri"/>
                <w:sz w:val="20"/>
                <w:szCs w:val="20"/>
              </w:rPr>
              <w:t>23%</w:t>
            </w:r>
          </w:p>
        </w:tc>
        <w:tc>
          <w:tcPr>
            <w:tcW w:w="919" w:type="dxa"/>
            <w:shd w:val="clear" w:color="auto" w:fill="D9D9D9" w:themeFill="background1" w:themeFillShade="D9"/>
            <w:vAlign w:val="bottom"/>
          </w:tcPr>
          <w:p w:rsidR="00C542E4" w:rsidRPr="005F47D0" w:rsidRDefault="00C542E4" w:rsidP="009D5584">
            <w:pPr>
              <w:spacing w:after="0" w:line="240" w:lineRule="auto"/>
              <w:jc w:val="center"/>
              <w:rPr>
                <w:rFonts w:ascii="Calibri" w:hAnsi="Calibri"/>
                <w:sz w:val="20"/>
                <w:szCs w:val="20"/>
              </w:rPr>
            </w:pPr>
            <w:r>
              <w:rPr>
                <w:rFonts w:ascii="Calibri" w:hAnsi="Calibri"/>
                <w:sz w:val="20"/>
                <w:szCs w:val="20"/>
              </w:rPr>
              <w:t>27%</w:t>
            </w:r>
          </w:p>
        </w:tc>
        <w:tc>
          <w:tcPr>
            <w:tcW w:w="1126" w:type="dxa"/>
            <w:shd w:val="clear" w:color="auto" w:fill="D9D9D9" w:themeFill="background1" w:themeFillShade="D9"/>
          </w:tcPr>
          <w:p w:rsidR="00C542E4" w:rsidRPr="0066275B" w:rsidRDefault="00C542E4" w:rsidP="009D5584">
            <w:pPr>
              <w:spacing w:after="0" w:line="240" w:lineRule="auto"/>
              <w:jc w:val="center"/>
              <w:rPr>
                <w:rFonts w:ascii="Calibri" w:hAnsi="Calibri"/>
              </w:rPr>
            </w:pPr>
            <w:r w:rsidRPr="0066275B">
              <w:rPr>
                <w:rFonts w:ascii="Calibri" w:hAnsi="Calibri"/>
              </w:rPr>
              <w:t>--</w:t>
            </w:r>
          </w:p>
        </w:tc>
        <w:tc>
          <w:tcPr>
            <w:tcW w:w="990" w:type="dxa"/>
            <w:shd w:val="clear" w:color="auto" w:fill="D9D9D9" w:themeFill="background1" w:themeFillShade="D9"/>
            <w:vAlign w:val="bottom"/>
          </w:tcPr>
          <w:p w:rsidR="00C542E4" w:rsidRPr="0066275B" w:rsidRDefault="00C542E4" w:rsidP="009D5584">
            <w:pPr>
              <w:spacing w:after="0" w:line="240" w:lineRule="auto"/>
              <w:jc w:val="center"/>
              <w:rPr>
                <w:rFonts w:ascii="Calibri" w:hAnsi="Calibri"/>
              </w:rPr>
            </w:pPr>
            <w:r w:rsidRPr="0066275B">
              <w:rPr>
                <w:rFonts w:ascii="Calibri" w:hAnsi="Calibri"/>
              </w:rPr>
              <w:t>4%</w:t>
            </w:r>
          </w:p>
        </w:tc>
      </w:tr>
      <w:tr w:rsidR="00C542E4" w:rsidRPr="0066275B" w:rsidTr="009E7CC3">
        <w:trPr>
          <w:trHeight w:val="245"/>
        </w:trPr>
        <w:tc>
          <w:tcPr>
            <w:tcW w:w="461" w:type="dxa"/>
            <w:vMerge/>
            <w:vAlign w:val="center"/>
          </w:tcPr>
          <w:p w:rsidR="00C542E4" w:rsidRPr="00164FBF" w:rsidRDefault="00C542E4" w:rsidP="009D5584">
            <w:pPr>
              <w:spacing w:after="0" w:line="240" w:lineRule="auto"/>
              <w:jc w:val="center"/>
              <w:rPr>
                <w:rFonts w:ascii="Calibri" w:hAnsi="Calibri"/>
                <w:sz w:val="20"/>
                <w:szCs w:val="20"/>
              </w:rPr>
            </w:pPr>
          </w:p>
        </w:tc>
        <w:tc>
          <w:tcPr>
            <w:tcW w:w="757" w:type="dxa"/>
            <w:vMerge/>
            <w:shd w:val="clear" w:color="auto" w:fill="D9D9D9" w:themeFill="background1" w:themeFillShade="D9"/>
            <w:vAlign w:val="center"/>
          </w:tcPr>
          <w:p w:rsidR="00C542E4" w:rsidRPr="00A82F8F" w:rsidRDefault="00C542E4" w:rsidP="009D5584">
            <w:pPr>
              <w:spacing w:after="0" w:line="240" w:lineRule="auto"/>
              <w:jc w:val="center"/>
              <w:rPr>
                <w:rFonts w:ascii="Calibri" w:hAnsi="Calibri"/>
                <w:sz w:val="20"/>
                <w:szCs w:val="20"/>
              </w:rPr>
            </w:pPr>
          </w:p>
        </w:tc>
        <w:tc>
          <w:tcPr>
            <w:tcW w:w="870" w:type="dxa"/>
            <w:shd w:val="clear" w:color="auto" w:fill="D9D9D9" w:themeFill="background1" w:themeFillShade="D9"/>
          </w:tcPr>
          <w:p w:rsidR="00C542E4" w:rsidRPr="00A82F8F" w:rsidRDefault="00C542E4" w:rsidP="009D5584">
            <w:pPr>
              <w:spacing w:after="0" w:line="240" w:lineRule="auto"/>
              <w:rPr>
                <w:rFonts w:ascii="Calibri" w:hAnsi="Calibri"/>
                <w:sz w:val="20"/>
                <w:szCs w:val="20"/>
              </w:rPr>
            </w:pPr>
            <w:r w:rsidRPr="00A82F8F">
              <w:rPr>
                <w:rFonts w:ascii="Calibri" w:hAnsi="Calibri"/>
                <w:sz w:val="20"/>
                <w:szCs w:val="20"/>
              </w:rPr>
              <w:t>SGP</w:t>
            </w:r>
          </w:p>
        </w:tc>
        <w:tc>
          <w:tcPr>
            <w:tcW w:w="1049" w:type="dxa"/>
            <w:shd w:val="clear" w:color="auto" w:fill="D9D9D9" w:themeFill="background1" w:themeFillShade="D9"/>
            <w:vAlign w:val="bottom"/>
          </w:tcPr>
          <w:p w:rsidR="00C542E4" w:rsidRPr="005F47D0" w:rsidRDefault="00C542E4" w:rsidP="009D5584">
            <w:pPr>
              <w:spacing w:after="0" w:line="240" w:lineRule="auto"/>
              <w:jc w:val="center"/>
              <w:rPr>
                <w:rFonts w:ascii="Calibri" w:hAnsi="Calibri"/>
                <w:sz w:val="20"/>
                <w:szCs w:val="20"/>
              </w:rPr>
            </w:pPr>
            <w:r>
              <w:rPr>
                <w:rFonts w:ascii="Calibri" w:hAnsi="Calibri"/>
                <w:sz w:val="20"/>
                <w:szCs w:val="20"/>
              </w:rPr>
              <w:t>901</w:t>
            </w:r>
          </w:p>
        </w:tc>
        <w:tc>
          <w:tcPr>
            <w:tcW w:w="918" w:type="dxa"/>
            <w:shd w:val="clear" w:color="auto" w:fill="D9D9D9" w:themeFill="background1" w:themeFillShade="D9"/>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53.0</w:t>
            </w:r>
          </w:p>
        </w:tc>
        <w:tc>
          <w:tcPr>
            <w:tcW w:w="919" w:type="dxa"/>
            <w:shd w:val="clear" w:color="auto" w:fill="D9D9D9" w:themeFill="background1" w:themeFillShade="D9"/>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49.0</w:t>
            </w:r>
          </w:p>
        </w:tc>
        <w:tc>
          <w:tcPr>
            <w:tcW w:w="919" w:type="dxa"/>
            <w:shd w:val="clear" w:color="auto" w:fill="D9D9D9" w:themeFill="background1" w:themeFillShade="D9"/>
            <w:vAlign w:val="bottom"/>
          </w:tcPr>
          <w:p w:rsidR="00C542E4" w:rsidRPr="005F47D0" w:rsidRDefault="00C542E4" w:rsidP="009D5584">
            <w:pPr>
              <w:spacing w:after="0" w:line="240" w:lineRule="auto"/>
              <w:jc w:val="center"/>
              <w:rPr>
                <w:rFonts w:ascii="Calibri" w:hAnsi="Calibri"/>
                <w:sz w:val="20"/>
                <w:szCs w:val="20"/>
              </w:rPr>
            </w:pPr>
            <w:r>
              <w:rPr>
                <w:rFonts w:ascii="Calibri" w:hAnsi="Calibri"/>
                <w:sz w:val="20"/>
                <w:szCs w:val="20"/>
              </w:rPr>
              <w:t>43.0</w:t>
            </w:r>
          </w:p>
        </w:tc>
        <w:tc>
          <w:tcPr>
            <w:tcW w:w="919" w:type="dxa"/>
            <w:shd w:val="clear" w:color="auto" w:fill="D9D9D9" w:themeFill="background1" w:themeFillShade="D9"/>
            <w:vAlign w:val="bottom"/>
          </w:tcPr>
          <w:p w:rsidR="00C542E4" w:rsidRPr="005F47D0" w:rsidRDefault="00C542E4" w:rsidP="009D5584">
            <w:pPr>
              <w:spacing w:after="0" w:line="240" w:lineRule="auto"/>
              <w:jc w:val="center"/>
              <w:rPr>
                <w:rFonts w:ascii="Calibri" w:hAnsi="Calibri"/>
                <w:sz w:val="20"/>
                <w:szCs w:val="20"/>
              </w:rPr>
            </w:pPr>
            <w:r>
              <w:rPr>
                <w:rFonts w:ascii="Calibri" w:hAnsi="Calibri"/>
                <w:sz w:val="20"/>
                <w:szCs w:val="20"/>
              </w:rPr>
              <w:t>41.0</w:t>
            </w:r>
          </w:p>
        </w:tc>
        <w:tc>
          <w:tcPr>
            <w:tcW w:w="1126" w:type="dxa"/>
            <w:shd w:val="clear" w:color="auto" w:fill="D9D9D9" w:themeFill="background1" w:themeFillShade="D9"/>
          </w:tcPr>
          <w:p w:rsidR="00C542E4" w:rsidRPr="0066275B" w:rsidRDefault="00C542E4" w:rsidP="009D5584">
            <w:pPr>
              <w:spacing w:after="0" w:line="240" w:lineRule="auto"/>
              <w:jc w:val="center"/>
              <w:rPr>
                <w:rFonts w:ascii="Calibri" w:hAnsi="Calibri"/>
              </w:rPr>
            </w:pPr>
            <w:r w:rsidRPr="0066275B">
              <w:rPr>
                <w:rFonts w:ascii="Calibri" w:hAnsi="Calibri"/>
              </w:rPr>
              <w:t>-12.0</w:t>
            </w:r>
          </w:p>
        </w:tc>
        <w:tc>
          <w:tcPr>
            <w:tcW w:w="990" w:type="dxa"/>
            <w:shd w:val="clear" w:color="auto" w:fill="D9D9D9" w:themeFill="background1" w:themeFillShade="D9"/>
            <w:vAlign w:val="bottom"/>
          </w:tcPr>
          <w:p w:rsidR="00C542E4" w:rsidRPr="0066275B" w:rsidRDefault="00C542E4" w:rsidP="009D5584">
            <w:pPr>
              <w:spacing w:after="0" w:line="240" w:lineRule="auto"/>
              <w:jc w:val="center"/>
              <w:rPr>
                <w:rFonts w:ascii="Calibri" w:hAnsi="Calibri"/>
              </w:rPr>
            </w:pPr>
            <w:r w:rsidRPr="0066275B">
              <w:rPr>
                <w:rFonts w:ascii="Calibri" w:hAnsi="Calibri"/>
              </w:rPr>
              <w:t>-2.0</w:t>
            </w:r>
          </w:p>
        </w:tc>
      </w:tr>
      <w:tr w:rsidR="00C542E4" w:rsidRPr="0066275B" w:rsidTr="009E7CC3">
        <w:trPr>
          <w:trHeight w:val="245"/>
        </w:trPr>
        <w:tc>
          <w:tcPr>
            <w:tcW w:w="461" w:type="dxa"/>
            <w:vMerge w:val="restart"/>
            <w:vAlign w:val="center"/>
          </w:tcPr>
          <w:p w:rsidR="00C542E4" w:rsidRPr="00164FBF" w:rsidRDefault="00C542E4" w:rsidP="009D5584">
            <w:pPr>
              <w:spacing w:after="0" w:line="240" w:lineRule="auto"/>
              <w:jc w:val="center"/>
              <w:rPr>
                <w:rFonts w:ascii="Calibri" w:hAnsi="Calibri"/>
                <w:sz w:val="20"/>
                <w:szCs w:val="20"/>
              </w:rPr>
            </w:pPr>
            <w:r w:rsidRPr="00164FBF">
              <w:rPr>
                <w:rFonts w:ascii="Calibri" w:hAnsi="Calibri"/>
                <w:sz w:val="20"/>
                <w:szCs w:val="20"/>
              </w:rPr>
              <w:t>6</w:t>
            </w:r>
          </w:p>
        </w:tc>
        <w:tc>
          <w:tcPr>
            <w:tcW w:w="757" w:type="dxa"/>
            <w:vMerge w:val="restart"/>
            <w:vAlign w:val="center"/>
          </w:tcPr>
          <w:p w:rsidR="00C542E4" w:rsidRPr="00A82F8F" w:rsidRDefault="00C542E4" w:rsidP="009D5584">
            <w:pPr>
              <w:spacing w:after="0" w:line="240" w:lineRule="auto"/>
              <w:jc w:val="center"/>
              <w:rPr>
                <w:rFonts w:ascii="Calibri" w:hAnsi="Calibri"/>
                <w:sz w:val="20"/>
                <w:szCs w:val="20"/>
              </w:rPr>
            </w:pPr>
            <w:r w:rsidRPr="00A82F8F">
              <w:rPr>
                <w:rFonts w:ascii="Calibri" w:hAnsi="Calibri"/>
                <w:sz w:val="20"/>
                <w:szCs w:val="20"/>
              </w:rPr>
              <w:t>MCAS</w:t>
            </w:r>
          </w:p>
        </w:tc>
        <w:tc>
          <w:tcPr>
            <w:tcW w:w="870" w:type="dxa"/>
          </w:tcPr>
          <w:p w:rsidR="00C542E4" w:rsidRPr="00A82F8F" w:rsidRDefault="00C542E4" w:rsidP="009D5584">
            <w:pPr>
              <w:spacing w:after="0" w:line="240" w:lineRule="auto"/>
              <w:rPr>
                <w:rFonts w:ascii="Calibri" w:hAnsi="Calibri"/>
                <w:sz w:val="20"/>
                <w:szCs w:val="20"/>
              </w:rPr>
            </w:pPr>
            <w:r w:rsidRPr="00A82F8F">
              <w:rPr>
                <w:rFonts w:ascii="Calibri" w:hAnsi="Calibri"/>
                <w:sz w:val="20"/>
                <w:szCs w:val="20"/>
              </w:rPr>
              <w:t>CPI</w:t>
            </w:r>
          </w:p>
        </w:tc>
        <w:tc>
          <w:tcPr>
            <w:tcW w:w="1049"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639</w:t>
            </w:r>
          </w:p>
        </w:tc>
        <w:tc>
          <w:tcPr>
            <w:tcW w:w="918"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69.8</w:t>
            </w:r>
          </w:p>
        </w:tc>
        <w:tc>
          <w:tcPr>
            <w:tcW w:w="919"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70.9</w:t>
            </w:r>
          </w:p>
        </w:tc>
        <w:tc>
          <w:tcPr>
            <w:tcW w:w="919"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77.4</w:t>
            </w:r>
          </w:p>
        </w:tc>
        <w:tc>
          <w:tcPr>
            <w:tcW w:w="919"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76.6</w:t>
            </w:r>
          </w:p>
        </w:tc>
        <w:tc>
          <w:tcPr>
            <w:tcW w:w="1126" w:type="dxa"/>
            <w:vAlign w:val="center"/>
          </w:tcPr>
          <w:p w:rsidR="00C542E4" w:rsidRPr="0066275B" w:rsidRDefault="00C542E4" w:rsidP="009D5584">
            <w:pPr>
              <w:spacing w:after="0" w:line="240" w:lineRule="auto"/>
              <w:jc w:val="center"/>
              <w:rPr>
                <w:rFonts w:ascii="Calibri" w:hAnsi="Calibri"/>
              </w:rPr>
            </w:pPr>
            <w:r w:rsidRPr="0066275B">
              <w:rPr>
                <w:rFonts w:ascii="Calibri" w:hAnsi="Calibri"/>
              </w:rPr>
              <w:t>6.8</w:t>
            </w:r>
          </w:p>
        </w:tc>
        <w:tc>
          <w:tcPr>
            <w:tcW w:w="990" w:type="dxa"/>
            <w:vAlign w:val="center"/>
          </w:tcPr>
          <w:p w:rsidR="00C542E4" w:rsidRPr="0066275B" w:rsidRDefault="00C542E4" w:rsidP="009D5584">
            <w:pPr>
              <w:spacing w:after="0" w:line="240" w:lineRule="auto"/>
              <w:jc w:val="center"/>
              <w:rPr>
                <w:rFonts w:ascii="Calibri" w:hAnsi="Calibri"/>
              </w:rPr>
            </w:pPr>
            <w:r w:rsidRPr="0066275B">
              <w:rPr>
                <w:rFonts w:ascii="Calibri" w:hAnsi="Calibri"/>
              </w:rPr>
              <w:t>-0.8</w:t>
            </w:r>
          </w:p>
        </w:tc>
      </w:tr>
      <w:tr w:rsidR="00C542E4" w:rsidRPr="0066275B" w:rsidTr="009E7CC3">
        <w:trPr>
          <w:trHeight w:val="245"/>
        </w:trPr>
        <w:tc>
          <w:tcPr>
            <w:tcW w:w="461" w:type="dxa"/>
            <w:vMerge/>
            <w:vAlign w:val="center"/>
          </w:tcPr>
          <w:p w:rsidR="00C542E4" w:rsidRPr="00164FBF" w:rsidRDefault="00C542E4" w:rsidP="009D5584">
            <w:pPr>
              <w:spacing w:after="0" w:line="240" w:lineRule="auto"/>
              <w:jc w:val="center"/>
              <w:rPr>
                <w:rFonts w:ascii="Calibri" w:hAnsi="Calibri"/>
                <w:sz w:val="20"/>
                <w:szCs w:val="20"/>
              </w:rPr>
            </w:pPr>
          </w:p>
        </w:tc>
        <w:tc>
          <w:tcPr>
            <w:tcW w:w="757" w:type="dxa"/>
            <w:vMerge/>
            <w:vAlign w:val="center"/>
          </w:tcPr>
          <w:p w:rsidR="00C542E4" w:rsidRPr="00A82F8F" w:rsidRDefault="00C542E4" w:rsidP="009D5584">
            <w:pPr>
              <w:spacing w:after="0" w:line="240" w:lineRule="auto"/>
              <w:jc w:val="center"/>
              <w:rPr>
                <w:rFonts w:ascii="Calibri" w:hAnsi="Calibri"/>
                <w:sz w:val="20"/>
                <w:szCs w:val="20"/>
              </w:rPr>
            </w:pPr>
          </w:p>
        </w:tc>
        <w:tc>
          <w:tcPr>
            <w:tcW w:w="870" w:type="dxa"/>
          </w:tcPr>
          <w:p w:rsidR="00C542E4" w:rsidRPr="00A82F8F" w:rsidRDefault="00C542E4" w:rsidP="009D5584">
            <w:pPr>
              <w:spacing w:after="0" w:line="240" w:lineRule="auto"/>
              <w:rPr>
                <w:rFonts w:ascii="Calibri" w:hAnsi="Calibri"/>
                <w:sz w:val="20"/>
                <w:szCs w:val="20"/>
              </w:rPr>
            </w:pPr>
            <w:r w:rsidRPr="00A82F8F">
              <w:rPr>
                <w:rFonts w:ascii="Calibri" w:hAnsi="Calibri"/>
                <w:sz w:val="20"/>
                <w:szCs w:val="20"/>
              </w:rPr>
              <w:t>P+</w:t>
            </w:r>
          </w:p>
        </w:tc>
        <w:tc>
          <w:tcPr>
            <w:tcW w:w="1049"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639</w:t>
            </w:r>
          </w:p>
        </w:tc>
        <w:tc>
          <w:tcPr>
            <w:tcW w:w="918"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45%</w:t>
            </w:r>
          </w:p>
        </w:tc>
        <w:tc>
          <w:tcPr>
            <w:tcW w:w="919"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45%</w:t>
            </w:r>
          </w:p>
        </w:tc>
        <w:tc>
          <w:tcPr>
            <w:tcW w:w="919"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54%</w:t>
            </w:r>
          </w:p>
        </w:tc>
        <w:tc>
          <w:tcPr>
            <w:tcW w:w="919"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52%</w:t>
            </w:r>
          </w:p>
        </w:tc>
        <w:tc>
          <w:tcPr>
            <w:tcW w:w="1126" w:type="dxa"/>
            <w:vAlign w:val="center"/>
          </w:tcPr>
          <w:p w:rsidR="00C542E4" w:rsidRPr="0066275B" w:rsidRDefault="00C542E4" w:rsidP="009D5584">
            <w:pPr>
              <w:spacing w:after="0" w:line="240" w:lineRule="auto"/>
              <w:jc w:val="center"/>
              <w:rPr>
                <w:rFonts w:ascii="Calibri" w:hAnsi="Calibri"/>
              </w:rPr>
            </w:pPr>
            <w:r w:rsidRPr="0066275B">
              <w:rPr>
                <w:rFonts w:ascii="Calibri" w:hAnsi="Calibri"/>
              </w:rPr>
              <w:t>7%</w:t>
            </w:r>
          </w:p>
        </w:tc>
        <w:tc>
          <w:tcPr>
            <w:tcW w:w="990" w:type="dxa"/>
            <w:vAlign w:val="center"/>
          </w:tcPr>
          <w:p w:rsidR="00C542E4" w:rsidRPr="0066275B" w:rsidRDefault="00C542E4" w:rsidP="009D5584">
            <w:pPr>
              <w:spacing w:after="0" w:line="240" w:lineRule="auto"/>
              <w:jc w:val="center"/>
              <w:rPr>
                <w:rFonts w:ascii="Calibri" w:hAnsi="Calibri"/>
              </w:rPr>
            </w:pPr>
            <w:r w:rsidRPr="0066275B">
              <w:rPr>
                <w:rFonts w:ascii="Calibri" w:hAnsi="Calibri"/>
              </w:rPr>
              <w:t>-2%</w:t>
            </w:r>
          </w:p>
        </w:tc>
      </w:tr>
      <w:tr w:rsidR="00C542E4" w:rsidRPr="0066275B" w:rsidTr="009E7CC3">
        <w:trPr>
          <w:trHeight w:val="245"/>
        </w:trPr>
        <w:tc>
          <w:tcPr>
            <w:tcW w:w="461" w:type="dxa"/>
            <w:vMerge/>
            <w:vAlign w:val="center"/>
          </w:tcPr>
          <w:p w:rsidR="00C542E4" w:rsidRPr="00164FBF" w:rsidRDefault="00C542E4" w:rsidP="009D5584">
            <w:pPr>
              <w:spacing w:after="0" w:line="240" w:lineRule="auto"/>
              <w:jc w:val="center"/>
              <w:rPr>
                <w:rFonts w:ascii="Calibri" w:hAnsi="Calibri"/>
                <w:sz w:val="20"/>
                <w:szCs w:val="20"/>
              </w:rPr>
            </w:pPr>
          </w:p>
        </w:tc>
        <w:tc>
          <w:tcPr>
            <w:tcW w:w="757" w:type="dxa"/>
            <w:vMerge/>
            <w:vAlign w:val="center"/>
          </w:tcPr>
          <w:p w:rsidR="00C542E4" w:rsidRPr="00A82F8F" w:rsidRDefault="00C542E4" w:rsidP="009D5584">
            <w:pPr>
              <w:spacing w:after="0" w:line="240" w:lineRule="auto"/>
              <w:jc w:val="center"/>
              <w:rPr>
                <w:rFonts w:ascii="Calibri" w:hAnsi="Calibri"/>
                <w:sz w:val="20"/>
                <w:szCs w:val="20"/>
              </w:rPr>
            </w:pPr>
          </w:p>
        </w:tc>
        <w:tc>
          <w:tcPr>
            <w:tcW w:w="870" w:type="dxa"/>
          </w:tcPr>
          <w:p w:rsidR="00C542E4" w:rsidRPr="00A82F8F" w:rsidRDefault="00C542E4" w:rsidP="009D5584">
            <w:pPr>
              <w:spacing w:after="0" w:line="240" w:lineRule="auto"/>
              <w:rPr>
                <w:rFonts w:ascii="Calibri" w:hAnsi="Calibri"/>
                <w:sz w:val="20"/>
                <w:szCs w:val="20"/>
              </w:rPr>
            </w:pPr>
            <w:r w:rsidRPr="00A82F8F">
              <w:rPr>
                <w:rFonts w:ascii="Calibri" w:hAnsi="Calibri"/>
                <w:sz w:val="20"/>
                <w:szCs w:val="20"/>
              </w:rPr>
              <w:t>SGP</w:t>
            </w:r>
          </w:p>
        </w:tc>
        <w:tc>
          <w:tcPr>
            <w:tcW w:w="1049"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569</w:t>
            </w:r>
          </w:p>
        </w:tc>
        <w:tc>
          <w:tcPr>
            <w:tcW w:w="918"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57.0</w:t>
            </w:r>
          </w:p>
        </w:tc>
        <w:tc>
          <w:tcPr>
            <w:tcW w:w="919"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59.5</w:t>
            </w:r>
          </w:p>
        </w:tc>
        <w:tc>
          <w:tcPr>
            <w:tcW w:w="919"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64.0</w:t>
            </w:r>
          </w:p>
        </w:tc>
        <w:tc>
          <w:tcPr>
            <w:tcW w:w="919"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67.0</w:t>
            </w:r>
          </w:p>
        </w:tc>
        <w:tc>
          <w:tcPr>
            <w:tcW w:w="1126" w:type="dxa"/>
            <w:vAlign w:val="center"/>
          </w:tcPr>
          <w:p w:rsidR="00C542E4" w:rsidRPr="0066275B" w:rsidRDefault="00C542E4" w:rsidP="009D5584">
            <w:pPr>
              <w:spacing w:after="0" w:line="240" w:lineRule="auto"/>
              <w:jc w:val="center"/>
              <w:rPr>
                <w:rFonts w:ascii="Calibri" w:hAnsi="Calibri"/>
              </w:rPr>
            </w:pPr>
            <w:r w:rsidRPr="0066275B">
              <w:rPr>
                <w:rFonts w:ascii="Calibri" w:hAnsi="Calibri"/>
              </w:rPr>
              <w:t>10.0</w:t>
            </w:r>
          </w:p>
        </w:tc>
        <w:tc>
          <w:tcPr>
            <w:tcW w:w="990" w:type="dxa"/>
            <w:vAlign w:val="center"/>
          </w:tcPr>
          <w:p w:rsidR="00C542E4" w:rsidRPr="0066275B" w:rsidRDefault="00C542E4" w:rsidP="009D5584">
            <w:pPr>
              <w:spacing w:after="0" w:line="240" w:lineRule="auto"/>
              <w:jc w:val="center"/>
              <w:rPr>
                <w:rFonts w:ascii="Calibri" w:hAnsi="Calibri"/>
              </w:rPr>
            </w:pPr>
            <w:r w:rsidRPr="0066275B">
              <w:rPr>
                <w:rFonts w:ascii="Calibri" w:hAnsi="Calibri"/>
              </w:rPr>
              <w:t>3.0</w:t>
            </w:r>
          </w:p>
        </w:tc>
      </w:tr>
      <w:tr w:rsidR="00C542E4" w:rsidRPr="0066275B" w:rsidTr="009E7CC3">
        <w:trPr>
          <w:trHeight w:val="245"/>
        </w:trPr>
        <w:tc>
          <w:tcPr>
            <w:tcW w:w="461" w:type="dxa"/>
            <w:vMerge/>
            <w:vAlign w:val="center"/>
          </w:tcPr>
          <w:p w:rsidR="00C542E4" w:rsidRPr="00164FBF" w:rsidRDefault="00C542E4" w:rsidP="009D5584">
            <w:pPr>
              <w:spacing w:after="0" w:line="240" w:lineRule="auto"/>
              <w:jc w:val="center"/>
              <w:rPr>
                <w:rFonts w:ascii="Calibri" w:hAnsi="Calibri"/>
                <w:sz w:val="20"/>
                <w:szCs w:val="20"/>
              </w:rPr>
            </w:pPr>
          </w:p>
        </w:tc>
        <w:tc>
          <w:tcPr>
            <w:tcW w:w="757" w:type="dxa"/>
            <w:vMerge w:val="restart"/>
            <w:shd w:val="clear" w:color="auto" w:fill="D9D9D9" w:themeFill="background1" w:themeFillShade="D9"/>
            <w:vAlign w:val="center"/>
          </w:tcPr>
          <w:p w:rsidR="00C542E4" w:rsidRPr="00A82F8F" w:rsidRDefault="00C542E4" w:rsidP="009D5584">
            <w:pPr>
              <w:spacing w:after="0" w:line="240" w:lineRule="auto"/>
              <w:jc w:val="center"/>
              <w:rPr>
                <w:rFonts w:ascii="Calibri" w:hAnsi="Calibri"/>
                <w:sz w:val="20"/>
                <w:szCs w:val="20"/>
              </w:rPr>
            </w:pPr>
            <w:r w:rsidRPr="00A82F8F">
              <w:rPr>
                <w:rFonts w:ascii="Calibri" w:hAnsi="Calibri"/>
                <w:sz w:val="20"/>
                <w:szCs w:val="20"/>
              </w:rPr>
              <w:t>PARCC</w:t>
            </w:r>
          </w:p>
        </w:tc>
        <w:tc>
          <w:tcPr>
            <w:tcW w:w="870" w:type="dxa"/>
            <w:shd w:val="clear" w:color="auto" w:fill="D9D9D9" w:themeFill="background1" w:themeFillShade="D9"/>
          </w:tcPr>
          <w:p w:rsidR="00C542E4" w:rsidRPr="00A82F8F" w:rsidRDefault="00C542E4" w:rsidP="009D5584">
            <w:pPr>
              <w:spacing w:after="0" w:line="240" w:lineRule="auto"/>
              <w:rPr>
                <w:rFonts w:ascii="Calibri" w:hAnsi="Calibri"/>
                <w:sz w:val="20"/>
                <w:szCs w:val="20"/>
              </w:rPr>
            </w:pPr>
            <w:r w:rsidRPr="00A82F8F">
              <w:rPr>
                <w:rFonts w:ascii="Calibri" w:hAnsi="Calibri"/>
                <w:sz w:val="20"/>
                <w:szCs w:val="20"/>
              </w:rPr>
              <w:t>CPI</w:t>
            </w:r>
          </w:p>
        </w:tc>
        <w:tc>
          <w:tcPr>
            <w:tcW w:w="1049" w:type="dxa"/>
            <w:shd w:val="clear" w:color="auto" w:fill="D9D9D9" w:themeFill="background1" w:themeFillShade="D9"/>
            <w:vAlign w:val="bottom"/>
          </w:tcPr>
          <w:p w:rsidR="00C542E4" w:rsidRPr="005F47D0" w:rsidRDefault="00C542E4" w:rsidP="009D5584">
            <w:pPr>
              <w:spacing w:after="0" w:line="240" w:lineRule="auto"/>
              <w:jc w:val="center"/>
              <w:rPr>
                <w:rFonts w:ascii="Calibri" w:hAnsi="Calibri"/>
                <w:sz w:val="20"/>
                <w:szCs w:val="20"/>
              </w:rPr>
            </w:pPr>
            <w:r>
              <w:rPr>
                <w:rFonts w:ascii="Calibri" w:hAnsi="Calibri"/>
                <w:sz w:val="20"/>
                <w:szCs w:val="20"/>
              </w:rPr>
              <w:t>1,041</w:t>
            </w:r>
          </w:p>
        </w:tc>
        <w:tc>
          <w:tcPr>
            <w:tcW w:w="918" w:type="dxa"/>
            <w:shd w:val="clear" w:color="auto" w:fill="D9D9D9" w:themeFill="background1" w:themeFillShade="D9"/>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69.8</w:t>
            </w:r>
          </w:p>
        </w:tc>
        <w:tc>
          <w:tcPr>
            <w:tcW w:w="919" w:type="dxa"/>
            <w:shd w:val="clear" w:color="auto" w:fill="D9D9D9" w:themeFill="background1" w:themeFillShade="D9"/>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70.9</w:t>
            </w:r>
          </w:p>
        </w:tc>
        <w:tc>
          <w:tcPr>
            <w:tcW w:w="919" w:type="dxa"/>
            <w:shd w:val="clear" w:color="auto" w:fill="D9D9D9" w:themeFill="background1" w:themeFillShade="D9"/>
            <w:vAlign w:val="bottom"/>
          </w:tcPr>
          <w:p w:rsidR="00C542E4" w:rsidRPr="005F47D0" w:rsidRDefault="00C542E4" w:rsidP="009D5584">
            <w:pPr>
              <w:spacing w:after="0" w:line="240" w:lineRule="auto"/>
              <w:jc w:val="center"/>
              <w:rPr>
                <w:rFonts w:ascii="Calibri" w:hAnsi="Calibri"/>
                <w:sz w:val="20"/>
                <w:szCs w:val="20"/>
              </w:rPr>
            </w:pPr>
            <w:r>
              <w:rPr>
                <w:rFonts w:ascii="Calibri" w:hAnsi="Calibri"/>
                <w:sz w:val="20"/>
                <w:szCs w:val="20"/>
              </w:rPr>
              <w:t>62.6</w:t>
            </w:r>
          </w:p>
        </w:tc>
        <w:tc>
          <w:tcPr>
            <w:tcW w:w="919" w:type="dxa"/>
            <w:shd w:val="clear" w:color="auto" w:fill="D9D9D9" w:themeFill="background1" w:themeFillShade="D9"/>
            <w:vAlign w:val="bottom"/>
          </w:tcPr>
          <w:p w:rsidR="00C542E4" w:rsidRPr="005F47D0" w:rsidRDefault="00C542E4" w:rsidP="009D5584">
            <w:pPr>
              <w:spacing w:after="0" w:line="240" w:lineRule="auto"/>
              <w:jc w:val="center"/>
              <w:rPr>
                <w:rFonts w:ascii="Calibri" w:hAnsi="Calibri"/>
                <w:sz w:val="20"/>
                <w:szCs w:val="20"/>
              </w:rPr>
            </w:pPr>
            <w:r>
              <w:rPr>
                <w:rFonts w:ascii="Calibri" w:hAnsi="Calibri"/>
                <w:sz w:val="20"/>
                <w:szCs w:val="20"/>
              </w:rPr>
              <w:t>64.3</w:t>
            </w:r>
          </w:p>
        </w:tc>
        <w:tc>
          <w:tcPr>
            <w:tcW w:w="1126" w:type="dxa"/>
            <w:shd w:val="clear" w:color="auto" w:fill="D9D9D9" w:themeFill="background1" w:themeFillShade="D9"/>
          </w:tcPr>
          <w:p w:rsidR="00C542E4" w:rsidRPr="0066275B" w:rsidRDefault="00C542E4" w:rsidP="009D5584">
            <w:pPr>
              <w:spacing w:after="0" w:line="240" w:lineRule="auto"/>
              <w:jc w:val="center"/>
              <w:rPr>
                <w:rFonts w:ascii="Calibri" w:hAnsi="Calibri"/>
              </w:rPr>
            </w:pPr>
            <w:r w:rsidRPr="0066275B">
              <w:rPr>
                <w:rFonts w:ascii="Calibri" w:hAnsi="Calibri"/>
              </w:rPr>
              <w:t>-5.5</w:t>
            </w:r>
          </w:p>
        </w:tc>
        <w:tc>
          <w:tcPr>
            <w:tcW w:w="990" w:type="dxa"/>
            <w:shd w:val="clear" w:color="auto" w:fill="D9D9D9" w:themeFill="background1" w:themeFillShade="D9"/>
            <w:vAlign w:val="bottom"/>
          </w:tcPr>
          <w:p w:rsidR="00C542E4" w:rsidRPr="0066275B" w:rsidRDefault="00C542E4" w:rsidP="009D5584">
            <w:pPr>
              <w:spacing w:after="0" w:line="240" w:lineRule="auto"/>
              <w:jc w:val="center"/>
              <w:rPr>
                <w:rFonts w:ascii="Calibri" w:hAnsi="Calibri"/>
              </w:rPr>
            </w:pPr>
            <w:r w:rsidRPr="0066275B">
              <w:rPr>
                <w:rFonts w:ascii="Calibri" w:hAnsi="Calibri"/>
              </w:rPr>
              <w:t>1.7</w:t>
            </w:r>
          </w:p>
        </w:tc>
      </w:tr>
      <w:tr w:rsidR="00C542E4" w:rsidRPr="0066275B" w:rsidTr="009E7CC3">
        <w:trPr>
          <w:trHeight w:val="245"/>
        </w:trPr>
        <w:tc>
          <w:tcPr>
            <w:tcW w:w="461" w:type="dxa"/>
            <w:vMerge/>
            <w:vAlign w:val="center"/>
          </w:tcPr>
          <w:p w:rsidR="00C542E4" w:rsidRPr="00164FBF" w:rsidRDefault="00C542E4" w:rsidP="009D5584">
            <w:pPr>
              <w:spacing w:after="0" w:line="240" w:lineRule="auto"/>
              <w:jc w:val="center"/>
              <w:rPr>
                <w:rFonts w:ascii="Calibri" w:hAnsi="Calibri"/>
                <w:sz w:val="20"/>
                <w:szCs w:val="20"/>
              </w:rPr>
            </w:pPr>
          </w:p>
        </w:tc>
        <w:tc>
          <w:tcPr>
            <w:tcW w:w="757" w:type="dxa"/>
            <w:vMerge/>
            <w:shd w:val="clear" w:color="auto" w:fill="D9D9D9" w:themeFill="background1" w:themeFillShade="D9"/>
            <w:vAlign w:val="center"/>
          </w:tcPr>
          <w:p w:rsidR="00C542E4" w:rsidRPr="00A82F8F" w:rsidRDefault="00C542E4" w:rsidP="009D5584">
            <w:pPr>
              <w:spacing w:after="0" w:line="240" w:lineRule="auto"/>
              <w:jc w:val="center"/>
              <w:rPr>
                <w:rFonts w:ascii="Calibri" w:hAnsi="Calibri"/>
                <w:sz w:val="20"/>
                <w:szCs w:val="20"/>
              </w:rPr>
            </w:pPr>
          </w:p>
        </w:tc>
        <w:tc>
          <w:tcPr>
            <w:tcW w:w="870" w:type="dxa"/>
            <w:shd w:val="clear" w:color="auto" w:fill="D9D9D9" w:themeFill="background1" w:themeFillShade="D9"/>
          </w:tcPr>
          <w:p w:rsidR="00C542E4" w:rsidRPr="00A82F8F" w:rsidRDefault="00C542E4" w:rsidP="009D5584">
            <w:pPr>
              <w:spacing w:after="0" w:line="240" w:lineRule="auto"/>
              <w:rPr>
                <w:rFonts w:ascii="Calibri" w:hAnsi="Calibri"/>
                <w:sz w:val="20"/>
                <w:szCs w:val="20"/>
              </w:rPr>
            </w:pPr>
            <w:r w:rsidRPr="00A82F8F">
              <w:rPr>
                <w:rFonts w:ascii="Calibri" w:hAnsi="Calibri"/>
                <w:sz w:val="20"/>
                <w:szCs w:val="20"/>
              </w:rPr>
              <w:t>Lv 4&amp;5</w:t>
            </w:r>
          </w:p>
        </w:tc>
        <w:tc>
          <w:tcPr>
            <w:tcW w:w="1049" w:type="dxa"/>
            <w:shd w:val="clear" w:color="auto" w:fill="D9D9D9" w:themeFill="background1" w:themeFillShade="D9"/>
            <w:vAlign w:val="bottom"/>
          </w:tcPr>
          <w:p w:rsidR="00C542E4" w:rsidRPr="005F47D0" w:rsidRDefault="00C542E4" w:rsidP="009D5584">
            <w:pPr>
              <w:spacing w:after="0" w:line="240" w:lineRule="auto"/>
              <w:jc w:val="center"/>
              <w:rPr>
                <w:rFonts w:ascii="Calibri" w:hAnsi="Calibri"/>
                <w:sz w:val="20"/>
                <w:szCs w:val="20"/>
              </w:rPr>
            </w:pPr>
            <w:r>
              <w:rPr>
                <w:rFonts w:ascii="Calibri" w:hAnsi="Calibri"/>
                <w:sz w:val="20"/>
                <w:szCs w:val="20"/>
              </w:rPr>
              <w:t>1,011</w:t>
            </w:r>
          </w:p>
        </w:tc>
        <w:tc>
          <w:tcPr>
            <w:tcW w:w="918" w:type="dxa"/>
            <w:shd w:val="clear" w:color="auto" w:fill="D9D9D9" w:themeFill="background1" w:themeFillShade="D9"/>
            <w:vAlign w:val="center"/>
          </w:tcPr>
          <w:p w:rsidR="00C542E4" w:rsidRPr="005F47D0" w:rsidRDefault="00C542E4" w:rsidP="009D5584">
            <w:pPr>
              <w:spacing w:after="0" w:line="240" w:lineRule="auto"/>
              <w:jc w:val="center"/>
              <w:rPr>
                <w:rFonts w:ascii="Calibri" w:hAnsi="Calibri"/>
                <w:color w:val="000000"/>
                <w:sz w:val="20"/>
                <w:szCs w:val="20"/>
              </w:rPr>
            </w:pPr>
            <w:r>
              <w:rPr>
                <w:rFonts w:ascii="Calibri" w:hAnsi="Calibri"/>
                <w:color w:val="000000"/>
                <w:sz w:val="20"/>
                <w:szCs w:val="20"/>
              </w:rPr>
              <w:t>--</w:t>
            </w:r>
          </w:p>
        </w:tc>
        <w:tc>
          <w:tcPr>
            <w:tcW w:w="919" w:type="dxa"/>
            <w:shd w:val="clear" w:color="auto" w:fill="D9D9D9" w:themeFill="background1" w:themeFillShade="D9"/>
            <w:vAlign w:val="center"/>
          </w:tcPr>
          <w:p w:rsidR="00C542E4" w:rsidRPr="005F47D0" w:rsidRDefault="00C542E4" w:rsidP="009D5584">
            <w:pPr>
              <w:spacing w:after="0" w:line="240" w:lineRule="auto"/>
              <w:jc w:val="center"/>
              <w:rPr>
                <w:rFonts w:ascii="Calibri" w:hAnsi="Calibri"/>
                <w:color w:val="000000"/>
                <w:sz w:val="20"/>
                <w:szCs w:val="20"/>
              </w:rPr>
            </w:pPr>
            <w:r>
              <w:rPr>
                <w:rFonts w:ascii="Calibri" w:hAnsi="Calibri"/>
                <w:color w:val="000000"/>
                <w:sz w:val="20"/>
                <w:szCs w:val="20"/>
              </w:rPr>
              <w:t>--</w:t>
            </w:r>
          </w:p>
        </w:tc>
        <w:tc>
          <w:tcPr>
            <w:tcW w:w="919" w:type="dxa"/>
            <w:shd w:val="clear" w:color="auto" w:fill="D9D9D9" w:themeFill="background1" w:themeFillShade="D9"/>
            <w:vAlign w:val="bottom"/>
          </w:tcPr>
          <w:p w:rsidR="00C542E4" w:rsidRPr="005F47D0" w:rsidRDefault="00C542E4" w:rsidP="009D5584">
            <w:pPr>
              <w:spacing w:after="0" w:line="240" w:lineRule="auto"/>
              <w:jc w:val="center"/>
              <w:rPr>
                <w:rFonts w:ascii="Calibri" w:hAnsi="Calibri"/>
                <w:sz w:val="20"/>
                <w:szCs w:val="20"/>
              </w:rPr>
            </w:pPr>
            <w:r>
              <w:rPr>
                <w:rFonts w:ascii="Calibri" w:hAnsi="Calibri"/>
                <w:sz w:val="20"/>
                <w:szCs w:val="20"/>
              </w:rPr>
              <w:t>24%</w:t>
            </w:r>
          </w:p>
        </w:tc>
        <w:tc>
          <w:tcPr>
            <w:tcW w:w="919" w:type="dxa"/>
            <w:shd w:val="clear" w:color="auto" w:fill="D9D9D9" w:themeFill="background1" w:themeFillShade="D9"/>
            <w:vAlign w:val="bottom"/>
          </w:tcPr>
          <w:p w:rsidR="00C542E4" w:rsidRPr="005F47D0" w:rsidRDefault="00C542E4" w:rsidP="009D5584">
            <w:pPr>
              <w:spacing w:after="0" w:line="240" w:lineRule="auto"/>
              <w:jc w:val="center"/>
              <w:rPr>
                <w:rFonts w:ascii="Calibri" w:hAnsi="Calibri"/>
                <w:sz w:val="20"/>
                <w:szCs w:val="20"/>
              </w:rPr>
            </w:pPr>
            <w:r>
              <w:rPr>
                <w:rFonts w:ascii="Calibri" w:hAnsi="Calibri"/>
                <w:sz w:val="20"/>
                <w:szCs w:val="20"/>
              </w:rPr>
              <w:t>30%</w:t>
            </w:r>
          </w:p>
        </w:tc>
        <w:tc>
          <w:tcPr>
            <w:tcW w:w="1126" w:type="dxa"/>
            <w:shd w:val="clear" w:color="auto" w:fill="D9D9D9" w:themeFill="background1" w:themeFillShade="D9"/>
          </w:tcPr>
          <w:p w:rsidR="00C542E4" w:rsidRPr="0066275B" w:rsidRDefault="00C542E4" w:rsidP="009D5584">
            <w:pPr>
              <w:spacing w:after="0" w:line="240" w:lineRule="auto"/>
              <w:jc w:val="center"/>
              <w:rPr>
                <w:rFonts w:ascii="Calibri" w:hAnsi="Calibri"/>
              </w:rPr>
            </w:pPr>
            <w:r w:rsidRPr="0066275B">
              <w:rPr>
                <w:rFonts w:ascii="Calibri" w:hAnsi="Calibri"/>
              </w:rPr>
              <w:t>--</w:t>
            </w:r>
          </w:p>
        </w:tc>
        <w:tc>
          <w:tcPr>
            <w:tcW w:w="990" w:type="dxa"/>
            <w:shd w:val="clear" w:color="auto" w:fill="D9D9D9" w:themeFill="background1" w:themeFillShade="D9"/>
            <w:vAlign w:val="bottom"/>
          </w:tcPr>
          <w:p w:rsidR="00C542E4" w:rsidRPr="0066275B" w:rsidRDefault="00C542E4" w:rsidP="009D5584">
            <w:pPr>
              <w:spacing w:after="0" w:line="240" w:lineRule="auto"/>
              <w:jc w:val="center"/>
              <w:rPr>
                <w:rFonts w:ascii="Calibri" w:hAnsi="Calibri"/>
              </w:rPr>
            </w:pPr>
            <w:r w:rsidRPr="0066275B">
              <w:rPr>
                <w:rFonts w:ascii="Calibri" w:hAnsi="Calibri"/>
              </w:rPr>
              <w:t>6%</w:t>
            </w:r>
          </w:p>
        </w:tc>
      </w:tr>
      <w:tr w:rsidR="00C542E4" w:rsidRPr="0066275B" w:rsidTr="009E7CC3">
        <w:trPr>
          <w:trHeight w:val="245"/>
        </w:trPr>
        <w:tc>
          <w:tcPr>
            <w:tcW w:w="461" w:type="dxa"/>
            <w:vMerge/>
            <w:vAlign w:val="center"/>
          </w:tcPr>
          <w:p w:rsidR="00C542E4" w:rsidRPr="00164FBF" w:rsidRDefault="00C542E4" w:rsidP="009D5584">
            <w:pPr>
              <w:spacing w:after="0" w:line="240" w:lineRule="auto"/>
              <w:jc w:val="center"/>
              <w:rPr>
                <w:rFonts w:ascii="Calibri" w:hAnsi="Calibri"/>
                <w:sz w:val="20"/>
                <w:szCs w:val="20"/>
              </w:rPr>
            </w:pPr>
          </w:p>
        </w:tc>
        <w:tc>
          <w:tcPr>
            <w:tcW w:w="757" w:type="dxa"/>
            <w:vMerge/>
            <w:shd w:val="clear" w:color="auto" w:fill="D9D9D9" w:themeFill="background1" w:themeFillShade="D9"/>
            <w:vAlign w:val="center"/>
          </w:tcPr>
          <w:p w:rsidR="00C542E4" w:rsidRPr="00A82F8F" w:rsidRDefault="00C542E4" w:rsidP="009D5584">
            <w:pPr>
              <w:spacing w:after="0" w:line="240" w:lineRule="auto"/>
              <w:jc w:val="center"/>
              <w:rPr>
                <w:rFonts w:ascii="Calibri" w:hAnsi="Calibri"/>
                <w:sz w:val="20"/>
                <w:szCs w:val="20"/>
              </w:rPr>
            </w:pPr>
          </w:p>
        </w:tc>
        <w:tc>
          <w:tcPr>
            <w:tcW w:w="870" w:type="dxa"/>
            <w:shd w:val="clear" w:color="auto" w:fill="D9D9D9" w:themeFill="background1" w:themeFillShade="D9"/>
          </w:tcPr>
          <w:p w:rsidR="00C542E4" w:rsidRPr="00A82F8F" w:rsidRDefault="00C542E4" w:rsidP="009D5584">
            <w:pPr>
              <w:spacing w:after="0" w:line="240" w:lineRule="auto"/>
              <w:rPr>
                <w:rFonts w:ascii="Calibri" w:hAnsi="Calibri"/>
                <w:sz w:val="20"/>
                <w:szCs w:val="20"/>
              </w:rPr>
            </w:pPr>
            <w:r w:rsidRPr="00A82F8F">
              <w:rPr>
                <w:rFonts w:ascii="Calibri" w:hAnsi="Calibri"/>
                <w:sz w:val="20"/>
                <w:szCs w:val="20"/>
              </w:rPr>
              <w:t>SGP</w:t>
            </w:r>
          </w:p>
        </w:tc>
        <w:tc>
          <w:tcPr>
            <w:tcW w:w="1049" w:type="dxa"/>
            <w:shd w:val="clear" w:color="auto" w:fill="D9D9D9" w:themeFill="background1" w:themeFillShade="D9"/>
            <w:vAlign w:val="bottom"/>
          </w:tcPr>
          <w:p w:rsidR="00C542E4" w:rsidRPr="005F47D0" w:rsidRDefault="00C542E4" w:rsidP="009D5584">
            <w:pPr>
              <w:spacing w:after="0" w:line="240" w:lineRule="auto"/>
              <w:jc w:val="center"/>
              <w:rPr>
                <w:rFonts w:ascii="Calibri" w:hAnsi="Calibri"/>
                <w:sz w:val="20"/>
                <w:szCs w:val="20"/>
              </w:rPr>
            </w:pPr>
            <w:r>
              <w:rPr>
                <w:rFonts w:ascii="Calibri" w:hAnsi="Calibri"/>
                <w:sz w:val="20"/>
                <w:szCs w:val="20"/>
              </w:rPr>
              <w:t>903</w:t>
            </w:r>
          </w:p>
        </w:tc>
        <w:tc>
          <w:tcPr>
            <w:tcW w:w="918" w:type="dxa"/>
            <w:shd w:val="clear" w:color="auto" w:fill="D9D9D9" w:themeFill="background1" w:themeFillShade="D9"/>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57.0</w:t>
            </w:r>
          </w:p>
        </w:tc>
        <w:tc>
          <w:tcPr>
            <w:tcW w:w="919" w:type="dxa"/>
            <w:shd w:val="clear" w:color="auto" w:fill="D9D9D9" w:themeFill="background1" w:themeFillShade="D9"/>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59.5</w:t>
            </w:r>
          </w:p>
        </w:tc>
        <w:tc>
          <w:tcPr>
            <w:tcW w:w="919" w:type="dxa"/>
            <w:shd w:val="clear" w:color="auto" w:fill="D9D9D9" w:themeFill="background1" w:themeFillShade="D9"/>
            <w:vAlign w:val="bottom"/>
          </w:tcPr>
          <w:p w:rsidR="00C542E4" w:rsidRPr="005F47D0" w:rsidRDefault="00C542E4" w:rsidP="009D5584">
            <w:pPr>
              <w:spacing w:after="0" w:line="240" w:lineRule="auto"/>
              <w:jc w:val="center"/>
              <w:rPr>
                <w:rFonts w:ascii="Calibri" w:hAnsi="Calibri"/>
                <w:sz w:val="20"/>
                <w:szCs w:val="20"/>
              </w:rPr>
            </w:pPr>
            <w:r>
              <w:rPr>
                <w:rFonts w:ascii="Calibri" w:hAnsi="Calibri"/>
                <w:sz w:val="20"/>
                <w:szCs w:val="20"/>
              </w:rPr>
              <w:t>49.0</w:t>
            </w:r>
          </w:p>
        </w:tc>
        <w:tc>
          <w:tcPr>
            <w:tcW w:w="919" w:type="dxa"/>
            <w:shd w:val="clear" w:color="auto" w:fill="D9D9D9" w:themeFill="background1" w:themeFillShade="D9"/>
            <w:vAlign w:val="bottom"/>
          </w:tcPr>
          <w:p w:rsidR="00C542E4" w:rsidRPr="005F47D0" w:rsidRDefault="00C542E4" w:rsidP="009D5584">
            <w:pPr>
              <w:spacing w:after="0" w:line="240" w:lineRule="auto"/>
              <w:jc w:val="center"/>
              <w:rPr>
                <w:rFonts w:ascii="Calibri" w:hAnsi="Calibri"/>
                <w:sz w:val="20"/>
                <w:szCs w:val="20"/>
              </w:rPr>
            </w:pPr>
            <w:r>
              <w:rPr>
                <w:rFonts w:ascii="Calibri" w:hAnsi="Calibri"/>
                <w:sz w:val="20"/>
                <w:szCs w:val="20"/>
              </w:rPr>
              <w:t>57.0</w:t>
            </w:r>
          </w:p>
        </w:tc>
        <w:tc>
          <w:tcPr>
            <w:tcW w:w="1126" w:type="dxa"/>
            <w:shd w:val="clear" w:color="auto" w:fill="D9D9D9" w:themeFill="background1" w:themeFillShade="D9"/>
          </w:tcPr>
          <w:p w:rsidR="00C542E4" w:rsidRPr="0066275B" w:rsidRDefault="00C542E4" w:rsidP="009D5584">
            <w:pPr>
              <w:spacing w:after="0" w:line="240" w:lineRule="auto"/>
              <w:jc w:val="center"/>
              <w:rPr>
                <w:rFonts w:ascii="Calibri" w:hAnsi="Calibri"/>
              </w:rPr>
            </w:pPr>
            <w:r w:rsidRPr="0066275B">
              <w:rPr>
                <w:rFonts w:ascii="Calibri" w:hAnsi="Calibri"/>
              </w:rPr>
              <w:t>0.0</w:t>
            </w:r>
          </w:p>
        </w:tc>
        <w:tc>
          <w:tcPr>
            <w:tcW w:w="990" w:type="dxa"/>
            <w:shd w:val="clear" w:color="auto" w:fill="D9D9D9" w:themeFill="background1" w:themeFillShade="D9"/>
            <w:vAlign w:val="bottom"/>
          </w:tcPr>
          <w:p w:rsidR="00C542E4" w:rsidRPr="0066275B" w:rsidRDefault="00C542E4" w:rsidP="009D5584">
            <w:pPr>
              <w:spacing w:after="0" w:line="240" w:lineRule="auto"/>
              <w:jc w:val="center"/>
              <w:rPr>
                <w:rFonts w:ascii="Calibri" w:hAnsi="Calibri"/>
              </w:rPr>
            </w:pPr>
            <w:r w:rsidRPr="0066275B">
              <w:rPr>
                <w:rFonts w:ascii="Calibri" w:hAnsi="Calibri"/>
              </w:rPr>
              <w:t>8.0</w:t>
            </w:r>
          </w:p>
        </w:tc>
      </w:tr>
      <w:tr w:rsidR="00C542E4" w:rsidRPr="0066275B" w:rsidTr="009E7CC3">
        <w:trPr>
          <w:trHeight w:val="245"/>
        </w:trPr>
        <w:tc>
          <w:tcPr>
            <w:tcW w:w="461" w:type="dxa"/>
            <w:vMerge w:val="restart"/>
            <w:vAlign w:val="center"/>
          </w:tcPr>
          <w:p w:rsidR="00C542E4" w:rsidRPr="00164FBF" w:rsidRDefault="00C542E4" w:rsidP="009D5584">
            <w:pPr>
              <w:spacing w:after="0" w:line="240" w:lineRule="auto"/>
              <w:jc w:val="center"/>
              <w:rPr>
                <w:rFonts w:ascii="Calibri" w:hAnsi="Calibri"/>
                <w:sz w:val="20"/>
                <w:szCs w:val="20"/>
              </w:rPr>
            </w:pPr>
            <w:r w:rsidRPr="00164FBF">
              <w:rPr>
                <w:rFonts w:ascii="Calibri" w:hAnsi="Calibri"/>
                <w:sz w:val="20"/>
                <w:szCs w:val="20"/>
              </w:rPr>
              <w:t>7</w:t>
            </w:r>
          </w:p>
        </w:tc>
        <w:tc>
          <w:tcPr>
            <w:tcW w:w="757" w:type="dxa"/>
            <w:vMerge w:val="restart"/>
            <w:vAlign w:val="center"/>
          </w:tcPr>
          <w:p w:rsidR="00C542E4" w:rsidRPr="00A82F8F" w:rsidRDefault="00C542E4" w:rsidP="009D5584">
            <w:pPr>
              <w:spacing w:after="0" w:line="240" w:lineRule="auto"/>
              <w:jc w:val="center"/>
              <w:rPr>
                <w:rFonts w:ascii="Calibri" w:hAnsi="Calibri"/>
                <w:sz w:val="20"/>
                <w:szCs w:val="20"/>
              </w:rPr>
            </w:pPr>
            <w:r w:rsidRPr="00A82F8F">
              <w:rPr>
                <w:rFonts w:ascii="Calibri" w:hAnsi="Calibri"/>
                <w:sz w:val="20"/>
                <w:szCs w:val="20"/>
              </w:rPr>
              <w:t>MCAS</w:t>
            </w:r>
          </w:p>
        </w:tc>
        <w:tc>
          <w:tcPr>
            <w:tcW w:w="870" w:type="dxa"/>
          </w:tcPr>
          <w:p w:rsidR="00C542E4" w:rsidRPr="00A82F8F" w:rsidRDefault="00C542E4" w:rsidP="009D5584">
            <w:pPr>
              <w:spacing w:after="0" w:line="240" w:lineRule="auto"/>
              <w:rPr>
                <w:rFonts w:ascii="Calibri" w:hAnsi="Calibri"/>
                <w:sz w:val="20"/>
                <w:szCs w:val="20"/>
              </w:rPr>
            </w:pPr>
            <w:r w:rsidRPr="00A82F8F">
              <w:rPr>
                <w:rFonts w:ascii="Calibri" w:hAnsi="Calibri"/>
                <w:sz w:val="20"/>
                <w:szCs w:val="20"/>
              </w:rPr>
              <w:t>CPI</w:t>
            </w:r>
          </w:p>
        </w:tc>
        <w:tc>
          <w:tcPr>
            <w:tcW w:w="1049" w:type="dxa"/>
            <w:vAlign w:val="center"/>
          </w:tcPr>
          <w:p w:rsidR="00C542E4" w:rsidRPr="005F47D0" w:rsidRDefault="00C542E4" w:rsidP="009D5584">
            <w:pPr>
              <w:spacing w:after="0" w:line="240" w:lineRule="auto"/>
              <w:jc w:val="center"/>
              <w:rPr>
                <w:rFonts w:ascii="Calibri" w:hAnsi="Calibri"/>
                <w:color w:val="000000"/>
                <w:sz w:val="20"/>
                <w:szCs w:val="20"/>
              </w:rPr>
            </w:pPr>
            <w:r>
              <w:rPr>
                <w:rFonts w:ascii="Calibri" w:hAnsi="Calibri"/>
                <w:color w:val="000000"/>
                <w:sz w:val="20"/>
                <w:szCs w:val="20"/>
              </w:rPr>
              <w:t>--</w:t>
            </w:r>
          </w:p>
        </w:tc>
        <w:tc>
          <w:tcPr>
            <w:tcW w:w="918"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60.9</w:t>
            </w:r>
          </w:p>
        </w:tc>
        <w:tc>
          <w:tcPr>
            <w:tcW w:w="919"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54.9</w:t>
            </w:r>
          </w:p>
        </w:tc>
        <w:tc>
          <w:tcPr>
            <w:tcW w:w="919"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53.6</w:t>
            </w:r>
          </w:p>
        </w:tc>
        <w:tc>
          <w:tcPr>
            <w:tcW w:w="919" w:type="dxa"/>
            <w:vAlign w:val="center"/>
          </w:tcPr>
          <w:p w:rsidR="00C542E4" w:rsidRPr="005F47D0" w:rsidRDefault="00C542E4" w:rsidP="009D5584">
            <w:pPr>
              <w:spacing w:after="0" w:line="240" w:lineRule="auto"/>
              <w:jc w:val="center"/>
              <w:rPr>
                <w:rFonts w:ascii="Calibri" w:hAnsi="Calibri"/>
                <w:color w:val="000000"/>
                <w:sz w:val="20"/>
                <w:szCs w:val="20"/>
              </w:rPr>
            </w:pPr>
            <w:r>
              <w:rPr>
                <w:rFonts w:ascii="Calibri" w:hAnsi="Calibri"/>
                <w:color w:val="000000"/>
                <w:sz w:val="20"/>
                <w:szCs w:val="20"/>
              </w:rPr>
              <w:t>--</w:t>
            </w:r>
          </w:p>
        </w:tc>
        <w:tc>
          <w:tcPr>
            <w:tcW w:w="1126" w:type="dxa"/>
            <w:vAlign w:val="center"/>
          </w:tcPr>
          <w:p w:rsidR="00C542E4" w:rsidRPr="0066275B" w:rsidRDefault="00C542E4" w:rsidP="009D5584">
            <w:pPr>
              <w:spacing w:after="0" w:line="240" w:lineRule="auto"/>
              <w:jc w:val="center"/>
              <w:rPr>
                <w:rFonts w:ascii="Calibri" w:hAnsi="Calibri"/>
              </w:rPr>
            </w:pPr>
            <w:r w:rsidRPr="0066275B">
              <w:rPr>
                <w:rFonts w:ascii="Calibri" w:hAnsi="Calibri"/>
              </w:rPr>
              <w:t>--</w:t>
            </w:r>
          </w:p>
        </w:tc>
        <w:tc>
          <w:tcPr>
            <w:tcW w:w="990" w:type="dxa"/>
            <w:vAlign w:val="center"/>
          </w:tcPr>
          <w:p w:rsidR="00C542E4" w:rsidRPr="0066275B" w:rsidRDefault="00C542E4" w:rsidP="009D5584">
            <w:pPr>
              <w:spacing w:after="0" w:line="240" w:lineRule="auto"/>
              <w:jc w:val="center"/>
              <w:rPr>
                <w:rFonts w:ascii="Calibri" w:hAnsi="Calibri"/>
              </w:rPr>
            </w:pPr>
            <w:r w:rsidRPr="0066275B">
              <w:rPr>
                <w:rFonts w:ascii="Calibri" w:hAnsi="Calibri"/>
              </w:rPr>
              <w:t>--</w:t>
            </w:r>
          </w:p>
        </w:tc>
      </w:tr>
      <w:tr w:rsidR="00C542E4" w:rsidRPr="0066275B" w:rsidTr="009E7CC3">
        <w:trPr>
          <w:trHeight w:val="245"/>
        </w:trPr>
        <w:tc>
          <w:tcPr>
            <w:tcW w:w="461" w:type="dxa"/>
            <w:vMerge/>
            <w:vAlign w:val="center"/>
          </w:tcPr>
          <w:p w:rsidR="00C542E4" w:rsidRPr="00164FBF" w:rsidRDefault="00C542E4" w:rsidP="009D5584">
            <w:pPr>
              <w:spacing w:after="0" w:line="240" w:lineRule="auto"/>
              <w:jc w:val="center"/>
              <w:rPr>
                <w:rFonts w:ascii="Calibri" w:hAnsi="Calibri"/>
                <w:sz w:val="20"/>
                <w:szCs w:val="20"/>
              </w:rPr>
            </w:pPr>
          </w:p>
        </w:tc>
        <w:tc>
          <w:tcPr>
            <w:tcW w:w="757" w:type="dxa"/>
            <w:vMerge/>
            <w:vAlign w:val="center"/>
          </w:tcPr>
          <w:p w:rsidR="00C542E4" w:rsidRPr="00A82F8F" w:rsidRDefault="00C542E4" w:rsidP="009D5584">
            <w:pPr>
              <w:spacing w:after="0" w:line="240" w:lineRule="auto"/>
              <w:jc w:val="center"/>
              <w:rPr>
                <w:rFonts w:ascii="Calibri" w:hAnsi="Calibri"/>
                <w:sz w:val="20"/>
                <w:szCs w:val="20"/>
              </w:rPr>
            </w:pPr>
          </w:p>
        </w:tc>
        <w:tc>
          <w:tcPr>
            <w:tcW w:w="870" w:type="dxa"/>
          </w:tcPr>
          <w:p w:rsidR="00C542E4" w:rsidRPr="00A82F8F" w:rsidRDefault="00C542E4" w:rsidP="009D5584">
            <w:pPr>
              <w:spacing w:after="0" w:line="240" w:lineRule="auto"/>
              <w:rPr>
                <w:rFonts w:ascii="Calibri" w:hAnsi="Calibri"/>
                <w:sz w:val="20"/>
                <w:szCs w:val="20"/>
              </w:rPr>
            </w:pPr>
            <w:r w:rsidRPr="00A82F8F">
              <w:rPr>
                <w:rFonts w:ascii="Calibri" w:hAnsi="Calibri"/>
                <w:sz w:val="20"/>
                <w:szCs w:val="20"/>
              </w:rPr>
              <w:t>P+</w:t>
            </w:r>
          </w:p>
        </w:tc>
        <w:tc>
          <w:tcPr>
            <w:tcW w:w="1049" w:type="dxa"/>
            <w:vAlign w:val="center"/>
          </w:tcPr>
          <w:p w:rsidR="00C542E4" w:rsidRPr="005F47D0" w:rsidRDefault="00C542E4" w:rsidP="009D5584">
            <w:pPr>
              <w:spacing w:after="0" w:line="240" w:lineRule="auto"/>
              <w:jc w:val="center"/>
              <w:rPr>
                <w:rFonts w:ascii="Calibri" w:hAnsi="Calibri"/>
                <w:color w:val="000000"/>
                <w:sz w:val="20"/>
                <w:szCs w:val="20"/>
              </w:rPr>
            </w:pPr>
            <w:r>
              <w:rPr>
                <w:rFonts w:ascii="Calibri" w:hAnsi="Calibri"/>
                <w:color w:val="000000"/>
                <w:sz w:val="20"/>
                <w:szCs w:val="20"/>
              </w:rPr>
              <w:t>--</w:t>
            </w:r>
          </w:p>
        </w:tc>
        <w:tc>
          <w:tcPr>
            <w:tcW w:w="918"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34%</w:t>
            </w:r>
          </w:p>
        </w:tc>
        <w:tc>
          <w:tcPr>
            <w:tcW w:w="919"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29%</w:t>
            </w:r>
          </w:p>
        </w:tc>
        <w:tc>
          <w:tcPr>
            <w:tcW w:w="919"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26%</w:t>
            </w:r>
          </w:p>
        </w:tc>
        <w:tc>
          <w:tcPr>
            <w:tcW w:w="919" w:type="dxa"/>
            <w:vAlign w:val="center"/>
          </w:tcPr>
          <w:p w:rsidR="00C542E4" w:rsidRPr="005F47D0" w:rsidRDefault="00C542E4" w:rsidP="009D5584">
            <w:pPr>
              <w:spacing w:after="0" w:line="240" w:lineRule="auto"/>
              <w:jc w:val="center"/>
              <w:rPr>
                <w:rFonts w:ascii="Calibri" w:hAnsi="Calibri"/>
                <w:color w:val="000000"/>
                <w:sz w:val="20"/>
                <w:szCs w:val="20"/>
              </w:rPr>
            </w:pPr>
            <w:r>
              <w:rPr>
                <w:rFonts w:ascii="Calibri" w:hAnsi="Calibri"/>
                <w:color w:val="000000"/>
                <w:sz w:val="20"/>
                <w:szCs w:val="20"/>
              </w:rPr>
              <w:t>--</w:t>
            </w:r>
          </w:p>
        </w:tc>
        <w:tc>
          <w:tcPr>
            <w:tcW w:w="1126" w:type="dxa"/>
            <w:vAlign w:val="center"/>
          </w:tcPr>
          <w:p w:rsidR="00C542E4" w:rsidRPr="0066275B" w:rsidRDefault="00C542E4" w:rsidP="009D5584">
            <w:pPr>
              <w:spacing w:after="0" w:line="240" w:lineRule="auto"/>
              <w:jc w:val="center"/>
              <w:rPr>
                <w:rFonts w:ascii="Calibri" w:hAnsi="Calibri"/>
              </w:rPr>
            </w:pPr>
            <w:r w:rsidRPr="0066275B">
              <w:rPr>
                <w:rFonts w:ascii="Calibri" w:hAnsi="Calibri"/>
              </w:rPr>
              <w:t>--</w:t>
            </w:r>
          </w:p>
        </w:tc>
        <w:tc>
          <w:tcPr>
            <w:tcW w:w="990" w:type="dxa"/>
            <w:vAlign w:val="center"/>
          </w:tcPr>
          <w:p w:rsidR="00C542E4" w:rsidRPr="0066275B" w:rsidRDefault="00C542E4" w:rsidP="009D5584">
            <w:pPr>
              <w:spacing w:after="0" w:line="240" w:lineRule="auto"/>
              <w:jc w:val="center"/>
              <w:rPr>
                <w:rFonts w:ascii="Calibri" w:hAnsi="Calibri"/>
              </w:rPr>
            </w:pPr>
            <w:r w:rsidRPr="0066275B">
              <w:rPr>
                <w:rFonts w:ascii="Calibri" w:hAnsi="Calibri"/>
              </w:rPr>
              <w:t>--</w:t>
            </w:r>
          </w:p>
        </w:tc>
      </w:tr>
      <w:tr w:rsidR="00C542E4" w:rsidRPr="0066275B" w:rsidTr="009E7CC3">
        <w:trPr>
          <w:trHeight w:val="245"/>
        </w:trPr>
        <w:tc>
          <w:tcPr>
            <w:tcW w:w="461" w:type="dxa"/>
            <w:vMerge/>
            <w:vAlign w:val="center"/>
          </w:tcPr>
          <w:p w:rsidR="00C542E4" w:rsidRPr="00164FBF" w:rsidRDefault="00C542E4" w:rsidP="009D5584">
            <w:pPr>
              <w:spacing w:after="0" w:line="240" w:lineRule="auto"/>
              <w:jc w:val="center"/>
              <w:rPr>
                <w:rFonts w:ascii="Calibri" w:hAnsi="Calibri"/>
                <w:sz w:val="20"/>
                <w:szCs w:val="20"/>
              </w:rPr>
            </w:pPr>
          </w:p>
        </w:tc>
        <w:tc>
          <w:tcPr>
            <w:tcW w:w="757" w:type="dxa"/>
            <w:vMerge/>
            <w:vAlign w:val="center"/>
          </w:tcPr>
          <w:p w:rsidR="00C542E4" w:rsidRPr="00A82F8F" w:rsidRDefault="00C542E4" w:rsidP="009D5584">
            <w:pPr>
              <w:spacing w:after="0" w:line="240" w:lineRule="auto"/>
              <w:jc w:val="center"/>
              <w:rPr>
                <w:rFonts w:ascii="Calibri" w:hAnsi="Calibri"/>
                <w:sz w:val="20"/>
                <w:szCs w:val="20"/>
              </w:rPr>
            </w:pPr>
          </w:p>
        </w:tc>
        <w:tc>
          <w:tcPr>
            <w:tcW w:w="870" w:type="dxa"/>
          </w:tcPr>
          <w:p w:rsidR="00C542E4" w:rsidRPr="00A82F8F" w:rsidRDefault="00C542E4" w:rsidP="009D5584">
            <w:pPr>
              <w:spacing w:after="0" w:line="240" w:lineRule="auto"/>
              <w:rPr>
                <w:rFonts w:ascii="Calibri" w:hAnsi="Calibri"/>
                <w:sz w:val="20"/>
                <w:szCs w:val="20"/>
              </w:rPr>
            </w:pPr>
            <w:r w:rsidRPr="00A82F8F">
              <w:rPr>
                <w:rFonts w:ascii="Calibri" w:hAnsi="Calibri"/>
                <w:sz w:val="20"/>
                <w:szCs w:val="20"/>
              </w:rPr>
              <w:t>SGP</w:t>
            </w:r>
          </w:p>
        </w:tc>
        <w:tc>
          <w:tcPr>
            <w:tcW w:w="1049" w:type="dxa"/>
            <w:vAlign w:val="center"/>
          </w:tcPr>
          <w:p w:rsidR="00C542E4" w:rsidRPr="005F47D0" w:rsidRDefault="00C542E4" w:rsidP="009D5584">
            <w:pPr>
              <w:spacing w:after="0" w:line="240" w:lineRule="auto"/>
              <w:jc w:val="center"/>
              <w:rPr>
                <w:rFonts w:ascii="Calibri" w:hAnsi="Calibri"/>
                <w:color w:val="000000"/>
                <w:sz w:val="20"/>
                <w:szCs w:val="20"/>
              </w:rPr>
            </w:pPr>
            <w:r>
              <w:rPr>
                <w:rFonts w:ascii="Calibri" w:hAnsi="Calibri"/>
                <w:color w:val="000000"/>
                <w:sz w:val="20"/>
                <w:szCs w:val="20"/>
              </w:rPr>
              <w:t>--</w:t>
            </w:r>
          </w:p>
        </w:tc>
        <w:tc>
          <w:tcPr>
            <w:tcW w:w="918"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41.0</w:t>
            </w:r>
          </w:p>
        </w:tc>
        <w:tc>
          <w:tcPr>
            <w:tcW w:w="919"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42.0</w:t>
            </w:r>
          </w:p>
        </w:tc>
        <w:tc>
          <w:tcPr>
            <w:tcW w:w="919"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23.0</w:t>
            </w:r>
          </w:p>
        </w:tc>
        <w:tc>
          <w:tcPr>
            <w:tcW w:w="919" w:type="dxa"/>
            <w:vAlign w:val="center"/>
          </w:tcPr>
          <w:p w:rsidR="00C542E4" w:rsidRPr="005F47D0" w:rsidRDefault="00C542E4" w:rsidP="009D5584">
            <w:pPr>
              <w:spacing w:after="0" w:line="240" w:lineRule="auto"/>
              <w:jc w:val="center"/>
              <w:rPr>
                <w:rFonts w:ascii="Calibri" w:hAnsi="Calibri"/>
                <w:color w:val="000000"/>
                <w:sz w:val="20"/>
                <w:szCs w:val="20"/>
              </w:rPr>
            </w:pPr>
            <w:r>
              <w:rPr>
                <w:rFonts w:ascii="Calibri" w:hAnsi="Calibri"/>
                <w:color w:val="000000"/>
                <w:sz w:val="20"/>
                <w:szCs w:val="20"/>
              </w:rPr>
              <w:t>--</w:t>
            </w:r>
          </w:p>
        </w:tc>
        <w:tc>
          <w:tcPr>
            <w:tcW w:w="1126" w:type="dxa"/>
            <w:vAlign w:val="center"/>
          </w:tcPr>
          <w:p w:rsidR="00C542E4" w:rsidRPr="0066275B" w:rsidRDefault="00C542E4" w:rsidP="009D5584">
            <w:pPr>
              <w:spacing w:after="0" w:line="240" w:lineRule="auto"/>
              <w:jc w:val="center"/>
              <w:rPr>
                <w:rFonts w:ascii="Calibri" w:hAnsi="Calibri"/>
              </w:rPr>
            </w:pPr>
            <w:r w:rsidRPr="0066275B">
              <w:rPr>
                <w:rFonts w:ascii="Calibri" w:hAnsi="Calibri"/>
              </w:rPr>
              <w:t>--</w:t>
            </w:r>
          </w:p>
        </w:tc>
        <w:tc>
          <w:tcPr>
            <w:tcW w:w="990" w:type="dxa"/>
            <w:vAlign w:val="center"/>
          </w:tcPr>
          <w:p w:rsidR="00C542E4" w:rsidRPr="0066275B" w:rsidRDefault="00C542E4" w:rsidP="009D5584">
            <w:pPr>
              <w:spacing w:after="0" w:line="240" w:lineRule="auto"/>
              <w:jc w:val="center"/>
              <w:rPr>
                <w:rFonts w:ascii="Calibri" w:hAnsi="Calibri"/>
              </w:rPr>
            </w:pPr>
            <w:r w:rsidRPr="0066275B">
              <w:rPr>
                <w:rFonts w:ascii="Calibri" w:hAnsi="Calibri"/>
              </w:rPr>
              <w:t>--</w:t>
            </w:r>
          </w:p>
        </w:tc>
      </w:tr>
      <w:tr w:rsidR="00C542E4" w:rsidRPr="0066275B" w:rsidTr="009E7CC3">
        <w:trPr>
          <w:trHeight w:val="245"/>
        </w:trPr>
        <w:tc>
          <w:tcPr>
            <w:tcW w:w="461" w:type="dxa"/>
            <w:vMerge/>
            <w:vAlign w:val="center"/>
          </w:tcPr>
          <w:p w:rsidR="00C542E4" w:rsidRPr="00164FBF" w:rsidRDefault="00C542E4" w:rsidP="009D5584">
            <w:pPr>
              <w:spacing w:after="0" w:line="240" w:lineRule="auto"/>
              <w:jc w:val="center"/>
              <w:rPr>
                <w:rFonts w:ascii="Calibri" w:hAnsi="Calibri"/>
                <w:sz w:val="20"/>
                <w:szCs w:val="20"/>
              </w:rPr>
            </w:pPr>
          </w:p>
        </w:tc>
        <w:tc>
          <w:tcPr>
            <w:tcW w:w="757" w:type="dxa"/>
            <w:vMerge w:val="restart"/>
            <w:shd w:val="clear" w:color="auto" w:fill="D9D9D9" w:themeFill="background1" w:themeFillShade="D9"/>
            <w:vAlign w:val="center"/>
          </w:tcPr>
          <w:p w:rsidR="00C542E4" w:rsidRPr="00A82F8F" w:rsidRDefault="00C542E4" w:rsidP="009D5584">
            <w:pPr>
              <w:spacing w:after="0" w:line="240" w:lineRule="auto"/>
              <w:jc w:val="center"/>
              <w:rPr>
                <w:rFonts w:ascii="Calibri" w:hAnsi="Calibri"/>
                <w:sz w:val="20"/>
                <w:szCs w:val="20"/>
              </w:rPr>
            </w:pPr>
            <w:r w:rsidRPr="00A82F8F">
              <w:rPr>
                <w:rFonts w:ascii="Calibri" w:hAnsi="Calibri"/>
                <w:sz w:val="20"/>
                <w:szCs w:val="20"/>
              </w:rPr>
              <w:t>PARCC</w:t>
            </w:r>
          </w:p>
        </w:tc>
        <w:tc>
          <w:tcPr>
            <w:tcW w:w="870" w:type="dxa"/>
            <w:shd w:val="clear" w:color="auto" w:fill="D9D9D9" w:themeFill="background1" w:themeFillShade="D9"/>
          </w:tcPr>
          <w:p w:rsidR="00C542E4" w:rsidRPr="00A82F8F" w:rsidRDefault="00C542E4" w:rsidP="009D5584">
            <w:pPr>
              <w:spacing w:after="0" w:line="240" w:lineRule="auto"/>
              <w:rPr>
                <w:rFonts w:ascii="Calibri" w:hAnsi="Calibri"/>
                <w:sz w:val="20"/>
                <w:szCs w:val="20"/>
              </w:rPr>
            </w:pPr>
            <w:r w:rsidRPr="00A82F8F">
              <w:rPr>
                <w:rFonts w:ascii="Calibri" w:hAnsi="Calibri"/>
                <w:sz w:val="20"/>
                <w:szCs w:val="20"/>
              </w:rPr>
              <w:t>CPI</w:t>
            </w:r>
          </w:p>
        </w:tc>
        <w:tc>
          <w:tcPr>
            <w:tcW w:w="1049" w:type="dxa"/>
            <w:shd w:val="clear" w:color="auto" w:fill="D9D9D9" w:themeFill="background1" w:themeFillShade="D9"/>
            <w:vAlign w:val="bottom"/>
          </w:tcPr>
          <w:p w:rsidR="00C542E4" w:rsidRPr="005F47D0" w:rsidRDefault="00C542E4" w:rsidP="009D5584">
            <w:pPr>
              <w:spacing w:after="0" w:line="240" w:lineRule="auto"/>
              <w:jc w:val="center"/>
              <w:rPr>
                <w:rFonts w:ascii="Calibri" w:hAnsi="Calibri"/>
                <w:sz w:val="20"/>
                <w:szCs w:val="20"/>
              </w:rPr>
            </w:pPr>
            <w:r>
              <w:rPr>
                <w:rFonts w:ascii="Calibri" w:hAnsi="Calibri"/>
                <w:sz w:val="20"/>
                <w:szCs w:val="20"/>
              </w:rPr>
              <w:t>1,541</w:t>
            </w:r>
          </w:p>
        </w:tc>
        <w:tc>
          <w:tcPr>
            <w:tcW w:w="918" w:type="dxa"/>
            <w:shd w:val="clear" w:color="auto" w:fill="D9D9D9" w:themeFill="background1" w:themeFillShade="D9"/>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60.9</w:t>
            </w:r>
          </w:p>
        </w:tc>
        <w:tc>
          <w:tcPr>
            <w:tcW w:w="919" w:type="dxa"/>
            <w:shd w:val="clear" w:color="auto" w:fill="D9D9D9" w:themeFill="background1" w:themeFillShade="D9"/>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54.9</w:t>
            </w:r>
          </w:p>
        </w:tc>
        <w:tc>
          <w:tcPr>
            <w:tcW w:w="919" w:type="dxa"/>
            <w:shd w:val="clear" w:color="auto" w:fill="D9D9D9" w:themeFill="background1" w:themeFillShade="D9"/>
            <w:vAlign w:val="bottom"/>
          </w:tcPr>
          <w:p w:rsidR="00C542E4" w:rsidRPr="005F47D0" w:rsidRDefault="00C542E4" w:rsidP="009D5584">
            <w:pPr>
              <w:spacing w:after="0" w:line="240" w:lineRule="auto"/>
              <w:jc w:val="center"/>
              <w:rPr>
                <w:rFonts w:ascii="Calibri" w:hAnsi="Calibri"/>
                <w:sz w:val="20"/>
                <w:szCs w:val="20"/>
              </w:rPr>
            </w:pPr>
            <w:r>
              <w:rPr>
                <w:rFonts w:ascii="Calibri" w:hAnsi="Calibri"/>
                <w:sz w:val="20"/>
                <w:szCs w:val="20"/>
              </w:rPr>
              <w:t>61.8</w:t>
            </w:r>
          </w:p>
        </w:tc>
        <w:tc>
          <w:tcPr>
            <w:tcW w:w="919" w:type="dxa"/>
            <w:shd w:val="clear" w:color="auto" w:fill="D9D9D9" w:themeFill="background1" w:themeFillShade="D9"/>
            <w:vAlign w:val="bottom"/>
          </w:tcPr>
          <w:p w:rsidR="00C542E4" w:rsidRPr="005F47D0" w:rsidRDefault="00C542E4" w:rsidP="009D5584">
            <w:pPr>
              <w:spacing w:after="0" w:line="240" w:lineRule="auto"/>
              <w:jc w:val="center"/>
              <w:rPr>
                <w:rFonts w:ascii="Calibri" w:hAnsi="Calibri"/>
                <w:sz w:val="20"/>
                <w:szCs w:val="20"/>
              </w:rPr>
            </w:pPr>
            <w:r>
              <w:rPr>
                <w:rFonts w:ascii="Calibri" w:hAnsi="Calibri"/>
                <w:sz w:val="20"/>
                <w:szCs w:val="20"/>
              </w:rPr>
              <w:t>60.0</w:t>
            </w:r>
          </w:p>
        </w:tc>
        <w:tc>
          <w:tcPr>
            <w:tcW w:w="1126" w:type="dxa"/>
            <w:shd w:val="clear" w:color="auto" w:fill="D9D9D9" w:themeFill="background1" w:themeFillShade="D9"/>
          </w:tcPr>
          <w:p w:rsidR="00C542E4" w:rsidRPr="0066275B" w:rsidRDefault="00C542E4" w:rsidP="009D5584">
            <w:pPr>
              <w:spacing w:after="0" w:line="240" w:lineRule="auto"/>
              <w:jc w:val="center"/>
              <w:rPr>
                <w:rFonts w:ascii="Calibri" w:hAnsi="Calibri"/>
              </w:rPr>
            </w:pPr>
            <w:r w:rsidRPr="0066275B">
              <w:rPr>
                <w:rFonts w:ascii="Calibri" w:hAnsi="Calibri"/>
              </w:rPr>
              <w:t>-0.9</w:t>
            </w:r>
          </w:p>
        </w:tc>
        <w:tc>
          <w:tcPr>
            <w:tcW w:w="990" w:type="dxa"/>
            <w:shd w:val="clear" w:color="auto" w:fill="D9D9D9" w:themeFill="background1" w:themeFillShade="D9"/>
            <w:vAlign w:val="bottom"/>
          </w:tcPr>
          <w:p w:rsidR="00C542E4" w:rsidRPr="0066275B" w:rsidRDefault="00C542E4" w:rsidP="009D5584">
            <w:pPr>
              <w:spacing w:after="0" w:line="240" w:lineRule="auto"/>
              <w:jc w:val="center"/>
              <w:rPr>
                <w:rFonts w:ascii="Calibri" w:hAnsi="Calibri"/>
              </w:rPr>
            </w:pPr>
            <w:r w:rsidRPr="0066275B">
              <w:rPr>
                <w:rFonts w:ascii="Calibri" w:hAnsi="Calibri"/>
              </w:rPr>
              <w:t>-1.8</w:t>
            </w:r>
          </w:p>
        </w:tc>
      </w:tr>
      <w:tr w:rsidR="00C542E4" w:rsidRPr="0066275B" w:rsidTr="009E7CC3">
        <w:trPr>
          <w:trHeight w:val="245"/>
        </w:trPr>
        <w:tc>
          <w:tcPr>
            <w:tcW w:w="461" w:type="dxa"/>
            <w:vMerge/>
            <w:vAlign w:val="center"/>
          </w:tcPr>
          <w:p w:rsidR="00C542E4" w:rsidRPr="00164FBF" w:rsidRDefault="00C542E4" w:rsidP="009D5584">
            <w:pPr>
              <w:spacing w:after="0" w:line="240" w:lineRule="auto"/>
              <w:jc w:val="center"/>
              <w:rPr>
                <w:rFonts w:ascii="Calibri" w:hAnsi="Calibri"/>
                <w:sz w:val="20"/>
                <w:szCs w:val="20"/>
              </w:rPr>
            </w:pPr>
          </w:p>
        </w:tc>
        <w:tc>
          <w:tcPr>
            <w:tcW w:w="757" w:type="dxa"/>
            <w:vMerge/>
            <w:shd w:val="clear" w:color="auto" w:fill="D9D9D9" w:themeFill="background1" w:themeFillShade="D9"/>
            <w:vAlign w:val="center"/>
          </w:tcPr>
          <w:p w:rsidR="00C542E4" w:rsidRPr="00A82F8F" w:rsidRDefault="00C542E4" w:rsidP="009D5584">
            <w:pPr>
              <w:spacing w:after="0" w:line="240" w:lineRule="auto"/>
              <w:jc w:val="center"/>
              <w:rPr>
                <w:rFonts w:ascii="Calibri" w:hAnsi="Calibri"/>
                <w:sz w:val="20"/>
                <w:szCs w:val="20"/>
              </w:rPr>
            </w:pPr>
          </w:p>
        </w:tc>
        <w:tc>
          <w:tcPr>
            <w:tcW w:w="870" w:type="dxa"/>
            <w:shd w:val="clear" w:color="auto" w:fill="D9D9D9" w:themeFill="background1" w:themeFillShade="D9"/>
          </w:tcPr>
          <w:p w:rsidR="00C542E4" w:rsidRPr="00A82F8F" w:rsidRDefault="00C542E4" w:rsidP="009D5584">
            <w:pPr>
              <w:spacing w:after="0" w:line="240" w:lineRule="auto"/>
              <w:rPr>
                <w:rFonts w:ascii="Calibri" w:hAnsi="Calibri"/>
                <w:sz w:val="20"/>
                <w:szCs w:val="20"/>
              </w:rPr>
            </w:pPr>
            <w:r w:rsidRPr="00A82F8F">
              <w:rPr>
                <w:rFonts w:ascii="Calibri" w:hAnsi="Calibri"/>
                <w:sz w:val="20"/>
                <w:szCs w:val="20"/>
              </w:rPr>
              <w:t>Lv 4&amp;5</w:t>
            </w:r>
          </w:p>
        </w:tc>
        <w:tc>
          <w:tcPr>
            <w:tcW w:w="1049" w:type="dxa"/>
            <w:shd w:val="clear" w:color="auto" w:fill="D9D9D9" w:themeFill="background1" w:themeFillShade="D9"/>
            <w:vAlign w:val="bottom"/>
          </w:tcPr>
          <w:p w:rsidR="00C542E4" w:rsidRPr="005F47D0" w:rsidRDefault="00C542E4" w:rsidP="009D5584">
            <w:pPr>
              <w:spacing w:after="0" w:line="240" w:lineRule="auto"/>
              <w:jc w:val="center"/>
              <w:rPr>
                <w:rFonts w:ascii="Calibri" w:hAnsi="Calibri"/>
                <w:sz w:val="20"/>
                <w:szCs w:val="20"/>
              </w:rPr>
            </w:pPr>
            <w:r>
              <w:rPr>
                <w:rFonts w:ascii="Calibri" w:hAnsi="Calibri"/>
                <w:sz w:val="20"/>
                <w:szCs w:val="20"/>
              </w:rPr>
              <w:t>1,496</w:t>
            </w:r>
          </w:p>
        </w:tc>
        <w:tc>
          <w:tcPr>
            <w:tcW w:w="918" w:type="dxa"/>
            <w:shd w:val="clear" w:color="auto" w:fill="D9D9D9" w:themeFill="background1" w:themeFillShade="D9"/>
            <w:vAlign w:val="center"/>
          </w:tcPr>
          <w:p w:rsidR="00C542E4" w:rsidRPr="005F47D0" w:rsidRDefault="00C542E4" w:rsidP="009D5584">
            <w:pPr>
              <w:spacing w:after="0" w:line="240" w:lineRule="auto"/>
              <w:jc w:val="center"/>
              <w:rPr>
                <w:rFonts w:ascii="Calibri" w:hAnsi="Calibri"/>
                <w:color w:val="000000"/>
                <w:sz w:val="20"/>
                <w:szCs w:val="20"/>
              </w:rPr>
            </w:pPr>
            <w:r>
              <w:rPr>
                <w:rFonts w:ascii="Calibri" w:hAnsi="Calibri"/>
                <w:color w:val="000000"/>
                <w:sz w:val="20"/>
                <w:szCs w:val="20"/>
              </w:rPr>
              <w:t>--</w:t>
            </w:r>
          </w:p>
        </w:tc>
        <w:tc>
          <w:tcPr>
            <w:tcW w:w="919" w:type="dxa"/>
            <w:shd w:val="clear" w:color="auto" w:fill="D9D9D9" w:themeFill="background1" w:themeFillShade="D9"/>
            <w:vAlign w:val="center"/>
          </w:tcPr>
          <w:p w:rsidR="00C542E4" w:rsidRPr="005F47D0" w:rsidRDefault="00C542E4" w:rsidP="009D5584">
            <w:pPr>
              <w:spacing w:after="0" w:line="240" w:lineRule="auto"/>
              <w:jc w:val="center"/>
              <w:rPr>
                <w:rFonts w:ascii="Calibri" w:hAnsi="Calibri"/>
                <w:color w:val="000000"/>
                <w:sz w:val="20"/>
                <w:szCs w:val="20"/>
              </w:rPr>
            </w:pPr>
            <w:r>
              <w:rPr>
                <w:rFonts w:ascii="Calibri" w:hAnsi="Calibri"/>
                <w:color w:val="000000"/>
                <w:sz w:val="20"/>
                <w:szCs w:val="20"/>
              </w:rPr>
              <w:t>--</w:t>
            </w:r>
          </w:p>
        </w:tc>
        <w:tc>
          <w:tcPr>
            <w:tcW w:w="919" w:type="dxa"/>
            <w:shd w:val="clear" w:color="auto" w:fill="D9D9D9" w:themeFill="background1" w:themeFillShade="D9"/>
            <w:vAlign w:val="bottom"/>
          </w:tcPr>
          <w:p w:rsidR="00C542E4" w:rsidRPr="005F47D0" w:rsidRDefault="00C542E4" w:rsidP="009D5584">
            <w:pPr>
              <w:spacing w:after="0" w:line="240" w:lineRule="auto"/>
              <w:jc w:val="center"/>
              <w:rPr>
                <w:rFonts w:ascii="Calibri" w:hAnsi="Calibri"/>
                <w:sz w:val="20"/>
                <w:szCs w:val="20"/>
              </w:rPr>
            </w:pPr>
            <w:r>
              <w:rPr>
                <w:rFonts w:ascii="Calibri" w:hAnsi="Calibri"/>
                <w:sz w:val="20"/>
                <w:szCs w:val="20"/>
              </w:rPr>
              <w:t>31%</w:t>
            </w:r>
          </w:p>
        </w:tc>
        <w:tc>
          <w:tcPr>
            <w:tcW w:w="919" w:type="dxa"/>
            <w:shd w:val="clear" w:color="auto" w:fill="D9D9D9" w:themeFill="background1" w:themeFillShade="D9"/>
            <w:vAlign w:val="bottom"/>
          </w:tcPr>
          <w:p w:rsidR="00C542E4" w:rsidRPr="005F47D0" w:rsidRDefault="00C542E4" w:rsidP="009D5584">
            <w:pPr>
              <w:spacing w:after="0" w:line="240" w:lineRule="auto"/>
              <w:jc w:val="center"/>
              <w:rPr>
                <w:rFonts w:ascii="Calibri" w:hAnsi="Calibri"/>
                <w:sz w:val="20"/>
                <w:szCs w:val="20"/>
              </w:rPr>
            </w:pPr>
            <w:r>
              <w:rPr>
                <w:rFonts w:ascii="Calibri" w:hAnsi="Calibri"/>
                <w:sz w:val="20"/>
                <w:szCs w:val="20"/>
              </w:rPr>
              <w:t>30%</w:t>
            </w:r>
          </w:p>
        </w:tc>
        <w:tc>
          <w:tcPr>
            <w:tcW w:w="1126" w:type="dxa"/>
            <w:shd w:val="clear" w:color="auto" w:fill="D9D9D9" w:themeFill="background1" w:themeFillShade="D9"/>
          </w:tcPr>
          <w:p w:rsidR="00C542E4" w:rsidRPr="0066275B" w:rsidRDefault="00C542E4" w:rsidP="009D5584">
            <w:pPr>
              <w:spacing w:after="0" w:line="240" w:lineRule="auto"/>
              <w:jc w:val="center"/>
              <w:rPr>
                <w:rFonts w:ascii="Calibri" w:hAnsi="Calibri"/>
              </w:rPr>
            </w:pPr>
            <w:r w:rsidRPr="0066275B">
              <w:rPr>
                <w:rFonts w:ascii="Calibri" w:hAnsi="Calibri"/>
              </w:rPr>
              <w:t>--</w:t>
            </w:r>
          </w:p>
        </w:tc>
        <w:tc>
          <w:tcPr>
            <w:tcW w:w="990" w:type="dxa"/>
            <w:shd w:val="clear" w:color="auto" w:fill="D9D9D9" w:themeFill="background1" w:themeFillShade="D9"/>
            <w:vAlign w:val="bottom"/>
          </w:tcPr>
          <w:p w:rsidR="00C542E4" w:rsidRPr="0066275B" w:rsidRDefault="00C542E4" w:rsidP="009D5584">
            <w:pPr>
              <w:spacing w:after="0" w:line="240" w:lineRule="auto"/>
              <w:jc w:val="center"/>
              <w:rPr>
                <w:rFonts w:ascii="Calibri" w:hAnsi="Calibri"/>
              </w:rPr>
            </w:pPr>
            <w:r w:rsidRPr="0066275B">
              <w:rPr>
                <w:rFonts w:ascii="Calibri" w:hAnsi="Calibri"/>
              </w:rPr>
              <w:t>-1%</w:t>
            </w:r>
          </w:p>
        </w:tc>
      </w:tr>
      <w:tr w:rsidR="00C542E4" w:rsidRPr="0066275B" w:rsidTr="009E7CC3">
        <w:trPr>
          <w:trHeight w:val="245"/>
        </w:trPr>
        <w:tc>
          <w:tcPr>
            <w:tcW w:w="461" w:type="dxa"/>
            <w:vMerge/>
            <w:vAlign w:val="center"/>
          </w:tcPr>
          <w:p w:rsidR="00C542E4" w:rsidRPr="00164FBF" w:rsidRDefault="00C542E4" w:rsidP="009D5584">
            <w:pPr>
              <w:spacing w:after="0" w:line="240" w:lineRule="auto"/>
              <w:jc w:val="center"/>
              <w:rPr>
                <w:rFonts w:ascii="Calibri" w:hAnsi="Calibri"/>
                <w:sz w:val="20"/>
                <w:szCs w:val="20"/>
              </w:rPr>
            </w:pPr>
          </w:p>
        </w:tc>
        <w:tc>
          <w:tcPr>
            <w:tcW w:w="757" w:type="dxa"/>
            <w:vMerge/>
            <w:shd w:val="clear" w:color="auto" w:fill="D9D9D9" w:themeFill="background1" w:themeFillShade="D9"/>
            <w:vAlign w:val="center"/>
          </w:tcPr>
          <w:p w:rsidR="00C542E4" w:rsidRPr="00A82F8F" w:rsidRDefault="00C542E4" w:rsidP="009D5584">
            <w:pPr>
              <w:spacing w:after="0" w:line="240" w:lineRule="auto"/>
              <w:jc w:val="center"/>
              <w:rPr>
                <w:rFonts w:ascii="Calibri" w:hAnsi="Calibri"/>
                <w:sz w:val="20"/>
                <w:szCs w:val="20"/>
              </w:rPr>
            </w:pPr>
          </w:p>
        </w:tc>
        <w:tc>
          <w:tcPr>
            <w:tcW w:w="870" w:type="dxa"/>
            <w:shd w:val="clear" w:color="auto" w:fill="D9D9D9" w:themeFill="background1" w:themeFillShade="D9"/>
          </w:tcPr>
          <w:p w:rsidR="00C542E4" w:rsidRPr="00A82F8F" w:rsidRDefault="00C542E4" w:rsidP="009D5584">
            <w:pPr>
              <w:spacing w:after="0" w:line="240" w:lineRule="auto"/>
              <w:rPr>
                <w:rFonts w:ascii="Calibri" w:hAnsi="Calibri"/>
                <w:sz w:val="20"/>
                <w:szCs w:val="20"/>
              </w:rPr>
            </w:pPr>
            <w:r w:rsidRPr="00A82F8F">
              <w:rPr>
                <w:rFonts w:ascii="Calibri" w:hAnsi="Calibri"/>
                <w:sz w:val="20"/>
                <w:szCs w:val="20"/>
              </w:rPr>
              <w:t>SGP</w:t>
            </w:r>
          </w:p>
        </w:tc>
        <w:tc>
          <w:tcPr>
            <w:tcW w:w="1049" w:type="dxa"/>
            <w:shd w:val="clear" w:color="auto" w:fill="D9D9D9" w:themeFill="background1" w:themeFillShade="D9"/>
            <w:vAlign w:val="bottom"/>
          </w:tcPr>
          <w:p w:rsidR="00C542E4" w:rsidRPr="005F47D0" w:rsidRDefault="00C542E4" w:rsidP="009D5584">
            <w:pPr>
              <w:spacing w:after="0" w:line="240" w:lineRule="auto"/>
              <w:jc w:val="center"/>
              <w:rPr>
                <w:rFonts w:ascii="Calibri" w:hAnsi="Calibri"/>
                <w:sz w:val="20"/>
                <w:szCs w:val="20"/>
              </w:rPr>
            </w:pPr>
            <w:r>
              <w:rPr>
                <w:rFonts w:ascii="Calibri" w:hAnsi="Calibri"/>
                <w:sz w:val="20"/>
                <w:szCs w:val="20"/>
              </w:rPr>
              <w:t>1,348</w:t>
            </w:r>
          </w:p>
        </w:tc>
        <w:tc>
          <w:tcPr>
            <w:tcW w:w="918" w:type="dxa"/>
            <w:shd w:val="clear" w:color="auto" w:fill="D9D9D9" w:themeFill="background1" w:themeFillShade="D9"/>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41.0</w:t>
            </w:r>
          </w:p>
        </w:tc>
        <w:tc>
          <w:tcPr>
            <w:tcW w:w="919" w:type="dxa"/>
            <w:shd w:val="clear" w:color="auto" w:fill="D9D9D9" w:themeFill="background1" w:themeFillShade="D9"/>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42.0</w:t>
            </w:r>
          </w:p>
        </w:tc>
        <w:tc>
          <w:tcPr>
            <w:tcW w:w="919" w:type="dxa"/>
            <w:shd w:val="clear" w:color="auto" w:fill="D9D9D9" w:themeFill="background1" w:themeFillShade="D9"/>
            <w:vAlign w:val="bottom"/>
          </w:tcPr>
          <w:p w:rsidR="00C542E4" w:rsidRPr="005F47D0" w:rsidRDefault="00C542E4" w:rsidP="009D5584">
            <w:pPr>
              <w:spacing w:after="0" w:line="240" w:lineRule="auto"/>
              <w:jc w:val="center"/>
              <w:rPr>
                <w:rFonts w:ascii="Calibri" w:hAnsi="Calibri"/>
                <w:sz w:val="20"/>
                <w:szCs w:val="20"/>
              </w:rPr>
            </w:pPr>
            <w:r>
              <w:rPr>
                <w:rFonts w:ascii="Calibri" w:hAnsi="Calibri"/>
                <w:sz w:val="20"/>
                <w:szCs w:val="20"/>
              </w:rPr>
              <w:t>50.0</w:t>
            </w:r>
          </w:p>
        </w:tc>
        <w:tc>
          <w:tcPr>
            <w:tcW w:w="919" w:type="dxa"/>
            <w:shd w:val="clear" w:color="auto" w:fill="D9D9D9" w:themeFill="background1" w:themeFillShade="D9"/>
            <w:vAlign w:val="bottom"/>
          </w:tcPr>
          <w:p w:rsidR="00C542E4" w:rsidRPr="005F47D0" w:rsidRDefault="00C542E4" w:rsidP="009D5584">
            <w:pPr>
              <w:spacing w:after="0" w:line="240" w:lineRule="auto"/>
              <w:jc w:val="center"/>
              <w:rPr>
                <w:rFonts w:ascii="Calibri" w:hAnsi="Calibri"/>
                <w:sz w:val="20"/>
                <w:szCs w:val="20"/>
              </w:rPr>
            </w:pPr>
            <w:r>
              <w:rPr>
                <w:rFonts w:ascii="Calibri" w:hAnsi="Calibri"/>
                <w:sz w:val="20"/>
                <w:szCs w:val="20"/>
              </w:rPr>
              <w:t>48.0</w:t>
            </w:r>
          </w:p>
        </w:tc>
        <w:tc>
          <w:tcPr>
            <w:tcW w:w="1126" w:type="dxa"/>
            <w:shd w:val="clear" w:color="auto" w:fill="D9D9D9" w:themeFill="background1" w:themeFillShade="D9"/>
          </w:tcPr>
          <w:p w:rsidR="00C542E4" w:rsidRPr="0066275B" w:rsidRDefault="00C542E4" w:rsidP="009D5584">
            <w:pPr>
              <w:spacing w:after="0" w:line="240" w:lineRule="auto"/>
              <w:jc w:val="center"/>
              <w:rPr>
                <w:rFonts w:ascii="Calibri" w:hAnsi="Calibri"/>
              </w:rPr>
            </w:pPr>
            <w:r w:rsidRPr="0066275B">
              <w:rPr>
                <w:rFonts w:ascii="Calibri" w:hAnsi="Calibri"/>
              </w:rPr>
              <w:t>7.0</w:t>
            </w:r>
          </w:p>
        </w:tc>
        <w:tc>
          <w:tcPr>
            <w:tcW w:w="990" w:type="dxa"/>
            <w:shd w:val="clear" w:color="auto" w:fill="D9D9D9" w:themeFill="background1" w:themeFillShade="D9"/>
            <w:vAlign w:val="bottom"/>
          </w:tcPr>
          <w:p w:rsidR="00C542E4" w:rsidRPr="0066275B" w:rsidRDefault="00C542E4" w:rsidP="009D5584">
            <w:pPr>
              <w:spacing w:after="0" w:line="240" w:lineRule="auto"/>
              <w:jc w:val="center"/>
              <w:rPr>
                <w:rFonts w:ascii="Calibri" w:hAnsi="Calibri"/>
              </w:rPr>
            </w:pPr>
            <w:r w:rsidRPr="0066275B">
              <w:rPr>
                <w:rFonts w:ascii="Calibri" w:hAnsi="Calibri"/>
              </w:rPr>
              <w:t>-2.0</w:t>
            </w:r>
          </w:p>
        </w:tc>
      </w:tr>
      <w:tr w:rsidR="00C542E4" w:rsidRPr="0066275B" w:rsidTr="009E7CC3">
        <w:trPr>
          <w:trHeight w:val="245"/>
        </w:trPr>
        <w:tc>
          <w:tcPr>
            <w:tcW w:w="461" w:type="dxa"/>
            <w:vMerge w:val="restart"/>
            <w:vAlign w:val="center"/>
          </w:tcPr>
          <w:p w:rsidR="00C542E4" w:rsidRPr="00164FBF" w:rsidRDefault="00C542E4" w:rsidP="009D5584">
            <w:pPr>
              <w:spacing w:after="0" w:line="240" w:lineRule="auto"/>
              <w:jc w:val="center"/>
              <w:rPr>
                <w:rFonts w:ascii="Calibri" w:hAnsi="Calibri"/>
                <w:sz w:val="20"/>
                <w:szCs w:val="20"/>
              </w:rPr>
            </w:pPr>
            <w:r w:rsidRPr="00164FBF">
              <w:rPr>
                <w:rFonts w:ascii="Calibri" w:hAnsi="Calibri"/>
                <w:sz w:val="20"/>
                <w:szCs w:val="20"/>
              </w:rPr>
              <w:t>8</w:t>
            </w:r>
          </w:p>
        </w:tc>
        <w:tc>
          <w:tcPr>
            <w:tcW w:w="757" w:type="dxa"/>
            <w:vMerge w:val="restart"/>
            <w:vAlign w:val="center"/>
          </w:tcPr>
          <w:p w:rsidR="00C542E4" w:rsidRPr="00A82F8F" w:rsidRDefault="00C542E4" w:rsidP="009D5584">
            <w:pPr>
              <w:spacing w:after="0" w:line="240" w:lineRule="auto"/>
              <w:jc w:val="center"/>
              <w:rPr>
                <w:rFonts w:ascii="Calibri" w:hAnsi="Calibri"/>
                <w:sz w:val="20"/>
                <w:szCs w:val="20"/>
              </w:rPr>
            </w:pPr>
            <w:r w:rsidRPr="00A82F8F">
              <w:rPr>
                <w:rFonts w:ascii="Calibri" w:hAnsi="Calibri"/>
                <w:sz w:val="20"/>
                <w:szCs w:val="20"/>
              </w:rPr>
              <w:t>MCAS</w:t>
            </w:r>
          </w:p>
        </w:tc>
        <w:tc>
          <w:tcPr>
            <w:tcW w:w="870" w:type="dxa"/>
          </w:tcPr>
          <w:p w:rsidR="00C542E4" w:rsidRPr="00A82F8F" w:rsidRDefault="00C542E4" w:rsidP="009D5584">
            <w:pPr>
              <w:spacing w:after="0" w:line="240" w:lineRule="auto"/>
              <w:rPr>
                <w:rFonts w:ascii="Calibri" w:hAnsi="Calibri"/>
                <w:sz w:val="20"/>
                <w:szCs w:val="20"/>
              </w:rPr>
            </w:pPr>
            <w:r w:rsidRPr="00A82F8F">
              <w:rPr>
                <w:rFonts w:ascii="Calibri" w:hAnsi="Calibri"/>
                <w:sz w:val="20"/>
                <w:szCs w:val="20"/>
              </w:rPr>
              <w:t>CPI</w:t>
            </w:r>
          </w:p>
        </w:tc>
        <w:tc>
          <w:tcPr>
            <w:tcW w:w="1049" w:type="dxa"/>
            <w:vAlign w:val="center"/>
          </w:tcPr>
          <w:p w:rsidR="00C542E4" w:rsidRPr="005F47D0" w:rsidRDefault="00C542E4" w:rsidP="009D5584">
            <w:pPr>
              <w:spacing w:after="0" w:line="240" w:lineRule="auto"/>
              <w:jc w:val="center"/>
              <w:rPr>
                <w:rFonts w:ascii="Calibri" w:hAnsi="Calibri"/>
                <w:color w:val="000000"/>
                <w:sz w:val="20"/>
                <w:szCs w:val="20"/>
              </w:rPr>
            </w:pPr>
            <w:r>
              <w:rPr>
                <w:rFonts w:ascii="Calibri" w:hAnsi="Calibri"/>
                <w:color w:val="000000"/>
                <w:sz w:val="20"/>
                <w:szCs w:val="20"/>
              </w:rPr>
              <w:t>--</w:t>
            </w:r>
          </w:p>
        </w:tc>
        <w:tc>
          <w:tcPr>
            <w:tcW w:w="918"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59.7</w:t>
            </w:r>
          </w:p>
        </w:tc>
        <w:tc>
          <w:tcPr>
            <w:tcW w:w="919"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57.7</w:t>
            </w:r>
          </w:p>
        </w:tc>
        <w:tc>
          <w:tcPr>
            <w:tcW w:w="919"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52.9</w:t>
            </w:r>
          </w:p>
        </w:tc>
        <w:tc>
          <w:tcPr>
            <w:tcW w:w="919" w:type="dxa"/>
            <w:vAlign w:val="center"/>
          </w:tcPr>
          <w:p w:rsidR="00C542E4" w:rsidRPr="005F47D0" w:rsidRDefault="00C542E4" w:rsidP="009D5584">
            <w:pPr>
              <w:spacing w:after="0" w:line="240" w:lineRule="auto"/>
              <w:jc w:val="center"/>
              <w:rPr>
                <w:rFonts w:ascii="Calibri" w:hAnsi="Calibri"/>
                <w:color w:val="000000"/>
                <w:sz w:val="20"/>
                <w:szCs w:val="20"/>
              </w:rPr>
            </w:pPr>
            <w:r>
              <w:rPr>
                <w:rFonts w:ascii="Calibri" w:hAnsi="Calibri"/>
                <w:color w:val="000000"/>
                <w:sz w:val="20"/>
                <w:szCs w:val="20"/>
              </w:rPr>
              <w:t>--</w:t>
            </w:r>
          </w:p>
        </w:tc>
        <w:tc>
          <w:tcPr>
            <w:tcW w:w="1126" w:type="dxa"/>
            <w:vAlign w:val="center"/>
          </w:tcPr>
          <w:p w:rsidR="00C542E4" w:rsidRPr="0066275B" w:rsidRDefault="00C542E4" w:rsidP="009D5584">
            <w:pPr>
              <w:spacing w:after="0" w:line="240" w:lineRule="auto"/>
              <w:jc w:val="center"/>
              <w:rPr>
                <w:rFonts w:ascii="Calibri" w:hAnsi="Calibri"/>
              </w:rPr>
            </w:pPr>
            <w:r w:rsidRPr="0066275B">
              <w:rPr>
                <w:rFonts w:ascii="Calibri" w:hAnsi="Calibri"/>
              </w:rPr>
              <w:t>--</w:t>
            </w:r>
          </w:p>
        </w:tc>
        <w:tc>
          <w:tcPr>
            <w:tcW w:w="990" w:type="dxa"/>
            <w:vAlign w:val="center"/>
          </w:tcPr>
          <w:p w:rsidR="00C542E4" w:rsidRPr="0066275B" w:rsidRDefault="00C542E4" w:rsidP="009D5584">
            <w:pPr>
              <w:spacing w:after="0" w:line="240" w:lineRule="auto"/>
              <w:jc w:val="center"/>
              <w:rPr>
                <w:rFonts w:ascii="Calibri" w:hAnsi="Calibri"/>
              </w:rPr>
            </w:pPr>
            <w:r w:rsidRPr="0066275B">
              <w:rPr>
                <w:rFonts w:ascii="Calibri" w:hAnsi="Calibri"/>
              </w:rPr>
              <w:t>--</w:t>
            </w:r>
          </w:p>
        </w:tc>
      </w:tr>
      <w:tr w:rsidR="00C542E4" w:rsidRPr="0066275B" w:rsidTr="009E7CC3">
        <w:trPr>
          <w:trHeight w:val="245"/>
        </w:trPr>
        <w:tc>
          <w:tcPr>
            <w:tcW w:w="461" w:type="dxa"/>
            <w:vMerge/>
            <w:vAlign w:val="center"/>
          </w:tcPr>
          <w:p w:rsidR="00C542E4" w:rsidRPr="009066CB" w:rsidRDefault="00C542E4" w:rsidP="009D5584">
            <w:pPr>
              <w:spacing w:after="0" w:line="240" w:lineRule="auto"/>
              <w:jc w:val="center"/>
              <w:rPr>
                <w:rFonts w:ascii="Calibri" w:hAnsi="Calibri"/>
                <w:color w:val="FF0000"/>
                <w:sz w:val="20"/>
                <w:szCs w:val="20"/>
              </w:rPr>
            </w:pPr>
          </w:p>
        </w:tc>
        <w:tc>
          <w:tcPr>
            <w:tcW w:w="757" w:type="dxa"/>
            <w:vMerge/>
            <w:vAlign w:val="center"/>
          </w:tcPr>
          <w:p w:rsidR="00C542E4" w:rsidRPr="00A82F8F" w:rsidRDefault="00C542E4" w:rsidP="009D5584">
            <w:pPr>
              <w:spacing w:after="0" w:line="240" w:lineRule="auto"/>
              <w:jc w:val="center"/>
              <w:rPr>
                <w:rFonts w:ascii="Calibri" w:hAnsi="Calibri"/>
                <w:sz w:val="20"/>
                <w:szCs w:val="20"/>
              </w:rPr>
            </w:pPr>
          </w:p>
        </w:tc>
        <w:tc>
          <w:tcPr>
            <w:tcW w:w="870" w:type="dxa"/>
          </w:tcPr>
          <w:p w:rsidR="00C542E4" w:rsidRPr="00A82F8F" w:rsidRDefault="00C542E4" w:rsidP="009D5584">
            <w:pPr>
              <w:spacing w:after="0" w:line="240" w:lineRule="auto"/>
              <w:rPr>
                <w:rFonts w:ascii="Calibri" w:hAnsi="Calibri"/>
                <w:sz w:val="20"/>
                <w:szCs w:val="20"/>
              </w:rPr>
            </w:pPr>
            <w:r w:rsidRPr="00A82F8F">
              <w:rPr>
                <w:rFonts w:ascii="Calibri" w:hAnsi="Calibri"/>
                <w:sz w:val="20"/>
                <w:szCs w:val="20"/>
              </w:rPr>
              <w:t>P+</w:t>
            </w:r>
          </w:p>
        </w:tc>
        <w:tc>
          <w:tcPr>
            <w:tcW w:w="1049" w:type="dxa"/>
            <w:vAlign w:val="center"/>
          </w:tcPr>
          <w:p w:rsidR="00C542E4" w:rsidRPr="005F47D0" w:rsidRDefault="00C542E4" w:rsidP="009D5584">
            <w:pPr>
              <w:spacing w:after="0" w:line="240" w:lineRule="auto"/>
              <w:jc w:val="center"/>
              <w:rPr>
                <w:rFonts w:ascii="Calibri" w:hAnsi="Calibri"/>
                <w:color w:val="000000"/>
                <w:sz w:val="20"/>
                <w:szCs w:val="20"/>
              </w:rPr>
            </w:pPr>
            <w:r>
              <w:rPr>
                <w:rFonts w:ascii="Calibri" w:hAnsi="Calibri"/>
                <w:color w:val="000000"/>
                <w:sz w:val="20"/>
                <w:szCs w:val="20"/>
              </w:rPr>
              <w:t>--</w:t>
            </w:r>
          </w:p>
        </w:tc>
        <w:tc>
          <w:tcPr>
            <w:tcW w:w="918"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33%</w:t>
            </w:r>
          </w:p>
        </w:tc>
        <w:tc>
          <w:tcPr>
            <w:tcW w:w="919"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29%</w:t>
            </w:r>
          </w:p>
        </w:tc>
        <w:tc>
          <w:tcPr>
            <w:tcW w:w="919"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28%</w:t>
            </w:r>
          </w:p>
        </w:tc>
        <w:tc>
          <w:tcPr>
            <w:tcW w:w="919" w:type="dxa"/>
            <w:vAlign w:val="center"/>
          </w:tcPr>
          <w:p w:rsidR="00C542E4" w:rsidRPr="005F47D0" w:rsidRDefault="00C542E4" w:rsidP="009D5584">
            <w:pPr>
              <w:spacing w:after="0" w:line="240" w:lineRule="auto"/>
              <w:jc w:val="center"/>
              <w:rPr>
                <w:rFonts w:ascii="Calibri" w:hAnsi="Calibri"/>
                <w:color w:val="000000"/>
                <w:sz w:val="20"/>
                <w:szCs w:val="20"/>
              </w:rPr>
            </w:pPr>
            <w:r>
              <w:rPr>
                <w:rFonts w:ascii="Calibri" w:hAnsi="Calibri"/>
                <w:color w:val="000000"/>
                <w:sz w:val="20"/>
                <w:szCs w:val="20"/>
              </w:rPr>
              <w:t>--</w:t>
            </w:r>
          </w:p>
        </w:tc>
        <w:tc>
          <w:tcPr>
            <w:tcW w:w="1126" w:type="dxa"/>
            <w:vAlign w:val="center"/>
          </w:tcPr>
          <w:p w:rsidR="00C542E4" w:rsidRPr="0066275B" w:rsidRDefault="00C542E4" w:rsidP="009D5584">
            <w:pPr>
              <w:spacing w:after="0" w:line="240" w:lineRule="auto"/>
              <w:jc w:val="center"/>
              <w:rPr>
                <w:rFonts w:ascii="Calibri" w:hAnsi="Calibri"/>
              </w:rPr>
            </w:pPr>
            <w:r w:rsidRPr="0066275B">
              <w:rPr>
                <w:rFonts w:ascii="Calibri" w:hAnsi="Calibri"/>
              </w:rPr>
              <w:t>--</w:t>
            </w:r>
          </w:p>
        </w:tc>
        <w:tc>
          <w:tcPr>
            <w:tcW w:w="990" w:type="dxa"/>
            <w:vAlign w:val="center"/>
          </w:tcPr>
          <w:p w:rsidR="00C542E4" w:rsidRPr="0066275B" w:rsidRDefault="00C542E4" w:rsidP="009D5584">
            <w:pPr>
              <w:spacing w:after="0" w:line="240" w:lineRule="auto"/>
              <w:jc w:val="center"/>
              <w:rPr>
                <w:rFonts w:ascii="Calibri" w:hAnsi="Calibri"/>
              </w:rPr>
            </w:pPr>
            <w:r w:rsidRPr="0066275B">
              <w:rPr>
                <w:rFonts w:ascii="Calibri" w:hAnsi="Calibri"/>
              </w:rPr>
              <w:t>--</w:t>
            </w:r>
          </w:p>
        </w:tc>
      </w:tr>
      <w:tr w:rsidR="00C542E4" w:rsidRPr="0066275B" w:rsidTr="009E7CC3">
        <w:trPr>
          <w:trHeight w:val="245"/>
        </w:trPr>
        <w:tc>
          <w:tcPr>
            <w:tcW w:w="461" w:type="dxa"/>
            <w:vMerge/>
            <w:vAlign w:val="center"/>
          </w:tcPr>
          <w:p w:rsidR="00C542E4" w:rsidRPr="009066CB" w:rsidRDefault="00C542E4" w:rsidP="009D5584">
            <w:pPr>
              <w:spacing w:after="0" w:line="240" w:lineRule="auto"/>
              <w:jc w:val="center"/>
              <w:rPr>
                <w:rFonts w:ascii="Calibri" w:hAnsi="Calibri"/>
                <w:color w:val="FF0000"/>
                <w:sz w:val="20"/>
                <w:szCs w:val="20"/>
              </w:rPr>
            </w:pPr>
          </w:p>
        </w:tc>
        <w:tc>
          <w:tcPr>
            <w:tcW w:w="757" w:type="dxa"/>
            <w:vMerge/>
            <w:vAlign w:val="center"/>
          </w:tcPr>
          <w:p w:rsidR="00C542E4" w:rsidRPr="00A82F8F" w:rsidRDefault="00C542E4" w:rsidP="009D5584">
            <w:pPr>
              <w:spacing w:after="0" w:line="240" w:lineRule="auto"/>
              <w:jc w:val="center"/>
              <w:rPr>
                <w:rFonts w:ascii="Calibri" w:hAnsi="Calibri"/>
                <w:sz w:val="20"/>
                <w:szCs w:val="20"/>
              </w:rPr>
            </w:pPr>
          </w:p>
        </w:tc>
        <w:tc>
          <w:tcPr>
            <w:tcW w:w="870" w:type="dxa"/>
          </w:tcPr>
          <w:p w:rsidR="00C542E4" w:rsidRPr="00A82F8F" w:rsidRDefault="00C542E4" w:rsidP="009D5584">
            <w:pPr>
              <w:spacing w:after="0" w:line="240" w:lineRule="auto"/>
              <w:rPr>
                <w:rFonts w:ascii="Calibri" w:hAnsi="Calibri"/>
                <w:sz w:val="20"/>
                <w:szCs w:val="20"/>
              </w:rPr>
            </w:pPr>
            <w:r w:rsidRPr="00A82F8F">
              <w:rPr>
                <w:rFonts w:ascii="Calibri" w:hAnsi="Calibri"/>
                <w:sz w:val="20"/>
                <w:szCs w:val="20"/>
              </w:rPr>
              <w:t>SGP</w:t>
            </w:r>
          </w:p>
        </w:tc>
        <w:tc>
          <w:tcPr>
            <w:tcW w:w="1049" w:type="dxa"/>
            <w:vAlign w:val="center"/>
          </w:tcPr>
          <w:p w:rsidR="00C542E4" w:rsidRPr="005F47D0" w:rsidRDefault="00C542E4" w:rsidP="009D5584">
            <w:pPr>
              <w:spacing w:after="0" w:line="240" w:lineRule="auto"/>
              <w:jc w:val="center"/>
              <w:rPr>
                <w:rFonts w:ascii="Calibri" w:hAnsi="Calibri"/>
                <w:color w:val="000000"/>
                <w:sz w:val="20"/>
                <w:szCs w:val="20"/>
              </w:rPr>
            </w:pPr>
            <w:r>
              <w:rPr>
                <w:rFonts w:ascii="Calibri" w:hAnsi="Calibri"/>
                <w:color w:val="000000"/>
                <w:sz w:val="20"/>
                <w:szCs w:val="20"/>
              </w:rPr>
              <w:t>--</w:t>
            </w:r>
          </w:p>
        </w:tc>
        <w:tc>
          <w:tcPr>
            <w:tcW w:w="918"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42.0</w:t>
            </w:r>
          </w:p>
        </w:tc>
        <w:tc>
          <w:tcPr>
            <w:tcW w:w="919"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38.0</w:t>
            </w:r>
          </w:p>
        </w:tc>
        <w:tc>
          <w:tcPr>
            <w:tcW w:w="919" w:type="dxa"/>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37.0</w:t>
            </w:r>
          </w:p>
        </w:tc>
        <w:tc>
          <w:tcPr>
            <w:tcW w:w="919" w:type="dxa"/>
            <w:vAlign w:val="center"/>
          </w:tcPr>
          <w:p w:rsidR="00C542E4" w:rsidRPr="005F47D0" w:rsidRDefault="00C542E4" w:rsidP="009D5584">
            <w:pPr>
              <w:spacing w:after="0" w:line="240" w:lineRule="auto"/>
              <w:jc w:val="center"/>
              <w:rPr>
                <w:rFonts w:ascii="Calibri" w:hAnsi="Calibri"/>
                <w:color w:val="000000"/>
                <w:sz w:val="20"/>
                <w:szCs w:val="20"/>
              </w:rPr>
            </w:pPr>
            <w:r>
              <w:rPr>
                <w:rFonts w:ascii="Calibri" w:hAnsi="Calibri"/>
                <w:color w:val="000000"/>
                <w:sz w:val="20"/>
                <w:szCs w:val="20"/>
              </w:rPr>
              <w:t>--</w:t>
            </w:r>
          </w:p>
        </w:tc>
        <w:tc>
          <w:tcPr>
            <w:tcW w:w="1126" w:type="dxa"/>
            <w:vAlign w:val="center"/>
          </w:tcPr>
          <w:p w:rsidR="00C542E4" w:rsidRPr="0066275B" w:rsidRDefault="00C542E4" w:rsidP="009D5584">
            <w:pPr>
              <w:spacing w:after="0" w:line="240" w:lineRule="auto"/>
              <w:jc w:val="center"/>
              <w:rPr>
                <w:rFonts w:ascii="Calibri" w:hAnsi="Calibri"/>
              </w:rPr>
            </w:pPr>
            <w:r w:rsidRPr="0066275B">
              <w:rPr>
                <w:rFonts w:ascii="Calibri" w:hAnsi="Calibri"/>
              </w:rPr>
              <w:t>--</w:t>
            </w:r>
          </w:p>
        </w:tc>
        <w:tc>
          <w:tcPr>
            <w:tcW w:w="990" w:type="dxa"/>
            <w:vAlign w:val="center"/>
          </w:tcPr>
          <w:p w:rsidR="00C542E4" w:rsidRPr="0066275B" w:rsidRDefault="00C542E4" w:rsidP="009D5584">
            <w:pPr>
              <w:spacing w:after="0" w:line="240" w:lineRule="auto"/>
              <w:jc w:val="center"/>
              <w:rPr>
                <w:rFonts w:ascii="Calibri" w:hAnsi="Calibri"/>
              </w:rPr>
            </w:pPr>
            <w:r w:rsidRPr="0066275B">
              <w:rPr>
                <w:rFonts w:ascii="Calibri" w:hAnsi="Calibri"/>
              </w:rPr>
              <w:t>--</w:t>
            </w:r>
          </w:p>
        </w:tc>
      </w:tr>
      <w:tr w:rsidR="00C542E4" w:rsidRPr="0066275B" w:rsidTr="009E7CC3">
        <w:trPr>
          <w:trHeight w:val="245"/>
        </w:trPr>
        <w:tc>
          <w:tcPr>
            <w:tcW w:w="461" w:type="dxa"/>
            <w:vMerge/>
            <w:vAlign w:val="center"/>
          </w:tcPr>
          <w:p w:rsidR="00C542E4" w:rsidRPr="009066CB" w:rsidRDefault="00C542E4" w:rsidP="009D5584">
            <w:pPr>
              <w:spacing w:after="0" w:line="240" w:lineRule="auto"/>
              <w:jc w:val="center"/>
              <w:rPr>
                <w:rFonts w:ascii="Calibri" w:hAnsi="Calibri"/>
                <w:color w:val="FF0000"/>
                <w:sz w:val="20"/>
                <w:szCs w:val="20"/>
              </w:rPr>
            </w:pPr>
          </w:p>
        </w:tc>
        <w:tc>
          <w:tcPr>
            <w:tcW w:w="757" w:type="dxa"/>
            <w:vMerge w:val="restart"/>
            <w:shd w:val="clear" w:color="auto" w:fill="D9D9D9" w:themeFill="background1" w:themeFillShade="D9"/>
            <w:vAlign w:val="center"/>
          </w:tcPr>
          <w:p w:rsidR="00C542E4" w:rsidRPr="00A82F8F" w:rsidRDefault="00C542E4" w:rsidP="009D5584">
            <w:pPr>
              <w:spacing w:after="0" w:line="240" w:lineRule="auto"/>
              <w:jc w:val="center"/>
              <w:rPr>
                <w:rFonts w:ascii="Calibri" w:hAnsi="Calibri"/>
                <w:sz w:val="20"/>
                <w:szCs w:val="20"/>
              </w:rPr>
            </w:pPr>
            <w:r w:rsidRPr="00A82F8F">
              <w:rPr>
                <w:rFonts w:ascii="Calibri" w:hAnsi="Calibri"/>
                <w:sz w:val="20"/>
                <w:szCs w:val="20"/>
              </w:rPr>
              <w:t>PARCC</w:t>
            </w:r>
          </w:p>
        </w:tc>
        <w:tc>
          <w:tcPr>
            <w:tcW w:w="870" w:type="dxa"/>
            <w:shd w:val="clear" w:color="auto" w:fill="D9D9D9" w:themeFill="background1" w:themeFillShade="D9"/>
          </w:tcPr>
          <w:p w:rsidR="00C542E4" w:rsidRPr="00A82F8F" w:rsidRDefault="00C542E4" w:rsidP="009D5584">
            <w:pPr>
              <w:spacing w:after="0" w:line="240" w:lineRule="auto"/>
              <w:rPr>
                <w:rFonts w:ascii="Calibri" w:hAnsi="Calibri"/>
                <w:sz w:val="20"/>
                <w:szCs w:val="20"/>
              </w:rPr>
            </w:pPr>
            <w:r w:rsidRPr="00A82F8F">
              <w:rPr>
                <w:rFonts w:ascii="Calibri" w:hAnsi="Calibri"/>
                <w:sz w:val="20"/>
                <w:szCs w:val="20"/>
              </w:rPr>
              <w:t>CPI</w:t>
            </w:r>
          </w:p>
        </w:tc>
        <w:tc>
          <w:tcPr>
            <w:tcW w:w="1049" w:type="dxa"/>
            <w:shd w:val="clear" w:color="auto" w:fill="D9D9D9" w:themeFill="background1" w:themeFillShade="D9"/>
            <w:vAlign w:val="bottom"/>
          </w:tcPr>
          <w:p w:rsidR="00C542E4" w:rsidRPr="005F47D0" w:rsidRDefault="00C542E4" w:rsidP="009D5584">
            <w:pPr>
              <w:spacing w:after="0" w:line="240" w:lineRule="auto"/>
              <w:jc w:val="center"/>
              <w:rPr>
                <w:rFonts w:ascii="Calibri" w:hAnsi="Calibri"/>
                <w:sz w:val="20"/>
                <w:szCs w:val="20"/>
              </w:rPr>
            </w:pPr>
            <w:r>
              <w:rPr>
                <w:rFonts w:ascii="Calibri" w:hAnsi="Calibri"/>
                <w:sz w:val="20"/>
                <w:szCs w:val="20"/>
              </w:rPr>
              <w:t>1,508</w:t>
            </w:r>
          </w:p>
        </w:tc>
        <w:tc>
          <w:tcPr>
            <w:tcW w:w="918" w:type="dxa"/>
            <w:shd w:val="clear" w:color="auto" w:fill="D9D9D9" w:themeFill="background1" w:themeFillShade="D9"/>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59.7</w:t>
            </w:r>
          </w:p>
        </w:tc>
        <w:tc>
          <w:tcPr>
            <w:tcW w:w="919" w:type="dxa"/>
            <w:shd w:val="clear" w:color="auto" w:fill="D9D9D9" w:themeFill="background1" w:themeFillShade="D9"/>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57.7</w:t>
            </w:r>
          </w:p>
        </w:tc>
        <w:tc>
          <w:tcPr>
            <w:tcW w:w="919" w:type="dxa"/>
            <w:shd w:val="clear" w:color="auto" w:fill="D9D9D9" w:themeFill="background1" w:themeFillShade="D9"/>
            <w:vAlign w:val="bottom"/>
          </w:tcPr>
          <w:p w:rsidR="00C542E4" w:rsidRPr="005F47D0" w:rsidRDefault="00C542E4" w:rsidP="009D5584">
            <w:pPr>
              <w:spacing w:after="0" w:line="240" w:lineRule="auto"/>
              <w:jc w:val="center"/>
              <w:rPr>
                <w:rFonts w:ascii="Calibri" w:hAnsi="Calibri"/>
                <w:sz w:val="20"/>
                <w:szCs w:val="20"/>
              </w:rPr>
            </w:pPr>
            <w:r>
              <w:rPr>
                <w:rFonts w:ascii="Calibri" w:hAnsi="Calibri"/>
                <w:sz w:val="20"/>
                <w:szCs w:val="20"/>
              </w:rPr>
              <w:t>64.0</w:t>
            </w:r>
          </w:p>
        </w:tc>
        <w:tc>
          <w:tcPr>
            <w:tcW w:w="919" w:type="dxa"/>
            <w:shd w:val="clear" w:color="auto" w:fill="D9D9D9" w:themeFill="background1" w:themeFillShade="D9"/>
            <w:vAlign w:val="bottom"/>
          </w:tcPr>
          <w:p w:rsidR="00C542E4" w:rsidRPr="005F47D0" w:rsidRDefault="00C542E4" w:rsidP="009D5584">
            <w:pPr>
              <w:spacing w:after="0" w:line="240" w:lineRule="auto"/>
              <w:jc w:val="center"/>
              <w:rPr>
                <w:rFonts w:ascii="Calibri" w:hAnsi="Calibri"/>
                <w:sz w:val="20"/>
                <w:szCs w:val="20"/>
              </w:rPr>
            </w:pPr>
            <w:r>
              <w:rPr>
                <w:rFonts w:ascii="Calibri" w:hAnsi="Calibri"/>
                <w:sz w:val="20"/>
                <w:szCs w:val="20"/>
              </w:rPr>
              <w:t>65.7</w:t>
            </w:r>
          </w:p>
        </w:tc>
        <w:tc>
          <w:tcPr>
            <w:tcW w:w="1126" w:type="dxa"/>
            <w:shd w:val="clear" w:color="auto" w:fill="D9D9D9" w:themeFill="background1" w:themeFillShade="D9"/>
          </w:tcPr>
          <w:p w:rsidR="00C542E4" w:rsidRPr="0066275B" w:rsidRDefault="00C542E4" w:rsidP="009D5584">
            <w:pPr>
              <w:spacing w:after="0" w:line="240" w:lineRule="auto"/>
              <w:jc w:val="center"/>
              <w:rPr>
                <w:rFonts w:ascii="Calibri" w:hAnsi="Calibri"/>
              </w:rPr>
            </w:pPr>
            <w:r w:rsidRPr="0066275B">
              <w:rPr>
                <w:rFonts w:ascii="Calibri" w:hAnsi="Calibri"/>
              </w:rPr>
              <w:t>6.0</w:t>
            </w:r>
          </w:p>
        </w:tc>
        <w:tc>
          <w:tcPr>
            <w:tcW w:w="990" w:type="dxa"/>
            <w:shd w:val="clear" w:color="auto" w:fill="D9D9D9" w:themeFill="background1" w:themeFillShade="D9"/>
            <w:vAlign w:val="bottom"/>
          </w:tcPr>
          <w:p w:rsidR="00C542E4" w:rsidRPr="0066275B" w:rsidRDefault="00C542E4" w:rsidP="009D5584">
            <w:pPr>
              <w:spacing w:after="0" w:line="240" w:lineRule="auto"/>
              <w:jc w:val="center"/>
              <w:rPr>
                <w:rFonts w:ascii="Calibri" w:hAnsi="Calibri"/>
              </w:rPr>
            </w:pPr>
            <w:r w:rsidRPr="0066275B">
              <w:rPr>
                <w:rFonts w:ascii="Calibri" w:hAnsi="Calibri"/>
              </w:rPr>
              <w:t>1.7</w:t>
            </w:r>
          </w:p>
        </w:tc>
      </w:tr>
      <w:tr w:rsidR="00C542E4" w:rsidRPr="0066275B" w:rsidTr="009E7CC3">
        <w:trPr>
          <w:trHeight w:val="245"/>
        </w:trPr>
        <w:tc>
          <w:tcPr>
            <w:tcW w:w="461" w:type="dxa"/>
            <w:vMerge/>
            <w:vAlign w:val="center"/>
          </w:tcPr>
          <w:p w:rsidR="00C542E4" w:rsidRPr="009066CB" w:rsidRDefault="00C542E4" w:rsidP="009D5584">
            <w:pPr>
              <w:spacing w:after="0" w:line="240" w:lineRule="auto"/>
              <w:jc w:val="center"/>
              <w:rPr>
                <w:rFonts w:ascii="Calibri" w:hAnsi="Calibri"/>
                <w:color w:val="FF0000"/>
                <w:sz w:val="20"/>
                <w:szCs w:val="20"/>
              </w:rPr>
            </w:pPr>
          </w:p>
        </w:tc>
        <w:tc>
          <w:tcPr>
            <w:tcW w:w="757" w:type="dxa"/>
            <w:vMerge/>
            <w:shd w:val="clear" w:color="auto" w:fill="D9D9D9" w:themeFill="background1" w:themeFillShade="D9"/>
          </w:tcPr>
          <w:p w:rsidR="00C542E4" w:rsidRPr="009066CB" w:rsidRDefault="00C542E4" w:rsidP="009D5584">
            <w:pPr>
              <w:spacing w:after="0" w:line="240" w:lineRule="auto"/>
              <w:rPr>
                <w:rFonts w:ascii="Calibri" w:hAnsi="Calibri"/>
                <w:color w:val="FF0000"/>
                <w:sz w:val="20"/>
                <w:szCs w:val="20"/>
              </w:rPr>
            </w:pPr>
          </w:p>
        </w:tc>
        <w:tc>
          <w:tcPr>
            <w:tcW w:w="870" w:type="dxa"/>
            <w:shd w:val="clear" w:color="auto" w:fill="D9D9D9" w:themeFill="background1" w:themeFillShade="D9"/>
          </w:tcPr>
          <w:p w:rsidR="00C542E4" w:rsidRPr="00A82F8F" w:rsidRDefault="00C542E4" w:rsidP="009D5584">
            <w:pPr>
              <w:spacing w:after="0" w:line="240" w:lineRule="auto"/>
              <w:rPr>
                <w:rFonts w:ascii="Calibri" w:hAnsi="Calibri"/>
                <w:sz w:val="20"/>
                <w:szCs w:val="20"/>
              </w:rPr>
            </w:pPr>
            <w:r w:rsidRPr="00A82F8F">
              <w:rPr>
                <w:rFonts w:ascii="Calibri" w:hAnsi="Calibri"/>
                <w:sz w:val="20"/>
                <w:szCs w:val="20"/>
              </w:rPr>
              <w:t>Lv 4&amp;5</w:t>
            </w:r>
          </w:p>
        </w:tc>
        <w:tc>
          <w:tcPr>
            <w:tcW w:w="1049" w:type="dxa"/>
            <w:shd w:val="clear" w:color="auto" w:fill="D9D9D9" w:themeFill="background1" w:themeFillShade="D9"/>
            <w:vAlign w:val="bottom"/>
          </w:tcPr>
          <w:p w:rsidR="00C542E4" w:rsidRPr="005F47D0" w:rsidRDefault="00C542E4" w:rsidP="009D5584">
            <w:pPr>
              <w:spacing w:after="0" w:line="240" w:lineRule="auto"/>
              <w:jc w:val="center"/>
              <w:rPr>
                <w:rFonts w:ascii="Calibri" w:hAnsi="Calibri"/>
                <w:sz w:val="20"/>
                <w:szCs w:val="20"/>
              </w:rPr>
            </w:pPr>
            <w:r>
              <w:rPr>
                <w:rFonts w:ascii="Calibri" w:hAnsi="Calibri"/>
                <w:sz w:val="20"/>
                <w:szCs w:val="20"/>
              </w:rPr>
              <w:t>1,465</w:t>
            </w:r>
          </w:p>
        </w:tc>
        <w:tc>
          <w:tcPr>
            <w:tcW w:w="918" w:type="dxa"/>
            <w:shd w:val="clear" w:color="auto" w:fill="D9D9D9" w:themeFill="background1" w:themeFillShade="D9"/>
            <w:vAlign w:val="center"/>
          </w:tcPr>
          <w:p w:rsidR="00C542E4" w:rsidRPr="005F47D0" w:rsidRDefault="00C542E4" w:rsidP="009D5584">
            <w:pPr>
              <w:spacing w:after="0" w:line="240" w:lineRule="auto"/>
              <w:jc w:val="center"/>
              <w:rPr>
                <w:rFonts w:ascii="Calibri" w:hAnsi="Calibri"/>
                <w:color w:val="000000"/>
                <w:sz w:val="20"/>
                <w:szCs w:val="20"/>
              </w:rPr>
            </w:pPr>
            <w:r>
              <w:rPr>
                <w:rFonts w:ascii="Calibri" w:hAnsi="Calibri"/>
                <w:color w:val="000000"/>
                <w:sz w:val="20"/>
                <w:szCs w:val="20"/>
              </w:rPr>
              <w:t>--</w:t>
            </w:r>
          </w:p>
        </w:tc>
        <w:tc>
          <w:tcPr>
            <w:tcW w:w="919" w:type="dxa"/>
            <w:shd w:val="clear" w:color="auto" w:fill="D9D9D9" w:themeFill="background1" w:themeFillShade="D9"/>
            <w:vAlign w:val="center"/>
          </w:tcPr>
          <w:p w:rsidR="00C542E4" w:rsidRPr="005F47D0" w:rsidRDefault="00C542E4" w:rsidP="009D5584">
            <w:pPr>
              <w:spacing w:after="0" w:line="240" w:lineRule="auto"/>
              <w:jc w:val="center"/>
              <w:rPr>
                <w:rFonts w:ascii="Calibri" w:hAnsi="Calibri"/>
                <w:color w:val="000000"/>
                <w:sz w:val="20"/>
                <w:szCs w:val="20"/>
              </w:rPr>
            </w:pPr>
            <w:r>
              <w:rPr>
                <w:rFonts w:ascii="Calibri" w:hAnsi="Calibri"/>
                <w:color w:val="000000"/>
                <w:sz w:val="20"/>
                <w:szCs w:val="20"/>
              </w:rPr>
              <w:t>--</w:t>
            </w:r>
          </w:p>
        </w:tc>
        <w:tc>
          <w:tcPr>
            <w:tcW w:w="919" w:type="dxa"/>
            <w:shd w:val="clear" w:color="auto" w:fill="D9D9D9" w:themeFill="background1" w:themeFillShade="D9"/>
            <w:vAlign w:val="bottom"/>
          </w:tcPr>
          <w:p w:rsidR="00C542E4" w:rsidRPr="005F47D0" w:rsidRDefault="00C542E4" w:rsidP="009D5584">
            <w:pPr>
              <w:spacing w:after="0" w:line="240" w:lineRule="auto"/>
              <w:jc w:val="center"/>
              <w:rPr>
                <w:rFonts w:ascii="Calibri" w:hAnsi="Calibri"/>
                <w:sz w:val="20"/>
                <w:szCs w:val="20"/>
              </w:rPr>
            </w:pPr>
            <w:r>
              <w:rPr>
                <w:rFonts w:ascii="Calibri" w:hAnsi="Calibri"/>
                <w:sz w:val="20"/>
                <w:szCs w:val="20"/>
              </w:rPr>
              <w:t>34%</w:t>
            </w:r>
          </w:p>
        </w:tc>
        <w:tc>
          <w:tcPr>
            <w:tcW w:w="919" w:type="dxa"/>
            <w:shd w:val="clear" w:color="auto" w:fill="D9D9D9" w:themeFill="background1" w:themeFillShade="D9"/>
            <w:vAlign w:val="bottom"/>
          </w:tcPr>
          <w:p w:rsidR="00C542E4" w:rsidRPr="005F47D0" w:rsidRDefault="00C542E4" w:rsidP="009D5584">
            <w:pPr>
              <w:spacing w:after="0" w:line="240" w:lineRule="auto"/>
              <w:jc w:val="center"/>
              <w:rPr>
                <w:rFonts w:ascii="Calibri" w:hAnsi="Calibri"/>
                <w:sz w:val="20"/>
                <w:szCs w:val="20"/>
              </w:rPr>
            </w:pPr>
            <w:r>
              <w:rPr>
                <w:rFonts w:ascii="Calibri" w:hAnsi="Calibri"/>
                <w:sz w:val="20"/>
                <w:szCs w:val="20"/>
              </w:rPr>
              <w:t>33%</w:t>
            </w:r>
          </w:p>
        </w:tc>
        <w:tc>
          <w:tcPr>
            <w:tcW w:w="1126" w:type="dxa"/>
            <w:shd w:val="clear" w:color="auto" w:fill="D9D9D9" w:themeFill="background1" w:themeFillShade="D9"/>
          </w:tcPr>
          <w:p w:rsidR="00C542E4" w:rsidRPr="0066275B" w:rsidRDefault="00C542E4" w:rsidP="009D5584">
            <w:pPr>
              <w:spacing w:after="0" w:line="240" w:lineRule="auto"/>
              <w:jc w:val="center"/>
              <w:rPr>
                <w:rFonts w:ascii="Calibri" w:hAnsi="Calibri"/>
              </w:rPr>
            </w:pPr>
            <w:r w:rsidRPr="0066275B">
              <w:rPr>
                <w:rFonts w:ascii="Calibri" w:hAnsi="Calibri"/>
              </w:rPr>
              <w:t>--</w:t>
            </w:r>
          </w:p>
        </w:tc>
        <w:tc>
          <w:tcPr>
            <w:tcW w:w="990" w:type="dxa"/>
            <w:shd w:val="clear" w:color="auto" w:fill="D9D9D9" w:themeFill="background1" w:themeFillShade="D9"/>
            <w:vAlign w:val="bottom"/>
          </w:tcPr>
          <w:p w:rsidR="00C542E4" w:rsidRPr="0066275B" w:rsidRDefault="00C542E4" w:rsidP="009D5584">
            <w:pPr>
              <w:spacing w:after="0" w:line="240" w:lineRule="auto"/>
              <w:jc w:val="center"/>
              <w:rPr>
                <w:rFonts w:ascii="Calibri" w:hAnsi="Calibri"/>
              </w:rPr>
            </w:pPr>
            <w:r w:rsidRPr="0066275B">
              <w:rPr>
                <w:rFonts w:ascii="Calibri" w:hAnsi="Calibri"/>
              </w:rPr>
              <w:t>-1%</w:t>
            </w:r>
          </w:p>
        </w:tc>
      </w:tr>
      <w:tr w:rsidR="00C542E4" w:rsidRPr="0066275B" w:rsidTr="009E7CC3">
        <w:trPr>
          <w:trHeight w:val="245"/>
        </w:trPr>
        <w:tc>
          <w:tcPr>
            <w:tcW w:w="461" w:type="dxa"/>
            <w:vMerge/>
            <w:vAlign w:val="center"/>
          </w:tcPr>
          <w:p w:rsidR="00C542E4" w:rsidRPr="009066CB" w:rsidRDefault="00C542E4" w:rsidP="009D5584">
            <w:pPr>
              <w:spacing w:after="0" w:line="240" w:lineRule="auto"/>
              <w:jc w:val="center"/>
              <w:rPr>
                <w:rFonts w:ascii="Calibri" w:hAnsi="Calibri"/>
                <w:color w:val="FF0000"/>
                <w:sz w:val="20"/>
                <w:szCs w:val="20"/>
              </w:rPr>
            </w:pPr>
          </w:p>
        </w:tc>
        <w:tc>
          <w:tcPr>
            <w:tcW w:w="757" w:type="dxa"/>
            <w:vMerge/>
            <w:shd w:val="clear" w:color="auto" w:fill="D9D9D9" w:themeFill="background1" w:themeFillShade="D9"/>
          </w:tcPr>
          <w:p w:rsidR="00C542E4" w:rsidRPr="009066CB" w:rsidRDefault="00C542E4" w:rsidP="009D5584">
            <w:pPr>
              <w:spacing w:after="0" w:line="240" w:lineRule="auto"/>
              <w:rPr>
                <w:rFonts w:ascii="Calibri" w:hAnsi="Calibri"/>
                <w:color w:val="FF0000"/>
                <w:sz w:val="20"/>
                <w:szCs w:val="20"/>
              </w:rPr>
            </w:pPr>
          </w:p>
        </w:tc>
        <w:tc>
          <w:tcPr>
            <w:tcW w:w="870" w:type="dxa"/>
            <w:shd w:val="clear" w:color="auto" w:fill="D9D9D9" w:themeFill="background1" w:themeFillShade="D9"/>
          </w:tcPr>
          <w:p w:rsidR="00C542E4" w:rsidRPr="00A82F8F" w:rsidRDefault="00C542E4" w:rsidP="009D5584">
            <w:pPr>
              <w:spacing w:after="0" w:line="240" w:lineRule="auto"/>
              <w:rPr>
                <w:rFonts w:ascii="Calibri" w:hAnsi="Calibri"/>
                <w:sz w:val="20"/>
                <w:szCs w:val="20"/>
              </w:rPr>
            </w:pPr>
            <w:r w:rsidRPr="00A82F8F">
              <w:rPr>
                <w:rFonts w:ascii="Calibri" w:hAnsi="Calibri"/>
                <w:sz w:val="20"/>
                <w:szCs w:val="20"/>
              </w:rPr>
              <w:t>SGP</w:t>
            </w:r>
          </w:p>
        </w:tc>
        <w:tc>
          <w:tcPr>
            <w:tcW w:w="1049" w:type="dxa"/>
            <w:shd w:val="clear" w:color="auto" w:fill="D9D9D9" w:themeFill="background1" w:themeFillShade="D9"/>
            <w:vAlign w:val="bottom"/>
          </w:tcPr>
          <w:p w:rsidR="00C542E4" w:rsidRPr="005F47D0" w:rsidRDefault="00C542E4" w:rsidP="009D5584">
            <w:pPr>
              <w:spacing w:after="0" w:line="240" w:lineRule="auto"/>
              <w:jc w:val="center"/>
              <w:rPr>
                <w:rFonts w:ascii="Calibri" w:hAnsi="Calibri"/>
                <w:sz w:val="20"/>
                <w:szCs w:val="20"/>
              </w:rPr>
            </w:pPr>
            <w:r>
              <w:rPr>
                <w:rFonts w:ascii="Calibri" w:hAnsi="Calibri"/>
                <w:sz w:val="20"/>
                <w:szCs w:val="20"/>
              </w:rPr>
              <w:t>1,314</w:t>
            </w:r>
          </w:p>
        </w:tc>
        <w:tc>
          <w:tcPr>
            <w:tcW w:w="918" w:type="dxa"/>
            <w:shd w:val="clear" w:color="auto" w:fill="D9D9D9" w:themeFill="background1" w:themeFillShade="D9"/>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42.0</w:t>
            </w:r>
          </w:p>
        </w:tc>
        <w:tc>
          <w:tcPr>
            <w:tcW w:w="919" w:type="dxa"/>
            <w:shd w:val="clear" w:color="auto" w:fill="D9D9D9" w:themeFill="background1" w:themeFillShade="D9"/>
            <w:vAlign w:val="center"/>
          </w:tcPr>
          <w:p w:rsidR="00C542E4" w:rsidRPr="005F47D0" w:rsidRDefault="00C542E4" w:rsidP="009D5584">
            <w:pPr>
              <w:spacing w:after="0" w:line="240" w:lineRule="auto"/>
              <w:jc w:val="center"/>
              <w:rPr>
                <w:rFonts w:ascii="Calibri" w:hAnsi="Calibri"/>
                <w:color w:val="000000"/>
                <w:sz w:val="20"/>
                <w:szCs w:val="20"/>
              </w:rPr>
            </w:pPr>
            <w:r w:rsidRPr="005F47D0">
              <w:rPr>
                <w:rFonts w:ascii="Calibri" w:hAnsi="Calibri"/>
                <w:color w:val="000000"/>
                <w:sz w:val="20"/>
                <w:szCs w:val="20"/>
              </w:rPr>
              <w:t>38.0</w:t>
            </w:r>
          </w:p>
        </w:tc>
        <w:tc>
          <w:tcPr>
            <w:tcW w:w="919" w:type="dxa"/>
            <w:shd w:val="clear" w:color="auto" w:fill="D9D9D9" w:themeFill="background1" w:themeFillShade="D9"/>
            <w:vAlign w:val="bottom"/>
          </w:tcPr>
          <w:p w:rsidR="00C542E4" w:rsidRPr="005F47D0" w:rsidRDefault="00C542E4" w:rsidP="009D5584">
            <w:pPr>
              <w:spacing w:after="0" w:line="240" w:lineRule="auto"/>
              <w:jc w:val="center"/>
              <w:rPr>
                <w:rFonts w:ascii="Calibri" w:hAnsi="Calibri"/>
                <w:sz w:val="20"/>
                <w:szCs w:val="20"/>
              </w:rPr>
            </w:pPr>
            <w:r>
              <w:rPr>
                <w:rFonts w:ascii="Calibri" w:hAnsi="Calibri"/>
                <w:sz w:val="20"/>
                <w:szCs w:val="20"/>
              </w:rPr>
              <w:t>51.0</w:t>
            </w:r>
          </w:p>
        </w:tc>
        <w:tc>
          <w:tcPr>
            <w:tcW w:w="919" w:type="dxa"/>
            <w:shd w:val="clear" w:color="auto" w:fill="D9D9D9" w:themeFill="background1" w:themeFillShade="D9"/>
            <w:vAlign w:val="bottom"/>
          </w:tcPr>
          <w:p w:rsidR="00C542E4" w:rsidRPr="005F47D0" w:rsidRDefault="00C542E4" w:rsidP="009D5584">
            <w:pPr>
              <w:spacing w:after="0" w:line="240" w:lineRule="auto"/>
              <w:jc w:val="center"/>
              <w:rPr>
                <w:rFonts w:ascii="Calibri" w:hAnsi="Calibri"/>
                <w:sz w:val="20"/>
                <w:szCs w:val="20"/>
              </w:rPr>
            </w:pPr>
            <w:r>
              <w:rPr>
                <w:rFonts w:ascii="Calibri" w:hAnsi="Calibri"/>
                <w:sz w:val="20"/>
                <w:szCs w:val="20"/>
              </w:rPr>
              <w:t>46.0</w:t>
            </w:r>
          </w:p>
        </w:tc>
        <w:tc>
          <w:tcPr>
            <w:tcW w:w="1126" w:type="dxa"/>
            <w:shd w:val="clear" w:color="auto" w:fill="D9D9D9" w:themeFill="background1" w:themeFillShade="D9"/>
          </w:tcPr>
          <w:p w:rsidR="00C542E4" w:rsidRPr="0066275B" w:rsidRDefault="00C542E4" w:rsidP="009D5584">
            <w:pPr>
              <w:spacing w:after="0" w:line="240" w:lineRule="auto"/>
              <w:jc w:val="center"/>
              <w:rPr>
                <w:rFonts w:ascii="Calibri" w:hAnsi="Calibri"/>
              </w:rPr>
            </w:pPr>
            <w:r w:rsidRPr="0066275B">
              <w:rPr>
                <w:rFonts w:ascii="Calibri" w:hAnsi="Calibri"/>
              </w:rPr>
              <w:t>4.0</w:t>
            </w:r>
          </w:p>
        </w:tc>
        <w:tc>
          <w:tcPr>
            <w:tcW w:w="990" w:type="dxa"/>
            <w:shd w:val="clear" w:color="auto" w:fill="D9D9D9" w:themeFill="background1" w:themeFillShade="D9"/>
            <w:vAlign w:val="bottom"/>
          </w:tcPr>
          <w:p w:rsidR="00C542E4" w:rsidRPr="0066275B" w:rsidRDefault="00C542E4" w:rsidP="009D5584">
            <w:pPr>
              <w:spacing w:after="0" w:line="240" w:lineRule="auto"/>
              <w:jc w:val="center"/>
              <w:rPr>
                <w:rFonts w:ascii="Calibri" w:hAnsi="Calibri"/>
              </w:rPr>
            </w:pPr>
            <w:r w:rsidRPr="0066275B">
              <w:rPr>
                <w:rFonts w:ascii="Calibri" w:hAnsi="Calibri"/>
              </w:rPr>
              <w:t>-5.0</w:t>
            </w:r>
          </w:p>
        </w:tc>
      </w:tr>
    </w:tbl>
    <w:p w:rsidR="00C542E4" w:rsidRDefault="00C542E4" w:rsidP="00C542E4">
      <w:pPr>
        <w:spacing w:after="0" w:line="240" w:lineRule="auto"/>
        <w:rPr>
          <w:rFonts w:ascii="Calibri" w:eastAsia="Times New Roman" w:hAnsi="Calibri" w:cs="Times New Roman"/>
          <w:sz w:val="20"/>
          <w:szCs w:val="20"/>
        </w:rPr>
      </w:pPr>
    </w:p>
    <w:p w:rsidR="002F1EBE" w:rsidRPr="00F04EDB" w:rsidRDefault="002F1EBE" w:rsidP="002F1EBE">
      <w:pPr>
        <w:spacing w:after="0" w:line="240" w:lineRule="auto"/>
        <w:rPr>
          <w:rFonts w:eastAsia="Times New Roman" w:cs="Times New Roman"/>
        </w:rPr>
      </w:pPr>
    </w:p>
    <w:p w:rsidR="002F1EBE" w:rsidRPr="00F04EDB" w:rsidRDefault="002F1EBE" w:rsidP="002F1EBE">
      <w:pPr>
        <w:spacing w:after="0" w:line="240" w:lineRule="auto"/>
        <w:rPr>
          <w:rFonts w:eastAsia="Times New Roman" w:cs="Times New Roman"/>
        </w:rPr>
      </w:pPr>
    </w:p>
    <w:p w:rsidR="002F1EBE" w:rsidRPr="00F04EDB" w:rsidRDefault="002F1EBE" w:rsidP="002F1EBE">
      <w:pPr>
        <w:spacing w:after="0" w:line="240" w:lineRule="auto"/>
        <w:rPr>
          <w:rFonts w:eastAsia="Times New Roman" w:cs="Times New Roman"/>
        </w:rPr>
      </w:pPr>
    </w:p>
    <w:p w:rsidR="002F1EBE" w:rsidRPr="00F04EDB" w:rsidRDefault="002F1EBE" w:rsidP="002F1EBE">
      <w:pPr>
        <w:spacing w:after="0" w:line="240" w:lineRule="auto"/>
        <w:rPr>
          <w:rFonts w:eastAsia="Times New Roman" w:cs="Times New Roman"/>
        </w:rPr>
      </w:pPr>
    </w:p>
    <w:p w:rsidR="002F1EBE" w:rsidRPr="00F04EDB" w:rsidRDefault="002F1EBE" w:rsidP="002F1EBE">
      <w:pPr>
        <w:spacing w:after="0" w:line="240" w:lineRule="auto"/>
        <w:rPr>
          <w:rFonts w:eastAsia="Times New Roman" w:cs="Times New Roman"/>
        </w:rPr>
      </w:pPr>
    </w:p>
    <w:p w:rsidR="002F1EBE" w:rsidRPr="00F04EDB" w:rsidRDefault="002F1EBE" w:rsidP="002F1EBE">
      <w:pPr>
        <w:spacing w:after="0" w:line="240" w:lineRule="auto"/>
        <w:rPr>
          <w:rFonts w:eastAsia="Times New Roman" w:cs="Times New Roman"/>
        </w:rPr>
      </w:pPr>
      <w:r w:rsidRPr="00F04EDB">
        <w:rPr>
          <w:rFonts w:eastAsia="Times New Roman" w:cs="Times New Roman"/>
        </w:rPr>
        <w:br w:type="page"/>
      </w:r>
    </w:p>
    <w:tbl>
      <w:tblPr>
        <w:tblStyle w:val="TableGrid"/>
        <w:tblW w:w="8928" w:type="dxa"/>
        <w:tblLook w:val="04A0"/>
      </w:tblPr>
      <w:tblGrid>
        <w:gridCol w:w="554"/>
        <w:gridCol w:w="724"/>
        <w:gridCol w:w="1396"/>
        <w:gridCol w:w="882"/>
        <w:gridCol w:w="883"/>
        <w:gridCol w:w="883"/>
        <w:gridCol w:w="883"/>
        <w:gridCol w:w="883"/>
        <w:gridCol w:w="884"/>
        <w:gridCol w:w="956"/>
      </w:tblGrid>
      <w:tr w:rsidR="00D27D7A" w:rsidRPr="005D6F14" w:rsidTr="009D5584">
        <w:tc>
          <w:tcPr>
            <w:tcW w:w="8928" w:type="dxa"/>
            <w:gridSpan w:val="10"/>
            <w:tcBorders>
              <w:top w:val="nil"/>
              <w:left w:val="nil"/>
              <w:right w:val="nil"/>
            </w:tcBorders>
            <w:vAlign w:val="center"/>
          </w:tcPr>
          <w:p w:rsidR="00D27D7A" w:rsidRPr="005D6F14" w:rsidRDefault="00D27D7A" w:rsidP="009D5584">
            <w:pPr>
              <w:spacing w:after="0" w:line="240" w:lineRule="auto"/>
              <w:jc w:val="center"/>
              <w:rPr>
                <w:rFonts w:ascii="Calibri" w:eastAsia="Calibri" w:hAnsi="Calibri"/>
                <w:b/>
                <w:sz w:val="20"/>
                <w:szCs w:val="20"/>
              </w:rPr>
            </w:pPr>
            <w:r w:rsidRPr="005D6F14">
              <w:rPr>
                <w:rFonts w:ascii="Calibri" w:eastAsia="Calibri" w:hAnsi="Calibri"/>
                <w:b/>
                <w:sz w:val="20"/>
                <w:szCs w:val="20"/>
              </w:rPr>
              <w:t xml:space="preserve">Table </w:t>
            </w:r>
            <w:r w:rsidR="002F368B" w:rsidRPr="005D6F14">
              <w:rPr>
                <w:rFonts w:ascii="Calibri" w:eastAsia="Calibri" w:hAnsi="Calibri"/>
                <w:b/>
                <w:sz w:val="20"/>
                <w:szCs w:val="20"/>
              </w:rPr>
              <w:t>B</w:t>
            </w:r>
            <w:r w:rsidR="00923109">
              <w:rPr>
                <w:rFonts w:ascii="Calibri" w:eastAsia="Calibri" w:hAnsi="Calibri"/>
                <w:b/>
                <w:sz w:val="20"/>
                <w:szCs w:val="20"/>
              </w:rPr>
              <w:t>6</w:t>
            </w:r>
            <w:r w:rsidR="002F368B" w:rsidRPr="005D6F14">
              <w:rPr>
                <w:rFonts w:ascii="Calibri" w:eastAsia="Calibri" w:hAnsi="Calibri"/>
                <w:b/>
                <w:sz w:val="20"/>
                <w:szCs w:val="20"/>
              </w:rPr>
              <w:t>d</w:t>
            </w:r>
            <w:r w:rsidRPr="005D6F14">
              <w:rPr>
                <w:rFonts w:ascii="Calibri" w:eastAsia="Calibri" w:hAnsi="Calibri"/>
                <w:b/>
                <w:sz w:val="20"/>
                <w:szCs w:val="20"/>
              </w:rPr>
              <w:t xml:space="preserve">: </w:t>
            </w:r>
            <w:r w:rsidRPr="005D6F14">
              <w:rPr>
                <w:rFonts w:ascii="Calibri" w:eastAsia="Calibri" w:hAnsi="Calibri" w:cs="Times New Roman"/>
                <w:b/>
                <w:sz w:val="20"/>
              </w:rPr>
              <w:t>Worcester</w:t>
            </w:r>
            <w:r w:rsidRPr="005D6F14">
              <w:rPr>
                <w:rFonts w:ascii="Calibri" w:eastAsia="Calibri" w:hAnsi="Calibri"/>
                <w:b/>
                <w:sz w:val="20"/>
                <w:szCs w:val="20"/>
              </w:rPr>
              <w:t xml:space="preserve"> Public Schools</w:t>
            </w:r>
          </w:p>
          <w:p w:rsidR="00D27D7A" w:rsidRPr="005D6F14" w:rsidRDefault="00D27D7A" w:rsidP="009D5584">
            <w:pPr>
              <w:spacing w:after="0" w:line="240" w:lineRule="auto"/>
              <w:jc w:val="center"/>
              <w:rPr>
                <w:rFonts w:ascii="Calibri" w:eastAsia="Calibri" w:hAnsi="Calibri"/>
                <w:b/>
              </w:rPr>
            </w:pPr>
            <w:r w:rsidRPr="005D6F14">
              <w:rPr>
                <w:rFonts w:ascii="Calibri" w:eastAsia="Calibri" w:hAnsi="Calibri"/>
                <w:b/>
                <w:sz w:val="20"/>
                <w:szCs w:val="20"/>
              </w:rPr>
              <w:t>Mathematics Performance, 2013–2016</w:t>
            </w:r>
            <w:r w:rsidRPr="005D6F14">
              <w:rPr>
                <w:rStyle w:val="FootnoteReference"/>
                <w:rFonts w:ascii="Calibri" w:eastAsia="Calibri" w:hAnsi="Calibri"/>
                <w:b/>
                <w:sz w:val="20"/>
                <w:szCs w:val="20"/>
              </w:rPr>
              <w:footnoteReference w:id="26"/>
            </w:r>
          </w:p>
        </w:tc>
      </w:tr>
      <w:tr w:rsidR="00D27D7A" w:rsidRPr="005D6F14" w:rsidTr="009D5584">
        <w:tc>
          <w:tcPr>
            <w:tcW w:w="1278" w:type="dxa"/>
            <w:gridSpan w:val="2"/>
            <w:vMerge w:val="restart"/>
            <w:vAlign w:val="center"/>
          </w:tcPr>
          <w:p w:rsidR="00D27D7A" w:rsidRPr="005D6F14" w:rsidRDefault="00D27D7A" w:rsidP="009D5584">
            <w:pPr>
              <w:spacing w:after="0" w:line="240" w:lineRule="auto"/>
              <w:jc w:val="center"/>
              <w:rPr>
                <w:b/>
                <w:sz w:val="20"/>
                <w:szCs w:val="20"/>
              </w:rPr>
            </w:pPr>
            <w:r w:rsidRPr="005D6F14">
              <w:rPr>
                <w:b/>
                <w:sz w:val="20"/>
                <w:szCs w:val="20"/>
              </w:rPr>
              <w:t>Grade and Measure</w:t>
            </w:r>
          </w:p>
        </w:tc>
        <w:tc>
          <w:tcPr>
            <w:tcW w:w="1396" w:type="dxa"/>
            <w:vMerge w:val="restart"/>
            <w:vAlign w:val="center"/>
          </w:tcPr>
          <w:p w:rsidR="00D27D7A" w:rsidRPr="005D6F14" w:rsidRDefault="00D27D7A" w:rsidP="009D5584">
            <w:pPr>
              <w:spacing w:after="0" w:line="240" w:lineRule="auto"/>
              <w:jc w:val="center"/>
              <w:rPr>
                <w:b/>
                <w:sz w:val="20"/>
                <w:szCs w:val="20"/>
              </w:rPr>
            </w:pPr>
            <w:r w:rsidRPr="005D6F14">
              <w:rPr>
                <w:b/>
                <w:sz w:val="20"/>
                <w:szCs w:val="20"/>
              </w:rPr>
              <w:t>Number Included (2016)</w:t>
            </w:r>
          </w:p>
        </w:tc>
        <w:tc>
          <w:tcPr>
            <w:tcW w:w="3531" w:type="dxa"/>
            <w:gridSpan w:val="4"/>
            <w:vMerge w:val="restart"/>
            <w:vAlign w:val="center"/>
          </w:tcPr>
          <w:p w:rsidR="00D27D7A" w:rsidRPr="005D6F14" w:rsidRDefault="00D27D7A" w:rsidP="009D5584">
            <w:pPr>
              <w:spacing w:after="0" w:line="240" w:lineRule="auto"/>
              <w:jc w:val="center"/>
              <w:rPr>
                <w:b/>
                <w:sz w:val="20"/>
                <w:szCs w:val="20"/>
              </w:rPr>
            </w:pPr>
            <w:r w:rsidRPr="005D6F14">
              <w:rPr>
                <w:b/>
                <w:sz w:val="20"/>
                <w:szCs w:val="20"/>
              </w:rPr>
              <w:t>MCAS/Accountability Year</w:t>
            </w:r>
          </w:p>
        </w:tc>
        <w:tc>
          <w:tcPr>
            <w:tcW w:w="883" w:type="dxa"/>
            <w:shd w:val="clear" w:color="auto" w:fill="D9D9D9" w:themeFill="background1" w:themeFillShade="D9"/>
            <w:vAlign w:val="bottom"/>
          </w:tcPr>
          <w:p w:rsidR="00D27D7A" w:rsidRPr="005D6F14" w:rsidRDefault="00D27D7A" w:rsidP="009D5584">
            <w:pPr>
              <w:spacing w:after="0" w:line="240" w:lineRule="auto"/>
              <w:jc w:val="center"/>
              <w:rPr>
                <w:sz w:val="20"/>
                <w:szCs w:val="20"/>
              </w:rPr>
            </w:pPr>
          </w:p>
        </w:tc>
        <w:tc>
          <w:tcPr>
            <w:tcW w:w="1840" w:type="dxa"/>
            <w:gridSpan w:val="2"/>
            <w:vAlign w:val="bottom"/>
          </w:tcPr>
          <w:p w:rsidR="00D27D7A" w:rsidRPr="005D6F14" w:rsidRDefault="00D27D7A" w:rsidP="009D5584">
            <w:pPr>
              <w:spacing w:after="0" w:line="240" w:lineRule="auto"/>
              <w:jc w:val="center"/>
              <w:rPr>
                <w:b/>
                <w:sz w:val="20"/>
                <w:szCs w:val="20"/>
              </w:rPr>
            </w:pPr>
            <w:r w:rsidRPr="005D6F14">
              <w:rPr>
                <w:b/>
                <w:sz w:val="20"/>
                <w:szCs w:val="20"/>
              </w:rPr>
              <w:t>Gains and Declines</w:t>
            </w:r>
          </w:p>
        </w:tc>
      </w:tr>
      <w:tr w:rsidR="00D27D7A" w:rsidRPr="005D6F14" w:rsidTr="009D5584">
        <w:tc>
          <w:tcPr>
            <w:tcW w:w="1278" w:type="dxa"/>
            <w:gridSpan w:val="2"/>
            <w:vMerge/>
            <w:vAlign w:val="center"/>
          </w:tcPr>
          <w:p w:rsidR="00D27D7A" w:rsidRPr="005D6F14" w:rsidRDefault="00D27D7A" w:rsidP="009D5584">
            <w:pPr>
              <w:spacing w:after="0" w:line="240" w:lineRule="auto"/>
              <w:rPr>
                <w:sz w:val="20"/>
                <w:szCs w:val="20"/>
              </w:rPr>
            </w:pPr>
          </w:p>
        </w:tc>
        <w:tc>
          <w:tcPr>
            <w:tcW w:w="1396" w:type="dxa"/>
            <w:vMerge/>
            <w:vAlign w:val="bottom"/>
          </w:tcPr>
          <w:p w:rsidR="00D27D7A" w:rsidRPr="005D6F14" w:rsidRDefault="00D27D7A" w:rsidP="009D5584">
            <w:pPr>
              <w:spacing w:after="0" w:line="240" w:lineRule="auto"/>
              <w:jc w:val="center"/>
              <w:rPr>
                <w:sz w:val="20"/>
                <w:szCs w:val="20"/>
              </w:rPr>
            </w:pPr>
          </w:p>
        </w:tc>
        <w:tc>
          <w:tcPr>
            <w:tcW w:w="3531" w:type="dxa"/>
            <w:gridSpan w:val="4"/>
            <w:vMerge/>
            <w:vAlign w:val="bottom"/>
          </w:tcPr>
          <w:p w:rsidR="00D27D7A" w:rsidRPr="005D6F14" w:rsidRDefault="00D27D7A" w:rsidP="009D5584">
            <w:pPr>
              <w:spacing w:after="0" w:line="240" w:lineRule="auto"/>
              <w:jc w:val="center"/>
              <w:rPr>
                <w:sz w:val="20"/>
                <w:szCs w:val="20"/>
              </w:rPr>
            </w:pPr>
          </w:p>
        </w:tc>
        <w:tc>
          <w:tcPr>
            <w:tcW w:w="883" w:type="dxa"/>
            <w:shd w:val="clear" w:color="auto" w:fill="D9D9D9" w:themeFill="background1" w:themeFillShade="D9"/>
            <w:vAlign w:val="bottom"/>
          </w:tcPr>
          <w:p w:rsidR="00D27D7A" w:rsidRPr="005D6F14" w:rsidRDefault="00D27D7A" w:rsidP="009D5584">
            <w:pPr>
              <w:spacing w:after="0" w:line="240" w:lineRule="auto"/>
              <w:jc w:val="center"/>
              <w:rPr>
                <w:sz w:val="20"/>
                <w:szCs w:val="20"/>
              </w:rPr>
            </w:pPr>
          </w:p>
        </w:tc>
        <w:tc>
          <w:tcPr>
            <w:tcW w:w="884" w:type="dxa"/>
            <w:vMerge w:val="restart"/>
            <w:vAlign w:val="center"/>
          </w:tcPr>
          <w:p w:rsidR="00D27D7A" w:rsidRPr="005D6F14" w:rsidRDefault="00D27D7A" w:rsidP="009D5584">
            <w:pPr>
              <w:spacing w:after="0" w:line="240" w:lineRule="auto"/>
              <w:jc w:val="center"/>
              <w:rPr>
                <w:sz w:val="20"/>
                <w:szCs w:val="20"/>
              </w:rPr>
            </w:pPr>
            <w:r w:rsidRPr="005D6F14">
              <w:rPr>
                <w:b/>
                <w:sz w:val="20"/>
                <w:szCs w:val="20"/>
              </w:rPr>
              <w:t>4-Year Trend</w:t>
            </w:r>
          </w:p>
        </w:tc>
        <w:tc>
          <w:tcPr>
            <w:tcW w:w="956" w:type="dxa"/>
            <w:vMerge w:val="restart"/>
            <w:vAlign w:val="center"/>
          </w:tcPr>
          <w:p w:rsidR="00D27D7A" w:rsidRPr="005D6F14" w:rsidRDefault="00D27D7A" w:rsidP="009D5584">
            <w:pPr>
              <w:spacing w:after="0" w:line="240" w:lineRule="auto"/>
              <w:jc w:val="center"/>
              <w:rPr>
                <w:sz w:val="20"/>
                <w:szCs w:val="20"/>
              </w:rPr>
            </w:pPr>
            <w:r w:rsidRPr="005D6F14">
              <w:rPr>
                <w:b/>
                <w:sz w:val="20"/>
                <w:szCs w:val="20"/>
              </w:rPr>
              <w:t>2-Year Trend</w:t>
            </w:r>
          </w:p>
        </w:tc>
      </w:tr>
      <w:tr w:rsidR="00D27D7A" w:rsidRPr="005D6F14" w:rsidTr="009D5584">
        <w:tc>
          <w:tcPr>
            <w:tcW w:w="1278" w:type="dxa"/>
            <w:gridSpan w:val="2"/>
            <w:vMerge/>
            <w:vAlign w:val="center"/>
          </w:tcPr>
          <w:p w:rsidR="00D27D7A" w:rsidRPr="005D6F14" w:rsidRDefault="00D27D7A" w:rsidP="009D5584">
            <w:pPr>
              <w:spacing w:after="0" w:line="240" w:lineRule="auto"/>
              <w:rPr>
                <w:sz w:val="20"/>
                <w:szCs w:val="20"/>
              </w:rPr>
            </w:pPr>
          </w:p>
        </w:tc>
        <w:tc>
          <w:tcPr>
            <w:tcW w:w="1396" w:type="dxa"/>
            <w:vMerge/>
            <w:vAlign w:val="bottom"/>
          </w:tcPr>
          <w:p w:rsidR="00D27D7A" w:rsidRPr="005D6F14" w:rsidRDefault="00D27D7A" w:rsidP="009D5584">
            <w:pPr>
              <w:spacing w:after="0" w:line="240" w:lineRule="auto"/>
              <w:jc w:val="center"/>
              <w:rPr>
                <w:sz w:val="20"/>
                <w:szCs w:val="20"/>
              </w:rPr>
            </w:pPr>
          </w:p>
        </w:tc>
        <w:tc>
          <w:tcPr>
            <w:tcW w:w="882" w:type="dxa"/>
            <w:vAlign w:val="center"/>
          </w:tcPr>
          <w:p w:rsidR="00D27D7A" w:rsidRPr="005D6F14" w:rsidRDefault="00D27D7A" w:rsidP="009D5584">
            <w:pPr>
              <w:spacing w:after="0" w:line="240" w:lineRule="auto"/>
              <w:jc w:val="center"/>
              <w:rPr>
                <w:b/>
                <w:sz w:val="20"/>
                <w:szCs w:val="20"/>
              </w:rPr>
            </w:pPr>
            <w:r w:rsidRPr="005D6F14">
              <w:rPr>
                <w:b/>
                <w:sz w:val="20"/>
                <w:szCs w:val="20"/>
              </w:rPr>
              <w:t>2013</w:t>
            </w:r>
          </w:p>
        </w:tc>
        <w:tc>
          <w:tcPr>
            <w:tcW w:w="883" w:type="dxa"/>
            <w:vAlign w:val="center"/>
          </w:tcPr>
          <w:p w:rsidR="00D27D7A" w:rsidRPr="005D6F14" w:rsidRDefault="00D27D7A" w:rsidP="009D5584">
            <w:pPr>
              <w:spacing w:after="0" w:line="240" w:lineRule="auto"/>
              <w:jc w:val="center"/>
              <w:rPr>
                <w:b/>
                <w:sz w:val="20"/>
                <w:szCs w:val="20"/>
              </w:rPr>
            </w:pPr>
            <w:r w:rsidRPr="005D6F14">
              <w:rPr>
                <w:b/>
                <w:sz w:val="20"/>
                <w:szCs w:val="20"/>
              </w:rPr>
              <w:t>2014</w:t>
            </w:r>
          </w:p>
        </w:tc>
        <w:tc>
          <w:tcPr>
            <w:tcW w:w="883" w:type="dxa"/>
            <w:vAlign w:val="center"/>
          </w:tcPr>
          <w:p w:rsidR="00D27D7A" w:rsidRPr="005D6F14" w:rsidRDefault="00D27D7A" w:rsidP="009D5584">
            <w:pPr>
              <w:spacing w:after="0" w:line="240" w:lineRule="auto"/>
              <w:jc w:val="center"/>
              <w:rPr>
                <w:b/>
                <w:sz w:val="20"/>
                <w:szCs w:val="20"/>
              </w:rPr>
            </w:pPr>
            <w:r w:rsidRPr="005D6F14">
              <w:rPr>
                <w:b/>
                <w:sz w:val="20"/>
                <w:szCs w:val="20"/>
              </w:rPr>
              <w:t>2015</w:t>
            </w:r>
          </w:p>
        </w:tc>
        <w:tc>
          <w:tcPr>
            <w:tcW w:w="883" w:type="dxa"/>
            <w:vAlign w:val="center"/>
          </w:tcPr>
          <w:p w:rsidR="00D27D7A" w:rsidRPr="005D6F14" w:rsidRDefault="00D27D7A" w:rsidP="009D5584">
            <w:pPr>
              <w:spacing w:after="0" w:line="240" w:lineRule="auto"/>
              <w:jc w:val="center"/>
              <w:rPr>
                <w:b/>
                <w:sz w:val="20"/>
                <w:szCs w:val="20"/>
              </w:rPr>
            </w:pPr>
            <w:r w:rsidRPr="005D6F14">
              <w:rPr>
                <w:b/>
                <w:sz w:val="20"/>
                <w:szCs w:val="20"/>
              </w:rPr>
              <w:t>2016</w:t>
            </w:r>
          </w:p>
        </w:tc>
        <w:tc>
          <w:tcPr>
            <w:tcW w:w="883" w:type="dxa"/>
            <w:shd w:val="clear" w:color="auto" w:fill="D9D9D9" w:themeFill="background1" w:themeFillShade="D9"/>
            <w:vAlign w:val="bottom"/>
          </w:tcPr>
          <w:p w:rsidR="00D27D7A" w:rsidRPr="005D6F14" w:rsidRDefault="00D27D7A" w:rsidP="009D5584">
            <w:pPr>
              <w:spacing w:after="0" w:line="240" w:lineRule="auto"/>
              <w:jc w:val="center"/>
              <w:rPr>
                <w:b/>
                <w:sz w:val="20"/>
                <w:szCs w:val="20"/>
              </w:rPr>
            </w:pPr>
            <w:r w:rsidRPr="005D6F14">
              <w:rPr>
                <w:b/>
                <w:sz w:val="20"/>
                <w:szCs w:val="20"/>
              </w:rPr>
              <w:t>State (2016)</w:t>
            </w:r>
          </w:p>
        </w:tc>
        <w:tc>
          <w:tcPr>
            <w:tcW w:w="884" w:type="dxa"/>
            <w:vMerge/>
            <w:vAlign w:val="bottom"/>
          </w:tcPr>
          <w:p w:rsidR="00D27D7A" w:rsidRPr="005D6F14" w:rsidRDefault="00D27D7A" w:rsidP="009D5584">
            <w:pPr>
              <w:spacing w:after="0" w:line="240" w:lineRule="auto"/>
              <w:jc w:val="center"/>
              <w:rPr>
                <w:b/>
                <w:sz w:val="20"/>
                <w:szCs w:val="20"/>
              </w:rPr>
            </w:pPr>
          </w:p>
        </w:tc>
        <w:tc>
          <w:tcPr>
            <w:tcW w:w="956" w:type="dxa"/>
            <w:vMerge/>
            <w:vAlign w:val="bottom"/>
          </w:tcPr>
          <w:p w:rsidR="00D27D7A" w:rsidRPr="005D6F14" w:rsidRDefault="00D27D7A" w:rsidP="009D5584">
            <w:pPr>
              <w:spacing w:after="0" w:line="240" w:lineRule="auto"/>
              <w:jc w:val="center"/>
              <w:rPr>
                <w:b/>
                <w:sz w:val="20"/>
                <w:szCs w:val="20"/>
              </w:rPr>
            </w:pPr>
          </w:p>
        </w:tc>
      </w:tr>
      <w:tr w:rsidR="00D27D7A" w:rsidRPr="005D6F14" w:rsidTr="009D5584">
        <w:tc>
          <w:tcPr>
            <w:tcW w:w="554" w:type="dxa"/>
            <w:vMerge w:val="restart"/>
            <w:vAlign w:val="center"/>
          </w:tcPr>
          <w:p w:rsidR="00D27D7A" w:rsidRPr="005D6F14" w:rsidRDefault="00D27D7A" w:rsidP="009D5584">
            <w:pPr>
              <w:spacing w:after="0" w:line="240" w:lineRule="auto"/>
              <w:jc w:val="center"/>
              <w:rPr>
                <w:sz w:val="20"/>
                <w:szCs w:val="20"/>
              </w:rPr>
            </w:pPr>
            <w:r w:rsidRPr="005D6F14">
              <w:rPr>
                <w:sz w:val="20"/>
                <w:szCs w:val="20"/>
              </w:rPr>
              <w:t>10</w:t>
            </w:r>
          </w:p>
        </w:tc>
        <w:tc>
          <w:tcPr>
            <w:tcW w:w="724" w:type="dxa"/>
          </w:tcPr>
          <w:p w:rsidR="00D27D7A" w:rsidRPr="005D6F14" w:rsidRDefault="00D27D7A" w:rsidP="009D5584">
            <w:pPr>
              <w:spacing w:after="0" w:line="240" w:lineRule="auto"/>
              <w:rPr>
                <w:sz w:val="20"/>
                <w:szCs w:val="20"/>
              </w:rPr>
            </w:pPr>
            <w:r w:rsidRPr="005D6F14">
              <w:rPr>
                <w:sz w:val="20"/>
                <w:szCs w:val="20"/>
              </w:rPr>
              <w:t>CPI</w:t>
            </w:r>
          </w:p>
        </w:tc>
        <w:tc>
          <w:tcPr>
            <w:tcW w:w="1396" w:type="dxa"/>
            <w:vAlign w:val="center"/>
          </w:tcPr>
          <w:p w:rsidR="00D27D7A" w:rsidRPr="005D6F14" w:rsidRDefault="00D27D7A" w:rsidP="009D5584">
            <w:pPr>
              <w:spacing w:after="0" w:line="240" w:lineRule="auto"/>
              <w:jc w:val="center"/>
              <w:rPr>
                <w:sz w:val="20"/>
                <w:szCs w:val="20"/>
              </w:rPr>
            </w:pPr>
            <w:r w:rsidRPr="005D6F14">
              <w:rPr>
                <w:sz w:val="20"/>
                <w:szCs w:val="20"/>
              </w:rPr>
              <w:t>1,751</w:t>
            </w:r>
          </w:p>
        </w:tc>
        <w:tc>
          <w:tcPr>
            <w:tcW w:w="882" w:type="dxa"/>
            <w:vAlign w:val="center"/>
          </w:tcPr>
          <w:p w:rsidR="00D27D7A" w:rsidRPr="005D6F14" w:rsidRDefault="00D27D7A" w:rsidP="009D5584">
            <w:pPr>
              <w:spacing w:after="0" w:line="240" w:lineRule="auto"/>
              <w:jc w:val="center"/>
              <w:rPr>
                <w:sz w:val="20"/>
                <w:szCs w:val="20"/>
              </w:rPr>
            </w:pPr>
            <w:r w:rsidRPr="005D6F14">
              <w:rPr>
                <w:sz w:val="20"/>
                <w:szCs w:val="20"/>
              </w:rPr>
              <w:t>80.1</w:t>
            </w:r>
          </w:p>
        </w:tc>
        <w:tc>
          <w:tcPr>
            <w:tcW w:w="883" w:type="dxa"/>
            <w:vAlign w:val="center"/>
          </w:tcPr>
          <w:p w:rsidR="00D27D7A" w:rsidRPr="005D6F14" w:rsidRDefault="00D27D7A" w:rsidP="009D5584">
            <w:pPr>
              <w:spacing w:after="0" w:line="240" w:lineRule="auto"/>
              <w:jc w:val="center"/>
              <w:rPr>
                <w:sz w:val="20"/>
                <w:szCs w:val="20"/>
              </w:rPr>
            </w:pPr>
            <w:r w:rsidRPr="005D6F14">
              <w:rPr>
                <w:sz w:val="20"/>
                <w:szCs w:val="20"/>
              </w:rPr>
              <w:t>78.3</w:t>
            </w:r>
          </w:p>
        </w:tc>
        <w:tc>
          <w:tcPr>
            <w:tcW w:w="883" w:type="dxa"/>
            <w:vAlign w:val="center"/>
          </w:tcPr>
          <w:p w:rsidR="00D27D7A" w:rsidRPr="005D6F14" w:rsidRDefault="00D27D7A" w:rsidP="009D5584">
            <w:pPr>
              <w:spacing w:after="0" w:line="240" w:lineRule="auto"/>
              <w:jc w:val="center"/>
              <w:rPr>
                <w:sz w:val="20"/>
                <w:szCs w:val="20"/>
              </w:rPr>
            </w:pPr>
            <w:r w:rsidRPr="005D6F14">
              <w:rPr>
                <w:sz w:val="20"/>
                <w:szCs w:val="20"/>
              </w:rPr>
              <w:t>78.4</w:t>
            </w:r>
          </w:p>
        </w:tc>
        <w:tc>
          <w:tcPr>
            <w:tcW w:w="883" w:type="dxa"/>
            <w:vAlign w:val="center"/>
          </w:tcPr>
          <w:p w:rsidR="00D27D7A" w:rsidRPr="005D6F14" w:rsidRDefault="00D27D7A" w:rsidP="009D5584">
            <w:pPr>
              <w:spacing w:after="0" w:line="240" w:lineRule="auto"/>
              <w:jc w:val="center"/>
              <w:rPr>
                <w:sz w:val="20"/>
                <w:szCs w:val="20"/>
              </w:rPr>
            </w:pPr>
            <w:r w:rsidRPr="005D6F14">
              <w:rPr>
                <w:sz w:val="20"/>
                <w:szCs w:val="20"/>
              </w:rPr>
              <w:t>79.6</w:t>
            </w:r>
          </w:p>
        </w:tc>
        <w:tc>
          <w:tcPr>
            <w:tcW w:w="883" w:type="dxa"/>
            <w:shd w:val="clear" w:color="auto" w:fill="D9D9D9" w:themeFill="background1" w:themeFillShade="D9"/>
            <w:vAlign w:val="center"/>
          </w:tcPr>
          <w:p w:rsidR="00D27D7A" w:rsidRPr="005D6F14" w:rsidRDefault="00D27D7A" w:rsidP="009D5584">
            <w:pPr>
              <w:spacing w:after="0" w:line="240" w:lineRule="auto"/>
              <w:jc w:val="center"/>
              <w:rPr>
                <w:sz w:val="20"/>
                <w:szCs w:val="20"/>
              </w:rPr>
            </w:pPr>
            <w:r w:rsidRPr="005D6F14">
              <w:rPr>
                <w:sz w:val="20"/>
                <w:szCs w:val="20"/>
              </w:rPr>
              <w:t>89.7</w:t>
            </w:r>
          </w:p>
        </w:tc>
        <w:tc>
          <w:tcPr>
            <w:tcW w:w="884" w:type="dxa"/>
            <w:vAlign w:val="center"/>
          </w:tcPr>
          <w:p w:rsidR="00D27D7A" w:rsidRPr="005D6F14" w:rsidRDefault="00D27D7A" w:rsidP="009D5584">
            <w:pPr>
              <w:spacing w:after="0" w:line="240" w:lineRule="auto"/>
              <w:jc w:val="center"/>
              <w:rPr>
                <w:sz w:val="20"/>
                <w:szCs w:val="20"/>
              </w:rPr>
            </w:pPr>
            <w:r w:rsidRPr="005D6F14">
              <w:rPr>
                <w:sz w:val="20"/>
                <w:szCs w:val="20"/>
              </w:rPr>
              <w:t>-0.5</w:t>
            </w:r>
          </w:p>
        </w:tc>
        <w:tc>
          <w:tcPr>
            <w:tcW w:w="956" w:type="dxa"/>
            <w:vAlign w:val="center"/>
          </w:tcPr>
          <w:p w:rsidR="00D27D7A" w:rsidRPr="005D6F14" w:rsidRDefault="00D27D7A" w:rsidP="009D5584">
            <w:pPr>
              <w:spacing w:after="0" w:line="240" w:lineRule="auto"/>
              <w:jc w:val="center"/>
              <w:rPr>
                <w:sz w:val="20"/>
                <w:szCs w:val="20"/>
              </w:rPr>
            </w:pPr>
            <w:r w:rsidRPr="005D6F14">
              <w:rPr>
                <w:sz w:val="20"/>
                <w:szCs w:val="20"/>
              </w:rPr>
              <w:t>1.2</w:t>
            </w:r>
          </w:p>
        </w:tc>
      </w:tr>
      <w:tr w:rsidR="00D27D7A" w:rsidRPr="005D6F14" w:rsidTr="009D5584">
        <w:tc>
          <w:tcPr>
            <w:tcW w:w="554" w:type="dxa"/>
            <w:vMerge/>
            <w:vAlign w:val="center"/>
          </w:tcPr>
          <w:p w:rsidR="00D27D7A" w:rsidRPr="005D6F14" w:rsidRDefault="00D27D7A" w:rsidP="009D5584">
            <w:pPr>
              <w:spacing w:after="0" w:line="240" w:lineRule="auto"/>
              <w:jc w:val="center"/>
              <w:rPr>
                <w:sz w:val="20"/>
                <w:szCs w:val="20"/>
              </w:rPr>
            </w:pPr>
          </w:p>
        </w:tc>
        <w:tc>
          <w:tcPr>
            <w:tcW w:w="724" w:type="dxa"/>
          </w:tcPr>
          <w:p w:rsidR="00D27D7A" w:rsidRPr="005D6F14" w:rsidRDefault="00D27D7A" w:rsidP="009D5584">
            <w:pPr>
              <w:spacing w:after="0" w:line="240" w:lineRule="auto"/>
              <w:rPr>
                <w:sz w:val="20"/>
                <w:szCs w:val="20"/>
              </w:rPr>
            </w:pPr>
            <w:r w:rsidRPr="005D6F14">
              <w:rPr>
                <w:sz w:val="20"/>
                <w:szCs w:val="20"/>
              </w:rPr>
              <w:t>P+</w:t>
            </w:r>
          </w:p>
        </w:tc>
        <w:tc>
          <w:tcPr>
            <w:tcW w:w="1396" w:type="dxa"/>
            <w:vAlign w:val="center"/>
          </w:tcPr>
          <w:p w:rsidR="00D27D7A" w:rsidRPr="005D6F14" w:rsidRDefault="00D27D7A" w:rsidP="009D5584">
            <w:pPr>
              <w:spacing w:after="0" w:line="240" w:lineRule="auto"/>
              <w:jc w:val="center"/>
              <w:rPr>
                <w:sz w:val="20"/>
                <w:szCs w:val="20"/>
              </w:rPr>
            </w:pPr>
            <w:r w:rsidRPr="005D6F14">
              <w:rPr>
                <w:sz w:val="20"/>
                <w:szCs w:val="20"/>
              </w:rPr>
              <w:t>1,751</w:t>
            </w:r>
          </w:p>
        </w:tc>
        <w:tc>
          <w:tcPr>
            <w:tcW w:w="882" w:type="dxa"/>
            <w:vAlign w:val="center"/>
          </w:tcPr>
          <w:p w:rsidR="00D27D7A" w:rsidRPr="005D6F14" w:rsidRDefault="00D27D7A" w:rsidP="009D5584">
            <w:pPr>
              <w:spacing w:after="0" w:line="240" w:lineRule="auto"/>
              <w:jc w:val="center"/>
              <w:rPr>
                <w:sz w:val="20"/>
                <w:szCs w:val="20"/>
              </w:rPr>
            </w:pPr>
            <w:r w:rsidRPr="005D6F14">
              <w:rPr>
                <w:sz w:val="20"/>
                <w:szCs w:val="20"/>
              </w:rPr>
              <w:t>62%</w:t>
            </w:r>
          </w:p>
        </w:tc>
        <w:tc>
          <w:tcPr>
            <w:tcW w:w="883" w:type="dxa"/>
            <w:vAlign w:val="center"/>
          </w:tcPr>
          <w:p w:rsidR="00D27D7A" w:rsidRPr="005D6F14" w:rsidRDefault="00D27D7A" w:rsidP="009D5584">
            <w:pPr>
              <w:spacing w:after="0" w:line="240" w:lineRule="auto"/>
              <w:jc w:val="center"/>
              <w:rPr>
                <w:sz w:val="20"/>
                <w:szCs w:val="20"/>
              </w:rPr>
            </w:pPr>
            <w:r w:rsidRPr="005D6F14">
              <w:rPr>
                <w:sz w:val="20"/>
                <w:szCs w:val="20"/>
              </w:rPr>
              <w:t>59%</w:t>
            </w:r>
          </w:p>
        </w:tc>
        <w:tc>
          <w:tcPr>
            <w:tcW w:w="883" w:type="dxa"/>
            <w:vAlign w:val="center"/>
          </w:tcPr>
          <w:p w:rsidR="00D27D7A" w:rsidRPr="005D6F14" w:rsidRDefault="00D27D7A" w:rsidP="009D5584">
            <w:pPr>
              <w:spacing w:after="0" w:line="240" w:lineRule="auto"/>
              <w:jc w:val="center"/>
              <w:rPr>
                <w:sz w:val="20"/>
                <w:szCs w:val="20"/>
              </w:rPr>
            </w:pPr>
            <w:r w:rsidRPr="005D6F14">
              <w:rPr>
                <w:sz w:val="20"/>
                <w:szCs w:val="20"/>
              </w:rPr>
              <w:t>58%</w:t>
            </w:r>
          </w:p>
        </w:tc>
        <w:tc>
          <w:tcPr>
            <w:tcW w:w="883" w:type="dxa"/>
            <w:vAlign w:val="center"/>
          </w:tcPr>
          <w:p w:rsidR="00D27D7A" w:rsidRPr="005D6F14" w:rsidRDefault="00D27D7A" w:rsidP="009D5584">
            <w:pPr>
              <w:spacing w:after="0" w:line="240" w:lineRule="auto"/>
              <w:jc w:val="center"/>
              <w:rPr>
                <w:sz w:val="20"/>
                <w:szCs w:val="20"/>
              </w:rPr>
            </w:pPr>
            <w:r w:rsidRPr="005D6F14">
              <w:rPr>
                <w:sz w:val="20"/>
                <w:szCs w:val="20"/>
              </w:rPr>
              <w:t>60%</w:t>
            </w:r>
          </w:p>
        </w:tc>
        <w:tc>
          <w:tcPr>
            <w:tcW w:w="883" w:type="dxa"/>
            <w:shd w:val="clear" w:color="auto" w:fill="D9D9D9" w:themeFill="background1" w:themeFillShade="D9"/>
            <w:vAlign w:val="center"/>
          </w:tcPr>
          <w:p w:rsidR="00D27D7A" w:rsidRPr="005D6F14" w:rsidRDefault="00D27D7A" w:rsidP="009D5584">
            <w:pPr>
              <w:spacing w:after="0" w:line="240" w:lineRule="auto"/>
              <w:jc w:val="center"/>
              <w:rPr>
                <w:sz w:val="20"/>
                <w:szCs w:val="20"/>
              </w:rPr>
            </w:pPr>
            <w:r w:rsidRPr="005D6F14">
              <w:rPr>
                <w:sz w:val="20"/>
                <w:szCs w:val="20"/>
              </w:rPr>
              <w:t>78%</w:t>
            </w:r>
          </w:p>
        </w:tc>
        <w:tc>
          <w:tcPr>
            <w:tcW w:w="884" w:type="dxa"/>
            <w:vAlign w:val="center"/>
          </w:tcPr>
          <w:p w:rsidR="00D27D7A" w:rsidRPr="005D6F14" w:rsidRDefault="00D27D7A" w:rsidP="009D5584">
            <w:pPr>
              <w:spacing w:after="0" w:line="240" w:lineRule="auto"/>
              <w:jc w:val="center"/>
              <w:rPr>
                <w:sz w:val="20"/>
                <w:szCs w:val="20"/>
              </w:rPr>
            </w:pPr>
            <w:r w:rsidRPr="005D6F14">
              <w:rPr>
                <w:sz w:val="20"/>
                <w:szCs w:val="20"/>
              </w:rPr>
              <w:t>-2%</w:t>
            </w:r>
          </w:p>
        </w:tc>
        <w:tc>
          <w:tcPr>
            <w:tcW w:w="956" w:type="dxa"/>
            <w:vAlign w:val="center"/>
          </w:tcPr>
          <w:p w:rsidR="00D27D7A" w:rsidRPr="005D6F14" w:rsidRDefault="00D27D7A" w:rsidP="009D5584">
            <w:pPr>
              <w:spacing w:after="0" w:line="240" w:lineRule="auto"/>
              <w:jc w:val="center"/>
              <w:rPr>
                <w:sz w:val="20"/>
                <w:szCs w:val="20"/>
              </w:rPr>
            </w:pPr>
            <w:r w:rsidRPr="005D6F14">
              <w:rPr>
                <w:sz w:val="20"/>
                <w:szCs w:val="20"/>
              </w:rPr>
              <w:t>2%</w:t>
            </w:r>
          </w:p>
        </w:tc>
      </w:tr>
      <w:tr w:rsidR="00D27D7A" w:rsidRPr="005D6F14" w:rsidTr="009D5584">
        <w:tc>
          <w:tcPr>
            <w:tcW w:w="554" w:type="dxa"/>
            <w:vMerge/>
            <w:vAlign w:val="center"/>
          </w:tcPr>
          <w:p w:rsidR="00D27D7A" w:rsidRPr="005D6F14" w:rsidRDefault="00D27D7A" w:rsidP="009D5584">
            <w:pPr>
              <w:spacing w:after="0" w:line="240" w:lineRule="auto"/>
              <w:jc w:val="center"/>
              <w:rPr>
                <w:sz w:val="20"/>
                <w:szCs w:val="20"/>
              </w:rPr>
            </w:pPr>
          </w:p>
        </w:tc>
        <w:tc>
          <w:tcPr>
            <w:tcW w:w="724" w:type="dxa"/>
          </w:tcPr>
          <w:p w:rsidR="00D27D7A" w:rsidRPr="005D6F14" w:rsidRDefault="00D27D7A" w:rsidP="009D5584">
            <w:pPr>
              <w:spacing w:after="0" w:line="240" w:lineRule="auto"/>
              <w:rPr>
                <w:sz w:val="20"/>
                <w:szCs w:val="20"/>
              </w:rPr>
            </w:pPr>
            <w:r w:rsidRPr="005D6F14">
              <w:rPr>
                <w:sz w:val="20"/>
                <w:szCs w:val="20"/>
              </w:rPr>
              <w:t>SGP</w:t>
            </w:r>
          </w:p>
        </w:tc>
        <w:tc>
          <w:tcPr>
            <w:tcW w:w="1396" w:type="dxa"/>
            <w:vAlign w:val="center"/>
          </w:tcPr>
          <w:p w:rsidR="00D27D7A" w:rsidRPr="005D6F14" w:rsidRDefault="00D27D7A" w:rsidP="009D5584">
            <w:pPr>
              <w:spacing w:after="0" w:line="240" w:lineRule="auto"/>
              <w:jc w:val="center"/>
              <w:rPr>
                <w:sz w:val="20"/>
                <w:szCs w:val="20"/>
              </w:rPr>
            </w:pPr>
            <w:r w:rsidRPr="005D6F14">
              <w:rPr>
                <w:sz w:val="20"/>
                <w:szCs w:val="20"/>
              </w:rPr>
              <w:t>1,384</w:t>
            </w:r>
          </w:p>
        </w:tc>
        <w:tc>
          <w:tcPr>
            <w:tcW w:w="882" w:type="dxa"/>
            <w:vAlign w:val="center"/>
          </w:tcPr>
          <w:p w:rsidR="00D27D7A" w:rsidRPr="005D6F14" w:rsidRDefault="00D27D7A" w:rsidP="009D5584">
            <w:pPr>
              <w:spacing w:after="0" w:line="240" w:lineRule="auto"/>
              <w:jc w:val="center"/>
              <w:rPr>
                <w:sz w:val="20"/>
                <w:szCs w:val="20"/>
              </w:rPr>
            </w:pPr>
            <w:r w:rsidRPr="005D6F14">
              <w:rPr>
                <w:sz w:val="20"/>
                <w:szCs w:val="20"/>
              </w:rPr>
              <w:t>49.0</w:t>
            </w:r>
          </w:p>
        </w:tc>
        <w:tc>
          <w:tcPr>
            <w:tcW w:w="883" w:type="dxa"/>
            <w:vAlign w:val="center"/>
          </w:tcPr>
          <w:p w:rsidR="00D27D7A" w:rsidRPr="005D6F14" w:rsidRDefault="00D27D7A" w:rsidP="009D5584">
            <w:pPr>
              <w:spacing w:after="0" w:line="240" w:lineRule="auto"/>
              <w:jc w:val="center"/>
              <w:rPr>
                <w:sz w:val="20"/>
                <w:szCs w:val="20"/>
              </w:rPr>
            </w:pPr>
            <w:r w:rsidRPr="005D6F14">
              <w:rPr>
                <w:sz w:val="20"/>
                <w:szCs w:val="20"/>
              </w:rPr>
              <w:t>49.0</w:t>
            </w:r>
          </w:p>
        </w:tc>
        <w:tc>
          <w:tcPr>
            <w:tcW w:w="883" w:type="dxa"/>
            <w:vAlign w:val="center"/>
          </w:tcPr>
          <w:p w:rsidR="00D27D7A" w:rsidRPr="005D6F14" w:rsidRDefault="00D27D7A" w:rsidP="009D5584">
            <w:pPr>
              <w:spacing w:after="0" w:line="240" w:lineRule="auto"/>
              <w:jc w:val="center"/>
              <w:rPr>
                <w:sz w:val="20"/>
                <w:szCs w:val="20"/>
              </w:rPr>
            </w:pPr>
            <w:r w:rsidRPr="005D6F14">
              <w:rPr>
                <w:sz w:val="20"/>
                <w:szCs w:val="20"/>
              </w:rPr>
              <w:t>53.0</w:t>
            </w:r>
          </w:p>
        </w:tc>
        <w:tc>
          <w:tcPr>
            <w:tcW w:w="883" w:type="dxa"/>
            <w:vAlign w:val="center"/>
          </w:tcPr>
          <w:p w:rsidR="00D27D7A" w:rsidRPr="005D6F14" w:rsidRDefault="00D27D7A" w:rsidP="009D5584">
            <w:pPr>
              <w:spacing w:after="0" w:line="240" w:lineRule="auto"/>
              <w:jc w:val="center"/>
              <w:rPr>
                <w:sz w:val="20"/>
                <w:szCs w:val="20"/>
              </w:rPr>
            </w:pPr>
            <w:r w:rsidRPr="005D6F14">
              <w:rPr>
                <w:sz w:val="20"/>
                <w:szCs w:val="20"/>
              </w:rPr>
              <w:t>53.0</w:t>
            </w:r>
          </w:p>
        </w:tc>
        <w:tc>
          <w:tcPr>
            <w:tcW w:w="883" w:type="dxa"/>
            <w:shd w:val="clear" w:color="auto" w:fill="D9D9D9" w:themeFill="background1" w:themeFillShade="D9"/>
            <w:vAlign w:val="center"/>
          </w:tcPr>
          <w:p w:rsidR="00D27D7A" w:rsidRPr="005D6F14" w:rsidRDefault="00D27D7A" w:rsidP="009D5584">
            <w:pPr>
              <w:spacing w:after="0" w:line="240" w:lineRule="auto"/>
              <w:jc w:val="center"/>
              <w:rPr>
                <w:sz w:val="20"/>
                <w:szCs w:val="20"/>
              </w:rPr>
            </w:pPr>
            <w:r w:rsidRPr="005D6F14">
              <w:rPr>
                <w:sz w:val="20"/>
                <w:szCs w:val="20"/>
              </w:rPr>
              <w:t>50.0</w:t>
            </w:r>
          </w:p>
        </w:tc>
        <w:tc>
          <w:tcPr>
            <w:tcW w:w="884" w:type="dxa"/>
            <w:vAlign w:val="center"/>
          </w:tcPr>
          <w:p w:rsidR="00D27D7A" w:rsidRPr="005D6F14" w:rsidRDefault="00D27D7A" w:rsidP="009D5584">
            <w:pPr>
              <w:spacing w:after="0" w:line="240" w:lineRule="auto"/>
              <w:jc w:val="center"/>
              <w:rPr>
                <w:sz w:val="20"/>
                <w:szCs w:val="20"/>
              </w:rPr>
            </w:pPr>
            <w:r w:rsidRPr="005D6F14">
              <w:rPr>
                <w:sz w:val="20"/>
                <w:szCs w:val="20"/>
              </w:rPr>
              <w:t>4.0</w:t>
            </w:r>
          </w:p>
        </w:tc>
        <w:tc>
          <w:tcPr>
            <w:tcW w:w="956" w:type="dxa"/>
            <w:vAlign w:val="center"/>
          </w:tcPr>
          <w:p w:rsidR="00D27D7A" w:rsidRPr="005D6F14" w:rsidRDefault="00D27D7A" w:rsidP="009D5584">
            <w:pPr>
              <w:spacing w:after="0" w:line="240" w:lineRule="auto"/>
              <w:jc w:val="center"/>
              <w:rPr>
                <w:sz w:val="20"/>
                <w:szCs w:val="20"/>
              </w:rPr>
            </w:pPr>
            <w:r w:rsidRPr="005D6F14">
              <w:rPr>
                <w:sz w:val="20"/>
                <w:szCs w:val="20"/>
              </w:rPr>
              <w:t>0.0</w:t>
            </w:r>
          </w:p>
        </w:tc>
      </w:tr>
      <w:tr w:rsidR="00D27D7A" w:rsidRPr="005D6F14" w:rsidTr="009D5584">
        <w:tc>
          <w:tcPr>
            <w:tcW w:w="554" w:type="dxa"/>
            <w:vMerge w:val="restart"/>
            <w:vAlign w:val="center"/>
          </w:tcPr>
          <w:p w:rsidR="00D27D7A" w:rsidRPr="005D6F14" w:rsidRDefault="00D27D7A" w:rsidP="009D5584">
            <w:pPr>
              <w:spacing w:after="0" w:line="240" w:lineRule="auto"/>
              <w:jc w:val="center"/>
              <w:rPr>
                <w:sz w:val="20"/>
                <w:szCs w:val="20"/>
              </w:rPr>
            </w:pPr>
            <w:r w:rsidRPr="005D6F14">
              <w:rPr>
                <w:sz w:val="20"/>
                <w:szCs w:val="20"/>
              </w:rPr>
              <w:t>All</w:t>
            </w:r>
          </w:p>
        </w:tc>
        <w:tc>
          <w:tcPr>
            <w:tcW w:w="724" w:type="dxa"/>
          </w:tcPr>
          <w:p w:rsidR="00D27D7A" w:rsidRPr="005D6F14" w:rsidRDefault="00D27D7A" w:rsidP="009D5584">
            <w:pPr>
              <w:spacing w:after="0" w:line="240" w:lineRule="auto"/>
              <w:rPr>
                <w:sz w:val="20"/>
                <w:szCs w:val="20"/>
              </w:rPr>
            </w:pPr>
            <w:r w:rsidRPr="005D6F14">
              <w:rPr>
                <w:sz w:val="20"/>
                <w:szCs w:val="20"/>
              </w:rPr>
              <w:t>CPI</w:t>
            </w:r>
          </w:p>
        </w:tc>
        <w:tc>
          <w:tcPr>
            <w:tcW w:w="1396" w:type="dxa"/>
            <w:vAlign w:val="center"/>
          </w:tcPr>
          <w:p w:rsidR="00D27D7A" w:rsidRPr="005D6F14" w:rsidRDefault="00D27D7A" w:rsidP="009D5584">
            <w:pPr>
              <w:spacing w:after="0" w:line="240" w:lineRule="auto"/>
              <w:jc w:val="center"/>
              <w:rPr>
                <w:sz w:val="20"/>
                <w:szCs w:val="20"/>
              </w:rPr>
            </w:pPr>
            <w:r w:rsidRPr="005D6F14">
              <w:rPr>
                <w:sz w:val="20"/>
                <w:szCs w:val="20"/>
              </w:rPr>
              <w:t>12,189</w:t>
            </w:r>
          </w:p>
        </w:tc>
        <w:tc>
          <w:tcPr>
            <w:tcW w:w="882" w:type="dxa"/>
            <w:vAlign w:val="center"/>
          </w:tcPr>
          <w:p w:rsidR="00D27D7A" w:rsidRPr="005D6F14" w:rsidRDefault="00D27D7A" w:rsidP="009D5584">
            <w:pPr>
              <w:spacing w:after="0" w:line="240" w:lineRule="auto"/>
              <w:jc w:val="center"/>
              <w:rPr>
                <w:sz w:val="20"/>
                <w:szCs w:val="20"/>
              </w:rPr>
            </w:pPr>
            <w:r w:rsidRPr="005D6F14">
              <w:rPr>
                <w:sz w:val="20"/>
                <w:szCs w:val="20"/>
              </w:rPr>
              <w:t>68.0</w:t>
            </w:r>
          </w:p>
        </w:tc>
        <w:tc>
          <w:tcPr>
            <w:tcW w:w="883" w:type="dxa"/>
            <w:vAlign w:val="center"/>
          </w:tcPr>
          <w:p w:rsidR="00D27D7A" w:rsidRPr="005D6F14" w:rsidRDefault="00D27D7A" w:rsidP="009D5584">
            <w:pPr>
              <w:spacing w:after="0" w:line="240" w:lineRule="auto"/>
              <w:jc w:val="center"/>
              <w:rPr>
                <w:sz w:val="20"/>
                <w:szCs w:val="20"/>
              </w:rPr>
            </w:pPr>
            <w:r w:rsidRPr="005D6F14">
              <w:rPr>
                <w:sz w:val="20"/>
                <w:szCs w:val="20"/>
              </w:rPr>
              <w:t>66.3</w:t>
            </w:r>
          </w:p>
        </w:tc>
        <w:tc>
          <w:tcPr>
            <w:tcW w:w="883" w:type="dxa"/>
            <w:vAlign w:val="center"/>
          </w:tcPr>
          <w:p w:rsidR="00D27D7A" w:rsidRPr="005D6F14" w:rsidRDefault="00D27D7A" w:rsidP="009D5584">
            <w:pPr>
              <w:spacing w:after="0" w:line="240" w:lineRule="auto"/>
              <w:jc w:val="center"/>
              <w:rPr>
                <w:sz w:val="20"/>
                <w:szCs w:val="20"/>
              </w:rPr>
            </w:pPr>
            <w:r w:rsidRPr="005D6F14">
              <w:rPr>
                <w:sz w:val="20"/>
                <w:szCs w:val="20"/>
              </w:rPr>
              <w:t>66.8</w:t>
            </w:r>
          </w:p>
        </w:tc>
        <w:tc>
          <w:tcPr>
            <w:tcW w:w="883" w:type="dxa"/>
            <w:vAlign w:val="center"/>
          </w:tcPr>
          <w:p w:rsidR="00D27D7A" w:rsidRPr="005D6F14" w:rsidRDefault="00D27D7A" w:rsidP="009D5584">
            <w:pPr>
              <w:spacing w:after="0" w:line="240" w:lineRule="auto"/>
              <w:jc w:val="center"/>
              <w:rPr>
                <w:sz w:val="20"/>
                <w:szCs w:val="20"/>
              </w:rPr>
            </w:pPr>
            <w:r w:rsidRPr="005D6F14">
              <w:rPr>
                <w:sz w:val="20"/>
                <w:szCs w:val="20"/>
              </w:rPr>
              <w:t>68.1</w:t>
            </w:r>
          </w:p>
        </w:tc>
        <w:tc>
          <w:tcPr>
            <w:tcW w:w="883" w:type="dxa"/>
            <w:shd w:val="clear" w:color="auto" w:fill="D9D9D9" w:themeFill="background1" w:themeFillShade="D9"/>
            <w:vAlign w:val="center"/>
          </w:tcPr>
          <w:p w:rsidR="00D27D7A" w:rsidRPr="005D6F14" w:rsidRDefault="00D27D7A" w:rsidP="009D5584">
            <w:pPr>
              <w:spacing w:after="0" w:line="240" w:lineRule="auto"/>
              <w:jc w:val="center"/>
              <w:rPr>
                <w:sz w:val="20"/>
                <w:szCs w:val="20"/>
              </w:rPr>
            </w:pPr>
            <w:r w:rsidRPr="005D6F14">
              <w:rPr>
                <w:sz w:val="20"/>
                <w:szCs w:val="20"/>
              </w:rPr>
              <w:t>81.5</w:t>
            </w:r>
          </w:p>
        </w:tc>
        <w:tc>
          <w:tcPr>
            <w:tcW w:w="884" w:type="dxa"/>
            <w:vAlign w:val="center"/>
          </w:tcPr>
          <w:p w:rsidR="00D27D7A" w:rsidRPr="005D6F14" w:rsidRDefault="00D27D7A" w:rsidP="009D5584">
            <w:pPr>
              <w:spacing w:after="0" w:line="240" w:lineRule="auto"/>
              <w:jc w:val="center"/>
              <w:rPr>
                <w:sz w:val="20"/>
                <w:szCs w:val="20"/>
              </w:rPr>
            </w:pPr>
            <w:r w:rsidRPr="005D6F14">
              <w:rPr>
                <w:sz w:val="20"/>
                <w:szCs w:val="20"/>
              </w:rPr>
              <w:t>0.1</w:t>
            </w:r>
          </w:p>
        </w:tc>
        <w:tc>
          <w:tcPr>
            <w:tcW w:w="956" w:type="dxa"/>
            <w:vAlign w:val="center"/>
          </w:tcPr>
          <w:p w:rsidR="00D27D7A" w:rsidRPr="005D6F14" w:rsidRDefault="00D27D7A" w:rsidP="009D5584">
            <w:pPr>
              <w:spacing w:after="0" w:line="240" w:lineRule="auto"/>
              <w:jc w:val="center"/>
              <w:rPr>
                <w:sz w:val="20"/>
                <w:szCs w:val="20"/>
              </w:rPr>
            </w:pPr>
            <w:r w:rsidRPr="005D6F14">
              <w:rPr>
                <w:sz w:val="20"/>
                <w:szCs w:val="20"/>
              </w:rPr>
              <w:t>1.3</w:t>
            </w:r>
          </w:p>
        </w:tc>
      </w:tr>
      <w:tr w:rsidR="00D27D7A" w:rsidRPr="005D6F14" w:rsidTr="009D5584">
        <w:tc>
          <w:tcPr>
            <w:tcW w:w="554" w:type="dxa"/>
            <w:vMerge/>
          </w:tcPr>
          <w:p w:rsidR="00D27D7A" w:rsidRPr="005D6F14" w:rsidRDefault="00D27D7A" w:rsidP="009D5584">
            <w:pPr>
              <w:spacing w:after="0" w:line="240" w:lineRule="auto"/>
              <w:rPr>
                <w:sz w:val="20"/>
                <w:szCs w:val="20"/>
              </w:rPr>
            </w:pPr>
          </w:p>
        </w:tc>
        <w:tc>
          <w:tcPr>
            <w:tcW w:w="724" w:type="dxa"/>
          </w:tcPr>
          <w:p w:rsidR="00D27D7A" w:rsidRPr="005D6F14" w:rsidRDefault="00D27D7A" w:rsidP="009D5584">
            <w:pPr>
              <w:spacing w:after="0" w:line="240" w:lineRule="auto"/>
              <w:rPr>
                <w:sz w:val="20"/>
                <w:szCs w:val="20"/>
              </w:rPr>
            </w:pPr>
            <w:r w:rsidRPr="005D6F14">
              <w:rPr>
                <w:sz w:val="20"/>
                <w:szCs w:val="20"/>
              </w:rPr>
              <w:t>P+</w:t>
            </w:r>
          </w:p>
        </w:tc>
        <w:tc>
          <w:tcPr>
            <w:tcW w:w="1396" w:type="dxa"/>
            <w:vAlign w:val="center"/>
          </w:tcPr>
          <w:p w:rsidR="00D27D7A" w:rsidRPr="005D6F14" w:rsidRDefault="00D27D7A" w:rsidP="009D5584">
            <w:pPr>
              <w:spacing w:after="0" w:line="240" w:lineRule="auto"/>
              <w:jc w:val="center"/>
              <w:rPr>
                <w:sz w:val="20"/>
                <w:szCs w:val="20"/>
              </w:rPr>
            </w:pPr>
            <w:r w:rsidRPr="005D6F14">
              <w:rPr>
                <w:sz w:val="20"/>
                <w:szCs w:val="20"/>
              </w:rPr>
              <w:t>--</w:t>
            </w:r>
          </w:p>
        </w:tc>
        <w:tc>
          <w:tcPr>
            <w:tcW w:w="882" w:type="dxa"/>
            <w:vAlign w:val="center"/>
          </w:tcPr>
          <w:p w:rsidR="00D27D7A" w:rsidRPr="005D6F14" w:rsidRDefault="00D27D7A" w:rsidP="009D5584">
            <w:pPr>
              <w:spacing w:after="0" w:line="240" w:lineRule="auto"/>
              <w:jc w:val="center"/>
              <w:rPr>
                <w:sz w:val="20"/>
                <w:szCs w:val="20"/>
              </w:rPr>
            </w:pPr>
            <w:r w:rsidRPr="005D6F14">
              <w:rPr>
                <w:sz w:val="20"/>
                <w:szCs w:val="20"/>
              </w:rPr>
              <w:t>41%</w:t>
            </w:r>
          </w:p>
        </w:tc>
        <w:tc>
          <w:tcPr>
            <w:tcW w:w="883" w:type="dxa"/>
            <w:vAlign w:val="center"/>
          </w:tcPr>
          <w:p w:rsidR="00D27D7A" w:rsidRPr="005D6F14" w:rsidRDefault="00D27D7A" w:rsidP="009D5584">
            <w:pPr>
              <w:spacing w:after="0" w:line="240" w:lineRule="auto"/>
              <w:jc w:val="center"/>
              <w:rPr>
                <w:sz w:val="20"/>
                <w:szCs w:val="20"/>
              </w:rPr>
            </w:pPr>
            <w:r w:rsidRPr="005D6F14">
              <w:rPr>
                <w:sz w:val="20"/>
                <w:szCs w:val="20"/>
              </w:rPr>
              <w:t>39%</w:t>
            </w:r>
          </w:p>
        </w:tc>
        <w:tc>
          <w:tcPr>
            <w:tcW w:w="883" w:type="dxa"/>
            <w:vAlign w:val="center"/>
          </w:tcPr>
          <w:p w:rsidR="00D27D7A" w:rsidRPr="005D6F14" w:rsidRDefault="00D27D7A" w:rsidP="009D5584">
            <w:pPr>
              <w:spacing w:after="0" w:line="240" w:lineRule="auto"/>
              <w:jc w:val="center"/>
              <w:rPr>
                <w:sz w:val="20"/>
                <w:szCs w:val="20"/>
              </w:rPr>
            </w:pPr>
            <w:r w:rsidRPr="005D6F14">
              <w:rPr>
                <w:sz w:val="20"/>
                <w:szCs w:val="20"/>
              </w:rPr>
              <w:t>--</w:t>
            </w:r>
          </w:p>
        </w:tc>
        <w:tc>
          <w:tcPr>
            <w:tcW w:w="883" w:type="dxa"/>
            <w:vAlign w:val="center"/>
          </w:tcPr>
          <w:p w:rsidR="00D27D7A" w:rsidRPr="005D6F14" w:rsidRDefault="00D27D7A" w:rsidP="009D5584">
            <w:pPr>
              <w:spacing w:after="0" w:line="240" w:lineRule="auto"/>
              <w:jc w:val="center"/>
              <w:rPr>
                <w:sz w:val="20"/>
                <w:szCs w:val="20"/>
              </w:rPr>
            </w:pPr>
            <w:r w:rsidRPr="005D6F14">
              <w:rPr>
                <w:sz w:val="20"/>
                <w:szCs w:val="20"/>
              </w:rPr>
              <w:t>--</w:t>
            </w:r>
          </w:p>
        </w:tc>
        <w:tc>
          <w:tcPr>
            <w:tcW w:w="883" w:type="dxa"/>
            <w:shd w:val="clear" w:color="auto" w:fill="D9D9D9" w:themeFill="background1" w:themeFillShade="D9"/>
            <w:vAlign w:val="center"/>
          </w:tcPr>
          <w:p w:rsidR="00D27D7A" w:rsidRPr="005D6F14" w:rsidRDefault="00D27D7A" w:rsidP="009D5584">
            <w:pPr>
              <w:spacing w:after="0" w:line="240" w:lineRule="auto"/>
              <w:jc w:val="center"/>
              <w:rPr>
                <w:sz w:val="20"/>
                <w:szCs w:val="20"/>
              </w:rPr>
            </w:pPr>
            <w:r w:rsidRPr="005D6F14">
              <w:rPr>
                <w:sz w:val="20"/>
                <w:szCs w:val="20"/>
              </w:rPr>
              <w:t>--</w:t>
            </w:r>
          </w:p>
        </w:tc>
        <w:tc>
          <w:tcPr>
            <w:tcW w:w="884" w:type="dxa"/>
            <w:vAlign w:val="center"/>
          </w:tcPr>
          <w:p w:rsidR="00D27D7A" w:rsidRPr="005D6F14" w:rsidRDefault="00D27D7A" w:rsidP="009D5584">
            <w:pPr>
              <w:spacing w:after="0" w:line="240" w:lineRule="auto"/>
              <w:jc w:val="center"/>
              <w:rPr>
                <w:sz w:val="20"/>
                <w:szCs w:val="20"/>
              </w:rPr>
            </w:pPr>
          </w:p>
        </w:tc>
        <w:tc>
          <w:tcPr>
            <w:tcW w:w="956" w:type="dxa"/>
            <w:vAlign w:val="center"/>
          </w:tcPr>
          <w:p w:rsidR="00D27D7A" w:rsidRPr="005D6F14" w:rsidRDefault="00D27D7A" w:rsidP="009D5584">
            <w:pPr>
              <w:spacing w:after="0" w:line="240" w:lineRule="auto"/>
              <w:jc w:val="center"/>
              <w:rPr>
                <w:sz w:val="20"/>
                <w:szCs w:val="20"/>
              </w:rPr>
            </w:pPr>
          </w:p>
        </w:tc>
      </w:tr>
      <w:tr w:rsidR="00D27D7A" w:rsidRPr="005D6F14" w:rsidTr="009D5584">
        <w:tc>
          <w:tcPr>
            <w:tcW w:w="554" w:type="dxa"/>
            <w:vMerge/>
            <w:tcBorders>
              <w:bottom w:val="single" w:sz="4" w:space="0" w:color="auto"/>
            </w:tcBorders>
          </w:tcPr>
          <w:p w:rsidR="00D27D7A" w:rsidRPr="005D6F14" w:rsidRDefault="00D27D7A" w:rsidP="009D5584">
            <w:pPr>
              <w:spacing w:after="0" w:line="240" w:lineRule="auto"/>
              <w:rPr>
                <w:sz w:val="20"/>
                <w:szCs w:val="20"/>
              </w:rPr>
            </w:pPr>
          </w:p>
        </w:tc>
        <w:tc>
          <w:tcPr>
            <w:tcW w:w="724" w:type="dxa"/>
            <w:tcBorders>
              <w:bottom w:val="single" w:sz="4" w:space="0" w:color="auto"/>
            </w:tcBorders>
          </w:tcPr>
          <w:p w:rsidR="00D27D7A" w:rsidRPr="005D6F14" w:rsidRDefault="00D27D7A" w:rsidP="009D5584">
            <w:pPr>
              <w:spacing w:after="0" w:line="240" w:lineRule="auto"/>
              <w:rPr>
                <w:sz w:val="20"/>
                <w:szCs w:val="20"/>
              </w:rPr>
            </w:pPr>
            <w:r w:rsidRPr="005D6F14">
              <w:rPr>
                <w:sz w:val="20"/>
                <w:szCs w:val="20"/>
              </w:rPr>
              <w:t>SGP</w:t>
            </w:r>
          </w:p>
        </w:tc>
        <w:tc>
          <w:tcPr>
            <w:tcW w:w="1396" w:type="dxa"/>
            <w:tcBorders>
              <w:bottom w:val="single" w:sz="4" w:space="0" w:color="auto"/>
            </w:tcBorders>
            <w:vAlign w:val="center"/>
          </w:tcPr>
          <w:p w:rsidR="00D27D7A" w:rsidRPr="005D6F14" w:rsidRDefault="00D27D7A" w:rsidP="009D5584">
            <w:pPr>
              <w:spacing w:after="0" w:line="240" w:lineRule="auto"/>
              <w:jc w:val="center"/>
              <w:rPr>
                <w:sz w:val="20"/>
                <w:szCs w:val="20"/>
              </w:rPr>
            </w:pPr>
            <w:r w:rsidRPr="005D6F14">
              <w:rPr>
                <w:sz w:val="20"/>
                <w:szCs w:val="20"/>
              </w:rPr>
              <w:t>8,853</w:t>
            </w:r>
          </w:p>
        </w:tc>
        <w:tc>
          <w:tcPr>
            <w:tcW w:w="882" w:type="dxa"/>
            <w:tcBorders>
              <w:bottom w:val="single" w:sz="4" w:space="0" w:color="auto"/>
            </w:tcBorders>
            <w:vAlign w:val="center"/>
          </w:tcPr>
          <w:p w:rsidR="00D27D7A" w:rsidRPr="005D6F14" w:rsidRDefault="00D27D7A" w:rsidP="009D5584">
            <w:pPr>
              <w:spacing w:after="0" w:line="240" w:lineRule="auto"/>
              <w:jc w:val="center"/>
              <w:rPr>
                <w:sz w:val="20"/>
                <w:szCs w:val="20"/>
              </w:rPr>
            </w:pPr>
            <w:r w:rsidRPr="005D6F14">
              <w:rPr>
                <w:sz w:val="20"/>
                <w:szCs w:val="20"/>
              </w:rPr>
              <w:t>49.0</w:t>
            </w:r>
          </w:p>
        </w:tc>
        <w:tc>
          <w:tcPr>
            <w:tcW w:w="883" w:type="dxa"/>
            <w:tcBorders>
              <w:bottom w:val="single" w:sz="4" w:space="0" w:color="auto"/>
            </w:tcBorders>
            <w:vAlign w:val="center"/>
          </w:tcPr>
          <w:p w:rsidR="00D27D7A" w:rsidRPr="005D6F14" w:rsidRDefault="00D27D7A" w:rsidP="009D5584">
            <w:pPr>
              <w:spacing w:after="0" w:line="240" w:lineRule="auto"/>
              <w:jc w:val="center"/>
              <w:rPr>
                <w:sz w:val="20"/>
                <w:szCs w:val="20"/>
              </w:rPr>
            </w:pPr>
            <w:r w:rsidRPr="005D6F14">
              <w:rPr>
                <w:sz w:val="20"/>
                <w:szCs w:val="20"/>
              </w:rPr>
              <w:t>47.0</w:t>
            </w:r>
          </w:p>
        </w:tc>
        <w:tc>
          <w:tcPr>
            <w:tcW w:w="883" w:type="dxa"/>
            <w:tcBorders>
              <w:bottom w:val="single" w:sz="4" w:space="0" w:color="auto"/>
            </w:tcBorders>
            <w:vAlign w:val="center"/>
          </w:tcPr>
          <w:p w:rsidR="00D27D7A" w:rsidRPr="005D6F14" w:rsidRDefault="00D27D7A" w:rsidP="009D5584">
            <w:pPr>
              <w:spacing w:after="0" w:line="240" w:lineRule="auto"/>
              <w:jc w:val="center"/>
              <w:rPr>
                <w:sz w:val="20"/>
                <w:szCs w:val="20"/>
              </w:rPr>
            </w:pPr>
            <w:r w:rsidRPr="005D6F14">
              <w:rPr>
                <w:sz w:val="20"/>
                <w:szCs w:val="20"/>
              </w:rPr>
              <w:t>48.0</w:t>
            </w:r>
          </w:p>
        </w:tc>
        <w:tc>
          <w:tcPr>
            <w:tcW w:w="883" w:type="dxa"/>
            <w:tcBorders>
              <w:bottom w:val="single" w:sz="4" w:space="0" w:color="auto"/>
            </w:tcBorders>
            <w:vAlign w:val="center"/>
          </w:tcPr>
          <w:p w:rsidR="00D27D7A" w:rsidRPr="005D6F14" w:rsidRDefault="00D27D7A" w:rsidP="009D5584">
            <w:pPr>
              <w:spacing w:after="0" w:line="240" w:lineRule="auto"/>
              <w:jc w:val="center"/>
              <w:rPr>
                <w:sz w:val="20"/>
                <w:szCs w:val="20"/>
              </w:rPr>
            </w:pPr>
            <w:r w:rsidRPr="005D6F14">
              <w:rPr>
                <w:sz w:val="20"/>
                <w:szCs w:val="20"/>
              </w:rPr>
              <w:t>50.0</w:t>
            </w:r>
          </w:p>
        </w:tc>
        <w:tc>
          <w:tcPr>
            <w:tcW w:w="883" w:type="dxa"/>
            <w:tcBorders>
              <w:bottom w:val="single" w:sz="4" w:space="0" w:color="auto"/>
            </w:tcBorders>
            <w:shd w:val="clear" w:color="auto" w:fill="D9D9D9" w:themeFill="background1" w:themeFillShade="D9"/>
            <w:vAlign w:val="center"/>
          </w:tcPr>
          <w:p w:rsidR="00D27D7A" w:rsidRPr="005D6F14" w:rsidRDefault="00D27D7A" w:rsidP="009D5584">
            <w:pPr>
              <w:spacing w:after="0" w:line="240" w:lineRule="auto"/>
              <w:jc w:val="center"/>
              <w:rPr>
                <w:sz w:val="20"/>
                <w:szCs w:val="20"/>
              </w:rPr>
            </w:pPr>
            <w:r w:rsidRPr="005D6F14">
              <w:rPr>
                <w:sz w:val="20"/>
                <w:szCs w:val="20"/>
              </w:rPr>
              <w:t>50.0</w:t>
            </w:r>
          </w:p>
        </w:tc>
        <w:tc>
          <w:tcPr>
            <w:tcW w:w="884" w:type="dxa"/>
            <w:tcBorders>
              <w:bottom w:val="single" w:sz="4" w:space="0" w:color="auto"/>
            </w:tcBorders>
            <w:vAlign w:val="center"/>
          </w:tcPr>
          <w:p w:rsidR="00D27D7A" w:rsidRPr="005D6F14" w:rsidRDefault="00D27D7A" w:rsidP="009D5584">
            <w:pPr>
              <w:spacing w:after="0" w:line="240" w:lineRule="auto"/>
              <w:jc w:val="center"/>
              <w:rPr>
                <w:sz w:val="20"/>
                <w:szCs w:val="20"/>
              </w:rPr>
            </w:pPr>
            <w:r w:rsidRPr="005D6F14">
              <w:rPr>
                <w:sz w:val="20"/>
                <w:szCs w:val="20"/>
              </w:rPr>
              <w:t>1.0</w:t>
            </w:r>
          </w:p>
        </w:tc>
        <w:tc>
          <w:tcPr>
            <w:tcW w:w="956" w:type="dxa"/>
            <w:tcBorders>
              <w:bottom w:val="single" w:sz="4" w:space="0" w:color="auto"/>
            </w:tcBorders>
            <w:vAlign w:val="center"/>
          </w:tcPr>
          <w:p w:rsidR="00D27D7A" w:rsidRPr="005D6F14" w:rsidRDefault="00D27D7A" w:rsidP="009D5584">
            <w:pPr>
              <w:spacing w:after="0" w:line="240" w:lineRule="auto"/>
              <w:jc w:val="center"/>
              <w:rPr>
                <w:sz w:val="20"/>
                <w:szCs w:val="20"/>
              </w:rPr>
            </w:pPr>
            <w:r w:rsidRPr="005D6F14">
              <w:rPr>
                <w:sz w:val="20"/>
                <w:szCs w:val="20"/>
              </w:rPr>
              <w:t>2.0</w:t>
            </w:r>
          </w:p>
        </w:tc>
      </w:tr>
    </w:tbl>
    <w:p w:rsidR="00D27D7A" w:rsidRPr="005D6F14" w:rsidRDefault="00D27D7A" w:rsidP="00D27D7A">
      <w:pPr>
        <w:spacing w:after="0" w:line="240" w:lineRule="auto"/>
      </w:pPr>
    </w:p>
    <w:p w:rsidR="002F1EBE" w:rsidRPr="00F04EDB" w:rsidRDefault="002F1EBE" w:rsidP="002F1EBE">
      <w:pPr>
        <w:spacing w:after="0" w:line="240" w:lineRule="auto"/>
        <w:rPr>
          <w:rFonts w:eastAsia="Times New Roman" w:cs="Times New Roman"/>
        </w:rPr>
      </w:pPr>
    </w:p>
    <w:p w:rsidR="002F1EBE" w:rsidRPr="00F04EDB" w:rsidRDefault="002F1EBE" w:rsidP="002F1EBE">
      <w:pPr>
        <w:spacing w:after="0" w:line="240" w:lineRule="auto"/>
        <w:rPr>
          <w:rFonts w:eastAsia="Times New Roman" w:cs="Times New Roman"/>
        </w:rPr>
      </w:pPr>
    </w:p>
    <w:p w:rsidR="002F1EBE" w:rsidRPr="00F04EDB" w:rsidRDefault="002F1EBE" w:rsidP="002F1EBE">
      <w:pPr>
        <w:spacing w:after="0" w:line="240" w:lineRule="auto"/>
        <w:rPr>
          <w:rFonts w:eastAsia="Times New Roman" w:cs="Times New Roman"/>
        </w:rPr>
      </w:pPr>
    </w:p>
    <w:p w:rsidR="002F1EBE" w:rsidRPr="00F04EDB" w:rsidRDefault="002F1EBE" w:rsidP="002F1EBE">
      <w:pPr>
        <w:spacing w:after="0" w:line="240" w:lineRule="auto"/>
        <w:rPr>
          <w:rFonts w:eastAsia="Times New Roman" w:cs="Times New Roman"/>
        </w:rPr>
      </w:pPr>
    </w:p>
    <w:p w:rsidR="002F1EBE" w:rsidRPr="00F04EDB" w:rsidRDefault="002F1EBE" w:rsidP="002F1EBE">
      <w:pPr>
        <w:spacing w:after="0" w:line="240" w:lineRule="auto"/>
        <w:rPr>
          <w:rFonts w:eastAsia="Times New Roman" w:cs="Times New Roman"/>
        </w:rPr>
      </w:pPr>
    </w:p>
    <w:p w:rsidR="002F1EBE" w:rsidRPr="00F04EDB" w:rsidRDefault="002F1EBE" w:rsidP="002F1EBE">
      <w:pPr>
        <w:spacing w:after="0" w:line="240" w:lineRule="auto"/>
        <w:rPr>
          <w:rFonts w:eastAsia="Times New Roman" w:cs="Times New Roman"/>
        </w:rPr>
      </w:pPr>
    </w:p>
    <w:p w:rsidR="002F1EBE" w:rsidRPr="00F04EDB" w:rsidRDefault="002F1EBE" w:rsidP="002F1EBE">
      <w:pPr>
        <w:spacing w:after="0" w:line="240" w:lineRule="auto"/>
        <w:rPr>
          <w:rFonts w:eastAsia="Times New Roman" w:cs="Times New Roman"/>
        </w:rPr>
      </w:pPr>
    </w:p>
    <w:p w:rsidR="002F1EBE" w:rsidRPr="00F04EDB" w:rsidRDefault="002F1EBE" w:rsidP="002F1EBE">
      <w:pPr>
        <w:spacing w:after="0" w:line="240" w:lineRule="auto"/>
        <w:rPr>
          <w:rFonts w:eastAsia="Times New Roman" w:cs="Times New Roman"/>
        </w:rPr>
      </w:pPr>
    </w:p>
    <w:p w:rsidR="002F1EBE" w:rsidRPr="00F04EDB" w:rsidRDefault="002F1EBE" w:rsidP="002F1EBE">
      <w:pPr>
        <w:spacing w:after="0" w:line="240" w:lineRule="auto"/>
        <w:rPr>
          <w:rFonts w:eastAsia="Times New Roman" w:cs="Times New Roman"/>
        </w:rPr>
      </w:pPr>
    </w:p>
    <w:p w:rsidR="002F1EBE" w:rsidRPr="00F04EDB" w:rsidRDefault="002F1EBE" w:rsidP="002F1EBE">
      <w:pPr>
        <w:spacing w:after="0" w:line="240" w:lineRule="auto"/>
        <w:rPr>
          <w:rFonts w:eastAsia="Times New Roman" w:cs="Times New Roman"/>
        </w:rPr>
      </w:pPr>
    </w:p>
    <w:p w:rsidR="002F1EBE" w:rsidRPr="00F04EDB" w:rsidRDefault="002F1EBE" w:rsidP="002F1EBE">
      <w:pPr>
        <w:spacing w:after="0" w:line="240" w:lineRule="auto"/>
        <w:rPr>
          <w:rFonts w:eastAsia="Times New Roman" w:cs="Times New Roman"/>
        </w:rPr>
      </w:pPr>
    </w:p>
    <w:p w:rsidR="002F1EBE" w:rsidRPr="00F04EDB" w:rsidRDefault="002F1EBE" w:rsidP="002F1EBE">
      <w:pPr>
        <w:spacing w:after="0" w:line="240" w:lineRule="auto"/>
        <w:rPr>
          <w:rFonts w:eastAsia="Times New Roman" w:cs="Times New Roman"/>
        </w:rPr>
      </w:pPr>
    </w:p>
    <w:p w:rsidR="00D27D7A" w:rsidRPr="009066CB" w:rsidRDefault="00D27D7A" w:rsidP="00D27D7A">
      <w:pPr>
        <w:spacing w:after="0"/>
        <w:jc w:val="center"/>
        <w:rPr>
          <w:rFonts w:ascii="Calibri" w:eastAsia="Calibri" w:hAnsi="Calibri" w:cs="Times New Roman"/>
          <w:b/>
          <w:sz w:val="20"/>
        </w:rPr>
      </w:pPr>
      <w:r w:rsidRPr="009066CB">
        <w:rPr>
          <w:rFonts w:ascii="Calibri" w:eastAsia="Calibri" w:hAnsi="Calibri" w:cs="Times New Roman"/>
          <w:b/>
          <w:sz w:val="20"/>
        </w:rPr>
        <w:t xml:space="preserve">Table </w:t>
      </w:r>
      <w:r w:rsidR="002F368B" w:rsidRPr="009066CB">
        <w:rPr>
          <w:rFonts w:ascii="Calibri" w:eastAsia="Calibri" w:hAnsi="Calibri" w:cs="Times New Roman"/>
          <w:b/>
          <w:sz w:val="20"/>
        </w:rPr>
        <w:t>B</w:t>
      </w:r>
      <w:r w:rsidR="00923109">
        <w:rPr>
          <w:rFonts w:ascii="Calibri" w:eastAsia="Calibri" w:hAnsi="Calibri" w:cs="Times New Roman"/>
          <w:b/>
          <w:sz w:val="20"/>
        </w:rPr>
        <w:t>6</w:t>
      </w:r>
      <w:r w:rsidR="002F368B" w:rsidRPr="009066CB">
        <w:rPr>
          <w:rFonts w:ascii="Calibri" w:eastAsia="Calibri" w:hAnsi="Calibri" w:cs="Times New Roman"/>
          <w:b/>
          <w:sz w:val="20"/>
        </w:rPr>
        <w:t>e</w:t>
      </w:r>
      <w:r w:rsidRPr="009066CB">
        <w:rPr>
          <w:rFonts w:ascii="Calibri" w:eastAsia="Calibri" w:hAnsi="Calibri" w:cs="Times New Roman"/>
          <w:b/>
          <w:sz w:val="20"/>
        </w:rPr>
        <w:t>: Worcester Public Schools</w:t>
      </w:r>
    </w:p>
    <w:p w:rsidR="00D27D7A" w:rsidRPr="009066CB" w:rsidRDefault="00D27D7A" w:rsidP="00D27D7A">
      <w:pPr>
        <w:spacing w:after="0"/>
        <w:jc w:val="center"/>
        <w:rPr>
          <w:rFonts w:ascii="Calibri" w:eastAsia="Calibri" w:hAnsi="Calibri" w:cs="Times New Roman"/>
          <w:b/>
          <w:sz w:val="20"/>
        </w:rPr>
      </w:pPr>
      <w:r w:rsidRPr="009066CB">
        <w:rPr>
          <w:rFonts w:ascii="Calibri" w:eastAsia="Calibri" w:hAnsi="Calibri" w:cs="Times New Roman"/>
          <w:b/>
          <w:sz w:val="20"/>
        </w:rPr>
        <w:t>Science and Technology/Engineering Performance, 2013–2016</w:t>
      </w:r>
    </w:p>
    <w:tbl>
      <w:tblPr>
        <w:tblStyle w:val="TableGrid"/>
        <w:tblW w:w="8928" w:type="dxa"/>
        <w:tblLook w:val="04A0"/>
      </w:tblPr>
      <w:tblGrid>
        <w:gridCol w:w="554"/>
        <w:gridCol w:w="724"/>
        <w:gridCol w:w="1396"/>
        <w:gridCol w:w="882"/>
        <w:gridCol w:w="883"/>
        <w:gridCol w:w="883"/>
        <w:gridCol w:w="883"/>
        <w:gridCol w:w="883"/>
        <w:gridCol w:w="884"/>
        <w:gridCol w:w="956"/>
      </w:tblGrid>
      <w:tr w:rsidR="00D27D7A" w:rsidRPr="009066CB" w:rsidTr="009D5584">
        <w:tc>
          <w:tcPr>
            <w:tcW w:w="1278" w:type="dxa"/>
            <w:gridSpan w:val="2"/>
            <w:vMerge w:val="restart"/>
            <w:vAlign w:val="center"/>
          </w:tcPr>
          <w:p w:rsidR="00D27D7A" w:rsidRPr="009066CB" w:rsidRDefault="00D27D7A" w:rsidP="009D5584">
            <w:pPr>
              <w:spacing w:after="0" w:line="240" w:lineRule="auto"/>
              <w:jc w:val="center"/>
              <w:rPr>
                <w:rFonts w:ascii="Calibri" w:eastAsia="Times New Roman" w:hAnsi="Calibri" w:cs="Times New Roman"/>
                <w:b/>
                <w:sz w:val="20"/>
                <w:szCs w:val="20"/>
              </w:rPr>
            </w:pPr>
            <w:r w:rsidRPr="009066CB">
              <w:rPr>
                <w:rFonts w:ascii="Calibri" w:eastAsia="Times New Roman" w:hAnsi="Calibri" w:cs="Times New Roman"/>
                <w:b/>
                <w:sz w:val="20"/>
                <w:szCs w:val="20"/>
              </w:rPr>
              <w:t>Grade and Measure</w:t>
            </w:r>
          </w:p>
        </w:tc>
        <w:tc>
          <w:tcPr>
            <w:tcW w:w="1396" w:type="dxa"/>
            <w:vMerge w:val="restart"/>
            <w:vAlign w:val="center"/>
          </w:tcPr>
          <w:p w:rsidR="00D27D7A" w:rsidRPr="009066CB" w:rsidRDefault="00D27D7A" w:rsidP="009D5584">
            <w:pPr>
              <w:spacing w:after="0" w:line="240" w:lineRule="auto"/>
              <w:jc w:val="center"/>
              <w:rPr>
                <w:rFonts w:ascii="Calibri" w:eastAsia="Times New Roman" w:hAnsi="Calibri" w:cs="Times New Roman"/>
                <w:b/>
                <w:sz w:val="20"/>
                <w:szCs w:val="20"/>
              </w:rPr>
            </w:pPr>
            <w:r w:rsidRPr="009066CB">
              <w:rPr>
                <w:rFonts w:ascii="Calibri" w:eastAsia="Times New Roman" w:hAnsi="Calibri" w:cs="Times New Roman"/>
                <w:b/>
                <w:sz w:val="20"/>
                <w:szCs w:val="20"/>
              </w:rPr>
              <w:t>Number Included (2016)</w:t>
            </w:r>
          </w:p>
        </w:tc>
        <w:tc>
          <w:tcPr>
            <w:tcW w:w="4414" w:type="dxa"/>
            <w:gridSpan w:val="5"/>
            <w:vMerge w:val="restart"/>
            <w:vAlign w:val="center"/>
          </w:tcPr>
          <w:p w:rsidR="00D27D7A" w:rsidRPr="009066CB" w:rsidRDefault="00D27D7A" w:rsidP="009D5584">
            <w:pPr>
              <w:spacing w:after="0" w:line="240" w:lineRule="auto"/>
              <w:jc w:val="center"/>
              <w:rPr>
                <w:rFonts w:ascii="Calibri" w:eastAsia="Times New Roman" w:hAnsi="Calibri" w:cs="Times New Roman"/>
                <w:b/>
                <w:sz w:val="20"/>
                <w:szCs w:val="20"/>
              </w:rPr>
            </w:pPr>
            <w:r w:rsidRPr="009066CB">
              <w:rPr>
                <w:rFonts w:ascii="Calibri" w:eastAsia="Times New Roman" w:hAnsi="Calibri" w:cs="Times New Roman"/>
                <w:b/>
                <w:sz w:val="20"/>
                <w:szCs w:val="20"/>
              </w:rPr>
              <w:t>Spring MCAS Year</w:t>
            </w:r>
          </w:p>
        </w:tc>
        <w:tc>
          <w:tcPr>
            <w:tcW w:w="1840" w:type="dxa"/>
            <w:gridSpan w:val="2"/>
          </w:tcPr>
          <w:p w:rsidR="00D27D7A" w:rsidRPr="009066CB" w:rsidRDefault="00D27D7A" w:rsidP="009D5584">
            <w:pPr>
              <w:spacing w:after="0" w:line="240" w:lineRule="auto"/>
              <w:rPr>
                <w:rFonts w:ascii="Calibri" w:eastAsia="Times New Roman" w:hAnsi="Calibri" w:cs="Times New Roman"/>
                <w:b/>
                <w:sz w:val="20"/>
                <w:szCs w:val="20"/>
              </w:rPr>
            </w:pPr>
            <w:r w:rsidRPr="009066CB">
              <w:rPr>
                <w:rFonts w:ascii="Calibri" w:eastAsia="Times New Roman" w:hAnsi="Calibri" w:cs="Times New Roman"/>
                <w:b/>
                <w:sz w:val="20"/>
                <w:szCs w:val="20"/>
              </w:rPr>
              <w:t>Gains and Declines</w:t>
            </w:r>
          </w:p>
        </w:tc>
      </w:tr>
      <w:tr w:rsidR="00D27D7A" w:rsidRPr="009066CB" w:rsidTr="009D5584">
        <w:trPr>
          <w:trHeight w:val="244"/>
        </w:trPr>
        <w:tc>
          <w:tcPr>
            <w:tcW w:w="1278" w:type="dxa"/>
            <w:gridSpan w:val="2"/>
            <w:vMerge/>
          </w:tcPr>
          <w:p w:rsidR="00D27D7A" w:rsidRPr="009066CB" w:rsidRDefault="00D27D7A" w:rsidP="009D5584">
            <w:pPr>
              <w:spacing w:after="0" w:line="240" w:lineRule="auto"/>
              <w:rPr>
                <w:rFonts w:ascii="Calibri" w:eastAsia="Times New Roman" w:hAnsi="Calibri" w:cs="Times New Roman"/>
                <w:b/>
                <w:sz w:val="20"/>
                <w:szCs w:val="20"/>
              </w:rPr>
            </w:pPr>
          </w:p>
        </w:tc>
        <w:tc>
          <w:tcPr>
            <w:tcW w:w="1396" w:type="dxa"/>
            <w:vMerge/>
          </w:tcPr>
          <w:p w:rsidR="00D27D7A" w:rsidRPr="009066CB" w:rsidRDefault="00D27D7A" w:rsidP="009D5584">
            <w:pPr>
              <w:spacing w:after="0" w:line="240" w:lineRule="auto"/>
              <w:rPr>
                <w:rFonts w:ascii="Calibri" w:eastAsia="Times New Roman" w:hAnsi="Calibri" w:cs="Times New Roman"/>
                <w:b/>
                <w:sz w:val="20"/>
                <w:szCs w:val="20"/>
              </w:rPr>
            </w:pPr>
          </w:p>
        </w:tc>
        <w:tc>
          <w:tcPr>
            <w:tcW w:w="4414" w:type="dxa"/>
            <w:gridSpan w:val="5"/>
            <w:vMerge/>
          </w:tcPr>
          <w:p w:rsidR="00D27D7A" w:rsidRPr="009066CB" w:rsidRDefault="00D27D7A" w:rsidP="009D5584">
            <w:pPr>
              <w:spacing w:after="0" w:line="240" w:lineRule="auto"/>
              <w:rPr>
                <w:rFonts w:ascii="Calibri" w:eastAsia="Times New Roman" w:hAnsi="Calibri" w:cs="Times New Roman"/>
                <w:b/>
                <w:sz w:val="20"/>
                <w:szCs w:val="20"/>
              </w:rPr>
            </w:pPr>
          </w:p>
        </w:tc>
        <w:tc>
          <w:tcPr>
            <w:tcW w:w="884" w:type="dxa"/>
            <w:vMerge w:val="restart"/>
            <w:vAlign w:val="center"/>
          </w:tcPr>
          <w:p w:rsidR="00D27D7A" w:rsidRPr="009066CB" w:rsidRDefault="00D27D7A" w:rsidP="009D5584">
            <w:pPr>
              <w:spacing w:after="0" w:line="240" w:lineRule="auto"/>
              <w:jc w:val="center"/>
              <w:rPr>
                <w:rFonts w:ascii="Calibri" w:eastAsia="Times New Roman" w:hAnsi="Calibri" w:cs="Times New Roman"/>
                <w:b/>
                <w:sz w:val="20"/>
                <w:szCs w:val="20"/>
              </w:rPr>
            </w:pPr>
            <w:r w:rsidRPr="009066CB">
              <w:rPr>
                <w:rFonts w:ascii="Calibri" w:eastAsia="Times New Roman" w:hAnsi="Calibri" w:cs="Times New Roman"/>
                <w:b/>
                <w:sz w:val="20"/>
                <w:szCs w:val="20"/>
              </w:rPr>
              <w:t>4-Year Trend</w:t>
            </w:r>
          </w:p>
        </w:tc>
        <w:tc>
          <w:tcPr>
            <w:tcW w:w="956" w:type="dxa"/>
            <w:vMerge w:val="restart"/>
            <w:vAlign w:val="center"/>
          </w:tcPr>
          <w:p w:rsidR="00D27D7A" w:rsidRPr="009066CB" w:rsidRDefault="00D27D7A" w:rsidP="009D5584">
            <w:pPr>
              <w:spacing w:after="0" w:line="240" w:lineRule="auto"/>
              <w:jc w:val="center"/>
              <w:rPr>
                <w:rFonts w:ascii="Calibri" w:eastAsia="Times New Roman" w:hAnsi="Calibri" w:cs="Times New Roman"/>
                <w:b/>
                <w:sz w:val="20"/>
                <w:szCs w:val="20"/>
              </w:rPr>
            </w:pPr>
            <w:r w:rsidRPr="009066CB">
              <w:rPr>
                <w:rFonts w:ascii="Calibri" w:eastAsia="Times New Roman" w:hAnsi="Calibri" w:cs="Times New Roman"/>
                <w:b/>
                <w:sz w:val="20"/>
                <w:szCs w:val="20"/>
              </w:rPr>
              <w:t>2-Year Trend</w:t>
            </w:r>
          </w:p>
        </w:tc>
      </w:tr>
      <w:tr w:rsidR="00D27D7A" w:rsidRPr="009066CB" w:rsidTr="009D5584">
        <w:tc>
          <w:tcPr>
            <w:tcW w:w="1278" w:type="dxa"/>
            <w:gridSpan w:val="2"/>
            <w:vMerge/>
          </w:tcPr>
          <w:p w:rsidR="00D27D7A" w:rsidRPr="009066CB" w:rsidRDefault="00D27D7A" w:rsidP="009D5584">
            <w:pPr>
              <w:spacing w:after="0" w:line="240" w:lineRule="auto"/>
              <w:rPr>
                <w:rFonts w:ascii="Calibri" w:eastAsia="Times New Roman" w:hAnsi="Calibri" w:cs="Times New Roman"/>
                <w:sz w:val="20"/>
                <w:szCs w:val="20"/>
              </w:rPr>
            </w:pPr>
          </w:p>
        </w:tc>
        <w:tc>
          <w:tcPr>
            <w:tcW w:w="1396" w:type="dxa"/>
            <w:vMerge/>
          </w:tcPr>
          <w:p w:rsidR="00D27D7A" w:rsidRPr="009066CB" w:rsidRDefault="00D27D7A" w:rsidP="009D5584">
            <w:pPr>
              <w:spacing w:after="0" w:line="240" w:lineRule="auto"/>
              <w:rPr>
                <w:rFonts w:ascii="Calibri" w:eastAsia="Times New Roman" w:hAnsi="Calibri" w:cs="Times New Roman"/>
                <w:sz w:val="20"/>
                <w:szCs w:val="20"/>
              </w:rPr>
            </w:pPr>
          </w:p>
        </w:tc>
        <w:tc>
          <w:tcPr>
            <w:tcW w:w="882" w:type="dxa"/>
            <w:vAlign w:val="center"/>
          </w:tcPr>
          <w:p w:rsidR="00D27D7A" w:rsidRPr="009066CB" w:rsidRDefault="00D27D7A" w:rsidP="009D5584">
            <w:pPr>
              <w:spacing w:after="0" w:line="240" w:lineRule="auto"/>
              <w:jc w:val="center"/>
              <w:rPr>
                <w:rFonts w:ascii="Calibri" w:eastAsia="Times New Roman" w:hAnsi="Calibri" w:cs="Times New Roman"/>
                <w:b/>
                <w:sz w:val="20"/>
                <w:szCs w:val="20"/>
              </w:rPr>
            </w:pPr>
            <w:r w:rsidRPr="009066CB">
              <w:rPr>
                <w:rFonts w:ascii="Calibri" w:eastAsia="Times New Roman" w:hAnsi="Calibri" w:cs="Times New Roman"/>
                <w:b/>
                <w:sz w:val="20"/>
                <w:szCs w:val="20"/>
              </w:rPr>
              <w:t>2013</w:t>
            </w:r>
          </w:p>
        </w:tc>
        <w:tc>
          <w:tcPr>
            <w:tcW w:w="883" w:type="dxa"/>
            <w:vAlign w:val="center"/>
          </w:tcPr>
          <w:p w:rsidR="00D27D7A" w:rsidRPr="009066CB" w:rsidRDefault="00D27D7A" w:rsidP="009D5584">
            <w:pPr>
              <w:spacing w:after="0" w:line="240" w:lineRule="auto"/>
              <w:jc w:val="center"/>
              <w:rPr>
                <w:rFonts w:ascii="Calibri" w:eastAsia="Times New Roman" w:hAnsi="Calibri" w:cs="Times New Roman"/>
                <w:b/>
                <w:sz w:val="20"/>
                <w:szCs w:val="20"/>
              </w:rPr>
            </w:pPr>
            <w:r w:rsidRPr="009066CB">
              <w:rPr>
                <w:rFonts w:ascii="Calibri" w:eastAsia="Times New Roman" w:hAnsi="Calibri" w:cs="Times New Roman"/>
                <w:b/>
                <w:sz w:val="20"/>
                <w:szCs w:val="20"/>
              </w:rPr>
              <w:t>2014</w:t>
            </w:r>
          </w:p>
        </w:tc>
        <w:tc>
          <w:tcPr>
            <w:tcW w:w="883" w:type="dxa"/>
            <w:vAlign w:val="center"/>
          </w:tcPr>
          <w:p w:rsidR="00D27D7A" w:rsidRPr="009066CB" w:rsidRDefault="00D27D7A" w:rsidP="009D5584">
            <w:pPr>
              <w:spacing w:after="0" w:line="240" w:lineRule="auto"/>
              <w:jc w:val="center"/>
              <w:rPr>
                <w:rFonts w:ascii="Calibri" w:eastAsia="Times New Roman" w:hAnsi="Calibri" w:cs="Times New Roman"/>
                <w:b/>
                <w:sz w:val="20"/>
                <w:szCs w:val="20"/>
              </w:rPr>
            </w:pPr>
            <w:r w:rsidRPr="009066CB">
              <w:rPr>
                <w:rFonts w:ascii="Calibri" w:eastAsia="Times New Roman" w:hAnsi="Calibri" w:cs="Times New Roman"/>
                <w:b/>
                <w:sz w:val="20"/>
                <w:szCs w:val="20"/>
              </w:rPr>
              <w:t>2015</w:t>
            </w:r>
          </w:p>
        </w:tc>
        <w:tc>
          <w:tcPr>
            <w:tcW w:w="883" w:type="dxa"/>
            <w:vAlign w:val="center"/>
          </w:tcPr>
          <w:p w:rsidR="00D27D7A" w:rsidRPr="009066CB" w:rsidRDefault="00D27D7A" w:rsidP="009D5584">
            <w:pPr>
              <w:spacing w:after="0" w:line="240" w:lineRule="auto"/>
              <w:jc w:val="center"/>
              <w:rPr>
                <w:rFonts w:ascii="Calibri" w:eastAsia="Times New Roman" w:hAnsi="Calibri" w:cs="Times New Roman"/>
                <w:b/>
                <w:sz w:val="20"/>
                <w:szCs w:val="20"/>
              </w:rPr>
            </w:pPr>
            <w:r w:rsidRPr="009066CB">
              <w:rPr>
                <w:rFonts w:ascii="Calibri" w:eastAsia="Times New Roman" w:hAnsi="Calibri" w:cs="Times New Roman"/>
                <w:b/>
                <w:sz w:val="20"/>
                <w:szCs w:val="20"/>
              </w:rPr>
              <w:t>2016</w:t>
            </w:r>
          </w:p>
        </w:tc>
        <w:tc>
          <w:tcPr>
            <w:tcW w:w="883" w:type="dxa"/>
            <w:shd w:val="clear" w:color="auto" w:fill="D9D9D9" w:themeFill="background1" w:themeFillShade="D9"/>
            <w:vAlign w:val="center"/>
          </w:tcPr>
          <w:p w:rsidR="00D27D7A" w:rsidRPr="009066CB" w:rsidRDefault="00D27D7A" w:rsidP="009D5584">
            <w:pPr>
              <w:spacing w:after="0" w:line="240" w:lineRule="auto"/>
              <w:jc w:val="center"/>
              <w:rPr>
                <w:rFonts w:ascii="Calibri" w:eastAsia="Times New Roman" w:hAnsi="Calibri" w:cs="Times New Roman"/>
                <w:b/>
                <w:sz w:val="20"/>
                <w:szCs w:val="20"/>
              </w:rPr>
            </w:pPr>
            <w:r w:rsidRPr="009066CB">
              <w:rPr>
                <w:rFonts w:ascii="Calibri" w:eastAsia="Times New Roman" w:hAnsi="Calibri" w:cs="Times New Roman"/>
                <w:b/>
                <w:sz w:val="20"/>
                <w:szCs w:val="20"/>
              </w:rPr>
              <w:t>State (2016)</w:t>
            </w:r>
          </w:p>
        </w:tc>
        <w:tc>
          <w:tcPr>
            <w:tcW w:w="884" w:type="dxa"/>
            <w:vMerge/>
          </w:tcPr>
          <w:p w:rsidR="00D27D7A" w:rsidRPr="009066CB" w:rsidRDefault="00D27D7A" w:rsidP="009D5584">
            <w:pPr>
              <w:spacing w:after="0" w:line="240" w:lineRule="auto"/>
              <w:rPr>
                <w:rFonts w:ascii="Calibri" w:eastAsia="Times New Roman" w:hAnsi="Calibri" w:cs="Times New Roman"/>
                <w:sz w:val="20"/>
                <w:szCs w:val="20"/>
              </w:rPr>
            </w:pPr>
          </w:p>
        </w:tc>
        <w:tc>
          <w:tcPr>
            <w:tcW w:w="956" w:type="dxa"/>
            <w:vMerge/>
          </w:tcPr>
          <w:p w:rsidR="00D27D7A" w:rsidRPr="009066CB" w:rsidRDefault="00D27D7A" w:rsidP="009D5584">
            <w:pPr>
              <w:spacing w:after="0" w:line="240" w:lineRule="auto"/>
              <w:rPr>
                <w:rFonts w:ascii="Calibri" w:eastAsia="Times New Roman" w:hAnsi="Calibri" w:cs="Times New Roman"/>
                <w:sz w:val="20"/>
                <w:szCs w:val="20"/>
              </w:rPr>
            </w:pPr>
          </w:p>
        </w:tc>
      </w:tr>
      <w:tr w:rsidR="00D27D7A" w:rsidRPr="009066CB" w:rsidTr="009D5584">
        <w:tc>
          <w:tcPr>
            <w:tcW w:w="554" w:type="dxa"/>
            <w:vMerge w:val="restart"/>
            <w:vAlign w:val="center"/>
          </w:tcPr>
          <w:p w:rsidR="00D27D7A" w:rsidRPr="009066CB" w:rsidRDefault="00D27D7A" w:rsidP="009D5584">
            <w:pPr>
              <w:spacing w:after="0" w:line="240" w:lineRule="auto"/>
              <w:jc w:val="center"/>
              <w:rPr>
                <w:rFonts w:ascii="Calibri" w:eastAsia="Times New Roman" w:hAnsi="Calibri" w:cs="Times New Roman"/>
                <w:sz w:val="20"/>
                <w:szCs w:val="20"/>
              </w:rPr>
            </w:pPr>
            <w:r w:rsidRPr="009066CB">
              <w:rPr>
                <w:rFonts w:ascii="Calibri" w:eastAsia="Times New Roman" w:hAnsi="Calibri" w:cs="Times New Roman"/>
                <w:sz w:val="20"/>
                <w:szCs w:val="20"/>
              </w:rPr>
              <w:t>5</w:t>
            </w:r>
          </w:p>
        </w:tc>
        <w:tc>
          <w:tcPr>
            <w:tcW w:w="724" w:type="dxa"/>
          </w:tcPr>
          <w:p w:rsidR="00D27D7A" w:rsidRPr="009066CB" w:rsidRDefault="00D27D7A" w:rsidP="009D5584">
            <w:pPr>
              <w:spacing w:after="0" w:line="240" w:lineRule="auto"/>
              <w:rPr>
                <w:rFonts w:ascii="Calibri" w:eastAsia="Times New Roman" w:hAnsi="Calibri" w:cs="Times New Roman"/>
                <w:sz w:val="20"/>
                <w:szCs w:val="20"/>
              </w:rPr>
            </w:pPr>
            <w:r w:rsidRPr="009066CB">
              <w:rPr>
                <w:rFonts w:ascii="Calibri" w:eastAsia="Times New Roman" w:hAnsi="Calibri" w:cs="Times New Roman"/>
                <w:sz w:val="20"/>
                <w:szCs w:val="20"/>
              </w:rPr>
              <w:t>CPI</w:t>
            </w:r>
          </w:p>
        </w:tc>
        <w:tc>
          <w:tcPr>
            <w:tcW w:w="1396" w:type="dxa"/>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1,787</w:t>
            </w:r>
          </w:p>
        </w:tc>
        <w:tc>
          <w:tcPr>
            <w:tcW w:w="882" w:type="dxa"/>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64.2</w:t>
            </w:r>
          </w:p>
        </w:tc>
        <w:tc>
          <w:tcPr>
            <w:tcW w:w="883" w:type="dxa"/>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67.4</w:t>
            </w:r>
          </w:p>
        </w:tc>
        <w:tc>
          <w:tcPr>
            <w:tcW w:w="883" w:type="dxa"/>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66.6</w:t>
            </w:r>
          </w:p>
        </w:tc>
        <w:tc>
          <w:tcPr>
            <w:tcW w:w="883" w:type="dxa"/>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64.7</w:t>
            </w:r>
          </w:p>
        </w:tc>
        <w:tc>
          <w:tcPr>
            <w:tcW w:w="883" w:type="dxa"/>
            <w:shd w:val="clear" w:color="auto" w:fill="D9D9D9" w:themeFill="background1" w:themeFillShade="D9"/>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76.4</w:t>
            </w:r>
          </w:p>
        </w:tc>
        <w:tc>
          <w:tcPr>
            <w:tcW w:w="884" w:type="dxa"/>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0.5</w:t>
            </w:r>
          </w:p>
        </w:tc>
        <w:tc>
          <w:tcPr>
            <w:tcW w:w="956" w:type="dxa"/>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-1.9</w:t>
            </w:r>
          </w:p>
        </w:tc>
      </w:tr>
      <w:tr w:rsidR="00D27D7A" w:rsidRPr="009066CB" w:rsidTr="009D5584">
        <w:tc>
          <w:tcPr>
            <w:tcW w:w="554" w:type="dxa"/>
            <w:vMerge/>
            <w:vAlign w:val="center"/>
          </w:tcPr>
          <w:p w:rsidR="00D27D7A" w:rsidRPr="009066CB" w:rsidRDefault="00D27D7A" w:rsidP="009D5584">
            <w:pPr>
              <w:spacing w:after="0" w:line="240" w:lineRule="auto"/>
              <w:jc w:val="center"/>
              <w:rPr>
                <w:rFonts w:ascii="Calibri" w:eastAsia="Times New Roman" w:hAnsi="Calibri" w:cs="Times New Roman"/>
                <w:sz w:val="20"/>
                <w:szCs w:val="20"/>
              </w:rPr>
            </w:pPr>
          </w:p>
        </w:tc>
        <w:tc>
          <w:tcPr>
            <w:tcW w:w="724" w:type="dxa"/>
          </w:tcPr>
          <w:p w:rsidR="00D27D7A" w:rsidRPr="009066CB" w:rsidRDefault="00D27D7A" w:rsidP="009D5584">
            <w:pPr>
              <w:spacing w:after="0" w:line="240" w:lineRule="auto"/>
              <w:rPr>
                <w:rFonts w:ascii="Calibri" w:eastAsia="Times New Roman" w:hAnsi="Calibri" w:cs="Times New Roman"/>
                <w:sz w:val="20"/>
                <w:szCs w:val="20"/>
              </w:rPr>
            </w:pPr>
            <w:r w:rsidRPr="009066CB">
              <w:rPr>
                <w:rFonts w:ascii="Calibri" w:eastAsia="Times New Roman" w:hAnsi="Calibri" w:cs="Times New Roman"/>
                <w:sz w:val="20"/>
                <w:szCs w:val="20"/>
              </w:rPr>
              <w:t>P+</w:t>
            </w:r>
          </w:p>
        </w:tc>
        <w:tc>
          <w:tcPr>
            <w:tcW w:w="1396" w:type="dxa"/>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1,787</w:t>
            </w:r>
          </w:p>
        </w:tc>
        <w:tc>
          <w:tcPr>
            <w:tcW w:w="882" w:type="dxa"/>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29%</w:t>
            </w:r>
          </w:p>
        </w:tc>
        <w:tc>
          <w:tcPr>
            <w:tcW w:w="883" w:type="dxa"/>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34%</w:t>
            </w:r>
          </w:p>
        </w:tc>
        <w:tc>
          <w:tcPr>
            <w:tcW w:w="883" w:type="dxa"/>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32%</w:t>
            </w:r>
          </w:p>
        </w:tc>
        <w:tc>
          <w:tcPr>
            <w:tcW w:w="883" w:type="dxa"/>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29%</w:t>
            </w:r>
          </w:p>
        </w:tc>
        <w:tc>
          <w:tcPr>
            <w:tcW w:w="883" w:type="dxa"/>
            <w:shd w:val="clear" w:color="auto" w:fill="D9D9D9" w:themeFill="background1" w:themeFillShade="D9"/>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47%</w:t>
            </w:r>
          </w:p>
        </w:tc>
        <w:tc>
          <w:tcPr>
            <w:tcW w:w="884" w:type="dxa"/>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0</w:t>
            </w:r>
          </w:p>
        </w:tc>
        <w:tc>
          <w:tcPr>
            <w:tcW w:w="956" w:type="dxa"/>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-3</w:t>
            </w:r>
          </w:p>
        </w:tc>
      </w:tr>
      <w:tr w:rsidR="00D27D7A" w:rsidRPr="009066CB" w:rsidTr="009D5584">
        <w:tc>
          <w:tcPr>
            <w:tcW w:w="554" w:type="dxa"/>
            <w:vMerge w:val="restart"/>
            <w:vAlign w:val="center"/>
          </w:tcPr>
          <w:p w:rsidR="00D27D7A" w:rsidRPr="009066CB" w:rsidRDefault="00D27D7A" w:rsidP="009D5584">
            <w:pPr>
              <w:spacing w:after="0" w:line="240" w:lineRule="auto"/>
              <w:jc w:val="center"/>
              <w:rPr>
                <w:rFonts w:ascii="Calibri" w:eastAsia="Times New Roman" w:hAnsi="Calibri" w:cs="Times New Roman"/>
                <w:sz w:val="20"/>
                <w:szCs w:val="20"/>
              </w:rPr>
            </w:pPr>
            <w:r w:rsidRPr="009066CB">
              <w:rPr>
                <w:rFonts w:ascii="Calibri" w:eastAsia="Times New Roman" w:hAnsi="Calibri" w:cs="Times New Roman"/>
                <w:sz w:val="20"/>
                <w:szCs w:val="20"/>
              </w:rPr>
              <w:t>8</w:t>
            </w:r>
          </w:p>
        </w:tc>
        <w:tc>
          <w:tcPr>
            <w:tcW w:w="724" w:type="dxa"/>
          </w:tcPr>
          <w:p w:rsidR="00D27D7A" w:rsidRPr="009066CB" w:rsidRDefault="00D27D7A" w:rsidP="009D5584">
            <w:pPr>
              <w:spacing w:after="0" w:line="240" w:lineRule="auto"/>
              <w:rPr>
                <w:rFonts w:ascii="Calibri" w:eastAsia="Times New Roman" w:hAnsi="Calibri" w:cs="Times New Roman"/>
                <w:sz w:val="20"/>
                <w:szCs w:val="20"/>
              </w:rPr>
            </w:pPr>
            <w:r w:rsidRPr="009066CB">
              <w:rPr>
                <w:rFonts w:ascii="Calibri" w:eastAsia="Times New Roman" w:hAnsi="Calibri" w:cs="Times New Roman"/>
                <w:sz w:val="20"/>
                <w:szCs w:val="20"/>
              </w:rPr>
              <w:t>CPI</w:t>
            </w:r>
          </w:p>
        </w:tc>
        <w:tc>
          <w:tcPr>
            <w:tcW w:w="1396" w:type="dxa"/>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1,624</w:t>
            </w:r>
          </w:p>
        </w:tc>
        <w:tc>
          <w:tcPr>
            <w:tcW w:w="882" w:type="dxa"/>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54.8</w:t>
            </w:r>
          </w:p>
        </w:tc>
        <w:tc>
          <w:tcPr>
            <w:tcW w:w="883" w:type="dxa"/>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57.2</w:t>
            </w:r>
          </w:p>
        </w:tc>
        <w:tc>
          <w:tcPr>
            <w:tcW w:w="883" w:type="dxa"/>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55.5</w:t>
            </w:r>
          </w:p>
        </w:tc>
        <w:tc>
          <w:tcPr>
            <w:tcW w:w="883" w:type="dxa"/>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55</w:t>
            </w:r>
          </w:p>
        </w:tc>
        <w:tc>
          <w:tcPr>
            <w:tcW w:w="883" w:type="dxa"/>
            <w:shd w:val="clear" w:color="auto" w:fill="D9D9D9" w:themeFill="background1" w:themeFillShade="D9"/>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71.3</w:t>
            </w:r>
          </w:p>
        </w:tc>
        <w:tc>
          <w:tcPr>
            <w:tcW w:w="884" w:type="dxa"/>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0.2</w:t>
            </w:r>
          </w:p>
        </w:tc>
        <w:tc>
          <w:tcPr>
            <w:tcW w:w="956" w:type="dxa"/>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-0.5</w:t>
            </w:r>
          </w:p>
        </w:tc>
      </w:tr>
      <w:tr w:rsidR="00D27D7A" w:rsidRPr="009066CB" w:rsidTr="009D5584">
        <w:tc>
          <w:tcPr>
            <w:tcW w:w="554" w:type="dxa"/>
            <w:vMerge/>
            <w:vAlign w:val="center"/>
          </w:tcPr>
          <w:p w:rsidR="00D27D7A" w:rsidRPr="009066CB" w:rsidRDefault="00D27D7A" w:rsidP="009D5584">
            <w:pPr>
              <w:spacing w:after="0" w:line="240" w:lineRule="auto"/>
              <w:jc w:val="center"/>
              <w:rPr>
                <w:rFonts w:ascii="Calibri" w:eastAsia="Times New Roman" w:hAnsi="Calibri" w:cs="Times New Roman"/>
                <w:sz w:val="20"/>
                <w:szCs w:val="20"/>
              </w:rPr>
            </w:pPr>
          </w:p>
        </w:tc>
        <w:tc>
          <w:tcPr>
            <w:tcW w:w="724" w:type="dxa"/>
          </w:tcPr>
          <w:p w:rsidR="00D27D7A" w:rsidRPr="009066CB" w:rsidRDefault="00D27D7A" w:rsidP="009D5584">
            <w:pPr>
              <w:spacing w:after="0" w:line="240" w:lineRule="auto"/>
              <w:rPr>
                <w:rFonts w:ascii="Calibri" w:eastAsia="Times New Roman" w:hAnsi="Calibri" w:cs="Times New Roman"/>
                <w:sz w:val="20"/>
                <w:szCs w:val="20"/>
              </w:rPr>
            </w:pPr>
            <w:r w:rsidRPr="009066CB">
              <w:rPr>
                <w:rFonts w:ascii="Calibri" w:eastAsia="Times New Roman" w:hAnsi="Calibri" w:cs="Times New Roman"/>
                <w:sz w:val="20"/>
                <w:szCs w:val="20"/>
              </w:rPr>
              <w:t>P+</w:t>
            </w:r>
          </w:p>
        </w:tc>
        <w:tc>
          <w:tcPr>
            <w:tcW w:w="1396" w:type="dxa"/>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1,624</w:t>
            </w:r>
          </w:p>
        </w:tc>
        <w:tc>
          <w:tcPr>
            <w:tcW w:w="882" w:type="dxa"/>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21%</w:t>
            </w:r>
          </w:p>
        </w:tc>
        <w:tc>
          <w:tcPr>
            <w:tcW w:w="883" w:type="dxa"/>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23%</w:t>
            </w:r>
          </w:p>
        </w:tc>
        <w:tc>
          <w:tcPr>
            <w:tcW w:w="883" w:type="dxa"/>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20%</w:t>
            </w:r>
          </w:p>
        </w:tc>
        <w:tc>
          <w:tcPr>
            <w:tcW w:w="883" w:type="dxa"/>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20%</w:t>
            </w:r>
          </w:p>
        </w:tc>
        <w:tc>
          <w:tcPr>
            <w:tcW w:w="883" w:type="dxa"/>
            <w:shd w:val="clear" w:color="auto" w:fill="D9D9D9" w:themeFill="background1" w:themeFillShade="D9"/>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41%</w:t>
            </w:r>
          </w:p>
        </w:tc>
        <w:tc>
          <w:tcPr>
            <w:tcW w:w="884" w:type="dxa"/>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-1</w:t>
            </w:r>
          </w:p>
        </w:tc>
        <w:tc>
          <w:tcPr>
            <w:tcW w:w="956" w:type="dxa"/>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0</w:t>
            </w:r>
          </w:p>
        </w:tc>
      </w:tr>
      <w:tr w:rsidR="00D27D7A" w:rsidRPr="009066CB" w:rsidTr="009D5584">
        <w:tc>
          <w:tcPr>
            <w:tcW w:w="554" w:type="dxa"/>
            <w:vMerge w:val="restart"/>
            <w:vAlign w:val="center"/>
          </w:tcPr>
          <w:p w:rsidR="00D27D7A" w:rsidRPr="009066CB" w:rsidRDefault="00D27D7A" w:rsidP="009D5584">
            <w:pPr>
              <w:spacing w:after="0" w:line="240" w:lineRule="auto"/>
              <w:jc w:val="center"/>
              <w:rPr>
                <w:rFonts w:ascii="Calibri" w:eastAsia="Times New Roman" w:hAnsi="Calibri" w:cs="Times New Roman"/>
                <w:sz w:val="20"/>
                <w:szCs w:val="20"/>
              </w:rPr>
            </w:pPr>
            <w:r w:rsidRPr="009066CB">
              <w:rPr>
                <w:rFonts w:ascii="Calibri" w:eastAsia="Times New Roman" w:hAnsi="Calibri" w:cs="Times New Roman"/>
                <w:sz w:val="20"/>
                <w:szCs w:val="20"/>
              </w:rPr>
              <w:t>10</w:t>
            </w:r>
          </w:p>
        </w:tc>
        <w:tc>
          <w:tcPr>
            <w:tcW w:w="724" w:type="dxa"/>
          </w:tcPr>
          <w:p w:rsidR="00D27D7A" w:rsidRPr="009066CB" w:rsidRDefault="00D27D7A" w:rsidP="009D5584">
            <w:pPr>
              <w:spacing w:after="0" w:line="240" w:lineRule="auto"/>
              <w:rPr>
                <w:rFonts w:ascii="Calibri" w:eastAsia="Times New Roman" w:hAnsi="Calibri" w:cs="Times New Roman"/>
                <w:sz w:val="20"/>
                <w:szCs w:val="20"/>
              </w:rPr>
            </w:pPr>
            <w:r w:rsidRPr="009066CB">
              <w:rPr>
                <w:rFonts w:ascii="Calibri" w:eastAsia="Times New Roman" w:hAnsi="Calibri" w:cs="Times New Roman"/>
                <w:sz w:val="20"/>
                <w:szCs w:val="20"/>
              </w:rPr>
              <w:t>CPI</w:t>
            </w:r>
          </w:p>
        </w:tc>
        <w:tc>
          <w:tcPr>
            <w:tcW w:w="1396" w:type="dxa"/>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1,642</w:t>
            </w:r>
          </w:p>
        </w:tc>
        <w:tc>
          <w:tcPr>
            <w:tcW w:w="882" w:type="dxa"/>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76.3</w:t>
            </w:r>
          </w:p>
        </w:tc>
        <w:tc>
          <w:tcPr>
            <w:tcW w:w="883" w:type="dxa"/>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75.4</w:t>
            </w:r>
          </w:p>
        </w:tc>
        <w:tc>
          <w:tcPr>
            <w:tcW w:w="883" w:type="dxa"/>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76.9</w:t>
            </w:r>
          </w:p>
        </w:tc>
        <w:tc>
          <w:tcPr>
            <w:tcW w:w="883" w:type="dxa"/>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78.3</w:t>
            </w:r>
          </w:p>
        </w:tc>
        <w:tc>
          <w:tcPr>
            <w:tcW w:w="883" w:type="dxa"/>
            <w:shd w:val="clear" w:color="auto" w:fill="D9D9D9" w:themeFill="background1" w:themeFillShade="D9"/>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88.9</w:t>
            </w:r>
          </w:p>
        </w:tc>
        <w:tc>
          <w:tcPr>
            <w:tcW w:w="884" w:type="dxa"/>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2.0</w:t>
            </w:r>
          </w:p>
        </w:tc>
        <w:tc>
          <w:tcPr>
            <w:tcW w:w="956" w:type="dxa"/>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1.4</w:t>
            </w:r>
          </w:p>
        </w:tc>
      </w:tr>
      <w:tr w:rsidR="00D27D7A" w:rsidRPr="009066CB" w:rsidTr="009D5584">
        <w:tc>
          <w:tcPr>
            <w:tcW w:w="554" w:type="dxa"/>
            <w:vMerge/>
            <w:vAlign w:val="center"/>
          </w:tcPr>
          <w:p w:rsidR="00D27D7A" w:rsidRPr="009066CB" w:rsidRDefault="00D27D7A" w:rsidP="009D5584">
            <w:pPr>
              <w:spacing w:after="0" w:line="240" w:lineRule="auto"/>
              <w:jc w:val="center"/>
              <w:rPr>
                <w:rFonts w:ascii="Calibri" w:eastAsia="Times New Roman" w:hAnsi="Calibri" w:cs="Times New Roman"/>
                <w:sz w:val="20"/>
                <w:szCs w:val="20"/>
              </w:rPr>
            </w:pPr>
          </w:p>
        </w:tc>
        <w:tc>
          <w:tcPr>
            <w:tcW w:w="724" w:type="dxa"/>
          </w:tcPr>
          <w:p w:rsidR="00D27D7A" w:rsidRPr="009066CB" w:rsidRDefault="00D27D7A" w:rsidP="009D5584">
            <w:pPr>
              <w:spacing w:after="0" w:line="240" w:lineRule="auto"/>
              <w:rPr>
                <w:rFonts w:ascii="Calibri" w:eastAsia="Times New Roman" w:hAnsi="Calibri" w:cs="Times New Roman"/>
                <w:sz w:val="20"/>
                <w:szCs w:val="20"/>
              </w:rPr>
            </w:pPr>
            <w:r w:rsidRPr="009066CB">
              <w:rPr>
                <w:rFonts w:ascii="Calibri" w:eastAsia="Times New Roman" w:hAnsi="Calibri" w:cs="Times New Roman"/>
                <w:sz w:val="20"/>
                <w:szCs w:val="20"/>
              </w:rPr>
              <w:t>P+</w:t>
            </w:r>
          </w:p>
        </w:tc>
        <w:tc>
          <w:tcPr>
            <w:tcW w:w="1396" w:type="dxa"/>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1,642</w:t>
            </w:r>
          </w:p>
        </w:tc>
        <w:tc>
          <w:tcPr>
            <w:tcW w:w="882" w:type="dxa"/>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46%</w:t>
            </w:r>
          </w:p>
        </w:tc>
        <w:tc>
          <w:tcPr>
            <w:tcW w:w="883" w:type="dxa"/>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46%</w:t>
            </w:r>
          </w:p>
        </w:tc>
        <w:tc>
          <w:tcPr>
            <w:tcW w:w="883" w:type="dxa"/>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49%</w:t>
            </w:r>
          </w:p>
        </w:tc>
        <w:tc>
          <w:tcPr>
            <w:tcW w:w="883" w:type="dxa"/>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51%</w:t>
            </w:r>
          </w:p>
        </w:tc>
        <w:tc>
          <w:tcPr>
            <w:tcW w:w="883" w:type="dxa"/>
            <w:shd w:val="clear" w:color="auto" w:fill="D9D9D9" w:themeFill="background1" w:themeFillShade="D9"/>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73%</w:t>
            </w:r>
          </w:p>
        </w:tc>
        <w:tc>
          <w:tcPr>
            <w:tcW w:w="884" w:type="dxa"/>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5</w:t>
            </w:r>
          </w:p>
        </w:tc>
        <w:tc>
          <w:tcPr>
            <w:tcW w:w="956" w:type="dxa"/>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2</w:t>
            </w:r>
          </w:p>
        </w:tc>
      </w:tr>
      <w:tr w:rsidR="00D27D7A" w:rsidRPr="009066CB" w:rsidTr="009D5584">
        <w:tc>
          <w:tcPr>
            <w:tcW w:w="554" w:type="dxa"/>
            <w:vMerge w:val="restart"/>
            <w:vAlign w:val="center"/>
          </w:tcPr>
          <w:p w:rsidR="00D27D7A" w:rsidRPr="009066CB" w:rsidRDefault="00D27D7A" w:rsidP="009D5584">
            <w:pPr>
              <w:spacing w:after="0" w:line="240" w:lineRule="auto"/>
              <w:jc w:val="center"/>
              <w:rPr>
                <w:rFonts w:ascii="Calibri" w:eastAsia="Times New Roman" w:hAnsi="Calibri" w:cs="Times New Roman"/>
                <w:sz w:val="20"/>
                <w:szCs w:val="20"/>
              </w:rPr>
            </w:pPr>
            <w:r w:rsidRPr="009066CB">
              <w:rPr>
                <w:rFonts w:ascii="Calibri" w:eastAsia="Times New Roman" w:hAnsi="Calibri" w:cs="Times New Roman"/>
                <w:sz w:val="20"/>
                <w:szCs w:val="20"/>
              </w:rPr>
              <w:t>All</w:t>
            </w:r>
          </w:p>
        </w:tc>
        <w:tc>
          <w:tcPr>
            <w:tcW w:w="724" w:type="dxa"/>
          </w:tcPr>
          <w:p w:rsidR="00D27D7A" w:rsidRPr="009066CB" w:rsidRDefault="00D27D7A" w:rsidP="009D5584">
            <w:pPr>
              <w:spacing w:after="0" w:line="240" w:lineRule="auto"/>
              <w:rPr>
                <w:rFonts w:ascii="Calibri" w:eastAsia="Times New Roman" w:hAnsi="Calibri" w:cs="Times New Roman"/>
                <w:sz w:val="20"/>
                <w:szCs w:val="20"/>
              </w:rPr>
            </w:pPr>
            <w:r w:rsidRPr="009066CB">
              <w:rPr>
                <w:rFonts w:ascii="Calibri" w:eastAsia="Times New Roman" w:hAnsi="Calibri" w:cs="Times New Roman"/>
                <w:sz w:val="20"/>
                <w:szCs w:val="20"/>
              </w:rPr>
              <w:t>CPI</w:t>
            </w:r>
          </w:p>
        </w:tc>
        <w:tc>
          <w:tcPr>
            <w:tcW w:w="1396" w:type="dxa"/>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5,053</w:t>
            </w:r>
          </w:p>
        </w:tc>
        <w:tc>
          <w:tcPr>
            <w:tcW w:w="882" w:type="dxa"/>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64.8</w:t>
            </w:r>
          </w:p>
        </w:tc>
        <w:tc>
          <w:tcPr>
            <w:tcW w:w="883" w:type="dxa"/>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66.4</w:t>
            </w:r>
          </w:p>
        </w:tc>
        <w:tc>
          <w:tcPr>
            <w:tcW w:w="883" w:type="dxa"/>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66.0</w:t>
            </w:r>
          </w:p>
        </w:tc>
        <w:tc>
          <w:tcPr>
            <w:tcW w:w="883" w:type="dxa"/>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66.0</w:t>
            </w:r>
          </w:p>
        </w:tc>
        <w:tc>
          <w:tcPr>
            <w:tcW w:w="883" w:type="dxa"/>
            <w:shd w:val="clear" w:color="auto" w:fill="D9D9D9" w:themeFill="background1" w:themeFillShade="D9"/>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78.7</w:t>
            </w:r>
          </w:p>
        </w:tc>
        <w:tc>
          <w:tcPr>
            <w:tcW w:w="884" w:type="dxa"/>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1.2</w:t>
            </w:r>
          </w:p>
        </w:tc>
        <w:tc>
          <w:tcPr>
            <w:tcW w:w="956" w:type="dxa"/>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0.0</w:t>
            </w:r>
          </w:p>
        </w:tc>
      </w:tr>
      <w:tr w:rsidR="00D27D7A" w:rsidRPr="009066CB" w:rsidTr="009D5584">
        <w:tc>
          <w:tcPr>
            <w:tcW w:w="554" w:type="dxa"/>
            <w:vMerge/>
          </w:tcPr>
          <w:p w:rsidR="00D27D7A" w:rsidRPr="009066CB" w:rsidRDefault="00D27D7A" w:rsidP="009D5584">
            <w:pPr>
              <w:spacing w:after="0" w:line="240" w:lineRule="auto"/>
              <w:rPr>
                <w:rFonts w:ascii="Calibri" w:eastAsia="Times New Roman" w:hAnsi="Calibri" w:cs="Times New Roman"/>
                <w:sz w:val="20"/>
                <w:szCs w:val="20"/>
              </w:rPr>
            </w:pPr>
          </w:p>
        </w:tc>
        <w:tc>
          <w:tcPr>
            <w:tcW w:w="724" w:type="dxa"/>
          </w:tcPr>
          <w:p w:rsidR="00D27D7A" w:rsidRPr="009066CB" w:rsidRDefault="00D27D7A" w:rsidP="009D5584">
            <w:pPr>
              <w:spacing w:after="0" w:line="240" w:lineRule="auto"/>
              <w:rPr>
                <w:rFonts w:ascii="Calibri" w:eastAsia="Times New Roman" w:hAnsi="Calibri" w:cs="Times New Roman"/>
                <w:sz w:val="20"/>
                <w:szCs w:val="20"/>
              </w:rPr>
            </w:pPr>
            <w:r w:rsidRPr="009066CB">
              <w:rPr>
                <w:rFonts w:ascii="Calibri" w:eastAsia="Times New Roman" w:hAnsi="Calibri" w:cs="Times New Roman"/>
                <w:sz w:val="20"/>
                <w:szCs w:val="20"/>
              </w:rPr>
              <w:t>P+</w:t>
            </w:r>
          </w:p>
        </w:tc>
        <w:tc>
          <w:tcPr>
            <w:tcW w:w="1396" w:type="dxa"/>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5,053</w:t>
            </w:r>
          </w:p>
        </w:tc>
        <w:tc>
          <w:tcPr>
            <w:tcW w:w="882" w:type="dxa"/>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32%</w:t>
            </w:r>
          </w:p>
        </w:tc>
        <w:tc>
          <w:tcPr>
            <w:tcW w:w="883" w:type="dxa"/>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34%</w:t>
            </w:r>
          </w:p>
        </w:tc>
        <w:tc>
          <w:tcPr>
            <w:tcW w:w="883" w:type="dxa"/>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33%</w:t>
            </w:r>
          </w:p>
        </w:tc>
        <w:tc>
          <w:tcPr>
            <w:tcW w:w="883" w:type="dxa"/>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33%</w:t>
            </w:r>
          </w:p>
        </w:tc>
        <w:tc>
          <w:tcPr>
            <w:tcW w:w="883" w:type="dxa"/>
            <w:shd w:val="clear" w:color="auto" w:fill="D9D9D9" w:themeFill="background1" w:themeFillShade="D9"/>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54%</w:t>
            </w:r>
          </w:p>
        </w:tc>
        <w:tc>
          <w:tcPr>
            <w:tcW w:w="884" w:type="dxa"/>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1</w:t>
            </w:r>
          </w:p>
        </w:tc>
        <w:tc>
          <w:tcPr>
            <w:tcW w:w="956" w:type="dxa"/>
            <w:vAlign w:val="bottom"/>
          </w:tcPr>
          <w:p w:rsidR="00D27D7A" w:rsidRPr="00D126CA" w:rsidRDefault="00D27D7A" w:rsidP="009D5584">
            <w:pPr>
              <w:spacing w:after="0" w:line="240" w:lineRule="auto"/>
              <w:jc w:val="center"/>
              <w:rPr>
                <w:rFonts w:ascii="Calibri" w:hAnsi="Calibri"/>
                <w:sz w:val="20"/>
                <w:szCs w:val="20"/>
              </w:rPr>
            </w:pPr>
            <w:r w:rsidRPr="00D126CA">
              <w:rPr>
                <w:rFonts w:ascii="Calibri" w:hAnsi="Calibri"/>
                <w:sz w:val="20"/>
                <w:szCs w:val="20"/>
              </w:rPr>
              <w:t>0</w:t>
            </w:r>
          </w:p>
        </w:tc>
      </w:tr>
      <w:tr w:rsidR="00D27D7A" w:rsidRPr="009066CB" w:rsidTr="009D5584">
        <w:tc>
          <w:tcPr>
            <w:tcW w:w="8928" w:type="dxa"/>
            <w:gridSpan w:val="10"/>
            <w:tcBorders>
              <w:left w:val="nil"/>
              <w:bottom w:val="nil"/>
              <w:right w:val="nil"/>
            </w:tcBorders>
          </w:tcPr>
          <w:p w:rsidR="00D27D7A" w:rsidRPr="009066CB" w:rsidRDefault="00D27D7A" w:rsidP="009D5584">
            <w:pPr>
              <w:widowControl w:val="0"/>
              <w:overflowPunct w:val="0"/>
              <w:adjustRightInd w:val="0"/>
              <w:spacing w:before="80" w:after="0" w:line="240" w:lineRule="auto"/>
              <w:rPr>
                <w:rFonts w:ascii="Calibri" w:eastAsia="Times New Roman" w:hAnsi="Calibri" w:cs="Times New Roman"/>
                <w:bCs/>
                <w:kern w:val="28"/>
                <w:sz w:val="20"/>
                <w:szCs w:val="20"/>
              </w:rPr>
            </w:pPr>
            <w:r w:rsidRPr="009066CB">
              <w:rPr>
                <w:rFonts w:ascii="Calibri" w:eastAsia="Times New Roman" w:hAnsi="Calibri" w:cs="Times New Roman"/>
                <w:bCs/>
                <w:kern w:val="28"/>
                <w:sz w:val="20"/>
                <w:szCs w:val="20"/>
              </w:rPr>
              <w:t xml:space="preserve">Notes: P+ = percent </w:t>
            </w:r>
            <w:r w:rsidRPr="009066CB">
              <w:rPr>
                <w:rFonts w:ascii="Calibri" w:eastAsia="Times New Roman" w:hAnsi="Calibri" w:cs="Times New Roman"/>
                <w:bCs/>
                <w:i/>
                <w:kern w:val="28"/>
                <w:sz w:val="20"/>
                <w:szCs w:val="20"/>
              </w:rPr>
              <w:t>Proficient</w:t>
            </w:r>
            <w:r w:rsidRPr="009066CB">
              <w:rPr>
                <w:rFonts w:ascii="Calibri" w:eastAsia="Times New Roman" w:hAnsi="Calibri" w:cs="Times New Roman"/>
                <w:bCs/>
                <w:kern w:val="28"/>
                <w:sz w:val="20"/>
                <w:szCs w:val="20"/>
              </w:rPr>
              <w:t xml:space="preserve"> or </w:t>
            </w:r>
            <w:r w:rsidRPr="009066CB">
              <w:rPr>
                <w:rFonts w:ascii="Calibri" w:eastAsia="Times New Roman" w:hAnsi="Calibri" w:cs="Times New Roman"/>
                <w:bCs/>
                <w:i/>
                <w:kern w:val="28"/>
                <w:sz w:val="20"/>
                <w:szCs w:val="20"/>
              </w:rPr>
              <w:t>Advanced</w:t>
            </w:r>
            <w:r w:rsidRPr="009066CB">
              <w:rPr>
                <w:rFonts w:ascii="Calibri" w:eastAsia="Times New Roman" w:hAnsi="Calibri" w:cs="Times New Roman"/>
                <w:bCs/>
                <w:kern w:val="28"/>
                <w:sz w:val="20"/>
                <w:szCs w:val="20"/>
              </w:rPr>
              <w:t>.  Students participate in Science and Technology/ Engineering (STE) MCAS tests in grades 5, 8, and 10 only. Median SGPs are not calculated for STE.</w:t>
            </w:r>
          </w:p>
        </w:tc>
      </w:tr>
    </w:tbl>
    <w:p w:rsidR="00D27D7A" w:rsidRDefault="00D27D7A" w:rsidP="00D27D7A">
      <w:pPr>
        <w:spacing w:after="0" w:line="240" w:lineRule="auto"/>
        <w:rPr>
          <w:rFonts w:ascii="Calibri" w:eastAsia="Times New Roman" w:hAnsi="Calibri" w:cs="Times New Roman"/>
          <w:sz w:val="20"/>
          <w:szCs w:val="20"/>
        </w:rPr>
      </w:pPr>
    </w:p>
    <w:p w:rsidR="00D27D7A" w:rsidRDefault="00D27D7A" w:rsidP="00D27D7A">
      <w:pPr>
        <w:spacing w:after="0" w:line="240" w:lineRule="auto"/>
        <w:rPr>
          <w:rFonts w:ascii="Calibri" w:eastAsia="Times New Roman" w:hAnsi="Calibri" w:cs="Times New Roman"/>
          <w:sz w:val="20"/>
          <w:szCs w:val="20"/>
        </w:rPr>
      </w:pPr>
    </w:p>
    <w:p w:rsidR="00D27D7A" w:rsidRDefault="00D27D7A" w:rsidP="00D27D7A">
      <w:pPr>
        <w:spacing w:after="0" w:line="240" w:lineRule="auto"/>
        <w:rPr>
          <w:rFonts w:ascii="Calibri" w:eastAsia="Times New Roman" w:hAnsi="Calibri" w:cs="Times New Roman"/>
          <w:sz w:val="20"/>
          <w:szCs w:val="20"/>
        </w:rPr>
      </w:pPr>
    </w:p>
    <w:p w:rsidR="00D27D7A" w:rsidRDefault="00D27D7A" w:rsidP="00D27D7A">
      <w:pPr>
        <w:spacing w:after="0" w:line="240" w:lineRule="auto"/>
        <w:rPr>
          <w:rFonts w:ascii="Calibri" w:eastAsia="Times New Roman" w:hAnsi="Calibri" w:cs="Times New Roman"/>
          <w:sz w:val="20"/>
          <w:szCs w:val="20"/>
        </w:rPr>
      </w:pPr>
    </w:p>
    <w:p w:rsidR="00D27D7A" w:rsidRDefault="00D27D7A" w:rsidP="00D27D7A">
      <w:pPr>
        <w:spacing w:after="0" w:line="240" w:lineRule="auto"/>
        <w:rPr>
          <w:rFonts w:ascii="Calibri" w:eastAsia="Times New Roman" w:hAnsi="Calibri" w:cs="Times New Roman"/>
          <w:sz w:val="20"/>
          <w:szCs w:val="20"/>
        </w:rPr>
      </w:pPr>
    </w:p>
    <w:p w:rsidR="00D27D7A" w:rsidRPr="009066CB" w:rsidRDefault="00D27D7A" w:rsidP="00D27D7A">
      <w:pPr>
        <w:spacing w:after="0" w:line="240" w:lineRule="auto"/>
        <w:rPr>
          <w:rFonts w:ascii="Calibri" w:eastAsia="Times New Roman" w:hAnsi="Calibri" w:cs="Times New Roman"/>
          <w:sz w:val="20"/>
          <w:szCs w:val="20"/>
        </w:rPr>
      </w:pPr>
    </w:p>
    <w:p w:rsidR="00D27D7A" w:rsidRPr="009066CB" w:rsidRDefault="00D27D7A" w:rsidP="00D27D7A">
      <w:pPr>
        <w:spacing w:after="0" w:line="240" w:lineRule="auto"/>
        <w:rPr>
          <w:rFonts w:ascii="Calibri" w:eastAsia="Times New Roman" w:hAnsi="Calibri" w:cs="Times New Roman"/>
          <w:sz w:val="20"/>
          <w:szCs w:val="20"/>
        </w:rPr>
      </w:pPr>
    </w:p>
    <w:p w:rsidR="00E47390" w:rsidRPr="00E47390" w:rsidRDefault="00E47390" w:rsidP="00E47390">
      <w:pPr>
        <w:spacing w:after="0" w:line="240" w:lineRule="auto"/>
        <w:jc w:val="center"/>
        <w:rPr>
          <w:rFonts w:ascii="Calibri" w:eastAsia="Calibri" w:hAnsi="Calibri" w:cs="Times New Roman"/>
          <w:b/>
          <w:sz w:val="20"/>
        </w:rPr>
      </w:pPr>
      <w:r w:rsidRPr="00E47390">
        <w:rPr>
          <w:rFonts w:ascii="Calibri" w:eastAsia="Calibri" w:hAnsi="Calibri" w:cs="Times New Roman"/>
          <w:b/>
          <w:sz w:val="20"/>
        </w:rPr>
        <w:t xml:space="preserve">Table </w:t>
      </w:r>
      <w:r w:rsidR="002F368B" w:rsidRPr="00E47390">
        <w:rPr>
          <w:rFonts w:ascii="Calibri" w:eastAsia="Calibri" w:hAnsi="Calibri" w:cs="Times New Roman"/>
          <w:b/>
          <w:sz w:val="20"/>
        </w:rPr>
        <w:t>B</w:t>
      </w:r>
      <w:r w:rsidR="00923109">
        <w:rPr>
          <w:rFonts w:ascii="Calibri" w:eastAsia="Calibri" w:hAnsi="Calibri" w:cs="Times New Roman"/>
          <w:b/>
          <w:sz w:val="20"/>
        </w:rPr>
        <w:t>7</w:t>
      </w:r>
      <w:r w:rsidR="002F368B" w:rsidRPr="00E47390">
        <w:rPr>
          <w:rFonts w:ascii="Calibri" w:eastAsia="Calibri" w:hAnsi="Calibri" w:cs="Times New Roman"/>
          <w:b/>
          <w:sz w:val="20"/>
        </w:rPr>
        <w:t>a</w:t>
      </w:r>
      <w:r w:rsidRPr="00E47390">
        <w:rPr>
          <w:rFonts w:ascii="Calibri" w:eastAsia="Calibri" w:hAnsi="Calibri" w:cs="Times New Roman"/>
          <w:b/>
          <w:sz w:val="20"/>
        </w:rPr>
        <w:t>: Worcester Public Schools</w:t>
      </w:r>
    </w:p>
    <w:p w:rsidR="00E47390" w:rsidRPr="00E47390" w:rsidRDefault="00E47390" w:rsidP="00E47390">
      <w:pPr>
        <w:spacing w:after="0" w:line="240" w:lineRule="auto"/>
        <w:jc w:val="center"/>
        <w:rPr>
          <w:rFonts w:ascii="Calibri" w:eastAsia="Calibri" w:hAnsi="Calibri" w:cs="Times New Roman"/>
          <w:b/>
          <w:sz w:val="20"/>
        </w:rPr>
      </w:pPr>
      <w:r w:rsidRPr="00E47390">
        <w:rPr>
          <w:rFonts w:ascii="Calibri" w:eastAsia="Calibri" w:hAnsi="Calibri" w:cs="Times New Roman"/>
          <w:b/>
          <w:sz w:val="20"/>
        </w:rPr>
        <w:t>English Language Arts (All Grades)</w:t>
      </w:r>
    </w:p>
    <w:p w:rsidR="00E47390" w:rsidRPr="00E47390" w:rsidRDefault="00E47390" w:rsidP="00E47390">
      <w:pPr>
        <w:spacing w:after="0" w:line="240" w:lineRule="auto"/>
        <w:jc w:val="center"/>
        <w:rPr>
          <w:rFonts w:ascii="Calibri" w:eastAsia="Calibri" w:hAnsi="Calibri" w:cs="Times New Roman"/>
          <w:b/>
          <w:sz w:val="20"/>
          <w:szCs w:val="24"/>
        </w:rPr>
      </w:pPr>
      <w:r w:rsidRPr="00E47390">
        <w:rPr>
          <w:rFonts w:ascii="Calibri" w:eastAsia="Calibri" w:hAnsi="Calibri" w:cs="Times New Roman"/>
          <w:b/>
          <w:sz w:val="20"/>
        </w:rPr>
        <w:t>Performance for Selected Subgroups Compared to State, 2013–2016</w:t>
      </w:r>
      <w:r w:rsidRPr="00E47390">
        <w:rPr>
          <w:rFonts w:ascii="Calibri" w:eastAsia="Calibri" w:hAnsi="Calibri" w:cs="Times New Roman"/>
          <w:b/>
          <w:sz w:val="20"/>
          <w:vertAlign w:val="superscript"/>
        </w:rPr>
        <w:footnoteReference w:id="27"/>
      </w:r>
    </w:p>
    <w:tbl>
      <w:tblPr>
        <w:tblStyle w:val="TableGrid"/>
        <w:tblW w:w="8928" w:type="dxa"/>
        <w:tblLayout w:type="fixed"/>
        <w:tblLook w:val="04A0"/>
      </w:tblPr>
      <w:tblGrid>
        <w:gridCol w:w="1008"/>
        <w:gridCol w:w="810"/>
        <w:gridCol w:w="630"/>
        <w:gridCol w:w="990"/>
        <w:gridCol w:w="784"/>
        <w:gridCol w:w="784"/>
        <w:gridCol w:w="784"/>
        <w:gridCol w:w="785"/>
        <w:gridCol w:w="784"/>
        <w:gridCol w:w="784"/>
        <w:gridCol w:w="785"/>
      </w:tblGrid>
      <w:tr w:rsidR="00E47390" w:rsidRPr="00E47390" w:rsidTr="009D5584">
        <w:tc>
          <w:tcPr>
            <w:tcW w:w="2448" w:type="dxa"/>
            <w:gridSpan w:val="3"/>
            <w:vMerge w:val="restart"/>
            <w:vAlign w:val="center"/>
          </w:tcPr>
          <w:p w:rsidR="00E47390" w:rsidRPr="00E47390" w:rsidRDefault="00E47390" w:rsidP="00E47390">
            <w:pPr>
              <w:spacing w:after="0" w:line="240" w:lineRule="auto"/>
              <w:jc w:val="center"/>
              <w:rPr>
                <w:b/>
                <w:sz w:val="20"/>
                <w:szCs w:val="20"/>
              </w:rPr>
            </w:pPr>
            <w:r w:rsidRPr="00E47390">
              <w:rPr>
                <w:b/>
                <w:sz w:val="20"/>
                <w:szCs w:val="20"/>
              </w:rPr>
              <w:t>Group and Measure</w:t>
            </w:r>
          </w:p>
        </w:tc>
        <w:tc>
          <w:tcPr>
            <w:tcW w:w="990" w:type="dxa"/>
            <w:vMerge w:val="restart"/>
            <w:vAlign w:val="center"/>
          </w:tcPr>
          <w:p w:rsidR="00E47390" w:rsidRPr="00E47390" w:rsidRDefault="00E47390" w:rsidP="00E47390">
            <w:pPr>
              <w:spacing w:after="0" w:line="240" w:lineRule="auto"/>
              <w:jc w:val="center"/>
              <w:rPr>
                <w:b/>
                <w:sz w:val="20"/>
                <w:szCs w:val="20"/>
              </w:rPr>
            </w:pPr>
            <w:r w:rsidRPr="00E47390">
              <w:rPr>
                <w:b/>
                <w:sz w:val="20"/>
                <w:szCs w:val="20"/>
              </w:rPr>
              <w:t>Number Included (2016)</w:t>
            </w:r>
          </w:p>
        </w:tc>
        <w:tc>
          <w:tcPr>
            <w:tcW w:w="3921" w:type="dxa"/>
            <w:gridSpan w:val="5"/>
            <w:vAlign w:val="center"/>
          </w:tcPr>
          <w:p w:rsidR="00E47390" w:rsidRPr="00E47390" w:rsidRDefault="00E47390" w:rsidP="00E47390">
            <w:pPr>
              <w:spacing w:after="0" w:line="240" w:lineRule="auto"/>
              <w:jc w:val="center"/>
              <w:rPr>
                <w:b/>
                <w:sz w:val="20"/>
                <w:szCs w:val="20"/>
              </w:rPr>
            </w:pPr>
            <w:r w:rsidRPr="00E47390">
              <w:rPr>
                <w:b/>
                <w:sz w:val="20"/>
                <w:szCs w:val="20"/>
              </w:rPr>
              <w:t>Accountability</w:t>
            </w:r>
          </w:p>
        </w:tc>
        <w:tc>
          <w:tcPr>
            <w:tcW w:w="784" w:type="dxa"/>
            <w:vMerge w:val="restart"/>
            <w:vAlign w:val="center"/>
          </w:tcPr>
          <w:p w:rsidR="00E47390" w:rsidRPr="00E47390" w:rsidRDefault="00E47390" w:rsidP="00E47390">
            <w:pPr>
              <w:spacing w:after="0" w:line="240" w:lineRule="auto"/>
              <w:jc w:val="center"/>
              <w:rPr>
                <w:b/>
                <w:sz w:val="20"/>
                <w:szCs w:val="20"/>
              </w:rPr>
            </w:pPr>
            <w:r w:rsidRPr="00E47390">
              <w:rPr>
                <w:b/>
                <w:sz w:val="20"/>
                <w:szCs w:val="20"/>
              </w:rPr>
              <w:t>2-Year Trend</w:t>
            </w:r>
          </w:p>
        </w:tc>
        <w:tc>
          <w:tcPr>
            <w:tcW w:w="785" w:type="dxa"/>
            <w:vMerge w:val="restart"/>
            <w:vAlign w:val="center"/>
          </w:tcPr>
          <w:p w:rsidR="00E47390" w:rsidRPr="00E47390" w:rsidRDefault="00E47390" w:rsidP="00E47390">
            <w:pPr>
              <w:spacing w:after="0" w:line="240" w:lineRule="auto"/>
              <w:jc w:val="center"/>
              <w:rPr>
                <w:b/>
                <w:sz w:val="20"/>
                <w:szCs w:val="20"/>
              </w:rPr>
            </w:pPr>
            <w:r w:rsidRPr="00E47390">
              <w:rPr>
                <w:b/>
                <w:sz w:val="20"/>
                <w:szCs w:val="20"/>
              </w:rPr>
              <w:t>4-Year Trend</w:t>
            </w:r>
          </w:p>
        </w:tc>
      </w:tr>
      <w:tr w:rsidR="00E47390" w:rsidRPr="00E47390" w:rsidTr="009D5584">
        <w:trPr>
          <w:trHeight w:val="244"/>
        </w:trPr>
        <w:tc>
          <w:tcPr>
            <w:tcW w:w="2448" w:type="dxa"/>
            <w:gridSpan w:val="3"/>
            <w:vMerge/>
          </w:tcPr>
          <w:p w:rsidR="00E47390" w:rsidRPr="00E47390" w:rsidRDefault="00E47390" w:rsidP="00E47390">
            <w:pPr>
              <w:spacing w:after="0" w:line="240" w:lineRule="auto"/>
              <w:jc w:val="center"/>
              <w:rPr>
                <w:b/>
                <w:sz w:val="20"/>
                <w:szCs w:val="20"/>
              </w:rPr>
            </w:pPr>
          </w:p>
        </w:tc>
        <w:tc>
          <w:tcPr>
            <w:tcW w:w="990" w:type="dxa"/>
            <w:vMerge/>
          </w:tcPr>
          <w:p w:rsidR="00E47390" w:rsidRPr="00E47390" w:rsidRDefault="00E47390" w:rsidP="00E47390">
            <w:pPr>
              <w:spacing w:after="0" w:line="240" w:lineRule="auto"/>
              <w:jc w:val="center"/>
              <w:rPr>
                <w:b/>
                <w:sz w:val="20"/>
                <w:szCs w:val="20"/>
              </w:rPr>
            </w:pPr>
          </w:p>
        </w:tc>
        <w:tc>
          <w:tcPr>
            <w:tcW w:w="1568" w:type="dxa"/>
            <w:gridSpan w:val="2"/>
          </w:tcPr>
          <w:p w:rsidR="00E47390" w:rsidRPr="00E47390" w:rsidRDefault="00E47390" w:rsidP="00E47390">
            <w:pPr>
              <w:spacing w:after="0" w:line="240" w:lineRule="auto"/>
              <w:jc w:val="center"/>
              <w:rPr>
                <w:b/>
                <w:sz w:val="20"/>
                <w:szCs w:val="20"/>
              </w:rPr>
            </w:pPr>
            <w:r w:rsidRPr="00E47390">
              <w:rPr>
                <w:b/>
                <w:sz w:val="20"/>
                <w:szCs w:val="20"/>
              </w:rPr>
              <w:t>MCAS</w:t>
            </w:r>
          </w:p>
        </w:tc>
        <w:tc>
          <w:tcPr>
            <w:tcW w:w="784" w:type="dxa"/>
          </w:tcPr>
          <w:p w:rsidR="00E47390" w:rsidRPr="00E47390" w:rsidRDefault="00E47390" w:rsidP="00E47390">
            <w:pPr>
              <w:spacing w:after="0" w:line="240" w:lineRule="auto"/>
              <w:jc w:val="center"/>
              <w:rPr>
                <w:b/>
                <w:sz w:val="20"/>
                <w:szCs w:val="20"/>
              </w:rPr>
            </w:pPr>
          </w:p>
        </w:tc>
        <w:tc>
          <w:tcPr>
            <w:tcW w:w="1569" w:type="dxa"/>
            <w:gridSpan w:val="2"/>
          </w:tcPr>
          <w:p w:rsidR="00E47390" w:rsidRPr="00E47390" w:rsidRDefault="00E47390" w:rsidP="00E47390">
            <w:pPr>
              <w:spacing w:after="0" w:line="240" w:lineRule="auto"/>
              <w:jc w:val="center"/>
              <w:rPr>
                <w:b/>
                <w:sz w:val="20"/>
                <w:szCs w:val="20"/>
              </w:rPr>
            </w:pPr>
            <w:r w:rsidRPr="00E47390">
              <w:rPr>
                <w:b/>
                <w:sz w:val="20"/>
                <w:szCs w:val="20"/>
              </w:rPr>
              <w:t>MCAS/PARCC</w:t>
            </w:r>
          </w:p>
        </w:tc>
        <w:tc>
          <w:tcPr>
            <w:tcW w:w="784" w:type="dxa"/>
            <w:vMerge/>
          </w:tcPr>
          <w:p w:rsidR="00E47390" w:rsidRPr="00E47390" w:rsidRDefault="00E47390" w:rsidP="00E47390">
            <w:pPr>
              <w:spacing w:after="0" w:line="240" w:lineRule="auto"/>
              <w:jc w:val="center"/>
              <w:rPr>
                <w:b/>
                <w:sz w:val="20"/>
                <w:szCs w:val="20"/>
              </w:rPr>
            </w:pPr>
          </w:p>
        </w:tc>
        <w:tc>
          <w:tcPr>
            <w:tcW w:w="785" w:type="dxa"/>
            <w:vMerge/>
          </w:tcPr>
          <w:p w:rsidR="00E47390" w:rsidRPr="00E47390" w:rsidRDefault="00E47390" w:rsidP="00E47390">
            <w:pPr>
              <w:spacing w:after="0" w:line="240" w:lineRule="auto"/>
              <w:jc w:val="center"/>
              <w:rPr>
                <w:b/>
                <w:sz w:val="20"/>
                <w:szCs w:val="20"/>
              </w:rPr>
            </w:pPr>
          </w:p>
        </w:tc>
      </w:tr>
      <w:tr w:rsidR="00E47390" w:rsidRPr="00E47390" w:rsidTr="009D5584">
        <w:tc>
          <w:tcPr>
            <w:tcW w:w="2448" w:type="dxa"/>
            <w:gridSpan w:val="3"/>
            <w:vMerge/>
          </w:tcPr>
          <w:p w:rsidR="00E47390" w:rsidRPr="00E47390" w:rsidRDefault="00E47390" w:rsidP="00E47390">
            <w:pPr>
              <w:spacing w:after="0" w:line="240" w:lineRule="auto"/>
              <w:jc w:val="center"/>
              <w:rPr>
                <w:sz w:val="20"/>
                <w:szCs w:val="20"/>
              </w:rPr>
            </w:pPr>
          </w:p>
        </w:tc>
        <w:tc>
          <w:tcPr>
            <w:tcW w:w="990" w:type="dxa"/>
            <w:vMerge/>
          </w:tcPr>
          <w:p w:rsidR="00E47390" w:rsidRPr="00E47390" w:rsidRDefault="00E47390" w:rsidP="00E47390">
            <w:pPr>
              <w:spacing w:after="0" w:line="240" w:lineRule="auto"/>
              <w:jc w:val="center"/>
              <w:rPr>
                <w:sz w:val="20"/>
                <w:szCs w:val="20"/>
              </w:rPr>
            </w:pPr>
          </w:p>
        </w:tc>
        <w:tc>
          <w:tcPr>
            <w:tcW w:w="784" w:type="dxa"/>
          </w:tcPr>
          <w:p w:rsidR="00E47390" w:rsidRPr="00E47390" w:rsidRDefault="00E47390" w:rsidP="00E47390">
            <w:pPr>
              <w:spacing w:after="0" w:line="240" w:lineRule="auto"/>
              <w:jc w:val="center"/>
              <w:rPr>
                <w:b/>
                <w:sz w:val="20"/>
                <w:szCs w:val="20"/>
              </w:rPr>
            </w:pPr>
            <w:r w:rsidRPr="00E47390">
              <w:rPr>
                <w:b/>
                <w:sz w:val="20"/>
                <w:szCs w:val="20"/>
              </w:rPr>
              <w:t>2013</w:t>
            </w:r>
          </w:p>
        </w:tc>
        <w:tc>
          <w:tcPr>
            <w:tcW w:w="784" w:type="dxa"/>
          </w:tcPr>
          <w:p w:rsidR="00E47390" w:rsidRPr="00E47390" w:rsidRDefault="00E47390" w:rsidP="00E47390">
            <w:pPr>
              <w:spacing w:after="0" w:line="240" w:lineRule="auto"/>
              <w:jc w:val="center"/>
              <w:rPr>
                <w:b/>
                <w:sz w:val="20"/>
                <w:szCs w:val="20"/>
              </w:rPr>
            </w:pPr>
            <w:r w:rsidRPr="00E47390">
              <w:rPr>
                <w:b/>
                <w:sz w:val="20"/>
                <w:szCs w:val="20"/>
              </w:rPr>
              <w:t>2014</w:t>
            </w:r>
          </w:p>
        </w:tc>
        <w:tc>
          <w:tcPr>
            <w:tcW w:w="784" w:type="dxa"/>
          </w:tcPr>
          <w:p w:rsidR="00E47390" w:rsidRPr="00E47390" w:rsidRDefault="00E47390" w:rsidP="00E47390">
            <w:pPr>
              <w:spacing w:after="0" w:line="240" w:lineRule="auto"/>
              <w:jc w:val="center"/>
              <w:rPr>
                <w:b/>
                <w:sz w:val="20"/>
                <w:szCs w:val="20"/>
              </w:rPr>
            </w:pPr>
          </w:p>
        </w:tc>
        <w:tc>
          <w:tcPr>
            <w:tcW w:w="785" w:type="dxa"/>
          </w:tcPr>
          <w:p w:rsidR="00E47390" w:rsidRPr="00E47390" w:rsidRDefault="00E47390" w:rsidP="00E47390">
            <w:pPr>
              <w:spacing w:after="0" w:line="240" w:lineRule="auto"/>
              <w:jc w:val="center"/>
              <w:rPr>
                <w:b/>
                <w:sz w:val="20"/>
                <w:szCs w:val="20"/>
              </w:rPr>
            </w:pPr>
            <w:r w:rsidRPr="00E47390">
              <w:rPr>
                <w:b/>
                <w:sz w:val="20"/>
                <w:szCs w:val="20"/>
              </w:rPr>
              <w:t>2015</w:t>
            </w:r>
          </w:p>
        </w:tc>
        <w:tc>
          <w:tcPr>
            <w:tcW w:w="784" w:type="dxa"/>
          </w:tcPr>
          <w:p w:rsidR="00E47390" w:rsidRPr="00E47390" w:rsidRDefault="00E47390" w:rsidP="00E47390">
            <w:pPr>
              <w:spacing w:after="0" w:line="240" w:lineRule="auto"/>
              <w:jc w:val="center"/>
              <w:rPr>
                <w:b/>
                <w:sz w:val="20"/>
                <w:szCs w:val="20"/>
              </w:rPr>
            </w:pPr>
            <w:r w:rsidRPr="00E47390">
              <w:rPr>
                <w:b/>
                <w:sz w:val="20"/>
                <w:szCs w:val="20"/>
              </w:rPr>
              <w:t>2016</w:t>
            </w:r>
          </w:p>
        </w:tc>
        <w:tc>
          <w:tcPr>
            <w:tcW w:w="784" w:type="dxa"/>
            <w:vMerge/>
          </w:tcPr>
          <w:p w:rsidR="00E47390" w:rsidRPr="00E47390" w:rsidRDefault="00E47390" w:rsidP="00E47390">
            <w:pPr>
              <w:spacing w:after="0" w:line="240" w:lineRule="auto"/>
              <w:jc w:val="center"/>
              <w:rPr>
                <w:sz w:val="20"/>
                <w:szCs w:val="20"/>
              </w:rPr>
            </w:pPr>
          </w:p>
        </w:tc>
        <w:tc>
          <w:tcPr>
            <w:tcW w:w="785" w:type="dxa"/>
            <w:vMerge/>
          </w:tcPr>
          <w:p w:rsidR="00E47390" w:rsidRPr="00E47390" w:rsidRDefault="00E47390" w:rsidP="00E47390">
            <w:pPr>
              <w:spacing w:after="0" w:line="240" w:lineRule="auto"/>
              <w:jc w:val="center"/>
              <w:rPr>
                <w:sz w:val="20"/>
                <w:szCs w:val="20"/>
              </w:rPr>
            </w:pPr>
          </w:p>
        </w:tc>
      </w:tr>
      <w:tr w:rsidR="00E47390" w:rsidRPr="00E47390" w:rsidTr="009D5584">
        <w:tc>
          <w:tcPr>
            <w:tcW w:w="1008" w:type="dxa"/>
            <w:vMerge w:val="restart"/>
            <w:vAlign w:val="center"/>
          </w:tcPr>
          <w:p w:rsidR="00E47390" w:rsidRPr="00E47390" w:rsidRDefault="00E47390" w:rsidP="00E47390">
            <w:pPr>
              <w:spacing w:after="0" w:line="240" w:lineRule="auto"/>
              <w:jc w:val="center"/>
              <w:rPr>
                <w:sz w:val="20"/>
                <w:szCs w:val="20"/>
              </w:rPr>
            </w:pPr>
            <w:r w:rsidRPr="00E47390">
              <w:rPr>
                <w:sz w:val="20"/>
                <w:szCs w:val="20"/>
              </w:rPr>
              <w:t>High Needs</w:t>
            </w:r>
          </w:p>
        </w:tc>
        <w:tc>
          <w:tcPr>
            <w:tcW w:w="810" w:type="dxa"/>
            <w:vMerge w:val="restart"/>
            <w:shd w:val="clear" w:color="auto" w:fill="D9D9D9" w:themeFill="background1" w:themeFillShade="D9"/>
            <w:vAlign w:val="center"/>
          </w:tcPr>
          <w:p w:rsidR="00E47390" w:rsidRPr="00E47390" w:rsidRDefault="00E47390" w:rsidP="00E47390">
            <w:pPr>
              <w:spacing w:after="0" w:line="240" w:lineRule="auto"/>
              <w:jc w:val="center"/>
              <w:rPr>
                <w:sz w:val="20"/>
                <w:szCs w:val="20"/>
              </w:rPr>
            </w:pPr>
            <w:r w:rsidRPr="00E47390">
              <w:rPr>
                <w:sz w:val="20"/>
                <w:szCs w:val="20"/>
              </w:rPr>
              <w:t>District</w:t>
            </w:r>
          </w:p>
        </w:tc>
        <w:tc>
          <w:tcPr>
            <w:tcW w:w="630" w:type="dxa"/>
            <w:shd w:val="clear" w:color="auto" w:fill="D9D9D9" w:themeFill="background1" w:themeFillShade="D9"/>
          </w:tcPr>
          <w:p w:rsidR="00E47390" w:rsidRPr="00E47390" w:rsidRDefault="00E47390" w:rsidP="00E47390">
            <w:pPr>
              <w:spacing w:after="0" w:line="240" w:lineRule="auto"/>
              <w:rPr>
                <w:sz w:val="20"/>
                <w:szCs w:val="20"/>
              </w:rPr>
            </w:pPr>
            <w:r w:rsidRPr="00E47390">
              <w:rPr>
                <w:sz w:val="20"/>
                <w:szCs w:val="20"/>
              </w:rPr>
              <w:t>CPI</w:t>
            </w:r>
          </w:p>
        </w:tc>
        <w:tc>
          <w:tcPr>
            <w:tcW w:w="990" w:type="dxa"/>
            <w:shd w:val="clear" w:color="auto" w:fill="D9D9D9" w:themeFill="background1" w:themeFillShade="D9"/>
            <w:vAlign w:val="bottom"/>
          </w:tcPr>
          <w:p w:rsidR="00E47390" w:rsidRPr="00E47390" w:rsidRDefault="00E47390" w:rsidP="00E47390">
            <w:pPr>
              <w:spacing w:after="0" w:line="240" w:lineRule="auto"/>
              <w:jc w:val="center"/>
              <w:rPr>
                <w:sz w:val="20"/>
                <w:szCs w:val="20"/>
              </w:rPr>
            </w:pPr>
            <w:r w:rsidRPr="00E47390">
              <w:rPr>
                <w:sz w:val="20"/>
                <w:szCs w:val="20"/>
              </w:rPr>
              <w:t>9,145</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73.3</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73.2</w:t>
            </w:r>
          </w:p>
        </w:tc>
        <w:tc>
          <w:tcPr>
            <w:tcW w:w="784" w:type="dxa"/>
            <w:shd w:val="clear" w:color="auto" w:fill="D9D9D9" w:themeFill="background1" w:themeFillShade="D9"/>
          </w:tcPr>
          <w:p w:rsidR="00E47390" w:rsidRPr="00E47390" w:rsidRDefault="00E47390" w:rsidP="00E47390">
            <w:pPr>
              <w:spacing w:after="0" w:line="240" w:lineRule="auto"/>
              <w:rPr>
                <w:sz w:val="20"/>
                <w:szCs w:val="20"/>
              </w:rPr>
            </w:pPr>
            <w:r w:rsidRPr="00E47390">
              <w:rPr>
                <w:sz w:val="20"/>
                <w:szCs w:val="20"/>
              </w:rPr>
              <w:t>CPI</w:t>
            </w:r>
          </w:p>
        </w:tc>
        <w:tc>
          <w:tcPr>
            <w:tcW w:w="785" w:type="dxa"/>
            <w:shd w:val="clear" w:color="auto" w:fill="D9D9D9" w:themeFill="background1" w:themeFillShade="D9"/>
            <w:vAlign w:val="bottom"/>
          </w:tcPr>
          <w:p w:rsidR="00E47390" w:rsidRPr="00E47390" w:rsidRDefault="00E47390" w:rsidP="00E47390">
            <w:pPr>
              <w:spacing w:after="0" w:line="240" w:lineRule="auto"/>
              <w:jc w:val="center"/>
              <w:rPr>
                <w:sz w:val="20"/>
                <w:szCs w:val="20"/>
              </w:rPr>
            </w:pPr>
            <w:r w:rsidRPr="00E47390">
              <w:rPr>
                <w:sz w:val="20"/>
                <w:szCs w:val="20"/>
              </w:rPr>
              <w:t>73.1</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sz w:val="20"/>
                <w:szCs w:val="20"/>
              </w:rPr>
            </w:pPr>
            <w:r w:rsidRPr="00E47390">
              <w:rPr>
                <w:sz w:val="20"/>
                <w:szCs w:val="20"/>
              </w:rPr>
              <w:t>74.6</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1.5</w:t>
            </w:r>
          </w:p>
        </w:tc>
        <w:tc>
          <w:tcPr>
            <w:tcW w:w="785" w:type="dxa"/>
            <w:shd w:val="clear" w:color="auto" w:fill="D9D9D9" w:themeFill="background1" w:themeFillShade="D9"/>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1.3</w:t>
            </w:r>
          </w:p>
        </w:tc>
      </w:tr>
      <w:tr w:rsidR="00E47390" w:rsidRPr="00E47390" w:rsidTr="009D5584">
        <w:tc>
          <w:tcPr>
            <w:tcW w:w="1008" w:type="dxa"/>
            <w:vMerge/>
            <w:vAlign w:val="center"/>
          </w:tcPr>
          <w:p w:rsidR="00E47390" w:rsidRPr="00E47390" w:rsidRDefault="00E47390" w:rsidP="00E47390">
            <w:pPr>
              <w:spacing w:after="0" w:line="240" w:lineRule="auto"/>
              <w:jc w:val="center"/>
              <w:rPr>
                <w:sz w:val="20"/>
                <w:szCs w:val="20"/>
              </w:rPr>
            </w:pPr>
          </w:p>
        </w:tc>
        <w:tc>
          <w:tcPr>
            <w:tcW w:w="810" w:type="dxa"/>
            <w:vMerge/>
            <w:shd w:val="clear" w:color="auto" w:fill="D9D9D9" w:themeFill="background1" w:themeFillShade="D9"/>
          </w:tcPr>
          <w:p w:rsidR="00E47390" w:rsidRPr="00E47390" w:rsidRDefault="00E47390" w:rsidP="00E47390">
            <w:pPr>
              <w:spacing w:after="0" w:line="240" w:lineRule="auto"/>
              <w:rPr>
                <w:sz w:val="20"/>
                <w:szCs w:val="20"/>
              </w:rPr>
            </w:pPr>
          </w:p>
        </w:tc>
        <w:tc>
          <w:tcPr>
            <w:tcW w:w="630" w:type="dxa"/>
            <w:shd w:val="clear" w:color="auto" w:fill="D9D9D9" w:themeFill="background1" w:themeFillShade="D9"/>
          </w:tcPr>
          <w:p w:rsidR="00E47390" w:rsidRPr="00E47390" w:rsidRDefault="00E47390" w:rsidP="00E47390">
            <w:pPr>
              <w:spacing w:after="0" w:line="240" w:lineRule="auto"/>
              <w:rPr>
                <w:sz w:val="20"/>
                <w:szCs w:val="20"/>
              </w:rPr>
            </w:pPr>
            <w:r w:rsidRPr="00E47390">
              <w:rPr>
                <w:sz w:val="20"/>
                <w:szCs w:val="20"/>
              </w:rPr>
              <w:t>P+</w:t>
            </w:r>
          </w:p>
        </w:tc>
        <w:tc>
          <w:tcPr>
            <w:tcW w:w="990" w:type="dxa"/>
            <w:shd w:val="clear" w:color="auto" w:fill="D9D9D9" w:themeFill="background1" w:themeFillShade="D9"/>
            <w:vAlign w:val="bottom"/>
          </w:tcPr>
          <w:p w:rsidR="00E47390" w:rsidRPr="00E47390" w:rsidRDefault="00E47390" w:rsidP="00E47390">
            <w:pPr>
              <w:spacing w:after="0" w:line="240" w:lineRule="auto"/>
              <w:jc w:val="center"/>
              <w:rPr>
                <w:sz w:val="20"/>
                <w:szCs w:val="20"/>
              </w:rPr>
            </w:pPr>
            <w:r w:rsidRPr="00E47390">
              <w:rPr>
                <w:sz w:val="20"/>
                <w:szCs w:val="20"/>
              </w:rPr>
              <w:t>--</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44%</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45%</w:t>
            </w:r>
          </w:p>
        </w:tc>
        <w:tc>
          <w:tcPr>
            <w:tcW w:w="784" w:type="dxa"/>
            <w:shd w:val="clear" w:color="auto" w:fill="D9D9D9" w:themeFill="background1" w:themeFillShade="D9"/>
          </w:tcPr>
          <w:p w:rsidR="00E47390" w:rsidRPr="00E47390" w:rsidRDefault="00E47390" w:rsidP="00E47390">
            <w:pPr>
              <w:spacing w:after="0" w:line="240" w:lineRule="auto"/>
              <w:rPr>
                <w:sz w:val="20"/>
                <w:szCs w:val="20"/>
              </w:rPr>
            </w:pPr>
            <w:r w:rsidRPr="00E47390">
              <w:rPr>
                <w:sz w:val="20"/>
                <w:szCs w:val="20"/>
              </w:rPr>
              <w:t>Lv 4&amp;5</w:t>
            </w:r>
          </w:p>
        </w:tc>
        <w:tc>
          <w:tcPr>
            <w:tcW w:w="785" w:type="dxa"/>
            <w:shd w:val="clear" w:color="auto" w:fill="D9D9D9" w:themeFill="background1" w:themeFillShade="D9"/>
            <w:vAlign w:val="bottom"/>
          </w:tcPr>
          <w:p w:rsidR="00E47390" w:rsidRPr="00E47390" w:rsidRDefault="00E47390" w:rsidP="00E47390">
            <w:pPr>
              <w:spacing w:after="0" w:line="240" w:lineRule="auto"/>
              <w:jc w:val="center"/>
              <w:rPr>
                <w:sz w:val="20"/>
                <w:szCs w:val="20"/>
              </w:rPr>
            </w:pPr>
            <w:r w:rsidRPr="00E47390">
              <w:rPr>
                <w:sz w:val="20"/>
                <w:szCs w:val="20"/>
              </w:rPr>
              <w:t>--</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sz w:val="20"/>
                <w:szCs w:val="20"/>
              </w:rPr>
            </w:pPr>
            <w:r w:rsidRPr="00E47390">
              <w:rPr>
                <w:sz w:val="20"/>
                <w:szCs w:val="20"/>
              </w:rPr>
              <w:t>--</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w:t>
            </w:r>
          </w:p>
        </w:tc>
        <w:tc>
          <w:tcPr>
            <w:tcW w:w="785" w:type="dxa"/>
            <w:shd w:val="clear" w:color="auto" w:fill="D9D9D9" w:themeFill="background1" w:themeFillShade="D9"/>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w:t>
            </w:r>
          </w:p>
        </w:tc>
      </w:tr>
      <w:tr w:rsidR="00E47390" w:rsidRPr="00E47390" w:rsidTr="009D5584">
        <w:tc>
          <w:tcPr>
            <w:tcW w:w="1008" w:type="dxa"/>
            <w:vMerge/>
            <w:vAlign w:val="center"/>
          </w:tcPr>
          <w:p w:rsidR="00E47390" w:rsidRPr="00E47390" w:rsidRDefault="00E47390" w:rsidP="00E47390">
            <w:pPr>
              <w:spacing w:after="0" w:line="240" w:lineRule="auto"/>
              <w:jc w:val="center"/>
              <w:rPr>
                <w:sz w:val="20"/>
                <w:szCs w:val="20"/>
              </w:rPr>
            </w:pPr>
          </w:p>
        </w:tc>
        <w:tc>
          <w:tcPr>
            <w:tcW w:w="810" w:type="dxa"/>
            <w:vMerge/>
            <w:shd w:val="clear" w:color="auto" w:fill="D9D9D9" w:themeFill="background1" w:themeFillShade="D9"/>
          </w:tcPr>
          <w:p w:rsidR="00E47390" w:rsidRPr="00E47390" w:rsidRDefault="00E47390" w:rsidP="00E47390">
            <w:pPr>
              <w:spacing w:after="0" w:line="240" w:lineRule="auto"/>
              <w:rPr>
                <w:sz w:val="20"/>
                <w:szCs w:val="20"/>
              </w:rPr>
            </w:pPr>
          </w:p>
        </w:tc>
        <w:tc>
          <w:tcPr>
            <w:tcW w:w="630" w:type="dxa"/>
            <w:shd w:val="clear" w:color="auto" w:fill="D9D9D9" w:themeFill="background1" w:themeFillShade="D9"/>
          </w:tcPr>
          <w:p w:rsidR="00E47390" w:rsidRPr="00E47390" w:rsidRDefault="00E47390" w:rsidP="00E47390">
            <w:pPr>
              <w:spacing w:after="0" w:line="240" w:lineRule="auto"/>
              <w:rPr>
                <w:sz w:val="20"/>
                <w:szCs w:val="20"/>
              </w:rPr>
            </w:pPr>
            <w:r w:rsidRPr="00E47390">
              <w:rPr>
                <w:sz w:val="20"/>
                <w:szCs w:val="20"/>
              </w:rPr>
              <w:t>SGP</w:t>
            </w:r>
          </w:p>
        </w:tc>
        <w:tc>
          <w:tcPr>
            <w:tcW w:w="990" w:type="dxa"/>
            <w:shd w:val="clear" w:color="auto" w:fill="D9D9D9" w:themeFill="background1" w:themeFillShade="D9"/>
            <w:vAlign w:val="bottom"/>
          </w:tcPr>
          <w:p w:rsidR="00E47390" w:rsidRPr="00E47390" w:rsidRDefault="00E47390" w:rsidP="00E47390">
            <w:pPr>
              <w:spacing w:after="0" w:line="240" w:lineRule="auto"/>
              <w:jc w:val="center"/>
              <w:rPr>
                <w:sz w:val="20"/>
                <w:szCs w:val="20"/>
              </w:rPr>
            </w:pPr>
            <w:r w:rsidRPr="00E47390">
              <w:rPr>
                <w:sz w:val="20"/>
                <w:szCs w:val="20"/>
              </w:rPr>
              <w:t>6,390</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51.0</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52.0</w:t>
            </w:r>
          </w:p>
        </w:tc>
        <w:tc>
          <w:tcPr>
            <w:tcW w:w="784" w:type="dxa"/>
            <w:shd w:val="clear" w:color="auto" w:fill="D9D9D9" w:themeFill="background1" w:themeFillShade="D9"/>
          </w:tcPr>
          <w:p w:rsidR="00E47390" w:rsidRPr="00E47390" w:rsidRDefault="00E47390" w:rsidP="00E47390">
            <w:pPr>
              <w:spacing w:after="0" w:line="240" w:lineRule="auto"/>
              <w:rPr>
                <w:sz w:val="20"/>
                <w:szCs w:val="20"/>
              </w:rPr>
            </w:pPr>
            <w:r w:rsidRPr="00E47390">
              <w:rPr>
                <w:sz w:val="20"/>
                <w:szCs w:val="20"/>
              </w:rPr>
              <w:t>SGP</w:t>
            </w:r>
          </w:p>
        </w:tc>
        <w:tc>
          <w:tcPr>
            <w:tcW w:w="785" w:type="dxa"/>
            <w:shd w:val="clear" w:color="auto" w:fill="D9D9D9" w:themeFill="background1" w:themeFillShade="D9"/>
            <w:vAlign w:val="bottom"/>
          </w:tcPr>
          <w:p w:rsidR="00E47390" w:rsidRPr="00E47390" w:rsidRDefault="00E47390" w:rsidP="00E47390">
            <w:pPr>
              <w:spacing w:after="0" w:line="240" w:lineRule="auto"/>
              <w:jc w:val="center"/>
              <w:rPr>
                <w:sz w:val="20"/>
                <w:szCs w:val="20"/>
              </w:rPr>
            </w:pPr>
            <w:r w:rsidRPr="00E47390">
              <w:rPr>
                <w:sz w:val="20"/>
                <w:szCs w:val="20"/>
              </w:rPr>
              <w:t>50.0</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sz w:val="20"/>
                <w:szCs w:val="20"/>
              </w:rPr>
            </w:pPr>
            <w:r w:rsidRPr="00E47390">
              <w:rPr>
                <w:sz w:val="20"/>
                <w:szCs w:val="20"/>
              </w:rPr>
              <w:t>51.0</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1.0</w:t>
            </w:r>
          </w:p>
        </w:tc>
        <w:tc>
          <w:tcPr>
            <w:tcW w:w="785" w:type="dxa"/>
            <w:shd w:val="clear" w:color="auto" w:fill="D9D9D9" w:themeFill="background1" w:themeFillShade="D9"/>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0.0</w:t>
            </w:r>
          </w:p>
        </w:tc>
      </w:tr>
      <w:tr w:rsidR="00E47390" w:rsidRPr="00E47390" w:rsidTr="009D5584">
        <w:tc>
          <w:tcPr>
            <w:tcW w:w="1008" w:type="dxa"/>
            <w:vMerge/>
            <w:vAlign w:val="center"/>
          </w:tcPr>
          <w:p w:rsidR="00E47390" w:rsidRPr="00E47390" w:rsidRDefault="00E47390" w:rsidP="00E47390">
            <w:pPr>
              <w:spacing w:after="0" w:line="240" w:lineRule="auto"/>
              <w:jc w:val="center"/>
              <w:rPr>
                <w:sz w:val="20"/>
                <w:szCs w:val="20"/>
              </w:rPr>
            </w:pPr>
          </w:p>
        </w:tc>
        <w:tc>
          <w:tcPr>
            <w:tcW w:w="810" w:type="dxa"/>
            <w:vMerge w:val="restart"/>
            <w:vAlign w:val="center"/>
          </w:tcPr>
          <w:p w:rsidR="00E47390" w:rsidRPr="00E47390" w:rsidRDefault="00E47390" w:rsidP="00E47390">
            <w:pPr>
              <w:spacing w:after="0" w:line="240" w:lineRule="auto"/>
              <w:jc w:val="center"/>
              <w:rPr>
                <w:sz w:val="20"/>
                <w:szCs w:val="20"/>
              </w:rPr>
            </w:pPr>
            <w:r w:rsidRPr="00E47390">
              <w:rPr>
                <w:sz w:val="20"/>
                <w:szCs w:val="20"/>
              </w:rPr>
              <w:t>State</w:t>
            </w:r>
          </w:p>
        </w:tc>
        <w:tc>
          <w:tcPr>
            <w:tcW w:w="630" w:type="dxa"/>
          </w:tcPr>
          <w:p w:rsidR="00E47390" w:rsidRPr="00E47390" w:rsidRDefault="00E47390" w:rsidP="00E47390">
            <w:pPr>
              <w:spacing w:after="0" w:line="240" w:lineRule="auto"/>
              <w:rPr>
                <w:sz w:val="20"/>
                <w:szCs w:val="20"/>
              </w:rPr>
            </w:pPr>
            <w:r w:rsidRPr="00E47390">
              <w:rPr>
                <w:sz w:val="20"/>
                <w:szCs w:val="20"/>
              </w:rPr>
              <w:t>CPI</w:t>
            </w:r>
          </w:p>
        </w:tc>
        <w:tc>
          <w:tcPr>
            <w:tcW w:w="990" w:type="dxa"/>
            <w:vAlign w:val="bottom"/>
          </w:tcPr>
          <w:p w:rsidR="00E47390" w:rsidRPr="00E47390" w:rsidRDefault="00E47390" w:rsidP="00E47390">
            <w:pPr>
              <w:spacing w:after="0" w:line="240" w:lineRule="auto"/>
              <w:jc w:val="center"/>
              <w:rPr>
                <w:sz w:val="20"/>
                <w:szCs w:val="20"/>
              </w:rPr>
            </w:pPr>
            <w:r w:rsidRPr="00E47390">
              <w:rPr>
                <w:sz w:val="20"/>
                <w:szCs w:val="20"/>
              </w:rPr>
              <w:t>222,707</w:t>
            </w:r>
          </w:p>
        </w:tc>
        <w:tc>
          <w:tcPr>
            <w:tcW w:w="784" w:type="dxa"/>
            <w:vAlign w:val="bottom"/>
          </w:tcPr>
          <w:p w:rsidR="00E47390" w:rsidRPr="00E47390" w:rsidRDefault="00E47390" w:rsidP="00E47390">
            <w:pPr>
              <w:spacing w:after="0" w:line="240" w:lineRule="auto"/>
              <w:jc w:val="center"/>
              <w:rPr>
                <w:sz w:val="20"/>
                <w:szCs w:val="20"/>
              </w:rPr>
            </w:pPr>
            <w:r w:rsidRPr="00E47390">
              <w:rPr>
                <w:sz w:val="20"/>
                <w:szCs w:val="20"/>
              </w:rPr>
              <w:t>76.8</w:t>
            </w:r>
          </w:p>
        </w:tc>
        <w:tc>
          <w:tcPr>
            <w:tcW w:w="784" w:type="dxa"/>
            <w:vAlign w:val="bottom"/>
          </w:tcPr>
          <w:p w:rsidR="00E47390" w:rsidRPr="00E47390" w:rsidRDefault="00E47390" w:rsidP="00E47390">
            <w:pPr>
              <w:spacing w:after="0" w:line="240" w:lineRule="auto"/>
              <w:jc w:val="center"/>
              <w:rPr>
                <w:sz w:val="20"/>
                <w:szCs w:val="20"/>
              </w:rPr>
            </w:pPr>
            <w:r w:rsidRPr="00E47390">
              <w:rPr>
                <w:sz w:val="20"/>
                <w:szCs w:val="20"/>
              </w:rPr>
              <w:t>77.1</w:t>
            </w:r>
          </w:p>
        </w:tc>
        <w:tc>
          <w:tcPr>
            <w:tcW w:w="784" w:type="dxa"/>
          </w:tcPr>
          <w:p w:rsidR="00E47390" w:rsidRPr="00E47390" w:rsidRDefault="00E47390" w:rsidP="00E47390">
            <w:pPr>
              <w:spacing w:after="0" w:line="240" w:lineRule="auto"/>
              <w:rPr>
                <w:sz w:val="20"/>
                <w:szCs w:val="20"/>
              </w:rPr>
            </w:pPr>
            <w:r w:rsidRPr="00E47390">
              <w:rPr>
                <w:sz w:val="20"/>
                <w:szCs w:val="20"/>
              </w:rPr>
              <w:t>CPI</w:t>
            </w:r>
          </w:p>
        </w:tc>
        <w:tc>
          <w:tcPr>
            <w:tcW w:w="785" w:type="dxa"/>
            <w:vAlign w:val="bottom"/>
          </w:tcPr>
          <w:p w:rsidR="00E47390" w:rsidRPr="00E47390" w:rsidRDefault="00E47390" w:rsidP="00E47390">
            <w:pPr>
              <w:spacing w:after="0" w:line="240" w:lineRule="auto"/>
              <w:jc w:val="center"/>
              <w:rPr>
                <w:sz w:val="20"/>
                <w:szCs w:val="20"/>
              </w:rPr>
            </w:pPr>
            <w:r w:rsidRPr="00E47390">
              <w:rPr>
                <w:sz w:val="20"/>
                <w:szCs w:val="20"/>
              </w:rPr>
              <w:t>76.3</w:t>
            </w:r>
          </w:p>
        </w:tc>
        <w:tc>
          <w:tcPr>
            <w:tcW w:w="784" w:type="dxa"/>
            <w:vAlign w:val="bottom"/>
          </w:tcPr>
          <w:p w:rsidR="00E47390" w:rsidRPr="00E47390" w:rsidRDefault="00E47390" w:rsidP="00E47390">
            <w:pPr>
              <w:spacing w:after="0" w:line="240" w:lineRule="auto"/>
              <w:jc w:val="center"/>
              <w:rPr>
                <w:sz w:val="20"/>
                <w:szCs w:val="20"/>
              </w:rPr>
            </w:pPr>
            <w:r w:rsidRPr="00E47390">
              <w:rPr>
                <w:sz w:val="20"/>
                <w:szCs w:val="20"/>
              </w:rPr>
              <w:t>77.1</w:t>
            </w:r>
          </w:p>
        </w:tc>
        <w:tc>
          <w:tcPr>
            <w:tcW w:w="784" w:type="dxa"/>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0.8</w:t>
            </w:r>
          </w:p>
        </w:tc>
        <w:tc>
          <w:tcPr>
            <w:tcW w:w="785" w:type="dxa"/>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0.3</w:t>
            </w:r>
          </w:p>
        </w:tc>
      </w:tr>
      <w:tr w:rsidR="00E47390" w:rsidRPr="00E47390" w:rsidTr="009D5584">
        <w:tc>
          <w:tcPr>
            <w:tcW w:w="1008" w:type="dxa"/>
            <w:vMerge/>
            <w:vAlign w:val="center"/>
          </w:tcPr>
          <w:p w:rsidR="00E47390" w:rsidRPr="00E47390" w:rsidRDefault="00E47390" w:rsidP="00E47390">
            <w:pPr>
              <w:spacing w:after="0" w:line="240" w:lineRule="auto"/>
              <w:jc w:val="center"/>
              <w:rPr>
                <w:sz w:val="20"/>
                <w:szCs w:val="20"/>
              </w:rPr>
            </w:pPr>
          </w:p>
        </w:tc>
        <w:tc>
          <w:tcPr>
            <w:tcW w:w="810" w:type="dxa"/>
            <w:vMerge/>
            <w:vAlign w:val="center"/>
          </w:tcPr>
          <w:p w:rsidR="00E47390" w:rsidRPr="00E47390" w:rsidRDefault="00E47390" w:rsidP="00E47390">
            <w:pPr>
              <w:spacing w:after="0" w:line="240" w:lineRule="auto"/>
              <w:jc w:val="center"/>
              <w:rPr>
                <w:sz w:val="20"/>
                <w:szCs w:val="20"/>
              </w:rPr>
            </w:pPr>
          </w:p>
        </w:tc>
        <w:tc>
          <w:tcPr>
            <w:tcW w:w="630" w:type="dxa"/>
          </w:tcPr>
          <w:p w:rsidR="00E47390" w:rsidRPr="00E47390" w:rsidRDefault="00E47390" w:rsidP="00E47390">
            <w:pPr>
              <w:spacing w:after="0" w:line="240" w:lineRule="auto"/>
              <w:rPr>
                <w:sz w:val="20"/>
                <w:szCs w:val="20"/>
              </w:rPr>
            </w:pPr>
            <w:r w:rsidRPr="00E47390">
              <w:rPr>
                <w:sz w:val="20"/>
                <w:szCs w:val="20"/>
              </w:rPr>
              <w:t>P+</w:t>
            </w:r>
          </w:p>
        </w:tc>
        <w:tc>
          <w:tcPr>
            <w:tcW w:w="990" w:type="dxa"/>
            <w:vAlign w:val="bottom"/>
          </w:tcPr>
          <w:p w:rsidR="00E47390" w:rsidRPr="00E47390" w:rsidRDefault="00E47390" w:rsidP="00E47390">
            <w:pPr>
              <w:spacing w:after="0" w:line="240" w:lineRule="auto"/>
              <w:jc w:val="center"/>
              <w:rPr>
                <w:sz w:val="20"/>
                <w:szCs w:val="20"/>
              </w:rPr>
            </w:pPr>
            <w:r w:rsidRPr="00E47390">
              <w:rPr>
                <w:sz w:val="20"/>
                <w:szCs w:val="20"/>
              </w:rPr>
              <w:t>--</w:t>
            </w:r>
          </w:p>
        </w:tc>
        <w:tc>
          <w:tcPr>
            <w:tcW w:w="784" w:type="dxa"/>
            <w:vAlign w:val="bottom"/>
          </w:tcPr>
          <w:p w:rsidR="00E47390" w:rsidRPr="00E47390" w:rsidRDefault="00E47390" w:rsidP="00E47390">
            <w:pPr>
              <w:spacing w:after="0" w:line="240" w:lineRule="auto"/>
              <w:jc w:val="center"/>
              <w:rPr>
                <w:sz w:val="20"/>
                <w:szCs w:val="20"/>
              </w:rPr>
            </w:pPr>
            <w:r w:rsidRPr="00E47390">
              <w:rPr>
                <w:sz w:val="20"/>
                <w:szCs w:val="20"/>
              </w:rPr>
              <w:t>48%</w:t>
            </w:r>
          </w:p>
        </w:tc>
        <w:tc>
          <w:tcPr>
            <w:tcW w:w="784" w:type="dxa"/>
            <w:vAlign w:val="bottom"/>
          </w:tcPr>
          <w:p w:rsidR="00E47390" w:rsidRPr="00E47390" w:rsidRDefault="00E47390" w:rsidP="00E47390">
            <w:pPr>
              <w:spacing w:after="0" w:line="240" w:lineRule="auto"/>
              <w:jc w:val="center"/>
              <w:rPr>
                <w:sz w:val="20"/>
                <w:szCs w:val="20"/>
              </w:rPr>
            </w:pPr>
            <w:r w:rsidRPr="00E47390">
              <w:rPr>
                <w:sz w:val="20"/>
                <w:szCs w:val="20"/>
              </w:rPr>
              <w:t>50%</w:t>
            </w:r>
          </w:p>
        </w:tc>
        <w:tc>
          <w:tcPr>
            <w:tcW w:w="784" w:type="dxa"/>
          </w:tcPr>
          <w:p w:rsidR="00E47390" w:rsidRPr="00E47390" w:rsidRDefault="00E47390" w:rsidP="00E47390">
            <w:pPr>
              <w:spacing w:after="0" w:line="240" w:lineRule="auto"/>
              <w:rPr>
                <w:sz w:val="20"/>
                <w:szCs w:val="20"/>
              </w:rPr>
            </w:pPr>
            <w:r w:rsidRPr="00E47390">
              <w:rPr>
                <w:sz w:val="20"/>
                <w:szCs w:val="20"/>
              </w:rPr>
              <w:t>Lv 4&amp;5</w:t>
            </w:r>
          </w:p>
        </w:tc>
        <w:tc>
          <w:tcPr>
            <w:tcW w:w="785" w:type="dxa"/>
            <w:vAlign w:val="bottom"/>
          </w:tcPr>
          <w:p w:rsidR="00E47390" w:rsidRPr="00E47390" w:rsidRDefault="00E47390" w:rsidP="00E47390">
            <w:pPr>
              <w:spacing w:after="0" w:line="240" w:lineRule="auto"/>
              <w:jc w:val="center"/>
              <w:rPr>
                <w:sz w:val="20"/>
                <w:szCs w:val="20"/>
              </w:rPr>
            </w:pPr>
            <w:r w:rsidRPr="00E47390">
              <w:rPr>
                <w:sz w:val="20"/>
                <w:szCs w:val="20"/>
              </w:rPr>
              <w:t>--</w:t>
            </w:r>
          </w:p>
        </w:tc>
        <w:tc>
          <w:tcPr>
            <w:tcW w:w="784" w:type="dxa"/>
            <w:vAlign w:val="bottom"/>
          </w:tcPr>
          <w:p w:rsidR="00E47390" w:rsidRPr="00E47390" w:rsidRDefault="00E47390" w:rsidP="00E47390">
            <w:pPr>
              <w:spacing w:after="0" w:line="240" w:lineRule="auto"/>
              <w:jc w:val="center"/>
              <w:rPr>
                <w:sz w:val="20"/>
                <w:szCs w:val="20"/>
              </w:rPr>
            </w:pPr>
            <w:r w:rsidRPr="00E47390">
              <w:rPr>
                <w:sz w:val="20"/>
                <w:szCs w:val="20"/>
              </w:rPr>
              <w:t>--</w:t>
            </w:r>
          </w:p>
        </w:tc>
        <w:tc>
          <w:tcPr>
            <w:tcW w:w="784" w:type="dxa"/>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w:t>
            </w:r>
          </w:p>
        </w:tc>
        <w:tc>
          <w:tcPr>
            <w:tcW w:w="785" w:type="dxa"/>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w:t>
            </w:r>
          </w:p>
        </w:tc>
      </w:tr>
      <w:tr w:rsidR="00E47390" w:rsidRPr="00E47390" w:rsidTr="009D5584">
        <w:tc>
          <w:tcPr>
            <w:tcW w:w="1008" w:type="dxa"/>
            <w:vMerge/>
            <w:vAlign w:val="center"/>
          </w:tcPr>
          <w:p w:rsidR="00E47390" w:rsidRPr="00E47390" w:rsidRDefault="00E47390" w:rsidP="00E47390">
            <w:pPr>
              <w:spacing w:after="0" w:line="240" w:lineRule="auto"/>
              <w:jc w:val="center"/>
              <w:rPr>
                <w:sz w:val="20"/>
                <w:szCs w:val="20"/>
              </w:rPr>
            </w:pPr>
          </w:p>
        </w:tc>
        <w:tc>
          <w:tcPr>
            <w:tcW w:w="810" w:type="dxa"/>
            <w:vMerge/>
            <w:tcBorders>
              <w:bottom w:val="single" w:sz="4" w:space="0" w:color="auto"/>
            </w:tcBorders>
            <w:vAlign w:val="center"/>
          </w:tcPr>
          <w:p w:rsidR="00E47390" w:rsidRPr="00E47390" w:rsidRDefault="00E47390" w:rsidP="00E47390">
            <w:pPr>
              <w:spacing w:after="0" w:line="240" w:lineRule="auto"/>
              <w:jc w:val="center"/>
              <w:rPr>
                <w:sz w:val="20"/>
                <w:szCs w:val="20"/>
              </w:rPr>
            </w:pPr>
          </w:p>
        </w:tc>
        <w:tc>
          <w:tcPr>
            <w:tcW w:w="630" w:type="dxa"/>
            <w:tcBorders>
              <w:bottom w:val="single" w:sz="4" w:space="0" w:color="auto"/>
            </w:tcBorders>
          </w:tcPr>
          <w:p w:rsidR="00E47390" w:rsidRPr="00E47390" w:rsidRDefault="00E47390" w:rsidP="00E47390">
            <w:pPr>
              <w:spacing w:after="0" w:line="240" w:lineRule="auto"/>
              <w:rPr>
                <w:sz w:val="20"/>
                <w:szCs w:val="20"/>
              </w:rPr>
            </w:pPr>
            <w:r w:rsidRPr="00E47390">
              <w:rPr>
                <w:sz w:val="20"/>
                <w:szCs w:val="20"/>
              </w:rPr>
              <w:t>SGP</w:t>
            </w:r>
          </w:p>
        </w:tc>
        <w:tc>
          <w:tcPr>
            <w:tcW w:w="990" w:type="dxa"/>
            <w:tcBorders>
              <w:bottom w:val="single" w:sz="4" w:space="0" w:color="auto"/>
            </w:tcBorders>
            <w:vAlign w:val="bottom"/>
          </w:tcPr>
          <w:p w:rsidR="00E47390" w:rsidRPr="00E47390" w:rsidRDefault="00E47390" w:rsidP="00E47390">
            <w:pPr>
              <w:spacing w:after="0" w:line="240" w:lineRule="auto"/>
              <w:jc w:val="center"/>
              <w:rPr>
                <w:sz w:val="20"/>
                <w:szCs w:val="20"/>
              </w:rPr>
            </w:pPr>
            <w:r w:rsidRPr="00E47390">
              <w:rPr>
                <w:sz w:val="20"/>
                <w:szCs w:val="20"/>
              </w:rPr>
              <w:t>165,487</w:t>
            </w:r>
          </w:p>
        </w:tc>
        <w:tc>
          <w:tcPr>
            <w:tcW w:w="784" w:type="dxa"/>
            <w:tcBorders>
              <w:bottom w:val="single" w:sz="4" w:space="0" w:color="auto"/>
            </w:tcBorders>
            <w:vAlign w:val="bottom"/>
          </w:tcPr>
          <w:p w:rsidR="00E47390" w:rsidRPr="00E47390" w:rsidRDefault="00E47390" w:rsidP="00E47390">
            <w:pPr>
              <w:spacing w:after="0" w:line="240" w:lineRule="auto"/>
              <w:jc w:val="center"/>
              <w:rPr>
                <w:sz w:val="20"/>
                <w:szCs w:val="20"/>
              </w:rPr>
            </w:pPr>
            <w:r w:rsidRPr="00E47390">
              <w:rPr>
                <w:sz w:val="20"/>
                <w:szCs w:val="20"/>
              </w:rPr>
              <w:t>47.0</w:t>
            </w:r>
          </w:p>
        </w:tc>
        <w:tc>
          <w:tcPr>
            <w:tcW w:w="784" w:type="dxa"/>
            <w:tcBorders>
              <w:bottom w:val="single" w:sz="4" w:space="0" w:color="auto"/>
            </w:tcBorders>
            <w:vAlign w:val="bottom"/>
          </w:tcPr>
          <w:p w:rsidR="00E47390" w:rsidRPr="00E47390" w:rsidRDefault="00E47390" w:rsidP="00E47390">
            <w:pPr>
              <w:spacing w:after="0" w:line="240" w:lineRule="auto"/>
              <w:jc w:val="center"/>
              <w:rPr>
                <w:sz w:val="20"/>
                <w:szCs w:val="20"/>
              </w:rPr>
            </w:pPr>
            <w:r w:rsidRPr="00E47390">
              <w:rPr>
                <w:sz w:val="20"/>
                <w:szCs w:val="20"/>
              </w:rPr>
              <w:t>47.0</w:t>
            </w:r>
          </w:p>
        </w:tc>
        <w:tc>
          <w:tcPr>
            <w:tcW w:w="784" w:type="dxa"/>
            <w:tcBorders>
              <w:bottom w:val="single" w:sz="4" w:space="0" w:color="auto"/>
            </w:tcBorders>
          </w:tcPr>
          <w:p w:rsidR="00E47390" w:rsidRPr="00E47390" w:rsidRDefault="00E47390" w:rsidP="00E47390">
            <w:pPr>
              <w:spacing w:after="0" w:line="240" w:lineRule="auto"/>
              <w:rPr>
                <w:sz w:val="20"/>
                <w:szCs w:val="20"/>
              </w:rPr>
            </w:pPr>
            <w:r w:rsidRPr="00E47390">
              <w:rPr>
                <w:sz w:val="20"/>
                <w:szCs w:val="20"/>
              </w:rPr>
              <w:t>SGP</w:t>
            </w:r>
          </w:p>
        </w:tc>
        <w:tc>
          <w:tcPr>
            <w:tcW w:w="785" w:type="dxa"/>
            <w:tcBorders>
              <w:bottom w:val="single" w:sz="4" w:space="0" w:color="auto"/>
            </w:tcBorders>
            <w:vAlign w:val="bottom"/>
          </w:tcPr>
          <w:p w:rsidR="00E47390" w:rsidRPr="00E47390" w:rsidRDefault="00E47390" w:rsidP="00E47390">
            <w:pPr>
              <w:spacing w:after="0" w:line="240" w:lineRule="auto"/>
              <w:jc w:val="center"/>
              <w:rPr>
                <w:sz w:val="20"/>
                <w:szCs w:val="20"/>
              </w:rPr>
            </w:pPr>
            <w:r w:rsidRPr="00E47390">
              <w:rPr>
                <w:sz w:val="20"/>
                <w:szCs w:val="20"/>
              </w:rPr>
              <w:t>47.0</w:t>
            </w:r>
          </w:p>
        </w:tc>
        <w:tc>
          <w:tcPr>
            <w:tcW w:w="784" w:type="dxa"/>
            <w:tcBorders>
              <w:bottom w:val="single" w:sz="4" w:space="0" w:color="auto"/>
            </w:tcBorders>
            <w:vAlign w:val="bottom"/>
          </w:tcPr>
          <w:p w:rsidR="00E47390" w:rsidRPr="00E47390" w:rsidRDefault="00E47390" w:rsidP="00E47390">
            <w:pPr>
              <w:spacing w:after="0" w:line="240" w:lineRule="auto"/>
              <w:jc w:val="center"/>
              <w:rPr>
                <w:sz w:val="20"/>
                <w:szCs w:val="20"/>
              </w:rPr>
            </w:pPr>
            <w:r w:rsidRPr="00E47390">
              <w:rPr>
                <w:sz w:val="20"/>
                <w:szCs w:val="20"/>
              </w:rPr>
              <w:t>47.0</w:t>
            </w:r>
          </w:p>
        </w:tc>
        <w:tc>
          <w:tcPr>
            <w:tcW w:w="784" w:type="dxa"/>
            <w:tcBorders>
              <w:bottom w:val="single" w:sz="4" w:space="0" w:color="auto"/>
            </w:tcBorders>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0.0</w:t>
            </w:r>
          </w:p>
        </w:tc>
        <w:tc>
          <w:tcPr>
            <w:tcW w:w="785" w:type="dxa"/>
            <w:tcBorders>
              <w:bottom w:val="single" w:sz="4" w:space="0" w:color="auto"/>
            </w:tcBorders>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0.0</w:t>
            </w:r>
          </w:p>
        </w:tc>
      </w:tr>
      <w:tr w:rsidR="00E47390" w:rsidRPr="00E47390" w:rsidTr="009D5584">
        <w:tc>
          <w:tcPr>
            <w:tcW w:w="1008" w:type="dxa"/>
            <w:vMerge w:val="restart"/>
            <w:vAlign w:val="center"/>
          </w:tcPr>
          <w:p w:rsidR="00E47390" w:rsidRPr="00E47390" w:rsidRDefault="00E47390" w:rsidP="00E47390">
            <w:pPr>
              <w:spacing w:after="0" w:line="240" w:lineRule="auto"/>
              <w:jc w:val="center"/>
              <w:rPr>
                <w:sz w:val="20"/>
                <w:szCs w:val="20"/>
              </w:rPr>
            </w:pPr>
            <w:r w:rsidRPr="00E47390">
              <w:rPr>
                <w:sz w:val="20"/>
                <w:szCs w:val="20"/>
              </w:rPr>
              <w:t>Econ.</w:t>
            </w:r>
          </w:p>
          <w:p w:rsidR="00E47390" w:rsidRPr="00E47390" w:rsidRDefault="00E47390" w:rsidP="00E47390">
            <w:pPr>
              <w:spacing w:after="0" w:line="240" w:lineRule="auto"/>
              <w:jc w:val="center"/>
              <w:rPr>
                <w:sz w:val="20"/>
                <w:szCs w:val="20"/>
              </w:rPr>
            </w:pPr>
            <w:r w:rsidRPr="00E47390">
              <w:rPr>
                <w:sz w:val="20"/>
                <w:szCs w:val="20"/>
              </w:rPr>
              <w:t>Disad.</w:t>
            </w:r>
          </w:p>
        </w:tc>
        <w:tc>
          <w:tcPr>
            <w:tcW w:w="810" w:type="dxa"/>
            <w:vMerge w:val="restart"/>
            <w:shd w:val="clear" w:color="auto" w:fill="D9D9D9" w:themeFill="background1" w:themeFillShade="D9"/>
            <w:vAlign w:val="center"/>
          </w:tcPr>
          <w:p w:rsidR="00E47390" w:rsidRPr="00E47390" w:rsidRDefault="00E47390" w:rsidP="00E47390">
            <w:pPr>
              <w:spacing w:after="0" w:line="240" w:lineRule="auto"/>
              <w:jc w:val="center"/>
              <w:rPr>
                <w:sz w:val="20"/>
                <w:szCs w:val="20"/>
              </w:rPr>
            </w:pPr>
            <w:r w:rsidRPr="00E47390">
              <w:rPr>
                <w:sz w:val="20"/>
                <w:szCs w:val="20"/>
              </w:rPr>
              <w:t>District</w:t>
            </w:r>
          </w:p>
        </w:tc>
        <w:tc>
          <w:tcPr>
            <w:tcW w:w="630" w:type="dxa"/>
            <w:shd w:val="clear" w:color="auto" w:fill="D9D9D9" w:themeFill="background1" w:themeFillShade="D9"/>
          </w:tcPr>
          <w:p w:rsidR="00E47390" w:rsidRPr="00E47390" w:rsidRDefault="00E47390" w:rsidP="00E47390">
            <w:pPr>
              <w:spacing w:after="0" w:line="240" w:lineRule="auto"/>
              <w:rPr>
                <w:sz w:val="20"/>
                <w:szCs w:val="20"/>
              </w:rPr>
            </w:pPr>
            <w:r w:rsidRPr="00E47390">
              <w:rPr>
                <w:sz w:val="20"/>
                <w:szCs w:val="20"/>
              </w:rPr>
              <w:t>CPI</w:t>
            </w:r>
          </w:p>
        </w:tc>
        <w:tc>
          <w:tcPr>
            <w:tcW w:w="990" w:type="dxa"/>
            <w:shd w:val="clear" w:color="auto" w:fill="D9D9D9" w:themeFill="background1" w:themeFillShade="D9"/>
            <w:vAlign w:val="bottom"/>
          </w:tcPr>
          <w:p w:rsidR="00E47390" w:rsidRPr="00E47390" w:rsidRDefault="00E47390" w:rsidP="00E47390">
            <w:pPr>
              <w:spacing w:after="0" w:line="240" w:lineRule="auto"/>
              <w:jc w:val="center"/>
              <w:rPr>
                <w:sz w:val="20"/>
                <w:szCs w:val="20"/>
              </w:rPr>
            </w:pPr>
            <w:r w:rsidRPr="00E47390">
              <w:rPr>
                <w:sz w:val="20"/>
                <w:szCs w:val="20"/>
              </w:rPr>
              <w:t>7,228</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sz w:val="20"/>
                <w:szCs w:val="20"/>
              </w:rPr>
            </w:pPr>
            <w:r w:rsidRPr="00E47390">
              <w:rPr>
                <w:sz w:val="20"/>
                <w:szCs w:val="20"/>
              </w:rPr>
              <w:t>--</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sz w:val="20"/>
                <w:szCs w:val="20"/>
              </w:rPr>
            </w:pPr>
            <w:r w:rsidRPr="00E47390">
              <w:rPr>
                <w:sz w:val="20"/>
                <w:szCs w:val="20"/>
              </w:rPr>
              <w:t>--</w:t>
            </w:r>
          </w:p>
        </w:tc>
        <w:tc>
          <w:tcPr>
            <w:tcW w:w="784" w:type="dxa"/>
            <w:shd w:val="clear" w:color="auto" w:fill="D9D9D9" w:themeFill="background1" w:themeFillShade="D9"/>
          </w:tcPr>
          <w:p w:rsidR="00E47390" w:rsidRPr="00E47390" w:rsidRDefault="00E47390" w:rsidP="00E47390">
            <w:pPr>
              <w:spacing w:after="0" w:line="240" w:lineRule="auto"/>
              <w:rPr>
                <w:sz w:val="20"/>
                <w:szCs w:val="20"/>
              </w:rPr>
            </w:pPr>
            <w:r w:rsidRPr="00E47390">
              <w:rPr>
                <w:sz w:val="20"/>
                <w:szCs w:val="20"/>
              </w:rPr>
              <w:t>CPI</w:t>
            </w:r>
          </w:p>
        </w:tc>
        <w:tc>
          <w:tcPr>
            <w:tcW w:w="785" w:type="dxa"/>
            <w:shd w:val="clear" w:color="auto" w:fill="D9D9D9" w:themeFill="background1" w:themeFillShade="D9"/>
            <w:vAlign w:val="bottom"/>
          </w:tcPr>
          <w:p w:rsidR="00E47390" w:rsidRPr="00E47390" w:rsidRDefault="00E47390" w:rsidP="00E47390">
            <w:pPr>
              <w:spacing w:after="0" w:line="240" w:lineRule="auto"/>
              <w:jc w:val="center"/>
              <w:rPr>
                <w:sz w:val="20"/>
                <w:szCs w:val="20"/>
              </w:rPr>
            </w:pPr>
            <w:r w:rsidRPr="00E47390">
              <w:rPr>
                <w:sz w:val="20"/>
                <w:szCs w:val="20"/>
              </w:rPr>
              <w:t>73.0</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sz w:val="20"/>
                <w:szCs w:val="20"/>
              </w:rPr>
            </w:pPr>
            <w:r w:rsidRPr="00E47390">
              <w:rPr>
                <w:sz w:val="20"/>
                <w:szCs w:val="20"/>
              </w:rPr>
              <w:t>74.3</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1.3</w:t>
            </w:r>
          </w:p>
        </w:tc>
        <w:tc>
          <w:tcPr>
            <w:tcW w:w="785" w:type="dxa"/>
            <w:shd w:val="clear" w:color="auto" w:fill="D9D9D9" w:themeFill="background1" w:themeFillShade="D9"/>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w:t>
            </w:r>
          </w:p>
        </w:tc>
      </w:tr>
      <w:tr w:rsidR="00E47390" w:rsidRPr="00E47390" w:rsidTr="009D5584">
        <w:tc>
          <w:tcPr>
            <w:tcW w:w="1008" w:type="dxa"/>
            <w:vMerge/>
            <w:vAlign w:val="center"/>
          </w:tcPr>
          <w:p w:rsidR="00E47390" w:rsidRPr="00E47390" w:rsidRDefault="00E47390" w:rsidP="00E47390">
            <w:pPr>
              <w:spacing w:after="0" w:line="240" w:lineRule="auto"/>
              <w:jc w:val="center"/>
              <w:rPr>
                <w:sz w:val="20"/>
                <w:szCs w:val="20"/>
              </w:rPr>
            </w:pPr>
          </w:p>
        </w:tc>
        <w:tc>
          <w:tcPr>
            <w:tcW w:w="810" w:type="dxa"/>
            <w:vMerge/>
            <w:shd w:val="clear" w:color="auto" w:fill="D9D9D9" w:themeFill="background1" w:themeFillShade="D9"/>
            <w:vAlign w:val="center"/>
          </w:tcPr>
          <w:p w:rsidR="00E47390" w:rsidRPr="00E47390" w:rsidRDefault="00E47390" w:rsidP="00E47390">
            <w:pPr>
              <w:spacing w:after="0" w:line="240" w:lineRule="auto"/>
              <w:jc w:val="center"/>
              <w:rPr>
                <w:sz w:val="20"/>
                <w:szCs w:val="20"/>
              </w:rPr>
            </w:pPr>
          </w:p>
        </w:tc>
        <w:tc>
          <w:tcPr>
            <w:tcW w:w="630" w:type="dxa"/>
            <w:shd w:val="clear" w:color="auto" w:fill="D9D9D9" w:themeFill="background1" w:themeFillShade="D9"/>
          </w:tcPr>
          <w:p w:rsidR="00E47390" w:rsidRPr="00E47390" w:rsidRDefault="00E47390" w:rsidP="00E47390">
            <w:pPr>
              <w:spacing w:after="0" w:line="240" w:lineRule="auto"/>
              <w:rPr>
                <w:sz w:val="20"/>
                <w:szCs w:val="20"/>
              </w:rPr>
            </w:pPr>
            <w:r w:rsidRPr="00E47390">
              <w:rPr>
                <w:sz w:val="20"/>
                <w:szCs w:val="20"/>
              </w:rPr>
              <w:t>P+</w:t>
            </w:r>
          </w:p>
        </w:tc>
        <w:tc>
          <w:tcPr>
            <w:tcW w:w="990" w:type="dxa"/>
            <w:shd w:val="clear" w:color="auto" w:fill="D9D9D9" w:themeFill="background1" w:themeFillShade="D9"/>
            <w:vAlign w:val="bottom"/>
          </w:tcPr>
          <w:p w:rsidR="00E47390" w:rsidRPr="00E47390" w:rsidRDefault="00E47390" w:rsidP="00E47390">
            <w:pPr>
              <w:spacing w:after="0" w:line="240" w:lineRule="auto"/>
              <w:jc w:val="center"/>
              <w:rPr>
                <w:sz w:val="20"/>
                <w:szCs w:val="20"/>
              </w:rPr>
            </w:pPr>
            <w:r w:rsidRPr="00E47390">
              <w:rPr>
                <w:sz w:val="20"/>
                <w:szCs w:val="20"/>
              </w:rPr>
              <w:t>--</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sz w:val="20"/>
                <w:szCs w:val="20"/>
              </w:rPr>
            </w:pPr>
            <w:r w:rsidRPr="00E47390">
              <w:rPr>
                <w:sz w:val="20"/>
                <w:szCs w:val="20"/>
              </w:rPr>
              <w:t>--</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sz w:val="20"/>
                <w:szCs w:val="20"/>
              </w:rPr>
            </w:pPr>
            <w:r w:rsidRPr="00E47390">
              <w:rPr>
                <w:sz w:val="20"/>
                <w:szCs w:val="20"/>
              </w:rPr>
              <w:t>--</w:t>
            </w:r>
          </w:p>
        </w:tc>
        <w:tc>
          <w:tcPr>
            <w:tcW w:w="784" w:type="dxa"/>
            <w:shd w:val="clear" w:color="auto" w:fill="D9D9D9" w:themeFill="background1" w:themeFillShade="D9"/>
          </w:tcPr>
          <w:p w:rsidR="00E47390" w:rsidRPr="00E47390" w:rsidRDefault="00E47390" w:rsidP="00E47390">
            <w:pPr>
              <w:spacing w:after="0" w:line="240" w:lineRule="auto"/>
              <w:rPr>
                <w:sz w:val="20"/>
                <w:szCs w:val="20"/>
              </w:rPr>
            </w:pPr>
            <w:r w:rsidRPr="00E47390">
              <w:rPr>
                <w:sz w:val="20"/>
                <w:szCs w:val="20"/>
              </w:rPr>
              <w:t>Lv 4&amp;5</w:t>
            </w:r>
          </w:p>
        </w:tc>
        <w:tc>
          <w:tcPr>
            <w:tcW w:w="785" w:type="dxa"/>
            <w:shd w:val="clear" w:color="auto" w:fill="D9D9D9" w:themeFill="background1" w:themeFillShade="D9"/>
            <w:vAlign w:val="bottom"/>
          </w:tcPr>
          <w:p w:rsidR="00E47390" w:rsidRPr="00E47390" w:rsidRDefault="00E47390" w:rsidP="00E47390">
            <w:pPr>
              <w:spacing w:after="0" w:line="240" w:lineRule="auto"/>
              <w:jc w:val="center"/>
              <w:rPr>
                <w:sz w:val="20"/>
                <w:szCs w:val="20"/>
              </w:rPr>
            </w:pPr>
            <w:r w:rsidRPr="00E47390">
              <w:rPr>
                <w:sz w:val="20"/>
                <w:szCs w:val="20"/>
              </w:rPr>
              <w:t>--</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sz w:val="20"/>
                <w:szCs w:val="20"/>
              </w:rPr>
            </w:pPr>
            <w:r w:rsidRPr="00E47390">
              <w:rPr>
                <w:sz w:val="20"/>
                <w:szCs w:val="20"/>
              </w:rPr>
              <w:t>--</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w:t>
            </w:r>
          </w:p>
        </w:tc>
        <w:tc>
          <w:tcPr>
            <w:tcW w:w="785" w:type="dxa"/>
            <w:shd w:val="clear" w:color="auto" w:fill="D9D9D9" w:themeFill="background1" w:themeFillShade="D9"/>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w:t>
            </w:r>
          </w:p>
        </w:tc>
      </w:tr>
      <w:tr w:rsidR="00E47390" w:rsidRPr="00E47390" w:rsidTr="009D5584">
        <w:tc>
          <w:tcPr>
            <w:tcW w:w="1008" w:type="dxa"/>
            <w:vMerge/>
            <w:vAlign w:val="center"/>
          </w:tcPr>
          <w:p w:rsidR="00E47390" w:rsidRPr="00E47390" w:rsidRDefault="00E47390" w:rsidP="00E47390">
            <w:pPr>
              <w:spacing w:after="0" w:line="240" w:lineRule="auto"/>
              <w:jc w:val="center"/>
              <w:rPr>
                <w:sz w:val="20"/>
                <w:szCs w:val="20"/>
              </w:rPr>
            </w:pPr>
          </w:p>
        </w:tc>
        <w:tc>
          <w:tcPr>
            <w:tcW w:w="810" w:type="dxa"/>
            <w:vMerge/>
            <w:shd w:val="clear" w:color="auto" w:fill="D9D9D9" w:themeFill="background1" w:themeFillShade="D9"/>
            <w:vAlign w:val="center"/>
          </w:tcPr>
          <w:p w:rsidR="00E47390" w:rsidRPr="00E47390" w:rsidRDefault="00E47390" w:rsidP="00E47390">
            <w:pPr>
              <w:spacing w:after="0" w:line="240" w:lineRule="auto"/>
              <w:jc w:val="center"/>
              <w:rPr>
                <w:sz w:val="20"/>
                <w:szCs w:val="20"/>
              </w:rPr>
            </w:pPr>
          </w:p>
        </w:tc>
        <w:tc>
          <w:tcPr>
            <w:tcW w:w="630" w:type="dxa"/>
            <w:shd w:val="clear" w:color="auto" w:fill="D9D9D9" w:themeFill="background1" w:themeFillShade="D9"/>
          </w:tcPr>
          <w:p w:rsidR="00E47390" w:rsidRPr="00E47390" w:rsidRDefault="00E47390" w:rsidP="00E47390">
            <w:pPr>
              <w:spacing w:after="0" w:line="240" w:lineRule="auto"/>
              <w:rPr>
                <w:sz w:val="20"/>
                <w:szCs w:val="20"/>
              </w:rPr>
            </w:pPr>
            <w:r w:rsidRPr="00E47390">
              <w:rPr>
                <w:sz w:val="20"/>
                <w:szCs w:val="20"/>
              </w:rPr>
              <w:t>SGP</w:t>
            </w:r>
          </w:p>
        </w:tc>
        <w:tc>
          <w:tcPr>
            <w:tcW w:w="990" w:type="dxa"/>
            <w:shd w:val="clear" w:color="auto" w:fill="D9D9D9" w:themeFill="background1" w:themeFillShade="D9"/>
            <w:vAlign w:val="bottom"/>
          </w:tcPr>
          <w:p w:rsidR="00E47390" w:rsidRPr="00E47390" w:rsidRDefault="00E47390" w:rsidP="00E47390">
            <w:pPr>
              <w:spacing w:after="0" w:line="240" w:lineRule="auto"/>
              <w:jc w:val="center"/>
              <w:rPr>
                <w:sz w:val="20"/>
                <w:szCs w:val="20"/>
              </w:rPr>
            </w:pPr>
            <w:r w:rsidRPr="00E47390">
              <w:rPr>
                <w:sz w:val="20"/>
                <w:szCs w:val="20"/>
              </w:rPr>
              <w:t>5,032</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sz w:val="20"/>
                <w:szCs w:val="20"/>
              </w:rPr>
            </w:pPr>
            <w:r w:rsidRPr="00E47390">
              <w:rPr>
                <w:sz w:val="20"/>
                <w:szCs w:val="20"/>
              </w:rPr>
              <w:t>--</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sz w:val="20"/>
                <w:szCs w:val="20"/>
              </w:rPr>
            </w:pPr>
            <w:r w:rsidRPr="00E47390">
              <w:rPr>
                <w:sz w:val="20"/>
                <w:szCs w:val="20"/>
              </w:rPr>
              <w:t>--</w:t>
            </w:r>
          </w:p>
        </w:tc>
        <w:tc>
          <w:tcPr>
            <w:tcW w:w="784" w:type="dxa"/>
            <w:shd w:val="clear" w:color="auto" w:fill="D9D9D9" w:themeFill="background1" w:themeFillShade="D9"/>
          </w:tcPr>
          <w:p w:rsidR="00E47390" w:rsidRPr="00E47390" w:rsidRDefault="00E47390" w:rsidP="00E47390">
            <w:pPr>
              <w:spacing w:after="0" w:line="240" w:lineRule="auto"/>
              <w:rPr>
                <w:sz w:val="20"/>
                <w:szCs w:val="20"/>
              </w:rPr>
            </w:pPr>
            <w:r w:rsidRPr="00E47390">
              <w:rPr>
                <w:sz w:val="20"/>
                <w:szCs w:val="20"/>
              </w:rPr>
              <w:t>SGP</w:t>
            </w:r>
          </w:p>
        </w:tc>
        <w:tc>
          <w:tcPr>
            <w:tcW w:w="785" w:type="dxa"/>
            <w:shd w:val="clear" w:color="auto" w:fill="D9D9D9" w:themeFill="background1" w:themeFillShade="D9"/>
            <w:vAlign w:val="bottom"/>
          </w:tcPr>
          <w:p w:rsidR="00E47390" w:rsidRPr="00E47390" w:rsidRDefault="00E47390" w:rsidP="00E47390">
            <w:pPr>
              <w:spacing w:after="0" w:line="240" w:lineRule="auto"/>
              <w:jc w:val="center"/>
              <w:rPr>
                <w:sz w:val="20"/>
                <w:szCs w:val="20"/>
              </w:rPr>
            </w:pPr>
            <w:r w:rsidRPr="00E47390">
              <w:rPr>
                <w:sz w:val="20"/>
                <w:szCs w:val="20"/>
              </w:rPr>
              <w:t>50.0</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sz w:val="20"/>
                <w:szCs w:val="20"/>
              </w:rPr>
            </w:pPr>
            <w:r w:rsidRPr="00E47390">
              <w:rPr>
                <w:sz w:val="20"/>
                <w:szCs w:val="20"/>
              </w:rPr>
              <w:t>50.0</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0.0</w:t>
            </w:r>
          </w:p>
        </w:tc>
        <w:tc>
          <w:tcPr>
            <w:tcW w:w="785" w:type="dxa"/>
            <w:shd w:val="clear" w:color="auto" w:fill="D9D9D9" w:themeFill="background1" w:themeFillShade="D9"/>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w:t>
            </w:r>
          </w:p>
        </w:tc>
      </w:tr>
      <w:tr w:rsidR="00E47390" w:rsidRPr="00E47390" w:rsidTr="009D5584">
        <w:tc>
          <w:tcPr>
            <w:tcW w:w="1008" w:type="dxa"/>
            <w:vMerge/>
            <w:vAlign w:val="center"/>
          </w:tcPr>
          <w:p w:rsidR="00E47390" w:rsidRPr="00E47390" w:rsidRDefault="00E47390" w:rsidP="00E47390">
            <w:pPr>
              <w:spacing w:after="0" w:line="240" w:lineRule="auto"/>
              <w:jc w:val="center"/>
              <w:rPr>
                <w:sz w:val="20"/>
                <w:szCs w:val="20"/>
              </w:rPr>
            </w:pPr>
          </w:p>
        </w:tc>
        <w:tc>
          <w:tcPr>
            <w:tcW w:w="810" w:type="dxa"/>
            <w:vMerge w:val="restart"/>
            <w:vAlign w:val="center"/>
          </w:tcPr>
          <w:p w:rsidR="00E47390" w:rsidRPr="00E47390" w:rsidRDefault="00E47390" w:rsidP="00E47390">
            <w:pPr>
              <w:spacing w:after="0" w:line="240" w:lineRule="auto"/>
              <w:jc w:val="center"/>
              <w:rPr>
                <w:sz w:val="20"/>
                <w:szCs w:val="20"/>
              </w:rPr>
            </w:pPr>
            <w:r w:rsidRPr="00E47390">
              <w:rPr>
                <w:sz w:val="20"/>
                <w:szCs w:val="20"/>
              </w:rPr>
              <w:t>State</w:t>
            </w:r>
          </w:p>
        </w:tc>
        <w:tc>
          <w:tcPr>
            <w:tcW w:w="630" w:type="dxa"/>
          </w:tcPr>
          <w:p w:rsidR="00E47390" w:rsidRPr="00E47390" w:rsidRDefault="00E47390" w:rsidP="00E47390">
            <w:pPr>
              <w:spacing w:after="0" w:line="240" w:lineRule="auto"/>
              <w:rPr>
                <w:sz w:val="20"/>
                <w:szCs w:val="20"/>
              </w:rPr>
            </w:pPr>
            <w:r w:rsidRPr="00E47390">
              <w:rPr>
                <w:sz w:val="20"/>
                <w:szCs w:val="20"/>
              </w:rPr>
              <w:t>CPI</w:t>
            </w:r>
          </w:p>
        </w:tc>
        <w:tc>
          <w:tcPr>
            <w:tcW w:w="990" w:type="dxa"/>
            <w:vAlign w:val="bottom"/>
          </w:tcPr>
          <w:p w:rsidR="00E47390" w:rsidRPr="00E47390" w:rsidRDefault="00E47390" w:rsidP="00E47390">
            <w:pPr>
              <w:spacing w:after="0" w:line="240" w:lineRule="auto"/>
              <w:jc w:val="center"/>
              <w:rPr>
                <w:sz w:val="20"/>
                <w:szCs w:val="20"/>
              </w:rPr>
            </w:pPr>
            <w:r w:rsidRPr="00E47390">
              <w:rPr>
                <w:sz w:val="20"/>
                <w:szCs w:val="20"/>
              </w:rPr>
              <w:t>152,877</w:t>
            </w:r>
          </w:p>
        </w:tc>
        <w:tc>
          <w:tcPr>
            <w:tcW w:w="784" w:type="dxa"/>
            <w:vAlign w:val="bottom"/>
          </w:tcPr>
          <w:p w:rsidR="00E47390" w:rsidRPr="00E47390" w:rsidRDefault="00E47390" w:rsidP="00E47390">
            <w:pPr>
              <w:spacing w:after="0" w:line="240" w:lineRule="auto"/>
              <w:jc w:val="center"/>
              <w:rPr>
                <w:sz w:val="20"/>
                <w:szCs w:val="20"/>
              </w:rPr>
            </w:pPr>
            <w:r w:rsidRPr="00E47390">
              <w:rPr>
                <w:sz w:val="20"/>
                <w:szCs w:val="20"/>
              </w:rPr>
              <w:t>--</w:t>
            </w:r>
          </w:p>
        </w:tc>
        <w:tc>
          <w:tcPr>
            <w:tcW w:w="784" w:type="dxa"/>
            <w:vAlign w:val="bottom"/>
          </w:tcPr>
          <w:p w:rsidR="00E47390" w:rsidRPr="00E47390" w:rsidRDefault="00E47390" w:rsidP="00E47390">
            <w:pPr>
              <w:spacing w:after="0" w:line="240" w:lineRule="auto"/>
              <w:jc w:val="center"/>
              <w:rPr>
                <w:sz w:val="20"/>
                <w:szCs w:val="20"/>
              </w:rPr>
            </w:pPr>
            <w:r w:rsidRPr="00E47390">
              <w:rPr>
                <w:sz w:val="20"/>
                <w:szCs w:val="20"/>
              </w:rPr>
              <w:t>--</w:t>
            </w:r>
          </w:p>
        </w:tc>
        <w:tc>
          <w:tcPr>
            <w:tcW w:w="784" w:type="dxa"/>
          </w:tcPr>
          <w:p w:rsidR="00E47390" w:rsidRPr="00E47390" w:rsidRDefault="00E47390" w:rsidP="00E47390">
            <w:pPr>
              <w:spacing w:after="0" w:line="240" w:lineRule="auto"/>
              <w:rPr>
                <w:sz w:val="20"/>
                <w:szCs w:val="20"/>
              </w:rPr>
            </w:pPr>
            <w:r w:rsidRPr="00E47390">
              <w:rPr>
                <w:sz w:val="20"/>
                <w:szCs w:val="20"/>
              </w:rPr>
              <w:t>CPI</w:t>
            </w:r>
          </w:p>
        </w:tc>
        <w:tc>
          <w:tcPr>
            <w:tcW w:w="785" w:type="dxa"/>
            <w:vAlign w:val="bottom"/>
          </w:tcPr>
          <w:p w:rsidR="00E47390" w:rsidRPr="00E47390" w:rsidRDefault="00E47390" w:rsidP="00E47390">
            <w:pPr>
              <w:spacing w:after="0" w:line="240" w:lineRule="auto"/>
              <w:jc w:val="center"/>
              <w:rPr>
                <w:sz w:val="20"/>
                <w:szCs w:val="20"/>
              </w:rPr>
            </w:pPr>
            <w:r w:rsidRPr="00E47390">
              <w:rPr>
                <w:sz w:val="20"/>
                <w:szCs w:val="20"/>
              </w:rPr>
              <w:t>77.6</w:t>
            </w:r>
          </w:p>
        </w:tc>
        <w:tc>
          <w:tcPr>
            <w:tcW w:w="784" w:type="dxa"/>
            <w:vAlign w:val="bottom"/>
          </w:tcPr>
          <w:p w:rsidR="00E47390" w:rsidRPr="00E47390" w:rsidRDefault="00E47390" w:rsidP="00E47390">
            <w:pPr>
              <w:spacing w:after="0" w:line="240" w:lineRule="auto"/>
              <w:jc w:val="center"/>
              <w:rPr>
                <w:sz w:val="20"/>
                <w:szCs w:val="20"/>
              </w:rPr>
            </w:pPr>
            <w:r w:rsidRPr="00E47390">
              <w:rPr>
                <w:sz w:val="20"/>
                <w:szCs w:val="20"/>
              </w:rPr>
              <w:t>78.2</w:t>
            </w:r>
          </w:p>
        </w:tc>
        <w:tc>
          <w:tcPr>
            <w:tcW w:w="784" w:type="dxa"/>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0.6</w:t>
            </w:r>
          </w:p>
        </w:tc>
        <w:tc>
          <w:tcPr>
            <w:tcW w:w="785" w:type="dxa"/>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w:t>
            </w:r>
          </w:p>
        </w:tc>
      </w:tr>
      <w:tr w:rsidR="00E47390" w:rsidRPr="00E47390" w:rsidTr="009D5584">
        <w:tc>
          <w:tcPr>
            <w:tcW w:w="1008" w:type="dxa"/>
            <w:vMerge/>
            <w:vAlign w:val="center"/>
          </w:tcPr>
          <w:p w:rsidR="00E47390" w:rsidRPr="00E47390" w:rsidRDefault="00E47390" w:rsidP="00E47390">
            <w:pPr>
              <w:spacing w:after="0" w:line="240" w:lineRule="auto"/>
              <w:jc w:val="center"/>
              <w:rPr>
                <w:sz w:val="20"/>
                <w:szCs w:val="20"/>
              </w:rPr>
            </w:pPr>
          </w:p>
        </w:tc>
        <w:tc>
          <w:tcPr>
            <w:tcW w:w="810" w:type="dxa"/>
            <w:vMerge/>
            <w:vAlign w:val="center"/>
          </w:tcPr>
          <w:p w:rsidR="00E47390" w:rsidRPr="00E47390" w:rsidRDefault="00E47390" w:rsidP="00E47390">
            <w:pPr>
              <w:spacing w:after="0" w:line="240" w:lineRule="auto"/>
              <w:jc w:val="center"/>
              <w:rPr>
                <w:sz w:val="20"/>
                <w:szCs w:val="20"/>
              </w:rPr>
            </w:pPr>
          </w:p>
        </w:tc>
        <w:tc>
          <w:tcPr>
            <w:tcW w:w="630" w:type="dxa"/>
          </w:tcPr>
          <w:p w:rsidR="00E47390" w:rsidRPr="00E47390" w:rsidRDefault="00E47390" w:rsidP="00E47390">
            <w:pPr>
              <w:spacing w:after="0" w:line="240" w:lineRule="auto"/>
              <w:rPr>
                <w:sz w:val="20"/>
                <w:szCs w:val="20"/>
              </w:rPr>
            </w:pPr>
            <w:r w:rsidRPr="00E47390">
              <w:rPr>
                <w:sz w:val="20"/>
                <w:szCs w:val="20"/>
              </w:rPr>
              <w:t>P+</w:t>
            </w:r>
          </w:p>
        </w:tc>
        <w:tc>
          <w:tcPr>
            <w:tcW w:w="990" w:type="dxa"/>
            <w:vAlign w:val="bottom"/>
          </w:tcPr>
          <w:p w:rsidR="00E47390" w:rsidRPr="00E47390" w:rsidRDefault="00E47390" w:rsidP="00E47390">
            <w:pPr>
              <w:spacing w:after="0" w:line="240" w:lineRule="auto"/>
              <w:jc w:val="center"/>
              <w:rPr>
                <w:sz w:val="20"/>
                <w:szCs w:val="20"/>
              </w:rPr>
            </w:pPr>
            <w:r w:rsidRPr="00E47390">
              <w:rPr>
                <w:sz w:val="20"/>
                <w:szCs w:val="20"/>
              </w:rPr>
              <w:t>--</w:t>
            </w:r>
          </w:p>
        </w:tc>
        <w:tc>
          <w:tcPr>
            <w:tcW w:w="784" w:type="dxa"/>
            <w:vAlign w:val="bottom"/>
          </w:tcPr>
          <w:p w:rsidR="00E47390" w:rsidRPr="00E47390" w:rsidRDefault="00E47390" w:rsidP="00E47390">
            <w:pPr>
              <w:spacing w:after="0" w:line="240" w:lineRule="auto"/>
              <w:jc w:val="center"/>
              <w:rPr>
                <w:sz w:val="20"/>
                <w:szCs w:val="20"/>
              </w:rPr>
            </w:pPr>
            <w:r w:rsidRPr="00E47390">
              <w:rPr>
                <w:sz w:val="20"/>
                <w:szCs w:val="20"/>
              </w:rPr>
              <w:t>--</w:t>
            </w:r>
          </w:p>
        </w:tc>
        <w:tc>
          <w:tcPr>
            <w:tcW w:w="784" w:type="dxa"/>
            <w:vAlign w:val="bottom"/>
          </w:tcPr>
          <w:p w:rsidR="00E47390" w:rsidRPr="00E47390" w:rsidRDefault="00E47390" w:rsidP="00E47390">
            <w:pPr>
              <w:spacing w:after="0" w:line="240" w:lineRule="auto"/>
              <w:jc w:val="center"/>
              <w:rPr>
                <w:sz w:val="20"/>
                <w:szCs w:val="20"/>
              </w:rPr>
            </w:pPr>
            <w:r w:rsidRPr="00E47390">
              <w:rPr>
                <w:sz w:val="20"/>
                <w:szCs w:val="20"/>
              </w:rPr>
              <w:t>--</w:t>
            </w:r>
          </w:p>
        </w:tc>
        <w:tc>
          <w:tcPr>
            <w:tcW w:w="784" w:type="dxa"/>
          </w:tcPr>
          <w:p w:rsidR="00E47390" w:rsidRPr="00E47390" w:rsidRDefault="00E47390" w:rsidP="00E47390">
            <w:pPr>
              <w:spacing w:after="0" w:line="240" w:lineRule="auto"/>
              <w:rPr>
                <w:sz w:val="20"/>
                <w:szCs w:val="20"/>
              </w:rPr>
            </w:pPr>
            <w:r w:rsidRPr="00E47390">
              <w:rPr>
                <w:sz w:val="20"/>
                <w:szCs w:val="20"/>
              </w:rPr>
              <w:t>Lv 4&amp;5</w:t>
            </w:r>
          </w:p>
        </w:tc>
        <w:tc>
          <w:tcPr>
            <w:tcW w:w="785" w:type="dxa"/>
            <w:vAlign w:val="bottom"/>
          </w:tcPr>
          <w:p w:rsidR="00E47390" w:rsidRPr="00E47390" w:rsidRDefault="00E47390" w:rsidP="00E47390">
            <w:pPr>
              <w:spacing w:after="0" w:line="240" w:lineRule="auto"/>
              <w:jc w:val="center"/>
              <w:rPr>
                <w:sz w:val="20"/>
                <w:szCs w:val="20"/>
              </w:rPr>
            </w:pPr>
            <w:r w:rsidRPr="00E47390">
              <w:rPr>
                <w:sz w:val="20"/>
                <w:szCs w:val="20"/>
              </w:rPr>
              <w:t>--</w:t>
            </w:r>
          </w:p>
        </w:tc>
        <w:tc>
          <w:tcPr>
            <w:tcW w:w="784" w:type="dxa"/>
            <w:vAlign w:val="bottom"/>
          </w:tcPr>
          <w:p w:rsidR="00E47390" w:rsidRPr="00E47390" w:rsidRDefault="00E47390" w:rsidP="00E47390">
            <w:pPr>
              <w:spacing w:after="0" w:line="240" w:lineRule="auto"/>
              <w:jc w:val="center"/>
              <w:rPr>
                <w:sz w:val="20"/>
                <w:szCs w:val="20"/>
              </w:rPr>
            </w:pPr>
            <w:r w:rsidRPr="00E47390">
              <w:rPr>
                <w:sz w:val="20"/>
                <w:szCs w:val="20"/>
              </w:rPr>
              <w:t>--</w:t>
            </w:r>
          </w:p>
        </w:tc>
        <w:tc>
          <w:tcPr>
            <w:tcW w:w="784" w:type="dxa"/>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w:t>
            </w:r>
          </w:p>
        </w:tc>
        <w:tc>
          <w:tcPr>
            <w:tcW w:w="785" w:type="dxa"/>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w:t>
            </w:r>
          </w:p>
        </w:tc>
      </w:tr>
      <w:tr w:rsidR="00E47390" w:rsidRPr="00E47390" w:rsidTr="009D5584">
        <w:tc>
          <w:tcPr>
            <w:tcW w:w="1008" w:type="dxa"/>
            <w:vMerge/>
            <w:vAlign w:val="center"/>
          </w:tcPr>
          <w:p w:rsidR="00E47390" w:rsidRPr="00E47390" w:rsidRDefault="00E47390" w:rsidP="00E47390">
            <w:pPr>
              <w:spacing w:after="0" w:line="240" w:lineRule="auto"/>
              <w:jc w:val="center"/>
              <w:rPr>
                <w:sz w:val="20"/>
                <w:szCs w:val="20"/>
              </w:rPr>
            </w:pPr>
          </w:p>
        </w:tc>
        <w:tc>
          <w:tcPr>
            <w:tcW w:w="810" w:type="dxa"/>
            <w:vMerge/>
            <w:tcBorders>
              <w:bottom w:val="single" w:sz="4" w:space="0" w:color="auto"/>
            </w:tcBorders>
            <w:vAlign w:val="center"/>
          </w:tcPr>
          <w:p w:rsidR="00E47390" w:rsidRPr="00E47390" w:rsidRDefault="00E47390" w:rsidP="00E47390">
            <w:pPr>
              <w:spacing w:after="0" w:line="240" w:lineRule="auto"/>
              <w:jc w:val="center"/>
              <w:rPr>
                <w:sz w:val="20"/>
                <w:szCs w:val="20"/>
              </w:rPr>
            </w:pPr>
          </w:p>
        </w:tc>
        <w:tc>
          <w:tcPr>
            <w:tcW w:w="630" w:type="dxa"/>
            <w:tcBorders>
              <w:bottom w:val="single" w:sz="4" w:space="0" w:color="auto"/>
            </w:tcBorders>
          </w:tcPr>
          <w:p w:rsidR="00E47390" w:rsidRPr="00E47390" w:rsidRDefault="00E47390" w:rsidP="00E47390">
            <w:pPr>
              <w:spacing w:after="0" w:line="240" w:lineRule="auto"/>
              <w:rPr>
                <w:sz w:val="20"/>
                <w:szCs w:val="20"/>
              </w:rPr>
            </w:pPr>
            <w:r w:rsidRPr="00E47390">
              <w:rPr>
                <w:sz w:val="20"/>
                <w:szCs w:val="20"/>
              </w:rPr>
              <w:t>SGP</w:t>
            </w:r>
          </w:p>
        </w:tc>
        <w:tc>
          <w:tcPr>
            <w:tcW w:w="990" w:type="dxa"/>
            <w:tcBorders>
              <w:bottom w:val="single" w:sz="4" w:space="0" w:color="auto"/>
            </w:tcBorders>
            <w:vAlign w:val="bottom"/>
          </w:tcPr>
          <w:p w:rsidR="00E47390" w:rsidRPr="00E47390" w:rsidRDefault="00E47390" w:rsidP="00E47390">
            <w:pPr>
              <w:spacing w:after="0" w:line="240" w:lineRule="auto"/>
              <w:jc w:val="center"/>
              <w:rPr>
                <w:sz w:val="20"/>
                <w:szCs w:val="20"/>
              </w:rPr>
            </w:pPr>
            <w:r w:rsidRPr="00E47390">
              <w:rPr>
                <w:sz w:val="20"/>
                <w:szCs w:val="20"/>
              </w:rPr>
              <w:t>114,361</w:t>
            </w:r>
          </w:p>
        </w:tc>
        <w:tc>
          <w:tcPr>
            <w:tcW w:w="784" w:type="dxa"/>
            <w:tcBorders>
              <w:bottom w:val="single" w:sz="4" w:space="0" w:color="auto"/>
            </w:tcBorders>
            <w:vAlign w:val="bottom"/>
          </w:tcPr>
          <w:p w:rsidR="00E47390" w:rsidRPr="00E47390" w:rsidRDefault="00E47390" w:rsidP="00E47390">
            <w:pPr>
              <w:spacing w:after="0" w:line="240" w:lineRule="auto"/>
              <w:jc w:val="center"/>
              <w:rPr>
                <w:sz w:val="20"/>
                <w:szCs w:val="20"/>
              </w:rPr>
            </w:pPr>
            <w:r w:rsidRPr="00E47390">
              <w:rPr>
                <w:sz w:val="20"/>
                <w:szCs w:val="20"/>
              </w:rPr>
              <w:t>--</w:t>
            </w:r>
          </w:p>
        </w:tc>
        <w:tc>
          <w:tcPr>
            <w:tcW w:w="784" w:type="dxa"/>
            <w:tcBorders>
              <w:bottom w:val="single" w:sz="4" w:space="0" w:color="auto"/>
            </w:tcBorders>
            <w:vAlign w:val="bottom"/>
          </w:tcPr>
          <w:p w:rsidR="00E47390" w:rsidRPr="00E47390" w:rsidRDefault="00E47390" w:rsidP="00E47390">
            <w:pPr>
              <w:spacing w:after="0" w:line="240" w:lineRule="auto"/>
              <w:jc w:val="center"/>
              <w:rPr>
                <w:sz w:val="20"/>
                <w:szCs w:val="20"/>
              </w:rPr>
            </w:pPr>
            <w:r w:rsidRPr="00E47390">
              <w:rPr>
                <w:sz w:val="20"/>
                <w:szCs w:val="20"/>
              </w:rPr>
              <w:t>--</w:t>
            </w:r>
          </w:p>
        </w:tc>
        <w:tc>
          <w:tcPr>
            <w:tcW w:w="784" w:type="dxa"/>
            <w:tcBorders>
              <w:bottom w:val="single" w:sz="4" w:space="0" w:color="auto"/>
            </w:tcBorders>
          </w:tcPr>
          <w:p w:rsidR="00E47390" w:rsidRPr="00E47390" w:rsidRDefault="00E47390" w:rsidP="00E47390">
            <w:pPr>
              <w:spacing w:after="0" w:line="240" w:lineRule="auto"/>
              <w:rPr>
                <w:sz w:val="20"/>
                <w:szCs w:val="20"/>
              </w:rPr>
            </w:pPr>
            <w:r w:rsidRPr="00E47390">
              <w:rPr>
                <w:sz w:val="20"/>
                <w:szCs w:val="20"/>
              </w:rPr>
              <w:t>SGP</w:t>
            </w:r>
          </w:p>
        </w:tc>
        <w:tc>
          <w:tcPr>
            <w:tcW w:w="785" w:type="dxa"/>
            <w:tcBorders>
              <w:bottom w:val="single" w:sz="4" w:space="0" w:color="auto"/>
            </w:tcBorders>
            <w:vAlign w:val="bottom"/>
          </w:tcPr>
          <w:p w:rsidR="00E47390" w:rsidRPr="00E47390" w:rsidRDefault="00E47390" w:rsidP="00E47390">
            <w:pPr>
              <w:spacing w:after="0" w:line="240" w:lineRule="auto"/>
              <w:jc w:val="center"/>
              <w:rPr>
                <w:sz w:val="20"/>
                <w:szCs w:val="20"/>
              </w:rPr>
            </w:pPr>
            <w:r w:rsidRPr="00E47390">
              <w:rPr>
                <w:sz w:val="20"/>
                <w:szCs w:val="20"/>
              </w:rPr>
              <w:t>46.0</w:t>
            </w:r>
          </w:p>
        </w:tc>
        <w:tc>
          <w:tcPr>
            <w:tcW w:w="784" w:type="dxa"/>
            <w:tcBorders>
              <w:bottom w:val="single" w:sz="4" w:space="0" w:color="auto"/>
            </w:tcBorders>
            <w:vAlign w:val="bottom"/>
          </w:tcPr>
          <w:p w:rsidR="00E47390" w:rsidRPr="00E47390" w:rsidRDefault="00E47390" w:rsidP="00E47390">
            <w:pPr>
              <w:spacing w:after="0" w:line="240" w:lineRule="auto"/>
              <w:jc w:val="center"/>
              <w:rPr>
                <w:sz w:val="20"/>
                <w:szCs w:val="20"/>
              </w:rPr>
            </w:pPr>
            <w:r w:rsidRPr="00E47390">
              <w:rPr>
                <w:sz w:val="20"/>
                <w:szCs w:val="20"/>
              </w:rPr>
              <w:t>46.0</w:t>
            </w:r>
          </w:p>
        </w:tc>
        <w:tc>
          <w:tcPr>
            <w:tcW w:w="784" w:type="dxa"/>
            <w:tcBorders>
              <w:bottom w:val="single" w:sz="4" w:space="0" w:color="auto"/>
            </w:tcBorders>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0.0</w:t>
            </w:r>
          </w:p>
        </w:tc>
        <w:tc>
          <w:tcPr>
            <w:tcW w:w="785" w:type="dxa"/>
            <w:tcBorders>
              <w:bottom w:val="single" w:sz="4" w:space="0" w:color="auto"/>
            </w:tcBorders>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w:t>
            </w:r>
          </w:p>
        </w:tc>
      </w:tr>
      <w:tr w:rsidR="00E47390" w:rsidRPr="00E47390" w:rsidTr="009D5584">
        <w:tc>
          <w:tcPr>
            <w:tcW w:w="1008" w:type="dxa"/>
            <w:vMerge w:val="restart"/>
            <w:vAlign w:val="center"/>
          </w:tcPr>
          <w:p w:rsidR="00E47390" w:rsidRPr="00E47390" w:rsidRDefault="00E47390" w:rsidP="00E47390">
            <w:pPr>
              <w:spacing w:after="0" w:line="240" w:lineRule="auto"/>
              <w:jc w:val="center"/>
              <w:rPr>
                <w:sz w:val="20"/>
                <w:szCs w:val="20"/>
              </w:rPr>
            </w:pPr>
            <w:r w:rsidRPr="00E47390">
              <w:rPr>
                <w:sz w:val="20"/>
                <w:szCs w:val="20"/>
              </w:rPr>
              <w:t>SWD</w:t>
            </w:r>
          </w:p>
        </w:tc>
        <w:tc>
          <w:tcPr>
            <w:tcW w:w="810" w:type="dxa"/>
            <w:vMerge w:val="restart"/>
            <w:shd w:val="clear" w:color="auto" w:fill="D9D9D9" w:themeFill="background1" w:themeFillShade="D9"/>
            <w:vAlign w:val="center"/>
          </w:tcPr>
          <w:p w:rsidR="00E47390" w:rsidRPr="00E47390" w:rsidRDefault="00E47390" w:rsidP="00E47390">
            <w:pPr>
              <w:spacing w:after="0" w:line="240" w:lineRule="auto"/>
              <w:jc w:val="center"/>
              <w:rPr>
                <w:sz w:val="20"/>
                <w:szCs w:val="20"/>
              </w:rPr>
            </w:pPr>
            <w:r w:rsidRPr="00E47390">
              <w:rPr>
                <w:sz w:val="20"/>
                <w:szCs w:val="20"/>
              </w:rPr>
              <w:t>District</w:t>
            </w:r>
          </w:p>
        </w:tc>
        <w:tc>
          <w:tcPr>
            <w:tcW w:w="630" w:type="dxa"/>
            <w:shd w:val="clear" w:color="auto" w:fill="D9D9D9" w:themeFill="background1" w:themeFillShade="D9"/>
          </w:tcPr>
          <w:p w:rsidR="00E47390" w:rsidRPr="00E47390" w:rsidRDefault="00E47390" w:rsidP="00E47390">
            <w:pPr>
              <w:spacing w:after="0" w:line="240" w:lineRule="auto"/>
              <w:rPr>
                <w:sz w:val="20"/>
                <w:szCs w:val="20"/>
              </w:rPr>
            </w:pPr>
            <w:r w:rsidRPr="00E47390">
              <w:rPr>
                <w:sz w:val="20"/>
                <w:szCs w:val="20"/>
              </w:rPr>
              <w:t>CPI</w:t>
            </w:r>
          </w:p>
        </w:tc>
        <w:tc>
          <w:tcPr>
            <w:tcW w:w="990" w:type="dxa"/>
            <w:shd w:val="clear" w:color="auto" w:fill="D9D9D9" w:themeFill="background1" w:themeFillShade="D9"/>
            <w:vAlign w:val="bottom"/>
          </w:tcPr>
          <w:p w:rsidR="00E47390" w:rsidRPr="00E47390" w:rsidRDefault="00E47390" w:rsidP="00E47390">
            <w:pPr>
              <w:spacing w:after="0" w:line="240" w:lineRule="auto"/>
              <w:jc w:val="center"/>
              <w:rPr>
                <w:sz w:val="20"/>
                <w:szCs w:val="20"/>
              </w:rPr>
            </w:pPr>
            <w:r w:rsidRPr="00E47390">
              <w:rPr>
                <w:sz w:val="20"/>
                <w:szCs w:val="20"/>
              </w:rPr>
              <w:t>2,551</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54.8</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55.1</w:t>
            </w:r>
          </w:p>
        </w:tc>
        <w:tc>
          <w:tcPr>
            <w:tcW w:w="784" w:type="dxa"/>
            <w:shd w:val="clear" w:color="auto" w:fill="D9D9D9" w:themeFill="background1" w:themeFillShade="D9"/>
          </w:tcPr>
          <w:p w:rsidR="00E47390" w:rsidRPr="00E47390" w:rsidRDefault="00E47390" w:rsidP="00E47390">
            <w:pPr>
              <w:spacing w:after="0" w:line="240" w:lineRule="auto"/>
              <w:rPr>
                <w:sz w:val="20"/>
                <w:szCs w:val="20"/>
              </w:rPr>
            </w:pPr>
            <w:r w:rsidRPr="00E47390">
              <w:rPr>
                <w:sz w:val="20"/>
                <w:szCs w:val="20"/>
              </w:rPr>
              <w:t>CPI</w:t>
            </w:r>
          </w:p>
        </w:tc>
        <w:tc>
          <w:tcPr>
            <w:tcW w:w="785" w:type="dxa"/>
            <w:shd w:val="clear" w:color="auto" w:fill="D9D9D9" w:themeFill="background1" w:themeFillShade="D9"/>
            <w:vAlign w:val="bottom"/>
          </w:tcPr>
          <w:p w:rsidR="00E47390" w:rsidRPr="00E47390" w:rsidRDefault="00E47390" w:rsidP="00E47390">
            <w:pPr>
              <w:spacing w:after="0" w:line="240" w:lineRule="auto"/>
              <w:jc w:val="center"/>
              <w:rPr>
                <w:sz w:val="20"/>
                <w:szCs w:val="20"/>
              </w:rPr>
            </w:pPr>
            <w:r w:rsidRPr="00E47390">
              <w:rPr>
                <w:sz w:val="20"/>
                <w:szCs w:val="20"/>
              </w:rPr>
              <w:t>58.4</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sz w:val="20"/>
                <w:szCs w:val="20"/>
              </w:rPr>
            </w:pPr>
            <w:r w:rsidRPr="00E47390">
              <w:rPr>
                <w:sz w:val="20"/>
                <w:szCs w:val="20"/>
              </w:rPr>
              <w:t>59.8</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1.4</w:t>
            </w:r>
          </w:p>
        </w:tc>
        <w:tc>
          <w:tcPr>
            <w:tcW w:w="785" w:type="dxa"/>
            <w:shd w:val="clear" w:color="auto" w:fill="D9D9D9" w:themeFill="background1" w:themeFillShade="D9"/>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5.0</w:t>
            </w:r>
          </w:p>
        </w:tc>
      </w:tr>
      <w:tr w:rsidR="00E47390" w:rsidRPr="00E47390" w:rsidTr="009D5584">
        <w:tc>
          <w:tcPr>
            <w:tcW w:w="1008" w:type="dxa"/>
            <w:vMerge/>
            <w:vAlign w:val="center"/>
          </w:tcPr>
          <w:p w:rsidR="00E47390" w:rsidRPr="00E47390" w:rsidRDefault="00E47390" w:rsidP="00E47390">
            <w:pPr>
              <w:spacing w:after="0" w:line="240" w:lineRule="auto"/>
              <w:jc w:val="center"/>
              <w:rPr>
                <w:sz w:val="20"/>
                <w:szCs w:val="20"/>
              </w:rPr>
            </w:pPr>
          </w:p>
        </w:tc>
        <w:tc>
          <w:tcPr>
            <w:tcW w:w="810" w:type="dxa"/>
            <w:vMerge/>
            <w:shd w:val="clear" w:color="auto" w:fill="D9D9D9" w:themeFill="background1" w:themeFillShade="D9"/>
            <w:vAlign w:val="center"/>
          </w:tcPr>
          <w:p w:rsidR="00E47390" w:rsidRPr="00E47390" w:rsidRDefault="00E47390" w:rsidP="00E47390">
            <w:pPr>
              <w:spacing w:after="0" w:line="240" w:lineRule="auto"/>
              <w:jc w:val="center"/>
              <w:rPr>
                <w:sz w:val="20"/>
                <w:szCs w:val="20"/>
              </w:rPr>
            </w:pPr>
          </w:p>
        </w:tc>
        <w:tc>
          <w:tcPr>
            <w:tcW w:w="630" w:type="dxa"/>
            <w:shd w:val="clear" w:color="auto" w:fill="D9D9D9" w:themeFill="background1" w:themeFillShade="D9"/>
          </w:tcPr>
          <w:p w:rsidR="00E47390" w:rsidRPr="00E47390" w:rsidRDefault="00E47390" w:rsidP="00E47390">
            <w:pPr>
              <w:spacing w:after="0" w:line="240" w:lineRule="auto"/>
              <w:rPr>
                <w:sz w:val="20"/>
                <w:szCs w:val="20"/>
              </w:rPr>
            </w:pPr>
            <w:r w:rsidRPr="00E47390">
              <w:rPr>
                <w:sz w:val="20"/>
                <w:szCs w:val="20"/>
              </w:rPr>
              <w:t>P+</w:t>
            </w:r>
          </w:p>
        </w:tc>
        <w:tc>
          <w:tcPr>
            <w:tcW w:w="990" w:type="dxa"/>
            <w:shd w:val="clear" w:color="auto" w:fill="D9D9D9" w:themeFill="background1" w:themeFillShade="D9"/>
            <w:vAlign w:val="bottom"/>
          </w:tcPr>
          <w:p w:rsidR="00E47390" w:rsidRPr="00E47390" w:rsidRDefault="00E47390" w:rsidP="00E47390">
            <w:pPr>
              <w:spacing w:after="0" w:line="240" w:lineRule="auto"/>
              <w:jc w:val="center"/>
              <w:rPr>
                <w:sz w:val="20"/>
                <w:szCs w:val="20"/>
              </w:rPr>
            </w:pPr>
            <w:r w:rsidRPr="00E47390">
              <w:rPr>
                <w:sz w:val="20"/>
                <w:szCs w:val="20"/>
              </w:rPr>
              <w:t>--</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15%</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16%</w:t>
            </w:r>
          </w:p>
        </w:tc>
        <w:tc>
          <w:tcPr>
            <w:tcW w:w="784" w:type="dxa"/>
            <w:shd w:val="clear" w:color="auto" w:fill="D9D9D9" w:themeFill="background1" w:themeFillShade="D9"/>
          </w:tcPr>
          <w:p w:rsidR="00E47390" w:rsidRPr="00E47390" w:rsidRDefault="00E47390" w:rsidP="00E47390">
            <w:pPr>
              <w:spacing w:after="0" w:line="240" w:lineRule="auto"/>
              <w:rPr>
                <w:sz w:val="20"/>
                <w:szCs w:val="20"/>
              </w:rPr>
            </w:pPr>
            <w:r w:rsidRPr="00E47390">
              <w:rPr>
                <w:sz w:val="20"/>
                <w:szCs w:val="20"/>
              </w:rPr>
              <w:t>Lv 4&amp;5</w:t>
            </w:r>
          </w:p>
        </w:tc>
        <w:tc>
          <w:tcPr>
            <w:tcW w:w="785" w:type="dxa"/>
            <w:shd w:val="clear" w:color="auto" w:fill="D9D9D9" w:themeFill="background1" w:themeFillShade="D9"/>
            <w:vAlign w:val="bottom"/>
          </w:tcPr>
          <w:p w:rsidR="00E47390" w:rsidRPr="00E47390" w:rsidRDefault="00E47390" w:rsidP="00E47390">
            <w:pPr>
              <w:spacing w:after="0" w:line="240" w:lineRule="auto"/>
              <w:jc w:val="center"/>
              <w:rPr>
                <w:sz w:val="20"/>
                <w:szCs w:val="20"/>
              </w:rPr>
            </w:pPr>
            <w:r w:rsidRPr="00E47390">
              <w:rPr>
                <w:sz w:val="20"/>
                <w:szCs w:val="20"/>
              </w:rPr>
              <w:t>--</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sz w:val="20"/>
                <w:szCs w:val="20"/>
              </w:rPr>
            </w:pPr>
            <w:r w:rsidRPr="00E47390">
              <w:rPr>
                <w:sz w:val="20"/>
                <w:szCs w:val="20"/>
              </w:rPr>
              <w:t>--</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w:t>
            </w:r>
          </w:p>
        </w:tc>
        <w:tc>
          <w:tcPr>
            <w:tcW w:w="785" w:type="dxa"/>
            <w:shd w:val="clear" w:color="auto" w:fill="D9D9D9" w:themeFill="background1" w:themeFillShade="D9"/>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w:t>
            </w:r>
          </w:p>
        </w:tc>
      </w:tr>
      <w:tr w:rsidR="00E47390" w:rsidRPr="00E47390" w:rsidTr="009D5584">
        <w:tc>
          <w:tcPr>
            <w:tcW w:w="1008" w:type="dxa"/>
            <w:vMerge/>
            <w:vAlign w:val="center"/>
          </w:tcPr>
          <w:p w:rsidR="00E47390" w:rsidRPr="00E47390" w:rsidRDefault="00E47390" w:rsidP="00E47390">
            <w:pPr>
              <w:spacing w:after="0" w:line="240" w:lineRule="auto"/>
              <w:jc w:val="center"/>
              <w:rPr>
                <w:sz w:val="20"/>
                <w:szCs w:val="20"/>
              </w:rPr>
            </w:pPr>
          </w:p>
        </w:tc>
        <w:tc>
          <w:tcPr>
            <w:tcW w:w="810" w:type="dxa"/>
            <w:vMerge/>
            <w:shd w:val="clear" w:color="auto" w:fill="D9D9D9" w:themeFill="background1" w:themeFillShade="D9"/>
            <w:vAlign w:val="center"/>
          </w:tcPr>
          <w:p w:rsidR="00E47390" w:rsidRPr="00E47390" w:rsidRDefault="00E47390" w:rsidP="00E47390">
            <w:pPr>
              <w:spacing w:after="0" w:line="240" w:lineRule="auto"/>
              <w:jc w:val="center"/>
              <w:rPr>
                <w:sz w:val="20"/>
                <w:szCs w:val="20"/>
              </w:rPr>
            </w:pPr>
          </w:p>
        </w:tc>
        <w:tc>
          <w:tcPr>
            <w:tcW w:w="630" w:type="dxa"/>
            <w:shd w:val="clear" w:color="auto" w:fill="D9D9D9" w:themeFill="background1" w:themeFillShade="D9"/>
          </w:tcPr>
          <w:p w:rsidR="00E47390" w:rsidRPr="00E47390" w:rsidRDefault="00E47390" w:rsidP="00E47390">
            <w:pPr>
              <w:spacing w:after="0" w:line="240" w:lineRule="auto"/>
              <w:rPr>
                <w:sz w:val="20"/>
                <w:szCs w:val="20"/>
              </w:rPr>
            </w:pPr>
            <w:r w:rsidRPr="00E47390">
              <w:rPr>
                <w:sz w:val="20"/>
                <w:szCs w:val="20"/>
              </w:rPr>
              <w:t>SGP</w:t>
            </w:r>
          </w:p>
        </w:tc>
        <w:tc>
          <w:tcPr>
            <w:tcW w:w="990" w:type="dxa"/>
            <w:shd w:val="clear" w:color="auto" w:fill="D9D9D9" w:themeFill="background1" w:themeFillShade="D9"/>
            <w:vAlign w:val="bottom"/>
          </w:tcPr>
          <w:p w:rsidR="00E47390" w:rsidRPr="00E47390" w:rsidRDefault="00E47390" w:rsidP="00E47390">
            <w:pPr>
              <w:spacing w:after="0" w:line="240" w:lineRule="auto"/>
              <w:jc w:val="center"/>
              <w:rPr>
                <w:sz w:val="20"/>
                <w:szCs w:val="20"/>
              </w:rPr>
            </w:pPr>
            <w:r w:rsidRPr="00E47390">
              <w:rPr>
                <w:sz w:val="20"/>
                <w:szCs w:val="20"/>
              </w:rPr>
              <w:t>1,660</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43.0</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43.0</w:t>
            </w:r>
          </w:p>
        </w:tc>
        <w:tc>
          <w:tcPr>
            <w:tcW w:w="784" w:type="dxa"/>
            <w:shd w:val="clear" w:color="auto" w:fill="D9D9D9" w:themeFill="background1" w:themeFillShade="D9"/>
          </w:tcPr>
          <w:p w:rsidR="00E47390" w:rsidRPr="00E47390" w:rsidRDefault="00E47390" w:rsidP="00E47390">
            <w:pPr>
              <w:spacing w:after="0" w:line="240" w:lineRule="auto"/>
              <w:rPr>
                <w:sz w:val="20"/>
                <w:szCs w:val="20"/>
              </w:rPr>
            </w:pPr>
            <w:r w:rsidRPr="00E47390">
              <w:rPr>
                <w:sz w:val="20"/>
                <w:szCs w:val="20"/>
              </w:rPr>
              <w:t>SGP</w:t>
            </w:r>
          </w:p>
        </w:tc>
        <w:tc>
          <w:tcPr>
            <w:tcW w:w="785" w:type="dxa"/>
            <w:shd w:val="clear" w:color="auto" w:fill="D9D9D9" w:themeFill="background1" w:themeFillShade="D9"/>
            <w:vAlign w:val="bottom"/>
          </w:tcPr>
          <w:p w:rsidR="00E47390" w:rsidRPr="00E47390" w:rsidRDefault="00E47390" w:rsidP="00E47390">
            <w:pPr>
              <w:spacing w:after="0" w:line="240" w:lineRule="auto"/>
              <w:jc w:val="center"/>
              <w:rPr>
                <w:sz w:val="20"/>
                <w:szCs w:val="20"/>
              </w:rPr>
            </w:pPr>
            <w:r w:rsidRPr="00E47390">
              <w:rPr>
                <w:sz w:val="20"/>
                <w:szCs w:val="20"/>
              </w:rPr>
              <w:t>45.0</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sz w:val="20"/>
                <w:szCs w:val="20"/>
              </w:rPr>
            </w:pPr>
            <w:r w:rsidRPr="00E47390">
              <w:rPr>
                <w:sz w:val="20"/>
                <w:szCs w:val="20"/>
              </w:rPr>
              <w:t>43.0</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-2.0</w:t>
            </w:r>
          </w:p>
        </w:tc>
        <w:tc>
          <w:tcPr>
            <w:tcW w:w="785" w:type="dxa"/>
            <w:shd w:val="clear" w:color="auto" w:fill="D9D9D9" w:themeFill="background1" w:themeFillShade="D9"/>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0.0</w:t>
            </w:r>
          </w:p>
        </w:tc>
      </w:tr>
      <w:tr w:rsidR="00E47390" w:rsidRPr="00E47390" w:rsidTr="009D5584">
        <w:tc>
          <w:tcPr>
            <w:tcW w:w="1008" w:type="dxa"/>
            <w:vMerge/>
            <w:vAlign w:val="center"/>
          </w:tcPr>
          <w:p w:rsidR="00E47390" w:rsidRPr="00E47390" w:rsidRDefault="00E47390" w:rsidP="00E47390">
            <w:pPr>
              <w:spacing w:after="0" w:line="240" w:lineRule="auto"/>
              <w:jc w:val="center"/>
              <w:rPr>
                <w:sz w:val="20"/>
                <w:szCs w:val="20"/>
              </w:rPr>
            </w:pPr>
          </w:p>
        </w:tc>
        <w:tc>
          <w:tcPr>
            <w:tcW w:w="810" w:type="dxa"/>
            <w:vMerge w:val="restart"/>
            <w:vAlign w:val="center"/>
          </w:tcPr>
          <w:p w:rsidR="00E47390" w:rsidRPr="00E47390" w:rsidRDefault="00E47390" w:rsidP="00E47390">
            <w:pPr>
              <w:spacing w:after="0" w:line="240" w:lineRule="auto"/>
              <w:jc w:val="center"/>
              <w:rPr>
                <w:sz w:val="20"/>
                <w:szCs w:val="20"/>
              </w:rPr>
            </w:pPr>
            <w:r w:rsidRPr="00E47390">
              <w:rPr>
                <w:sz w:val="20"/>
                <w:szCs w:val="20"/>
              </w:rPr>
              <w:t>State</w:t>
            </w:r>
          </w:p>
        </w:tc>
        <w:tc>
          <w:tcPr>
            <w:tcW w:w="630" w:type="dxa"/>
          </w:tcPr>
          <w:p w:rsidR="00E47390" w:rsidRPr="00E47390" w:rsidRDefault="00E47390" w:rsidP="00E47390">
            <w:pPr>
              <w:spacing w:after="0" w:line="240" w:lineRule="auto"/>
              <w:rPr>
                <w:sz w:val="20"/>
                <w:szCs w:val="20"/>
              </w:rPr>
            </w:pPr>
            <w:r w:rsidRPr="00E47390">
              <w:rPr>
                <w:sz w:val="20"/>
                <w:szCs w:val="20"/>
              </w:rPr>
              <w:t>CPI</w:t>
            </w:r>
          </w:p>
        </w:tc>
        <w:tc>
          <w:tcPr>
            <w:tcW w:w="990" w:type="dxa"/>
            <w:vAlign w:val="bottom"/>
          </w:tcPr>
          <w:p w:rsidR="00E47390" w:rsidRPr="00E47390" w:rsidRDefault="00E47390" w:rsidP="00E47390">
            <w:pPr>
              <w:spacing w:after="0" w:line="240" w:lineRule="auto"/>
              <w:jc w:val="center"/>
              <w:rPr>
                <w:sz w:val="20"/>
                <w:szCs w:val="20"/>
              </w:rPr>
            </w:pPr>
            <w:r w:rsidRPr="00E47390">
              <w:rPr>
                <w:sz w:val="20"/>
                <w:szCs w:val="20"/>
              </w:rPr>
              <w:t>91,177</w:t>
            </w:r>
          </w:p>
        </w:tc>
        <w:tc>
          <w:tcPr>
            <w:tcW w:w="784" w:type="dxa"/>
            <w:vAlign w:val="bottom"/>
          </w:tcPr>
          <w:p w:rsidR="00E47390" w:rsidRPr="00E47390" w:rsidRDefault="00E47390" w:rsidP="00E47390">
            <w:pPr>
              <w:spacing w:after="0" w:line="240" w:lineRule="auto"/>
              <w:jc w:val="center"/>
              <w:rPr>
                <w:sz w:val="20"/>
                <w:szCs w:val="20"/>
              </w:rPr>
            </w:pPr>
            <w:r w:rsidRPr="00E47390">
              <w:rPr>
                <w:sz w:val="20"/>
                <w:szCs w:val="20"/>
              </w:rPr>
              <w:t>66.8</w:t>
            </w:r>
          </w:p>
        </w:tc>
        <w:tc>
          <w:tcPr>
            <w:tcW w:w="784" w:type="dxa"/>
            <w:vAlign w:val="bottom"/>
          </w:tcPr>
          <w:p w:rsidR="00E47390" w:rsidRPr="00E47390" w:rsidRDefault="00E47390" w:rsidP="00E47390">
            <w:pPr>
              <w:spacing w:after="0" w:line="240" w:lineRule="auto"/>
              <w:jc w:val="center"/>
              <w:rPr>
                <w:sz w:val="20"/>
                <w:szCs w:val="20"/>
              </w:rPr>
            </w:pPr>
            <w:r w:rsidRPr="00E47390">
              <w:rPr>
                <w:sz w:val="20"/>
                <w:szCs w:val="20"/>
              </w:rPr>
              <w:t>66.6</w:t>
            </w:r>
          </w:p>
        </w:tc>
        <w:tc>
          <w:tcPr>
            <w:tcW w:w="784" w:type="dxa"/>
          </w:tcPr>
          <w:p w:rsidR="00E47390" w:rsidRPr="00E47390" w:rsidRDefault="00E47390" w:rsidP="00E47390">
            <w:pPr>
              <w:spacing w:after="0" w:line="240" w:lineRule="auto"/>
              <w:rPr>
                <w:sz w:val="20"/>
                <w:szCs w:val="20"/>
              </w:rPr>
            </w:pPr>
            <w:r w:rsidRPr="00E47390">
              <w:rPr>
                <w:sz w:val="20"/>
                <w:szCs w:val="20"/>
              </w:rPr>
              <w:t>CPI</w:t>
            </w:r>
          </w:p>
        </w:tc>
        <w:tc>
          <w:tcPr>
            <w:tcW w:w="785" w:type="dxa"/>
            <w:vAlign w:val="bottom"/>
          </w:tcPr>
          <w:p w:rsidR="00E47390" w:rsidRPr="00E47390" w:rsidRDefault="00E47390" w:rsidP="00E47390">
            <w:pPr>
              <w:spacing w:after="0" w:line="240" w:lineRule="auto"/>
              <w:jc w:val="center"/>
              <w:rPr>
                <w:sz w:val="20"/>
                <w:szCs w:val="20"/>
              </w:rPr>
            </w:pPr>
            <w:r w:rsidRPr="00E47390">
              <w:rPr>
                <w:sz w:val="20"/>
                <w:szCs w:val="20"/>
              </w:rPr>
              <w:t>67.4</w:t>
            </w:r>
          </w:p>
        </w:tc>
        <w:tc>
          <w:tcPr>
            <w:tcW w:w="784" w:type="dxa"/>
            <w:vAlign w:val="bottom"/>
          </w:tcPr>
          <w:p w:rsidR="00E47390" w:rsidRPr="00E47390" w:rsidRDefault="00E47390" w:rsidP="00E47390">
            <w:pPr>
              <w:spacing w:after="0" w:line="240" w:lineRule="auto"/>
              <w:jc w:val="center"/>
              <w:rPr>
                <w:sz w:val="20"/>
                <w:szCs w:val="20"/>
              </w:rPr>
            </w:pPr>
            <w:r w:rsidRPr="00E47390">
              <w:rPr>
                <w:sz w:val="20"/>
                <w:szCs w:val="20"/>
              </w:rPr>
              <w:t>68.2</w:t>
            </w:r>
          </w:p>
        </w:tc>
        <w:tc>
          <w:tcPr>
            <w:tcW w:w="784" w:type="dxa"/>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0.8</w:t>
            </w:r>
          </w:p>
        </w:tc>
        <w:tc>
          <w:tcPr>
            <w:tcW w:w="785" w:type="dxa"/>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1.4</w:t>
            </w:r>
          </w:p>
        </w:tc>
      </w:tr>
      <w:tr w:rsidR="00E47390" w:rsidRPr="00E47390" w:rsidTr="009D5584">
        <w:tc>
          <w:tcPr>
            <w:tcW w:w="1008" w:type="dxa"/>
            <w:vMerge/>
            <w:vAlign w:val="center"/>
          </w:tcPr>
          <w:p w:rsidR="00E47390" w:rsidRPr="00E47390" w:rsidRDefault="00E47390" w:rsidP="00E47390">
            <w:pPr>
              <w:spacing w:after="0" w:line="240" w:lineRule="auto"/>
              <w:jc w:val="center"/>
              <w:rPr>
                <w:sz w:val="20"/>
                <w:szCs w:val="20"/>
              </w:rPr>
            </w:pPr>
          </w:p>
        </w:tc>
        <w:tc>
          <w:tcPr>
            <w:tcW w:w="810" w:type="dxa"/>
            <w:vMerge/>
            <w:vAlign w:val="center"/>
          </w:tcPr>
          <w:p w:rsidR="00E47390" w:rsidRPr="00E47390" w:rsidRDefault="00E47390" w:rsidP="00E47390">
            <w:pPr>
              <w:spacing w:after="0" w:line="240" w:lineRule="auto"/>
              <w:jc w:val="center"/>
              <w:rPr>
                <w:sz w:val="20"/>
                <w:szCs w:val="20"/>
              </w:rPr>
            </w:pPr>
          </w:p>
        </w:tc>
        <w:tc>
          <w:tcPr>
            <w:tcW w:w="630" w:type="dxa"/>
          </w:tcPr>
          <w:p w:rsidR="00E47390" w:rsidRPr="00E47390" w:rsidRDefault="00E47390" w:rsidP="00E47390">
            <w:pPr>
              <w:spacing w:after="0" w:line="240" w:lineRule="auto"/>
              <w:rPr>
                <w:sz w:val="20"/>
                <w:szCs w:val="20"/>
              </w:rPr>
            </w:pPr>
            <w:r w:rsidRPr="00E47390">
              <w:rPr>
                <w:sz w:val="20"/>
                <w:szCs w:val="20"/>
              </w:rPr>
              <w:t>P+</w:t>
            </w:r>
          </w:p>
        </w:tc>
        <w:tc>
          <w:tcPr>
            <w:tcW w:w="990" w:type="dxa"/>
            <w:vAlign w:val="bottom"/>
          </w:tcPr>
          <w:p w:rsidR="00E47390" w:rsidRPr="00E47390" w:rsidRDefault="00E47390" w:rsidP="00E47390">
            <w:pPr>
              <w:spacing w:after="0" w:line="240" w:lineRule="auto"/>
              <w:jc w:val="center"/>
              <w:rPr>
                <w:sz w:val="20"/>
                <w:szCs w:val="20"/>
              </w:rPr>
            </w:pPr>
            <w:r w:rsidRPr="00E47390">
              <w:rPr>
                <w:sz w:val="20"/>
                <w:szCs w:val="20"/>
              </w:rPr>
              <w:t>--</w:t>
            </w:r>
          </w:p>
        </w:tc>
        <w:tc>
          <w:tcPr>
            <w:tcW w:w="784" w:type="dxa"/>
            <w:vAlign w:val="bottom"/>
          </w:tcPr>
          <w:p w:rsidR="00E47390" w:rsidRPr="00E47390" w:rsidRDefault="00E47390" w:rsidP="00E47390">
            <w:pPr>
              <w:spacing w:after="0" w:line="240" w:lineRule="auto"/>
              <w:jc w:val="center"/>
              <w:rPr>
                <w:sz w:val="20"/>
                <w:szCs w:val="20"/>
              </w:rPr>
            </w:pPr>
            <w:r w:rsidRPr="00E47390">
              <w:rPr>
                <w:sz w:val="20"/>
                <w:szCs w:val="20"/>
              </w:rPr>
              <w:t>30%</w:t>
            </w:r>
          </w:p>
        </w:tc>
        <w:tc>
          <w:tcPr>
            <w:tcW w:w="784" w:type="dxa"/>
            <w:vAlign w:val="bottom"/>
          </w:tcPr>
          <w:p w:rsidR="00E47390" w:rsidRPr="00E47390" w:rsidRDefault="00E47390" w:rsidP="00E47390">
            <w:pPr>
              <w:spacing w:after="0" w:line="240" w:lineRule="auto"/>
              <w:jc w:val="center"/>
              <w:rPr>
                <w:sz w:val="20"/>
                <w:szCs w:val="20"/>
              </w:rPr>
            </w:pPr>
            <w:r w:rsidRPr="00E47390">
              <w:rPr>
                <w:sz w:val="20"/>
                <w:szCs w:val="20"/>
              </w:rPr>
              <w:t>31%</w:t>
            </w:r>
          </w:p>
        </w:tc>
        <w:tc>
          <w:tcPr>
            <w:tcW w:w="784" w:type="dxa"/>
          </w:tcPr>
          <w:p w:rsidR="00E47390" w:rsidRPr="00E47390" w:rsidRDefault="00E47390" w:rsidP="00E47390">
            <w:pPr>
              <w:spacing w:after="0" w:line="240" w:lineRule="auto"/>
              <w:rPr>
                <w:sz w:val="20"/>
                <w:szCs w:val="20"/>
              </w:rPr>
            </w:pPr>
            <w:r w:rsidRPr="00E47390">
              <w:rPr>
                <w:sz w:val="20"/>
                <w:szCs w:val="20"/>
              </w:rPr>
              <w:t>Lv 4&amp;5</w:t>
            </w:r>
          </w:p>
        </w:tc>
        <w:tc>
          <w:tcPr>
            <w:tcW w:w="785" w:type="dxa"/>
            <w:vAlign w:val="bottom"/>
          </w:tcPr>
          <w:p w:rsidR="00E47390" w:rsidRPr="00E47390" w:rsidRDefault="00E47390" w:rsidP="00E47390">
            <w:pPr>
              <w:spacing w:after="0" w:line="240" w:lineRule="auto"/>
              <w:jc w:val="center"/>
              <w:rPr>
                <w:sz w:val="20"/>
                <w:szCs w:val="20"/>
              </w:rPr>
            </w:pPr>
            <w:r w:rsidRPr="00E47390">
              <w:rPr>
                <w:sz w:val="20"/>
                <w:szCs w:val="20"/>
              </w:rPr>
              <w:t>--</w:t>
            </w:r>
          </w:p>
        </w:tc>
        <w:tc>
          <w:tcPr>
            <w:tcW w:w="784" w:type="dxa"/>
            <w:vAlign w:val="bottom"/>
          </w:tcPr>
          <w:p w:rsidR="00E47390" w:rsidRPr="00E47390" w:rsidRDefault="00E47390" w:rsidP="00E47390">
            <w:pPr>
              <w:spacing w:after="0" w:line="240" w:lineRule="auto"/>
              <w:jc w:val="center"/>
              <w:rPr>
                <w:sz w:val="20"/>
                <w:szCs w:val="20"/>
              </w:rPr>
            </w:pPr>
            <w:r w:rsidRPr="00E47390">
              <w:rPr>
                <w:sz w:val="20"/>
                <w:szCs w:val="20"/>
              </w:rPr>
              <w:t>--</w:t>
            </w:r>
          </w:p>
        </w:tc>
        <w:tc>
          <w:tcPr>
            <w:tcW w:w="784" w:type="dxa"/>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w:t>
            </w:r>
          </w:p>
        </w:tc>
        <w:tc>
          <w:tcPr>
            <w:tcW w:w="785" w:type="dxa"/>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w:t>
            </w:r>
          </w:p>
        </w:tc>
      </w:tr>
      <w:tr w:rsidR="00E47390" w:rsidRPr="00E47390" w:rsidTr="009D5584">
        <w:tc>
          <w:tcPr>
            <w:tcW w:w="1008" w:type="dxa"/>
            <w:vMerge/>
            <w:vAlign w:val="center"/>
          </w:tcPr>
          <w:p w:rsidR="00E47390" w:rsidRPr="00E47390" w:rsidRDefault="00E47390" w:rsidP="00E47390">
            <w:pPr>
              <w:spacing w:after="0" w:line="240" w:lineRule="auto"/>
              <w:jc w:val="center"/>
              <w:rPr>
                <w:sz w:val="20"/>
                <w:szCs w:val="20"/>
              </w:rPr>
            </w:pPr>
          </w:p>
        </w:tc>
        <w:tc>
          <w:tcPr>
            <w:tcW w:w="810" w:type="dxa"/>
            <w:vMerge/>
            <w:tcBorders>
              <w:bottom w:val="single" w:sz="4" w:space="0" w:color="auto"/>
            </w:tcBorders>
            <w:vAlign w:val="center"/>
          </w:tcPr>
          <w:p w:rsidR="00E47390" w:rsidRPr="00E47390" w:rsidRDefault="00E47390" w:rsidP="00E47390">
            <w:pPr>
              <w:spacing w:after="0" w:line="240" w:lineRule="auto"/>
              <w:jc w:val="center"/>
              <w:rPr>
                <w:sz w:val="20"/>
                <w:szCs w:val="20"/>
              </w:rPr>
            </w:pPr>
          </w:p>
        </w:tc>
        <w:tc>
          <w:tcPr>
            <w:tcW w:w="630" w:type="dxa"/>
            <w:tcBorders>
              <w:bottom w:val="single" w:sz="4" w:space="0" w:color="auto"/>
            </w:tcBorders>
          </w:tcPr>
          <w:p w:rsidR="00E47390" w:rsidRPr="00E47390" w:rsidRDefault="00E47390" w:rsidP="00E47390">
            <w:pPr>
              <w:spacing w:after="0" w:line="240" w:lineRule="auto"/>
              <w:rPr>
                <w:sz w:val="20"/>
                <w:szCs w:val="20"/>
              </w:rPr>
            </w:pPr>
            <w:r w:rsidRPr="00E47390">
              <w:rPr>
                <w:sz w:val="20"/>
                <w:szCs w:val="20"/>
              </w:rPr>
              <w:t>SGP</w:t>
            </w:r>
          </w:p>
        </w:tc>
        <w:tc>
          <w:tcPr>
            <w:tcW w:w="990" w:type="dxa"/>
            <w:tcBorders>
              <w:bottom w:val="single" w:sz="4" w:space="0" w:color="auto"/>
            </w:tcBorders>
            <w:vAlign w:val="bottom"/>
          </w:tcPr>
          <w:p w:rsidR="00E47390" w:rsidRPr="00E47390" w:rsidRDefault="00E47390" w:rsidP="00E47390">
            <w:pPr>
              <w:spacing w:after="0" w:line="240" w:lineRule="auto"/>
              <w:jc w:val="center"/>
              <w:rPr>
                <w:sz w:val="20"/>
                <w:szCs w:val="20"/>
              </w:rPr>
            </w:pPr>
            <w:r w:rsidRPr="00E47390">
              <w:rPr>
                <w:sz w:val="20"/>
                <w:szCs w:val="20"/>
              </w:rPr>
              <w:t>66,633</w:t>
            </w:r>
          </w:p>
        </w:tc>
        <w:tc>
          <w:tcPr>
            <w:tcW w:w="784" w:type="dxa"/>
            <w:tcBorders>
              <w:bottom w:val="single" w:sz="4" w:space="0" w:color="auto"/>
            </w:tcBorders>
            <w:vAlign w:val="bottom"/>
          </w:tcPr>
          <w:p w:rsidR="00E47390" w:rsidRPr="00E47390" w:rsidRDefault="00E47390" w:rsidP="00E47390">
            <w:pPr>
              <w:spacing w:after="0" w:line="240" w:lineRule="auto"/>
              <w:jc w:val="center"/>
              <w:rPr>
                <w:sz w:val="20"/>
                <w:szCs w:val="20"/>
              </w:rPr>
            </w:pPr>
            <w:r w:rsidRPr="00E47390">
              <w:rPr>
                <w:sz w:val="20"/>
                <w:szCs w:val="20"/>
              </w:rPr>
              <w:t>43.0</w:t>
            </w:r>
          </w:p>
        </w:tc>
        <w:tc>
          <w:tcPr>
            <w:tcW w:w="784" w:type="dxa"/>
            <w:tcBorders>
              <w:bottom w:val="single" w:sz="4" w:space="0" w:color="auto"/>
            </w:tcBorders>
            <w:vAlign w:val="bottom"/>
          </w:tcPr>
          <w:p w:rsidR="00E47390" w:rsidRPr="00E47390" w:rsidRDefault="00E47390" w:rsidP="00E47390">
            <w:pPr>
              <w:spacing w:after="0" w:line="240" w:lineRule="auto"/>
              <w:jc w:val="center"/>
              <w:rPr>
                <w:sz w:val="20"/>
                <w:szCs w:val="20"/>
              </w:rPr>
            </w:pPr>
            <w:r w:rsidRPr="00E47390">
              <w:rPr>
                <w:sz w:val="20"/>
                <w:szCs w:val="20"/>
              </w:rPr>
              <w:t>43.0</w:t>
            </w:r>
          </w:p>
        </w:tc>
        <w:tc>
          <w:tcPr>
            <w:tcW w:w="784" w:type="dxa"/>
            <w:tcBorders>
              <w:bottom w:val="single" w:sz="4" w:space="0" w:color="auto"/>
            </w:tcBorders>
          </w:tcPr>
          <w:p w:rsidR="00E47390" w:rsidRPr="00E47390" w:rsidRDefault="00E47390" w:rsidP="00E47390">
            <w:pPr>
              <w:spacing w:after="0" w:line="240" w:lineRule="auto"/>
              <w:rPr>
                <w:sz w:val="20"/>
                <w:szCs w:val="20"/>
              </w:rPr>
            </w:pPr>
            <w:r w:rsidRPr="00E47390">
              <w:rPr>
                <w:sz w:val="20"/>
                <w:szCs w:val="20"/>
              </w:rPr>
              <w:t>SGP</w:t>
            </w:r>
          </w:p>
        </w:tc>
        <w:tc>
          <w:tcPr>
            <w:tcW w:w="785" w:type="dxa"/>
            <w:tcBorders>
              <w:bottom w:val="single" w:sz="4" w:space="0" w:color="auto"/>
            </w:tcBorders>
            <w:vAlign w:val="bottom"/>
          </w:tcPr>
          <w:p w:rsidR="00E47390" w:rsidRPr="00E47390" w:rsidRDefault="00E47390" w:rsidP="00E47390">
            <w:pPr>
              <w:spacing w:after="0" w:line="240" w:lineRule="auto"/>
              <w:jc w:val="center"/>
              <w:rPr>
                <w:sz w:val="20"/>
                <w:szCs w:val="20"/>
              </w:rPr>
            </w:pPr>
            <w:r w:rsidRPr="00E47390">
              <w:rPr>
                <w:sz w:val="20"/>
                <w:szCs w:val="20"/>
              </w:rPr>
              <w:t>43.0</w:t>
            </w:r>
          </w:p>
        </w:tc>
        <w:tc>
          <w:tcPr>
            <w:tcW w:w="784" w:type="dxa"/>
            <w:tcBorders>
              <w:bottom w:val="single" w:sz="4" w:space="0" w:color="auto"/>
            </w:tcBorders>
            <w:vAlign w:val="bottom"/>
          </w:tcPr>
          <w:p w:rsidR="00E47390" w:rsidRPr="00E47390" w:rsidRDefault="00E47390" w:rsidP="00E47390">
            <w:pPr>
              <w:spacing w:after="0" w:line="240" w:lineRule="auto"/>
              <w:jc w:val="center"/>
              <w:rPr>
                <w:sz w:val="20"/>
                <w:szCs w:val="20"/>
              </w:rPr>
            </w:pPr>
            <w:r w:rsidRPr="00E47390">
              <w:rPr>
                <w:sz w:val="20"/>
                <w:szCs w:val="20"/>
              </w:rPr>
              <w:t>43.0</w:t>
            </w:r>
          </w:p>
        </w:tc>
        <w:tc>
          <w:tcPr>
            <w:tcW w:w="784" w:type="dxa"/>
            <w:tcBorders>
              <w:bottom w:val="single" w:sz="4" w:space="0" w:color="auto"/>
            </w:tcBorders>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0.0</w:t>
            </w:r>
          </w:p>
        </w:tc>
        <w:tc>
          <w:tcPr>
            <w:tcW w:w="785" w:type="dxa"/>
            <w:tcBorders>
              <w:bottom w:val="single" w:sz="4" w:space="0" w:color="auto"/>
            </w:tcBorders>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0.0</w:t>
            </w:r>
          </w:p>
        </w:tc>
      </w:tr>
      <w:tr w:rsidR="00E47390" w:rsidRPr="00E47390" w:rsidTr="009D5584">
        <w:tc>
          <w:tcPr>
            <w:tcW w:w="1008" w:type="dxa"/>
            <w:vMerge w:val="restart"/>
            <w:vAlign w:val="center"/>
          </w:tcPr>
          <w:p w:rsidR="00E47390" w:rsidRPr="00E47390" w:rsidRDefault="00E47390" w:rsidP="00E47390">
            <w:pPr>
              <w:spacing w:after="0" w:line="240" w:lineRule="auto"/>
              <w:jc w:val="center"/>
              <w:rPr>
                <w:sz w:val="20"/>
                <w:szCs w:val="20"/>
              </w:rPr>
            </w:pPr>
            <w:r w:rsidRPr="00E47390">
              <w:rPr>
                <w:sz w:val="20"/>
                <w:szCs w:val="20"/>
              </w:rPr>
              <w:t>ELL or Former ELLs</w:t>
            </w:r>
          </w:p>
        </w:tc>
        <w:tc>
          <w:tcPr>
            <w:tcW w:w="810" w:type="dxa"/>
            <w:vMerge w:val="restart"/>
            <w:shd w:val="clear" w:color="auto" w:fill="D9D9D9" w:themeFill="background1" w:themeFillShade="D9"/>
            <w:vAlign w:val="center"/>
          </w:tcPr>
          <w:p w:rsidR="00E47390" w:rsidRPr="00E47390" w:rsidRDefault="00E47390" w:rsidP="00E47390">
            <w:pPr>
              <w:spacing w:after="0" w:line="240" w:lineRule="auto"/>
              <w:jc w:val="center"/>
              <w:rPr>
                <w:sz w:val="20"/>
                <w:szCs w:val="20"/>
              </w:rPr>
            </w:pPr>
            <w:r w:rsidRPr="00E47390">
              <w:rPr>
                <w:sz w:val="20"/>
                <w:szCs w:val="20"/>
              </w:rPr>
              <w:t>District</w:t>
            </w:r>
          </w:p>
        </w:tc>
        <w:tc>
          <w:tcPr>
            <w:tcW w:w="630" w:type="dxa"/>
            <w:shd w:val="clear" w:color="auto" w:fill="D9D9D9" w:themeFill="background1" w:themeFillShade="D9"/>
          </w:tcPr>
          <w:p w:rsidR="00E47390" w:rsidRPr="00E47390" w:rsidRDefault="00E47390" w:rsidP="00E47390">
            <w:pPr>
              <w:spacing w:after="0" w:line="240" w:lineRule="auto"/>
              <w:rPr>
                <w:sz w:val="20"/>
                <w:szCs w:val="20"/>
              </w:rPr>
            </w:pPr>
            <w:r w:rsidRPr="00E47390">
              <w:rPr>
                <w:sz w:val="20"/>
                <w:szCs w:val="20"/>
              </w:rPr>
              <w:t>CPI</w:t>
            </w:r>
          </w:p>
        </w:tc>
        <w:tc>
          <w:tcPr>
            <w:tcW w:w="990" w:type="dxa"/>
            <w:shd w:val="clear" w:color="auto" w:fill="D9D9D9" w:themeFill="background1" w:themeFillShade="D9"/>
            <w:vAlign w:val="bottom"/>
          </w:tcPr>
          <w:p w:rsidR="00E47390" w:rsidRPr="00E47390" w:rsidRDefault="00E47390" w:rsidP="00E47390">
            <w:pPr>
              <w:spacing w:after="0" w:line="240" w:lineRule="auto"/>
              <w:jc w:val="center"/>
              <w:rPr>
                <w:sz w:val="20"/>
                <w:szCs w:val="20"/>
              </w:rPr>
            </w:pPr>
            <w:r w:rsidRPr="00E47390">
              <w:rPr>
                <w:sz w:val="20"/>
                <w:szCs w:val="20"/>
              </w:rPr>
              <w:t>4,725</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69.6</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68.4</w:t>
            </w:r>
          </w:p>
        </w:tc>
        <w:tc>
          <w:tcPr>
            <w:tcW w:w="784" w:type="dxa"/>
            <w:shd w:val="clear" w:color="auto" w:fill="D9D9D9" w:themeFill="background1" w:themeFillShade="D9"/>
          </w:tcPr>
          <w:p w:rsidR="00E47390" w:rsidRPr="00E47390" w:rsidRDefault="00E47390" w:rsidP="00E47390">
            <w:pPr>
              <w:spacing w:after="0" w:line="240" w:lineRule="auto"/>
              <w:rPr>
                <w:sz w:val="20"/>
                <w:szCs w:val="20"/>
              </w:rPr>
            </w:pPr>
            <w:r w:rsidRPr="00E47390">
              <w:rPr>
                <w:sz w:val="20"/>
                <w:szCs w:val="20"/>
              </w:rPr>
              <w:t>CPI</w:t>
            </w:r>
          </w:p>
        </w:tc>
        <w:tc>
          <w:tcPr>
            <w:tcW w:w="785" w:type="dxa"/>
            <w:shd w:val="clear" w:color="auto" w:fill="D9D9D9" w:themeFill="background1" w:themeFillShade="D9"/>
            <w:vAlign w:val="bottom"/>
          </w:tcPr>
          <w:p w:rsidR="00E47390" w:rsidRPr="00E47390" w:rsidRDefault="00E47390" w:rsidP="00E47390">
            <w:pPr>
              <w:spacing w:after="0" w:line="240" w:lineRule="auto"/>
              <w:jc w:val="center"/>
              <w:rPr>
                <w:sz w:val="20"/>
                <w:szCs w:val="20"/>
              </w:rPr>
            </w:pPr>
            <w:r w:rsidRPr="00E47390">
              <w:rPr>
                <w:sz w:val="20"/>
                <w:szCs w:val="20"/>
              </w:rPr>
              <w:t>70.3</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sz w:val="20"/>
                <w:szCs w:val="20"/>
              </w:rPr>
            </w:pPr>
            <w:r w:rsidRPr="00E47390">
              <w:rPr>
                <w:sz w:val="20"/>
                <w:szCs w:val="20"/>
              </w:rPr>
              <w:t>71.5</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1.2</w:t>
            </w:r>
          </w:p>
        </w:tc>
        <w:tc>
          <w:tcPr>
            <w:tcW w:w="785" w:type="dxa"/>
            <w:shd w:val="clear" w:color="auto" w:fill="D9D9D9" w:themeFill="background1" w:themeFillShade="D9"/>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1.9</w:t>
            </w:r>
          </w:p>
        </w:tc>
      </w:tr>
      <w:tr w:rsidR="00E47390" w:rsidRPr="00E47390" w:rsidTr="009D5584">
        <w:tc>
          <w:tcPr>
            <w:tcW w:w="1008" w:type="dxa"/>
            <w:vMerge/>
            <w:vAlign w:val="center"/>
          </w:tcPr>
          <w:p w:rsidR="00E47390" w:rsidRPr="00E47390" w:rsidRDefault="00E47390" w:rsidP="00E47390">
            <w:pPr>
              <w:spacing w:after="0" w:line="240" w:lineRule="auto"/>
              <w:jc w:val="center"/>
              <w:rPr>
                <w:sz w:val="20"/>
                <w:szCs w:val="20"/>
              </w:rPr>
            </w:pPr>
          </w:p>
        </w:tc>
        <w:tc>
          <w:tcPr>
            <w:tcW w:w="810" w:type="dxa"/>
            <w:vMerge/>
            <w:shd w:val="clear" w:color="auto" w:fill="D9D9D9" w:themeFill="background1" w:themeFillShade="D9"/>
            <w:vAlign w:val="center"/>
          </w:tcPr>
          <w:p w:rsidR="00E47390" w:rsidRPr="00E47390" w:rsidRDefault="00E47390" w:rsidP="00E47390">
            <w:pPr>
              <w:spacing w:after="0" w:line="240" w:lineRule="auto"/>
              <w:jc w:val="center"/>
              <w:rPr>
                <w:sz w:val="20"/>
                <w:szCs w:val="20"/>
              </w:rPr>
            </w:pPr>
          </w:p>
        </w:tc>
        <w:tc>
          <w:tcPr>
            <w:tcW w:w="630" w:type="dxa"/>
            <w:shd w:val="clear" w:color="auto" w:fill="D9D9D9" w:themeFill="background1" w:themeFillShade="D9"/>
          </w:tcPr>
          <w:p w:rsidR="00E47390" w:rsidRPr="00E47390" w:rsidRDefault="00E47390" w:rsidP="00E47390">
            <w:pPr>
              <w:spacing w:after="0" w:line="240" w:lineRule="auto"/>
              <w:rPr>
                <w:sz w:val="20"/>
                <w:szCs w:val="20"/>
              </w:rPr>
            </w:pPr>
            <w:r w:rsidRPr="00E47390">
              <w:rPr>
                <w:sz w:val="20"/>
                <w:szCs w:val="20"/>
              </w:rPr>
              <w:t>P+</w:t>
            </w:r>
          </w:p>
        </w:tc>
        <w:tc>
          <w:tcPr>
            <w:tcW w:w="990" w:type="dxa"/>
            <w:shd w:val="clear" w:color="auto" w:fill="D9D9D9" w:themeFill="background1" w:themeFillShade="D9"/>
            <w:vAlign w:val="bottom"/>
          </w:tcPr>
          <w:p w:rsidR="00E47390" w:rsidRPr="00E47390" w:rsidRDefault="00E47390" w:rsidP="00E47390">
            <w:pPr>
              <w:spacing w:after="0" w:line="240" w:lineRule="auto"/>
              <w:jc w:val="center"/>
              <w:rPr>
                <w:sz w:val="20"/>
                <w:szCs w:val="20"/>
              </w:rPr>
            </w:pPr>
            <w:r w:rsidRPr="00E47390">
              <w:rPr>
                <w:sz w:val="20"/>
                <w:szCs w:val="20"/>
              </w:rPr>
              <w:t>--</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39%</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38%</w:t>
            </w:r>
          </w:p>
        </w:tc>
        <w:tc>
          <w:tcPr>
            <w:tcW w:w="784" w:type="dxa"/>
            <w:shd w:val="clear" w:color="auto" w:fill="D9D9D9" w:themeFill="background1" w:themeFillShade="D9"/>
          </w:tcPr>
          <w:p w:rsidR="00E47390" w:rsidRPr="00E47390" w:rsidRDefault="00E47390" w:rsidP="00E47390">
            <w:pPr>
              <w:spacing w:after="0" w:line="240" w:lineRule="auto"/>
              <w:rPr>
                <w:sz w:val="20"/>
                <w:szCs w:val="20"/>
              </w:rPr>
            </w:pPr>
            <w:r w:rsidRPr="00E47390">
              <w:rPr>
                <w:sz w:val="20"/>
                <w:szCs w:val="20"/>
              </w:rPr>
              <w:t>Lv 4&amp;5</w:t>
            </w:r>
          </w:p>
        </w:tc>
        <w:tc>
          <w:tcPr>
            <w:tcW w:w="785" w:type="dxa"/>
            <w:shd w:val="clear" w:color="auto" w:fill="D9D9D9" w:themeFill="background1" w:themeFillShade="D9"/>
            <w:vAlign w:val="bottom"/>
          </w:tcPr>
          <w:p w:rsidR="00E47390" w:rsidRPr="00E47390" w:rsidRDefault="00E47390" w:rsidP="00E47390">
            <w:pPr>
              <w:spacing w:after="0" w:line="240" w:lineRule="auto"/>
              <w:jc w:val="center"/>
              <w:rPr>
                <w:sz w:val="20"/>
                <w:szCs w:val="20"/>
              </w:rPr>
            </w:pPr>
            <w:r w:rsidRPr="00E47390">
              <w:rPr>
                <w:sz w:val="20"/>
                <w:szCs w:val="20"/>
              </w:rPr>
              <w:t>--</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sz w:val="20"/>
                <w:szCs w:val="20"/>
              </w:rPr>
            </w:pPr>
            <w:r w:rsidRPr="00E47390">
              <w:rPr>
                <w:sz w:val="20"/>
                <w:szCs w:val="20"/>
              </w:rPr>
              <w:t>--</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w:t>
            </w:r>
          </w:p>
        </w:tc>
        <w:tc>
          <w:tcPr>
            <w:tcW w:w="785" w:type="dxa"/>
            <w:shd w:val="clear" w:color="auto" w:fill="D9D9D9" w:themeFill="background1" w:themeFillShade="D9"/>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w:t>
            </w:r>
          </w:p>
        </w:tc>
      </w:tr>
      <w:tr w:rsidR="00E47390" w:rsidRPr="00E47390" w:rsidTr="009D5584">
        <w:tc>
          <w:tcPr>
            <w:tcW w:w="1008" w:type="dxa"/>
            <w:vMerge/>
            <w:vAlign w:val="center"/>
          </w:tcPr>
          <w:p w:rsidR="00E47390" w:rsidRPr="00E47390" w:rsidRDefault="00E47390" w:rsidP="00E47390">
            <w:pPr>
              <w:spacing w:after="0" w:line="240" w:lineRule="auto"/>
              <w:jc w:val="center"/>
              <w:rPr>
                <w:sz w:val="20"/>
                <w:szCs w:val="20"/>
              </w:rPr>
            </w:pPr>
          </w:p>
        </w:tc>
        <w:tc>
          <w:tcPr>
            <w:tcW w:w="810" w:type="dxa"/>
            <w:vMerge/>
            <w:shd w:val="clear" w:color="auto" w:fill="D9D9D9" w:themeFill="background1" w:themeFillShade="D9"/>
            <w:vAlign w:val="center"/>
          </w:tcPr>
          <w:p w:rsidR="00E47390" w:rsidRPr="00E47390" w:rsidRDefault="00E47390" w:rsidP="00E47390">
            <w:pPr>
              <w:spacing w:after="0" w:line="240" w:lineRule="auto"/>
              <w:jc w:val="center"/>
              <w:rPr>
                <w:sz w:val="20"/>
                <w:szCs w:val="20"/>
              </w:rPr>
            </w:pPr>
          </w:p>
        </w:tc>
        <w:tc>
          <w:tcPr>
            <w:tcW w:w="630" w:type="dxa"/>
            <w:shd w:val="clear" w:color="auto" w:fill="D9D9D9" w:themeFill="background1" w:themeFillShade="D9"/>
          </w:tcPr>
          <w:p w:rsidR="00E47390" w:rsidRPr="00E47390" w:rsidRDefault="00E47390" w:rsidP="00E47390">
            <w:pPr>
              <w:spacing w:after="0" w:line="240" w:lineRule="auto"/>
              <w:rPr>
                <w:sz w:val="20"/>
                <w:szCs w:val="20"/>
              </w:rPr>
            </w:pPr>
            <w:r w:rsidRPr="00E47390">
              <w:rPr>
                <w:sz w:val="20"/>
                <w:szCs w:val="20"/>
              </w:rPr>
              <w:t>SGP</w:t>
            </w:r>
          </w:p>
        </w:tc>
        <w:tc>
          <w:tcPr>
            <w:tcW w:w="990" w:type="dxa"/>
            <w:shd w:val="clear" w:color="auto" w:fill="D9D9D9" w:themeFill="background1" w:themeFillShade="D9"/>
            <w:vAlign w:val="bottom"/>
          </w:tcPr>
          <w:p w:rsidR="00E47390" w:rsidRPr="00E47390" w:rsidRDefault="00E47390" w:rsidP="00E47390">
            <w:pPr>
              <w:spacing w:after="0" w:line="240" w:lineRule="auto"/>
              <w:jc w:val="center"/>
              <w:rPr>
                <w:sz w:val="20"/>
                <w:szCs w:val="20"/>
              </w:rPr>
            </w:pPr>
            <w:r w:rsidRPr="00E47390">
              <w:rPr>
                <w:sz w:val="20"/>
                <w:szCs w:val="20"/>
              </w:rPr>
              <w:t>3,243</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54.0</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57.0</w:t>
            </w:r>
          </w:p>
        </w:tc>
        <w:tc>
          <w:tcPr>
            <w:tcW w:w="784" w:type="dxa"/>
            <w:shd w:val="clear" w:color="auto" w:fill="D9D9D9" w:themeFill="background1" w:themeFillShade="D9"/>
          </w:tcPr>
          <w:p w:rsidR="00E47390" w:rsidRPr="00E47390" w:rsidRDefault="00E47390" w:rsidP="00E47390">
            <w:pPr>
              <w:spacing w:after="0" w:line="240" w:lineRule="auto"/>
              <w:rPr>
                <w:sz w:val="20"/>
                <w:szCs w:val="20"/>
              </w:rPr>
            </w:pPr>
            <w:r w:rsidRPr="00E47390">
              <w:rPr>
                <w:sz w:val="20"/>
                <w:szCs w:val="20"/>
              </w:rPr>
              <w:t>SGP</w:t>
            </w:r>
          </w:p>
        </w:tc>
        <w:tc>
          <w:tcPr>
            <w:tcW w:w="785" w:type="dxa"/>
            <w:shd w:val="clear" w:color="auto" w:fill="D9D9D9" w:themeFill="background1" w:themeFillShade="D9"/>
            <w:vAlign w:val="bottom"/>
          </w:tcPr>
          <w:p w:rsidR="00E47390" w:rsidRPr="00E47390" w:rsidRDefault="00E47390" w:rsidP="00E47390">
            <w:pPr>
              <w:spacing w:after="0" w:line="240" w:lineRule="auto"/>
              <w:jc w:val="center"/>
              <w:rPr>
                <w:sz w:val="20"/>
                <w:szCs w:val="20"/>
              </w:rPr>
            </w:pPr>
            <w:r w:rsidRPr="00E47390">
              <w:rPr>
                <w:sz w:val="20"/>
                <w:szCs w:val="20"/>
              </w:rPr>
              <w:t>54.0</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sz w:val="20"/>
                <w:szCs w:val="20"/>
              </w:rPr>
            </w:pPr>
            <w:r w:rsidRPr="00E47390">
              <w:rPr>
                <w:sz w:val="20"/>
                <w:szCs w:val="20"/>
              </w:rPr>
              <w:t>54.0</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0.0</w:t>
            </w:r>
          </w:p>
        </w:tc>
        <w:tc>
          <w:tcPr>
            <w:tcW w:w="785" w:type="dxa"/>
            <w:shd w:val="clear" w:color="auto" w:fill="D9D9D9" w:themeFill="background1" w:themeFillShade="D9"/>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0.0</w:t>
            </w:r>
          </w:p>
        </w:tc>
      </w:tr>
      <w:tr w:rsidR="00E47390" w:rsidRPr="00E47390" w:rsidTr="009D5584">
        <w:tc>
          <w:tcPr>
            <w:tcW w:w="1008" w:type="dxa"/>
            <w:vMerge/>
            <w:vAlign w:val="center"/>
          </w:tcPr>
          <w:p w:rsidR="00E47390" w:rsidRPr="00E47390" w:rsidRDefault="00E47390" w:rsidP="00E47390">
            <w:pPr>
              <w:spacing w:after="0" w:line="240" w:lineRule="auto"/>
              <w:jc w:val="center"/>
              <w:rPr>
                <w:sz w:val="20"/>
                <w:szCs w:val="20"/>
              </w:rPr>
            </w:pPr>
          </w:p>
        </w:tc>
        <w:tc>
          <w:tcPr>
            <w:tcW w:w="810" w:type="dxa"/>
            <w:vMerge w:val="restart"/>
            <w:vAlign w:val="center"/>
          </w:tcPr>
          <w:p w:rsidR="00E47390" w:rsidRPr="00E47390" w:rsidRDefault="00E47390" w:rsidP="00E47390">
            <w:pPr>
              <w:spacing w:after="0" w:line="240" w:lineRule="auto"/>
              <w:jc w:val="center"/>
              <w:rPr>
                <w:sz w:val="20"/>
                <w:szCs w:val="20"/>
              </w:rPr>
            </w:pPr>
            <w:r w:rsidRPr="00E47390">
              <w:rPr>
                <w:sz w:val="20"/>
                <w:szCs w:val="20"/>
              </w:rPr>
              <w:t>State</w:t>
            </w:r>
          </w:p>
        </w:tc>
        <w:tc>
          <w:tcPr>
            <w:tcW w:w="630" w:type="dxa"/>
          </w:tcPr>
          <w:p w:rsidR="00E47390" w:rsidRPr="00E47390" w:rsidRDefault="00E47390" w:rsidP="00E47390">
            <w:pPr>
              <w:spacing w:after="0" w:line="240" w:lineRule="auto"/>
              <w:rPr>
                <w:sz w:val="20"/>
                <w:szCs w:val="20"/>
              </w:rPr>
            </w:pPr>
            <w:r w:rsidRPr="00E47390">
              <w:rPr>
                <w:sz w:val="20"/>
                <w:szCs w:val="20"/>
              </w:rPr>
              <w:t>CPI</w:t>
            </w:r>
          </w:p>
        </w:tc>
        <w:tc>
          <w:tcPr>
            <w:tcW w:w="990" w:type="dxa"/>
            <w:vAlign w:val="bottom"/>
          </w:tcPr>
          <w:p w:rsidR="00E47390" w:rsidRPr="00E47390" w:rsidRDefault="00E47390" w:rsidP="00E47390">
            <w:pPr>
              <w:spacing w:after="0" w:line="240" w:lineRule="auto"/>
              <w:jc w:val="center"/>
              <w:rPr>
                <w:sz w:val="20"/>
                <w:szCs w:val="20"/>
              </w:rPr>
            </w:pPr>
            <w:r w:rsidRPr="00E47390">
              <w:rPr>
                <w:sz w:val="20"/>
                <w:szCs w:val="20"/>
              </w:rPr>
              <w:t>52,960</w:t>
            </w:r>
          </w:p>
        </w:tc>
        <w:tc>
          <w:tcPr>
            <w:tcW w:w="784" w:type="dxa"/>
            <w:vAlign w:val="bottom"/>
          </w:tcPr>
          <w:p w:rsidR="00E47390" w:rsidRPr="00E47390" w:rsidRDefault="00E47390" w:rsidP="00E47390">
            <w:pPr>
              <w:spacing w:after="0" w:line="240" w:lineRule="auto"/>
              <w:jc w:val="center"/>
              <w:rPr>
                <w:sz w:val="20"/>
                <w:szCs w:val="20"/>
              </w:rPr>
            </w:pPr>
            <w:r w:rsidRPr="00E47390">
              <w:rPr>
                <w:sz w:val="20"/>
                <w:szCs w:val="20"/>
              </w:rPr>
              <w:t>67.4</w:t>
            </w:r>
          </w:p>
        </w:tc>
        <w:tc>
          <w:tcPr>
            <w:tcW w:w="784" w:type="dxa"/>
            <w:vAlign w:val="bottom"/>
          </w:tcPr>
          <w:p w:rsidR="00E47390" w:rsidRPr="00E47390" w:rsidRDefault="00E47390" w:rsidP="00E47390">
            <w:pPr>
              <w:spacing w:after="0" w:line="240" w:lineRule="auto"/>
              <w:jc w:val="center"/>
              <w:rPr>
                <w:sz w:val="20"/>
                <w:szCs w:val="20"/>
              </w:rPr>
            </w:pPr>
            <w:r w:rsidRPr="00E47390">
              <w:rPr>
                <w:sz w:val="20"/>
                <w:szCs w:val="20"/>
              </w:rPr>
              <w:t>67.8</w:t>
            </w:r>
          </w:p>
        </w:tc>
        <w:tc>
          <w:tcPr>
            <w:tcW w:w="784" w:type="dxa"/>
          </w:tcPr>
          <w:p w:rsidR="00E47390" w:rsidRPr="00E47390" w:rsidRDefault="00E47390" w:rsidP="00E47390">
            <w:pPr>
              <w:spacing w:after="0" w:line="240" w:lineRule="auto"/>
              <w:rPr>
                <w:sz w:val="20"/>
                <w:szCs w:val="20"/>
              </w:rPr>
            </w:pPr>
            <w:r w:rsidRPr="00E47390">
              <w:rPr>
                <w:sz w:val="20"/>
                <w:szCs w:val="20"/>
              </w:rPr>
              <w:t>CPI</w:t>
            </w:r>
          </w:p>
        </w:tc>
        <w:tc>
          <w:tcPr>
            <w:tcW w:w="785" w:type="dxa"/>
            <w:vAlign w:val="bottom"/>
          </w:tcPr>
          <w:p w:rsidR="00E47390" w:rsidRPr="00E47390" w:rsidRDefault="00E47390" w:rsidP="00E47390">
            <w:pPr>
              <w:spacing w:after="0" w:line="240" w:lineRule="auto"/>
              <w:jc w:val="center"/>
              <w:rPr>
                <w:sz w:val="20"/>
                <w:szCs w:val="20"/>
              </w:rPr>
            </w:pPr>
            <w:r w:rsidRPr="00E47390">
              <w:rPr>
                <w:sz w:val="20"/>
                <w:szCs w:val="20"/>
              </w:rPr>
              <w:t>68.9</w:t>
            </w:r>
          </w:p>
        </w:tc>
        <w:tc>
          <w:tcPr>
            <w:tcW w:w="784" w:type="dxa"/>
            <w:vAlign w:val="bottom"/>
          </w:tcPr>
          <w:p w:rsidR="00E47390" w:rsidRPr="00E47390" w:rsidRDefault="00E47390" w:rsidP="00E47390">
            <w:pPr>
              <w:spacing w:after="0" w:line="240" w:lineRule="auto"/>
              <w:jc w:val="center"/>
              <w:rPr>
                <w:sz w:val="20"/>
                <w:szCs w:val="20"/>
              </w:rPr>
            </w:pPr>
            <w:r w:rsidRPr="00E47390">
              <w:rPr>
                <w:sz w:val="20"/>
                <w:szCs w:val="20"/>
              </w:rPr>
              <w:t>70.7</w:t>
            </w:r>
          </w:p>
        </w:tc>
        <w:tc>
          <w:tcPr>
            <w:tcW w:w="784" w:type="dxa"/>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1.8</w:t>
            </w:r>
          </w:p>
        </w:tc>
        <w:tc>
          <w:tcPr>
            <w:tcW w:w="785" w:type="dxa"/>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3.3</w:t>
            </w:r>
          </w:p>
        </w:tc>
      </w:tr>
      <w:tr w:rsidR="00E47390" w:rsidRPr="00E47390" w:rsidTr="009D5584">
        <w:tc>
          <w:tcPr>
            <w:tcW w:w="1008" w:type="dxa"/>
            <w:vMerge/>
            <w:vAlign w:val="center"/>
          </w:tcPr>
          <w:p w:rsidR="00E47390" w:rsidRPr="00E47390" w:rsidRDefault="00E47390" w:rsidP="00E47390">
            <w:pPr>
              <w:spacing w:after="0" w:line="240" w:lineRule="auto"/>
              <w:jc w:val="center"/>
              <w:rPr>
                <w:sz w:val="20"/>
                <w:szCs w:val="20"/>
              </w:rPr>
            </w:pPr>
          </w:p>
        </w:tc>
        <w:tc>
          <w:tcPr>
            <w:tcW w:w="810" w:type="dxa"/>
            <w:vMerge/>
          </w:tcPr>
          <w:p w:rsidR="00E47390" w:rsidRPr="00E47390" w:rsidRDefault="00E47390" w:rsidP="00E47390">
            <w:pPr>
              <w:spacing w:after="0" w:line="240" w:lineRule="auto"/>
              <w:rPr>
                <w:sz w:val="20"/>
                <w:szCs w:val="20"/>
              </w:rPr>
            </w:pPr>
          </w:p>
        </w:tc>
        <w:tc>
          <w:tcPr>
            <w:tcW w:w="630" w:type="dxa"/>
          </w:tcPr>
          <w:p w:rsidR="00E47390" w:rsidRPr="00E47390" w:rsidRDefault="00E47390" w:rsidP="00E47390">
            <w:pPr>
              <w:spacing w:after="0" w:line="240" w:lineRule="auto"/>
              <w:rPr>
                <w:sz w:val="20"/>
                <w:szCs w:val="20"/>
              </w:rPr>
            </w:pPr>
            <w:r w:rsidRPr="00E47390">
              <w:rPr>
                <w:sz w:val="20"/>
                <w:szCs w:val="20"/>
              </w:rPr>
              <w:t>P+</w:t>
            </w:r>
          </w:p>
        </w:tc>
        <w:tc>
          <w:tcPr>
            <w:tcW w:w="990" w:type="dxa"/>
            <w:vAlign w:val="bottom"/>
          </w:tcPr>
          <w:p w:rsidR="00E47390" w:rsidRPr="00E47390" w:rsidRDefault="00E47390" w:rsidP="00E47390">
            <w:pPr>
              <w:spacing w:after="0" w:line="240" w:lineRule="auto"/>
              <w:jc w:val="center"/>
              <w:rPr>
                <w:sz w:val="20"/>
                <w:szCs w:val="20"/>
              </w:rPr>
            </w:pPr>
            <w:r w:rsidRPr="00E47390">
              <w:rPr>
                <w:sz w:val="20"/>
                <w:szCs w:val="20"/>
              </w:rPr>
              <w:t>--</w:t>
            </w:r>
          </w:p>
        </w:tc>
        <w:tc>
          <w:tcPr>
            <w:tcW w:w="784" w:type="dxa"/>
            <w:vAlign w:val="bottom"/>
          </w:tcPr>
          <w:p w:rsidR="00E47390" w:rsidRPr="00E47390" w:rsidRDefault="00E47390" w:rsidP="00E47390">
            <w:pPr>
              <w:spacing w:after="0" w:line="240" w:lineRule="auto"/>
              <w:jc w:val="center"/>
              <w:rPr>
                <w:sz w:val="20"/>
                <w:szCs w:val="20"/>
              </w:rPr>
            </w:pPr>
            <w:r w:rsidRPr="00E47390">
              <w:rPr>
                <w:sz w:val="20"/>
                <w:szCs w:val="20"/>
              </w:rPr>
              <w:t>35%</w:t>
            </w:r>
          </w:p>
        </w:tc>
        <w:tc>
          <w:tcPr>
            <w:tcW w:w="784" w:type="dxa"/>
            <w:vAlign w:val="bottom"/>
          </w:tcPr>
          <w:p w:rsidR="00E47390" w:rsidRPr="00E47390" w:rsidRDefault="00E47390" w:rsidP="00E47390">
            <w:pPr>
              <w:spacing w:after="0" w:line="240" w:lineRule="auto"/>
              <w:jc w:val="center"/>
              <w:rPr>
                <w:sz w:val="20"/>
                <w:szCs w:val="20"/>
              </w:rPr>
            </w:pPr>
            <w:r w:rsidRPr="00E47390">
              <w:rPr>
                <w:sz w:val="20"/>
                <w:szCs w:val="20"/>
              </w:rPr>
              <w:t>36%</w:t>
            </w:r>
          </w:p>
        </w:tc>
        <w:tc>
          <w:tcPr>
            <w:tcW w:w="784" w:type="dxa"/>
          </w:tcPr>
          <w:p w:rsidR="00E47390" w:rsidRPr="00E47390" w:rsidRDefault="00E47390" w:rsidP="00E47390">
            <w:pPr>
              <w:spacing w:after="0" w:line="240" w:lineRule="auto"/>
              <w:rPr>
                <w:sz w:val="20"/>
                <w:szCs w:val="20"/>
              </w:rPr>
            </w:pPr>
            <w:r w:rsidRPr="00E47390">
              <w:rPr>
                <w:sz w:val="20"/>
                <w:szCs w:val="20"/>
              </w:rPr>
              <w:t>Lv 4&amp;5</w:t>
            </w:r>
          </w:p>
        </w:tc>
        <w:tc>
          <w:tcPr>
            <w:tcW w:w="785" w:type="dxa"/>
            <w:vAlign w:val="bottom"/>
          </w:tcPr>
          <w:p w:rsidR="00E47390" w:rsidRPr="00E47390" w:rsidRDefault="00E47390" w:rsidP="00E47390">
            <w:pPr>
              <w:spacing w:after="0" w:line="240" w:lineRule="auto"/>
              <w:jc w:val="center"/>
              <w:rPr>
                <w:sz w:val="20"/>
                <w:szCs w:val="20"/>
              </w:rPr>
            </w:pPr>
            <w:r w:rsidRPr="00E47390">
              <w:rPr>
                <w:sz w:val="20"/>
                <w:szCs w:val="20"/>
              </w:rPr>
              <w:t>--</w:t>
            </w:r>
          </w:p>
        </w:tc>
        <w:tc>
          <w:tcPr>
            <w:tcW w:w="784" w:type="dxa"/>
            <w:vAlign w:val="bottom"/>
          </w:tcPr>
          <w:p w:rsidR="00E47390" w:rsidRPr="00E47390" w:rsidRDefault="00E47390" w:rsidP="00E47390">
            <w:pPr>
              <w:spacing w:after="0" w:line="240" w:lineRule="auto"/>
              <w:jc w:val="center"/>
              <w:rPr>
                <w:sz w:val="20"/>
                <w:szCs w:val="20"/>
              </w:rPr>
            </w:pPr>
            <w:r w:rsidRPr="00E47390">
              <w:rPr>
                <w:sz w:val="20"/>
                <w:szCs w:val="20"/>
              </w:rPr>
              <w:t>--</w:t>
            </w:r>
          </w:p>
        </w:tc>
        <w:tc>
          <w:tcPr>
            <w:tcW w:w="784" w:type="dxa"/>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w:t>
            </w:r>
          </w:p>
        </w:tc>
        <w:tc>
          <w:tcPr>
            <w:tcW w:w="785" w:type="dxa"/>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w:t>
            </w:r>
          </w:p>
        </w:tc>
      </w:tr>
      <w:tr w:rsidR="00E47390" w:rsidRPr="00E47390" w:rsidTr="009D5584">
        <w:tc>
          <w:tcPr>
            <w:tcW w:w="1008" w:type="dxa"/>
            <w:vMerge/>
            <w:vAlign w:val="center"/>
          </w:tcPr>
          <w:p w:rsidR="00E47390" w:rsidRPr="00E47390" w:rsidRDefault="00E47390" w:rsidP="00E47390">
            <w:pPr>
              <w:spacing w:after="0" w:line="240" w:lineRule="auto"/>
              <w:jc w:val="center"/>
              <w:rPr>
                <w:sz w:val="20"/>
                <w:szCs w:val="20"/>
              </w:rPr>
            </w:pPr>
          </w:p>
        </w:tc>
        <w:tc>
          <w:tcPr>
            <w:tcW w:w="810" w:type="dxa"/>
            <w:vMerge/>
            <w:tcBorders>
              <w:bottom w:val="single" w:sz="4" w:space="0" w:color="auto"/>
            </w:tcBorders>
          </w:tcPr>
          <w:p w:rsidR="00E47390" w:rsidRPr="00E47390" w:rsidRDefault="00E47390" w:rsidP="00E47390">
            <w:pPr>
              <w:spacing w:after="0" w:line="240" w:lineRule="auto"/>
              <w:rPr>
                <w:sz w:val="20"/>
                <w:szCs w:val="20"/>
              </w:rPr>
            </w:pPr>
          </w:p>
        </w:tc>
        <w:tc>
          <w:tcPr>
            <w:tcW w:w="630" w:type="dxa"/>
            <w:tcBorders>
              <w:bottom w:val="single" w:sz="4" w:space="0" w:color="auto"/>
            </w:tcBorders>
          </w:tcPr>
          <w:p w:rsidR="00E47390" w:rsidRPr="00E47390" w:rsidRDefault="00E47390" w:rsidP="00E47390">
            <w:pPr>
              <w:spacing w:after="0" w:line="240" w:lineRule="auto"/>
              <w:rPr>
                <w:sz w:val="20"/>
                <w:szCs w:val="20"/>
              </w:rPr>
            </w:pPr>
            <w:r w:rsidRPr="00E47390">
              <w:rPr>
                <w:sz w:val="20"/>
                <w:szCs w:val="20"/>
              </w:rPr>
              <w:t>SGP</w:t>
            </w:r>
          </w:p>
        </w:tc>
        <w:tc>
          <w:tcPr>
            <w:tcW w:w="990" w:type="dxa"/>
            <w:tcBorders>
              <w:bottom w:val="single" w:sz="4" w:space="0" w:color="auto"/>
            </w:tcBorders>
            <w:vAlign w:val="bottom"/>
          </w:tcPr>
          <w:p w:rsidR="00E47390" w:rsidRPr="00E47390" w:rsidRDefault="00E47390" w:rsidP="00E47390">
            <w:pPr>
              <w:spacing w:after="0" w:line="240" w:lineRule="auto"/>
              <w:jc w:val="center"/>
              <w:rPr>
                <w:sz w:val="20"/>
                <w:szCs w:val="20"/>
              </w:rPr>
            </w:pPr>
            <w:r w:rsidRPr="00E47390">
              <w:rPr>
                <w:sz w:val="20"/>
                <w:szCs w:val="20"/>
              </w:rPr>
              <w:t>35,109</w:t>
            </w:r>
          </w:p>
        </w:tc>
        <w:tc>
          <w:tcPr>
            <w:tcW w:w="784" w:type="dxa"/>
            <w:tcBorders>
              <w:bottom w:val="single" w:sz="4" w:space="0" w:color="auto"/>
            </w:tcBorders>
            <w:vAlign w:val="bottom"/>
          </w:tcPr>
          <w:p w:rsidR="00E47390" w:rsidRPr="00E47390" w:rsidRDefault="00E47390" w:rsidP="00E47390">
            <w:pPr>
              <w:spacing w:after="0" w:line="240" w:lineRule="auto"/>
              <w:jc w:val="center"/>
              <w:rPr>
                <w:sz w:val="20"/>
                <w:szCs w:val="20"/>
              </w:rPr>
            </w:pPr>
            <w:r w:rsidRPr="00E47390">
              <w:rPr>
                <w:sz w:val="20"/>
                <w:szCs w:val="20"/>
              </w:rPr>
              <w:t>53.0</w:t>
            </w:r>
          </w:p>
        </w:tc>
        <w:tc>
          <w:tcPr>
            <w:tcW w:w="784" w:type="dxa"/>
            <w:tcBorders>
              <w:bottom w:val="single" w:sz="4" w:space="0" w:color="auto"/>
            </w:tcBorders>
            <w:vAlign w:val="bottom"/>
          </w:tcPr>
          <w:p w:rsidR="00E47390" w:rsidRPr="00E47390" w:rsidRDefault="00E47390" w:rsidP="00E47390">
            <w:pPr>
              <w:spacing w:after="0" w:line="240" w:lineRule="auto"/>
              <w:jc w:val="center"/>
              <w:rPr>
                <w:sz w:val="20"/>
                <w:szCs w:val="20"/>
              </w:rPr>
            </w:pPr>
            <w:r w:rsidRPr="00E47390">
              <w:rPr>
                <w:sz w:val="20"/>
                <w:szCs w:val="20"/>
              </w:rPr>
              <w:t>54.0</w:t>
            </w:r>
          </w:p>
        </w:tc>
        <w:tc>
          <w:tcPr>
            <w:tcW w:w="784" w:type="dxa"/>
            <w:tcBorders>
              <w:bottom w:val="single" w:sz="4" w:space="0" w:color="auto"/>
            </w:tcBorders>
          </w:tcPr>
          <w:p w:rsidR="00E47390" w:rsidRPr="00E47390" w:rsidRDefault="00E47390" w:rsidP="00E47390">
            <w:pPr>
              <w:spacing w:after="0" w:line="240" w:lineRule="auto"/>
              <w:rPr>
                <w:sz w:val="20"/>
                <w:szCs w:val="20"/>
              </w:rPr>
            </w:pPr>
            <w:r w:rsidRPr="00E47390">
              <w:rPr>
                <w:sz w:val="20"/>
                <w:szCs w:val="20"/>
              </w:rPr>
              <w:t>SGP</w:t>
            </w:r>
          </w:p>
        </w:tc>
        <w:tc>
          <w:tcPr>
            <w:tcW w:w="785" w:type="dxa"/>
            <w:tcBorders>
              <w:bottom w:val="single" w:sz="4" w:space="0" w:color="auto"/>
            </w:tcBorders>
            <w:vAlign w:val="bottom"/>
          </w:tcPr>
          <w:p w:rsidR="00E47390" w:rsidRPr="00E47390" w:rsidRDefault="00E47390" w:rsidP="00E47390">
            <w:pPr>
              <w:spacing w:after="0" w:line="240" w:lineRule="auto"/>
              <w:jc w:val="center"/>
              <w:rPr>
                <w:sz w:val="20"/>
                <w:szCs w:val="20"/>
              </w:rPr>
            </w:pPr>
            <w:r w:rsidRPr="00E47390">
              <w:rPr>
                <w:sz w:val="20"/>
                <w:szCs w:val="20"/>
              </w:rPr>
              <w:t>53.0</w:t>
            </w:r>
          </w:p>
        </w:tc>
        <w:tc>
          <w:tcPr>
            <w:tcW w:w="784" w:type="dxa"/>
            <w:tcBorders>
              <w:bottom w:val="single" w:sz="4" w:space="0" w:color="auto"/>
            </w:tcBorders>
            <w:vAlign w:val="bottom"/>
          </w:tcPr>
          <w:p w:rsidR="00E47390" w:rsidRPr="00E47390" w:rsidRDefault="00E47390" w:rsidP="00E47390">
            <w:pPr>
              <w:spacing w:after="0" w:line="240" w:lineRule="auto"/>
              <w:jc w:val="center"/>
              <w:rPr>
                <w:sz w:val="20"/>
                <w:szCs w:val="20"/>
              </w:rPr>
            </w:pPr>
            <w:r w:rsidRPr="00E47390">
              <w:rPr>
                <w:sz w:val="20"/>
                <w:szCs w:val="20"/>
              </w:rPr>
              <w:t>54.0</w:t>
            </w:r>
          </w:p>
        </w:tc>
        <w:tc>
          <w:tcPr>
            <w:tcW w:w="784" w:type="dxa"/>
            <w:tcBorders>
              <w:bottom w:val="single" w:sz="4" w:space="0" w:color="auto"/>
            </w:tcBorders>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1.0</w:t>
            </w:r>
          </w:p>
        </w:tc>
        <w:tc>
          <w:tcPr>
            <w:tcW w:w="785" w:type="dxa"/>
            <w:tcBorders>
              <w:bottom w:val="single" w:sz="4" w:space="0" w:color="auto"/>
            </w:tcBorders>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1.0</w:t>
            </w:r>
          </w:p>
        </w:tc>
      </w:tr>
      <w:tr w:rsidR="00E47390" w:rsidRPr="00E47390" w:rsidTr="009D5584">
        <w:tc>
          <w:tcPr>
            <w:tcW w:w="1008" w:type="dxa"/>
            <w:vMerge w:val="restart"/>
            <w:vAlign w:val="center"/>
          </w:tcPr>
          <w:p w:rsidR="00E47390" w:rsidRPr="00F714E8" w:rsidRDefault="0047041E" w:rsidP="00E47390">
            <w:pPr>
              <w:spacing w:after="0" w:line="240" w:lineRule="auto"/>
              <w:jc w:val="center"/>
              <w:rPr>
                <w:sz w:val="20"/>
                <w:szCs w:val="20"/>
              </w:rPr>
            </w:pPr>
            <w:r w:rsidRPr="0047041E">
              <w:rPr>
                <w:sz w:val="20"/>
                <w:szCs w:val="20"/>
              </w:rPr>
              <w:t>All students</w:t>
            </w:r>
          </w:p>
        </w:tc>
        <w:tc>
          <w:tcPr>
            <w:tcW w:w="810" w:type="dxa"/>
            <w:vMerge w:val="restart"/>
            <w:shd w:val="clear" w:color="auto" w:fill="D9D9D9" w:themeFill="background1" w:themeFillShade="D9"/>
            <w:vAlign w:val="center"/>
          </w:tcPr>
          <w:p w:rsidR="00E47390" w:rsidRPr="00E47390" w:rsidRDefault="00E47390" w:rsidP="00E47390">
            <w:pPr>
              <w:spacing w:after="0" w:line="240" w:lineRule="auto"/>
              <w:jc w:val="center"/>
              <w:rPr>
                <w:sz w:val="20"/>
                <w:szCs w:val="20"/>
              </w:rPr>
            </w:pPr>
            <w:r w:rsidRPr="00E47390">
              <w:rPr>
                <w:sz w:val="20"/>
                <w:szCs w:val="20"/>
              </w:rPr>
              <w:t>District</w:t>
            </w:r>
          </w:p>
        </w:tc>
        <w:tc>
          <w:tcPr>
            <w:tcW w:w="630" w:type="dxa"/>
            <w:shd w:val="clear" w:color="auto" w:fill="D9D9D9" w:themeFill="background1" w:themeFillShade="D9"/>
          </w:tcPr>
          <w:p w:rsidR="00E47390" w:rsidRPr="00E47390" w:rsidRDefault="00E47390" w:rsidP="00E47390">
            <w:pPr>
              <w:spacing w:after="0" w:line="240" w:lineRule="auto"/>
              <w:rPr>
                <w:sz w:val="20"/>
                <w:szCs w:val="20"/>
              </w:rPr>
            </w:pPr>
            <w:r w:rsidRPr="00E47390">
              <w:rPr>
                <w:sz w:val="20"/>
                <w:szCs w:val="20"/>
              </w:rPr>
              <w:t>CPI</w:t>
            </w:r>
          </w:p>
        </w:tc>
        <w:tc>
          <w:tcPr>
            <w:tcW w:w="990" w:type="dxa"/>
            <w:shd w:val="clear" w:color="auto" w:fill="D9D9D9" w:themeFill="background1" w:themeFillShade="D9"/>
            <w:vAlign w:val="bottom"/>
          </w:tcPr>
          <w:p w:rsidR="00E47390" w:rsidRPr="00E47390" w:rsidRDefault="00E47390" w:rsidP="00E47390">
            <w:pPr>
              <w:spacing w:after="0" w:line="240" w:lineRule="auto"/>
              <w:jc w:val="center"/>
              <w:rPr>
                <w:sz w:val="20"/>
                <w:szCs w:val="20"/>
              </w:rPr>
            </w:pPr>
            <w:r w:rsidRPr="00E47390">
              <w:rPr>
                <w:sz w:val="20"/>
                <w:szCs w:val="20"/>
              </w:rPr>
              <w:t>12,107</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77.1</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77.1</w:t>
            </w:r>
          </w:p>
        </w:tc>
        <w:tc>
          <w:tcPr>
            <w:tcW w:w="784" w:type="dxa"/>
            <w:shd w:val="clear" w:color="auto" w:fill="D9D9D9" w:themeFill="background1" w:themeFillShade="D9"/>
          </w:tcPr>
          <w:p w:rsidR="00E47390" w:rsidRPr="00E47390" w:rsidRDefault="00E47390" w:rsidP="00E47390">
            <w:pPr>
              <w:spacing w:after="0" w:line="240" w:lineRule="auto"/>
              <w:rPr>
                <w:sz w:val="20"/>
                <w:szCs w:val="20"/>
              </w:rPr>
            </w:pPr>
            <w:r w:rsidRPr="00E47390">
              <w:rPr>
                <w:sz w:val="20"/>
                <w:szCs w:val="20"/>
              </w:rPr>
              <w:t>CPI</w:t>
            </w:r>
          </w:p>
        </w:tc>
        <w:tc>
          <w:tcPr>
            <w:tcW w:w="785" w:type="dxa"/>
            <w:shd w:val="clear" w:color="auto" w:fill="D9D9D9" w:themeFill="background1" w:themeFillShade="D9"/>
            <w:vAlign w:val="bottom"/>
          </w:tcPr>
          <w:p w:rsidR="00E47390" w:rsidRPr="00E47390" w:rsidRDefault="00E47390" w:rsidP="00E47390">
            <w:pPr>
              <w:spacing w:after="0" w:line="240" w:lineRule="auto"/>
              <w:jc w:val="center"/>
              <w:rPr>
                <w:sz w:val="20"/>
                <w:szCs w:val="20"/>
              </w:rPr>
            </w:pPr>
            <w:r w:rsidRPr="00E47390">
              <w:rPr>
                <w:sz w:val="20"/>
                <w:szCs w:val="20"/>
              </w:rPr>
              <w:t>77.9</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sz w:val="20"/>
                <w:szCs w:val="20"/>
              </w:rPr>
            </w:pPr>
            <w:r w:rsidRPr="00E47390">
              <w:rPr>
                <w:sz w:val="20"/>
                <w:szCs w:val="20"/>
              </w:rPr>
              <w:t>79.5</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1.6</w:t>
            </w:r>
          </w:p>
        </w:tc>
        <w:tc>
          <w:tcPr>
            <w:tcW w:w="785" w:type="dxa"/>
            <w:shd w:val="clear" w:color="auto" w:fill="D9D9D9" w:themeFill="background1" w:themeFillShade="D9"/>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2.4</w:t>
            </w:r>
          </w:p>
        </w:tc>
      </w:tr>
      <w:tr w:rsidR="00E47390" w:rsidRPr="00E47390" w:rsidTr="009D5584">
        <w:tc>
          <w:tcPr>
            <w:tcW w:w="1008" w:type="dxa"/>
            <w:vMerge/>
          </w:tcPr>
          <w:p w:rsidR="00E47390" w:rsidRPr="00E47390" w:rsidRDefault="00E47390" w:rsidP="00E47390">
            <w:pPr>
              <w:spacing w:after="0" w:line="240" w:lineRule="auto"/>
              <w:rPr>
                <w:sz w:val="20"/>
                <w:szCs w:val="20"/>
              </w:rPr>
            </w:pPr>
          </w:p>
        </w:tc>
        <w:tc>
          <w:tcPr>
            <w:tcW w:w="810" w:type="dxa"/>
            <w:vMerge/>
            <w:shd w:val="clear" w:color="auto" w:fill="D9D9D9" w:themeFill="background1" w:themeFillShade="D9"/>
            <w:vAlign w:val="center"/>
          </w:tcPr>
          <w:p w:rsidR="00E47390" w:rsidRPr="00E47390" w:rsidRDefault="00E47390" w:rsidP="00E47390">
            <w:pPr>
              <w:spacing w:after="0" w:line="240" w:lineRule="auto"/>
              <w:jc w:val="center"/>
              <w:rPr>
                <w:sz w:val="20"/>
                <w:szCs w:val="20"/>
              </w:rPr>
            </w:pPr>
          </w:p>
        </w:tc>
        <w:tc>
          <w:tcPr>
            <w:tcW w:w="630" w:type="dxa"/>
            <w:shd w:val="clear" w:color="auto" w:fill="D9D9D9" w:themeFill="background1" w:themeFillShade="D9"/>
          </w:tcPr>
          <w:p w:rsidR="00E47390" w:rsidRPr="00E47390" w:rsidRDefault="00E47390" w:rsidP="00E47390">
            <w:pPr>
              <w:spacing w:after="0" w:line="240" w:lineRule="auto"/>
              <w:rPr>
                <w:sz w:val="20"/>
                <w:szCs w:val="20"/>
              </w:rPr>
            </w:pPr>
            <w:r w:rsidRPr="00E47390">
              <w:rPr>
                <w:sz w:val="20"/>
                <w:szCs w:val="20"/>
              </w:rPr>
              <w:t>P+</w:t>
            </w:r>
          </w:p>
        </w:tc>
        <w:tc>
          <w:tcPr>
            <w:tcW w:w="990" w:type="dxa"/>
            <w:shd w:val="clear" w:color="auto" w:fill="D9D9D9" w:themeFill="background1" w:themeFillShade="D9"/>
            <w:vAlign w:val="bottom"/>
          </w:tcPr>
          <w:p w:rsidR="00E47390" w:rsidRPr="00E47390" w:rsidRDefault="00E47390" w:rsidP="00E47390">
            <w:pPr>
              <w:spacing w:after="0" w:line="240" w:lineRule="auto"/>
              <w:jc w:val="center"/>
              <w:rPr>
                <w:sz w:val="20"/>
                <w:szCs w:val="20"/>
              </w:rPr>
            </w:pPr>
            <w:r w:rsidRPr="00E47390">
              <w:rPr>
                <w:sz w:val="20"/>
                <w:szCs w:val="20"/>
              </w:rPr>
              <w:t>--</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51%</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52%</w:t>
            </w:r>
          </w:p>
        </w:tc>
        <w:tc>
          <w:tcPr>
            <w:tcW w:w="784" w:type="dxa"/>
            <w:shd w:val="clear" w:color="auto" w:fill="D9D9D9" w:themeFill="background1" w:themeFillShade="D9"/>
          </w:tcPr>
          <w:p w:rsidR="00E47390" w:rsidRPr="00E47390" w:rsidRDefault="00E47390" w:rsidP="00E47390">
            <w:pPr>
              <w:spacing w:after="0" w:line="240" w:lineRule="auto"/>
              <w:rPr>
                <w:sz w:val="20"/>
                <w:szCs w:val="20"/>
              </w:rPr>
            </w:pPr>
            <w:r w:rsidRPr="00E47390">
              <w:rPr>
                <w:sz w:val="20"/>
                <w:szCs w:val="20"/>
              </w:rPr>
              <w:t>Lv 4&amp;5</w:t>
            </w:r>
          </w:p>
        </w:tc>
        <w:tc>
          <w:tcPr>
            <w:tcW w:w="785" w:type="dxa"/>
            <w:shd w:val="clear" w:color="auto" w:fill="D9D9D9" w:themeFill="background1" w:themeFillShade="D9"/>
            <w:vAlign w:val="bottom"/>
          </w:tcPr>
          <w:p w:rsidR="00E47390" w:rsidRPr="00E47390" w:rsidRDefault="00E47390" w:rsidP="00E47390">
            <w:pPr>
              <w:spacing w:after="0" w:line="240" w:lineRule="auto"/>
              <w:jc w:val="center"/>
              <w:rPr>
                <w:sz w:val="20"/>
                <w:szCs w:val="20"/>
              </w:rPr>
            </w:pPr>
            <w:r w:rsidRPr="00E47390">
              <w:rPr>
                <w:sz w:val="20"/>
                <w:szCs w:val="20"/>
              </w:rPr>
              <w:t>--</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sz w:val="20"/>
                <w:szCs w:val="20"/>
              </w:rPr>
            </w:pPr>
            <w:r w:rsidRPr="00E47390">
              <w:rPr>
                <w:sz w:val="20"/>
                <w:szCs w:val="20"/>
              </w:rPr>
              <w:t>--</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w:t>
            </w:r>
          </w:p>
        </w:tc>
        <w:tc>
          <w:tcPr>
            <w:tcW w:w="785" w:type="dxa"/>
            <w:shd w:val="clear" w:color="auto" w:fill="D9D9D9" w:themeFill="background1" w:themeFillShade="D9"/>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w:t>
            </w:r>
          </w:p>
        </w:tc>
      </w:tr>
      <w:tr w:rsidR="00E47390" w:rsidRPr="00E47390" w:rsidTr="009D5584">
        <w:tc>
          <w:tcPr>
            <w:tcW w:w="1008" w:type="dxa"/>
            <w:vMerge/>
          </w:tcPr>
          <w:p w:rsidR="00E47390" w:rsidRPr="00E47390" w:rsidRDefault="00E47390" w:rsidP="00E47390">
            <w:pPr>
              <w:spacing w:after="0" w:line="240" w:lineRule="auto"/>
              <w:rPr>
                <w:sz w:val="20"/>
                <w:szCs w:val="20"/>
              </w:rPr>
            </w:pPr>
          </w:p>
        </w:tc>
        <w:tc>
          <w:tcPr>
            <w:tcW w:w="810" w:type="dxa"/>
            <w:vMerge/>
            <w:shd w:val="clear" w:color="auto" w:fill="D9D9D9" w:themeFill="background1" w:themeFillShade="D9"/>
            <w:vAlign w:val="center"/>
          </w:tcPr>
          <w:p w:rsidR="00E47390" w:rsidRPr="00E47390" w:rsidRDefault="00E47390" w:rsidP="00E47390">
            <w:pPr>
              <w:spacing w:after="0" w:line="240" w:lineRule="auto"/>
              <w:jc w:val="center"/>
              <w:rPr>
                <w:sz w:val="20"/>
                <w:szCs w:val="20"/>
              </w:rPr>
            </w:pPr>
          </w:p>
        </w:tc>
        <w:tc>
          <w:tcPr>
            <w:tcW w:w="630" w:type="dxa"/>
            <w:shd w:val="clear" w:color="auto" w:fill="D9D9D9" w:themeFill="background1" w:themeFillShade="D9"/>
          </w:tcPr>
          <w:p w:rsidR="00E47390" w:rsidRPr="00E47390" w:rsidRDefault="00E47390" w:rsidP="00E47390">
            <w:pPr>
              <w:spacing w:after="0" w:line="240" w:lineRule="auto"/>
              <w:rPr>
                <w:sz w:val="20"/>
                <w:szCs w:val="20"/>
              </w:rPr>
            </w:pPr>
            <w:r w:rsidRPr="00E47390">
              <w:rPr>
                <w:sz w:val="20"/>
                <w:szCs w:val="20"/>
              </w:rPr>
              <w:t>SGP</w:t>
            </w:r>
          </w:p>
        </w:tc>
        <w:tc>
          <w:tcPr>
            <w:tcW w:w="990" w:type="dxa"/>
            <w:shd w:val="clear" w:color="auto" w:fill="D9D9D9" w:themeFill="background1" w:themeFillShade="D9"/>
            <w:vAlign w:val="bottom"/>
          </w:tcPr>
          <w:p w:rsidR="00E47390" w:rsidRPr="00E47390" w:rsidRDefault="00E47390" w:rsidP="00E47390">
            <w:pPr>
              <w:spacing w:after="0" w:line="240" w:lineRule="auto"/>
              <w:jc w:val="center"/>
              <w:rPr>
                <w:sz w:val="20"/>
                <w:szCs w:val="20"/>
              </w:rPr>
            </w:pPr>
            <w:r w:rsidRPr="00E47390">
              <w:rPr>
                <w:sz w:val="20"/>
                <w:szCs w:val="20"/>
              </w:rPr>
              <w:t>8,858</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51.0</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53.0</w:t>
            </w:r>
          </w:p>
        </w:tc>
        <w:tc>
          <w:tcPr>
            <w:tcW w:w="784" w:type="dxa"/>
            <w:shd w:val="clear" w:color="auto" w:fill="D9D9D9" w:themeFill="background1" w:themeFillShade="D9"/>
          </w:tcPr>
          <w:p w:rsidR="00E47390" w:rsidRPr="00E47390" w:rsidRDefault="00E47390" w:rsidP="00E47390">
            <w:pPr>
              <w:spacing w:after="0" w:line="240" w:lineRule="auto"/>
              <w:rPr>
                <w:sz w:val="20"/>
                <w:szCs w:val="20"/>
              </w:rPr>
            </w:pPr>
            <w:r w:rsidRPr="00E47390">
              <w:rPr>
                <w:sz w:val="20"/>
                <w:szCs w:val="20"/>
              </w:rPr>
              <w:t>SGP</w:t>
            </w:r>
          </w:p>
        </w:tc>
        <w:tc>
          <w:tcPr>
            <w:tcW w:w="785" w:type="dxa"/>
            <w:shd w:val="clear" w:color="auto" w:fill="D9D9D9" w:themeFill="background1" w:themeFillShade="D9"/>
            <w:vAlign w:val="bottom"/>
          </w:tcPr>
          <w:p w:rsidR="00E47390" w:rsidRPr="00E47390" w:rsidRDefault="00E47390" w:rsidP="00E47390">
            <w:pPr>
              <w:spacing w:after="0" w:line="240" w:lineRule="auto"/>
              <w:jc w:val="center"/>
              <w:rPr>
                <w:sz w:val="20"/>
                <w:szCs w:val="20"/>
              </w:rPr>
            </w:pPr>
            <w:r w:rsidRPr="00E47390">
              <w:rPr>
                <w:sz w:val="20"/>
                <w:szCs w:val="20"/>
              </w:rPr>
              <w:t>51.0</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sz w:val="20"/>
                <w:szCs w:val="20"/>
              </w:rPr>
            </w:pPr>
            <w:r w:rsidRPr="00E47390">
              <w:rPr>
                <w:sz w:val="20"/>
                <w:szCs w:val="20"/>
              </w:rPr>
              <w:t>53.0</w:t>
            </w:r>
          </w:p>
        </w:tc>
        <w:tc>
          <w:tcPr>
            <w:tcW w:w="784" w:type="dxa"/>
            <w:shd w:val="clear" w:color="auto" w:fill="D9D9D9" w:themeFill="background1" w:themeFillShade="D9"/>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2.0</w:t>
            </w:r>
          </w:p>
        </w:tc>
        <w:tc>
          <w:tcPr>
            <w:tcW w:w="785" w:type="dxa"/>
            <w:shd w:val="clear" w:color="auto" w:fill="D9D9D9" w:themeFill="background1" w:themeFillShade="D9"/>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2.0</w:t>
            </w:r>
          </w:p>
        </w:tc>
      </w:tr>
      <w:tr w:rsidR="00E47390" w:rsidRPr="00E47390" w:rsidTr="009D5584">
        <w:tc>
          <w:tcPr>
            <w:tcW w:w="1008" w:type="dxa"/>
            <w:vMerge/>
          </w:tcPr>
          <w:p w:rsidR="00E47390" w:rsidRPr="00E47390" w:rsidRDefault="00E47390" w:rsidP="00E47390">
            <w:pPr>
              <w:spacing w:after="0" w:line="240" w:lineRule="auto"/>
              <w:rPr>
                <w:sz w:val="20"/>
                <w:szCs w:val="20"/>
              </w:rPr>
            </w:pPr>
          </w:p>
        </w:tc>
        <w:tc>
          <w:tcPr>
            <w:tcW w:w="810" w:type="dxa"/>
            <w:vMerge w:val="restart"/>
            <w:vAlign w:val="center"/>
          </w:tcPr>
          <w:p w:rsidR="00E47390" w:rsidRPr="00E47390" w:rsidRDefault="00E47390" w:rsidP="00E47390">
            <w:pPr>
              <w:spacing w:after="0" w:line="240" w:lineRule="auto"/>
              <w:jc w:val="center"/>
              <w:rPr>
                <w:sz w:val="20"/>
                <w:szCs w:val="20"/>
              </w:rPr>
            </w:pPr>
            <w:r w:rsidRPr="00E47390">
              <w:rPr>
                <w:sz w:val="20"/>
                <w:szCs w:val="20"/>
              </w:rPr>
              <w:t>State</w:t>
            </w:r>
          </w:p>
        </w:tc>
        <w:tc>
          <w:tcPr>
            <w:tcW w:w="630" w:type="dxa"/>
          </w:tcPr>
          <w:p w:rsidR="00E47390" w:rsidRPr="00E47390" w:rsidRDefault="00E47390" w:rsidP="00E47390">
            <w:pPr>
              <w:spacing w:after="0" w:line="240" w:lineRule="auto"/>
              <w:rPr>
                <w:sz w:val="20"/>
                <w:szCs w:val="20"/>
              </w:rPr>
            </w:pPr>
            <w:r w:rsidRPr="00E47390">
              <w:rPr>
                <w:sz w:val="20"/>
                <w:szCs w:val="20"/>
              </w:rPr>
              <w:t>CPI</w:t>
            </w:r>
          </w:p>
        </w:tc>
        <w:tc>
          <w:tcPr>
            <w:tcW w:w="990" w:type="dxa"/>
            <w:vAlign w:val="bottom"/>
          </w:tcPr>
          <w:p w:rsidR="00E47390" w:rsidRPr="00E47390" w:rsidRDefault="00E47390" w:rsidP="00E47390">
            <w:pPr>
              <w:spacing w:after="0" w:line="240" w:lineRule="auto"/>
              <w:jc w:val="center"/>
              <w:rPr>
                <w:sz w:val="20"/>
                <w:szCs w:val="20"/>
              </w:rPr>
            </w:pPr>
            <w:r w:rsidRPr="00E47390">
              <w:rPr>
                <w:sz w:val="20"/>
                <w:szCs w:val="20"/>
              </w:rPr>
              <w:t>491,267</w:t>
            </w:r>
          </w:p>
        </w:tc>
        <w:tc>
          <w:tcPr>
            <w:tcW w:w="784" w:type="dxa"/>
            <w:vAlign w:val="bottom"/>
          </w:tcPr>
          <w:p w:rsidR="00E47390" w:rsidRPr="00E47390" w:rsidRDefault="00E47390" w:rsidP="00E47390">
            <w:pPr>
              <w:spacing w:after="0" w:line="240" w:lineRule="auto"/>
              <w:jc w:val="center"/>
              <w:rPr>
                <w:sz w:val="20"/>
                <w:szCs w:val="20"/>
              </w:rPr>
            </w:pPr>
            <w:r w:rsidRPr="00E47390">
              <w:rPr>
                <w:sz w:val="20"/>
                <w:szCs w:val="20"/>
              </w:rPr>
              <w:t>86.8</w:t>
            </w:r>
          </w:p>
        </w:tc>
        <w:tc>
          <w:tcPr>
            <w:tcW w:w="784" w:type="dxa"/>
            <w:vAlign w:val="bottom"/>
          </w:tcPr>
          <w:p w:rsidR="00E47390" w:rsidRPr="00E47390" w:rsidRDefault="00E47390" w:rsidP="00E47390">
            <w:pPr>
              <w:spacing w:after="0" w:line="240" w:lineRule="auto"/>
              <w:jc w:val="center"/>
              <w:rPr>
                <w:sz w:val="20"/>
                <w:szCs w:val="20"/>
              </w:rPr>
            </w:pPr>
            <w:r w:rsidRPr="00E47390">
              <w:rPr>
                <w:sz w:val="20"/>
                <w:szCs w:val="20"/>
              </w:rPr>
              <w:t>86.7</w:t>
            </w:r>
          </w:p>
        </w:tc>
        <w:tc>
          <w:tcPr>
            <w:tcW w:w="784" w:type="dxa"/>
          </w:tcPr>
          <w:p w:rsidR="00E47390" w:rsidRPr="00E47390" w:rsidRDefault="00E47390" w:rsidP="00E47390">
            <w:pPr>
              <w:spacing w:after="0" w:line="240" w:lineRule="auto"/>
              <w:rPr>
                <w:sz w:val="20"/>
                <w:szCs w:val="20"/>
              </w:rPr>
            </w:pPr>
            <w:r w:rsidRPr="00E47390">
              <w:rPr>
                <w:sz w:val="20"/>
                <w:szCs w:val="20"/>
              </w:rPr>
              <w:t>CPI</w:t>
            </w:r>
          </w:p>
        </w:tc>
        <w:tc>
          <w:tcPr>
            <w:tcW w:w="785" w:type="dxa"/>
            <w:vAlign w:val="bottom"/>
          </w:tcPr>
          <w:p w:rsidR="00E47390" w:rsidRPr="00E47390" w:rsidRDefault="00E47390" w:rsidP="00E47390">
            <w:pPr>
              <w:spacing w:after="0" w:line="240" w:lineRule="auto"/>
              <w:jc w:val="center"/>
              <w:rPr>
                <w:sz w:val="20"/>
                <w:szCs w:val="20"/>
              </w:rPr>
            </w:pPr>
            <w:r w:rsidRPr="00E47390">
              <w:rPr>
                <w:sz w:val="20"/>
                <w:szCs w:val="20"/>
              </w:rPr>
              <w:t>86.8</w:t>
            </w:r>
          </w:p>
        </w:tc>
        <w:tc>
          <w:tcPr>
            <w:tcW w:w="784" w:type="dxa"/>
            <w:vAlign w:val="bottom"/>
          </w:tcPr>
          <w:p w:rsidR="00E47390" w:rsidRPr="00E47390" w:rsidRDefault="00E47390" w:rsidP="00E47390">
            <w:pPr>
              <w:spacing w:after="0" w:line="240" w:lineRule="auto"/>
              <w:jc w:val="center"/>
              <w:rPr>
                <w:sz w:val="20"/>
                <w:szCs w:val="20"/>
              </w:rPr>
            </w:pPr>
            <w:r w:rsidRPr="00E47390">
              <w:rPr>
                <w:sz w:val="20"/>
                <w:szCs w:val="20"/>
              </w:rPr>
              <w:t>87.2</w:t>
            </w:r>
          </w:p>
        </w:tc>
        <w:tc>
          <w:tcPr>
            <w:tcW w:w="784" w:type="dxa"/>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0.4</w:t>
            </w:r>
          </w:p>
        </w:tc>
        <w:tc>
          <w:tcPr>
            <w:tcW w:w="785" w:type="dxa"/>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0.4</w:t>
            </w:r>
          </w:p>
        </w:tc>
      </w:tr>
      <w:tr w:rsidR="00E47390" w:rsidRPr="00E47390" w:rsidTr="009D5584">
        <w:tc>
          <w:tcPr>
            <w:tcW w:w="1008" w:type="dxa"/>
            <w:vMerge/>
          </w:tcPr>
          <w:p w:rsidR="00E47390" w:rsidRPr="00E47390" w:rsidRDefault="00E47390" w:rsidP="00E47390">
            <w:pPr>
              <w:spacing w:after="0" w:line="240" w:lineRule="auto"/>
              <w:rPr>
                <w:sz w:val="20"/>
                <w:szCs w:val="20"/>
              </w:rPr>
            </w:pPr>
          </w:p>
        </w:tc>
        <w:tc>
          <w:tcPr>
            <w:tcW w:w="810" w:type="dxa"/>
            <w:vMerge/>
          </w:tcPr>
          <w:p w:rsidR="00E47390" w:rsidRPr="00E47390" w:rsidRDefault="00E47390" w:rsidP="00E47390">
            <w:pPr>
              <w:spacing w:after="0" w:line="240" w:lineRule="auto"/>
              <w:rPr>
                <w:sz w:val="20"/>
                <w:szCs w:val="20"/>
              </w:rPr>
            </w:pPr>
          </w:p>
        </w:tc>
        <w:tc>
          <w:tcPr>
            <w:tcW w:w="630" w:type="dxa"/>
          </w:tcPr>
          <w:p w:rsidR="00E47390" w:rsidRPr="00E47390" w:rsidRDefault="00E47390" w:rsidP="00E47390">
            <w:pPr>
              <w:spacing w:after="0" w:line="240" w:lineRule="auto"/>
              <w:rPr>
                <w:sz w:val="20"/>
                <w:szCs w:val="20"/>
              </w:rPr>
            </w:pPr>
            <w:r w:rsidRPr="00E47390">
              <w:rPr>
                <w:sz w:val="20"/>
                <w:szCs w:val="20"/>
              </w:rPr>
              <w:t>P+</w:t>
            </w:r>
          </w:p>
        </w:tc>
        <w:tc>
          <w:tcPr>
            <w:tcW w:w="990" w:type="dxa"/>
            <w:vAlign w:val="bottom"/>
          </w:tcPr>
          <w:p w:rsidR="00E47390" w:rsidRPr="00E47390" w:rsidRDefault="00E47390" w:rsidP="00E47390">
            <w:pPr>
              <w:spacing w:after="0" w:line="240" w:lineRule="auto"/>
              <w:jc w:val="center"/>
              <w:rPr>
                <w:sz w:val="20"/>
                <w:szCs w:val="20"/>
              </w:rPr>
            </w:pPr>
            <w:r w:rsidRPr="00E47390">
              <w:rPr>
                <w:sz w:val="20"/>
                <w:szCs w:val="20"/>
              </w:rPr>
              <w:t>--</w:t>
            </w:r>
          </w:p>
        </w:tc>
        <w:tc>
          <w:tcPr>
            <w:tcW w:w="784" w:type="dxa"/>
            <w:vAlign w:val="bottom"/>
          </w:tcPr>
          <w:p w:rsidR="00E47390" w:rsidRPr="00E47390" w:rsidRDefault="00E47390" w:rsidP="00E47390">
            <w:pPr>
              <w:spacing w:after="0" w:line="240" w:lineRule="auto"/>
              <w:jc w:val="center"/>
              <w:rPr>
                <w:sz w:val="20"/>
                <w:szCs w:val="20"/>
              </w:rPr>
            </w:pPr>
            <w:r w:rsidRPr="00E47390">
              <w:rPr>
                <w:sz w:val="20"/>
                <w:szCs w:val="20"/>
              </w:rPr>
              <w:t>69%</w:t>
            </w:r>
          </w:p>
        </w:tc>
        <w:tc>
          <w:tcPr>
            <w:tcW w:w="784" w:type="dxa"/>
            <w:vAlign w:val="bottom"/>
          </w:tcPr>
          <w:p w:rsidR="00E47390" w:rsidRPr="00E47390" w:rsidRDefault="00E47390" w:rsidP="00E47390">
            <w:pPr>
              <w:spacing w:after="0" w:line="240" w:lineRule="auto"/>
              <w:jc w:val="center"/>
              <w:rPr>
                <w:sz w:val="20"/>
                <w:szCs w:val="20"/>
              </w:rPr>
            </w:pPr>
            <w:r w:rsidRPr="00E47390">
              <w:rPr>
                <w:sz w:val="20"/>
                <w:szCs w:val="20"/>
              </w:rPr>
              <w:t>69%</w:t>
            </w:r>
          </w:p>
        </w:tc>
        <w:tc>
          <w:tcPr>
            <w:tcW w:w="784" w:type="dxa"/>
          </w:tcPr>
          <w:p w:rsidR="00E47390" w:rsidRPr="00E47390" w:rsidRDefault="00E47390" w:rsidP="00E47390">
            <w:pPr>
              <w:spacing w:after="0" w:line="240" w:lineRule="auto"/>
              <w:rPr>
                <w:sz w:val="20"/>
                <w:szCs w:val="20"/>
              </w:rPr>
            </w:pPr>
            <w:r w:rsidRPr="00E47390">
              <w:rPr>
                <w:sz w:val="20"/>
                <w:szCs w:val="20"/>
              </w:rPr>
              <w:t>Lv 4&amp;5</w:t>
            </w:r>
          </w:p>
        </w:tc>
        <w:tc>
          <w:tcPr>
            <w:tcW w:w="785" w:type="dxa"/>
            <w:vAlign w:val="bottom"/>
          </w:tcPr>
          <w:p w:rsidR="00E47390" w:rsidRPr="00E47390" w:rsidRDefault="00E47390" w:rsidP="00E47390">
            <w:pPr>
              <w:spacing w:after="0" w:line="240" w:lineRule="auto"/>
              <w:jc w:val="center"/>
              <w:rPr>
                <w:sz w:val="20"/>
                <w:szCs w:val="20"/>
              </w:rPr>
            </w:pPr>
            <w:r w:rsidRPr="00E47390">
              <w:rPr>
                <w:sz w:val="20"/>
                <w:szCs w:val="20"/>
              </w:rPr>
              <w:t>--</w:t>
            </w:r>
          </w:p>
        </w:tc>
        <w:tc>
          <w:tcPr>
            <w:tcW w:w="784" w:type="dxa"/>
            <w:vAlign w:val="bottom"/>
          </w:tcPr>
          <w:p w:rsidR="00E47390" w:rsidRPr="00E47390" w:rsidRDefault="00E47390" w:rsidP="00E47390">
            <w:pPr>
              <w:spacing w:after="0" w:line="240" w:lineRule="auto"/>
              <w:jc w:val="center"/>
              <w:rPr>
                <w:sz w:val="20"/>
                <w:szCs w:val="20"/>
              </w:rPr>
            </w:pPr>
            <w:r w:rsidRPr="00E47390">
              <w:rPr>
                <w:sz w:val="20"/>
                <w:szCs w:val="20"/>
              </w:rPr>
              <w:t>--</w:t>
            </w:r>
          </w:p>
        </w:tc>
        <w:tc>
          <w:tcPr>
            <w:tcW w:w="784" w:type="dxa"/>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w:t>
            </w:r>
          </w:p>
        </w:tc>
        <w:tc>
          <w:tcPr>
            <w:tcW w:w="785" w:type="dxa"/>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w:t>
            </w:r>
          </w:p>
        </w:tc>
      </w:tr>
      <w:tr w:rsidR="00E47390" w:rsidRPr="00E47390" w:rsidTr="009D5584">
        <w:tc>
          <w:tcPr>
            <w:tcW w:w="1008" w:type="dxa"/>
            <w:vMerge/>
            <w:tcBorders>
              <w:bottom w:val="single" w:sz="4" w:space="0" w:color="auto"/>
            </w:tcBorders>
          </w:tcPr>
          <w:p w:rsidR="00E47390" w:rsidRPr="00E47390" w:rsidRDefault="00E47390" w:rsidP="00E47390">
            <w:pPr>
              <w:spacing w:after="0" w:line="240" w:lineRule="auto"/>
              <w:rPr>
                <w:sz w:val="20"/>
                <w:szCs w:val="20"/>
              </w:rPr>
            </w:pPr>
          </w:p>
        </w:tc>
        <w:tc>
          <w:tcPr>
            <w:tcW w:w="810" w:type="dxa"/>
            <w:vMerge/>
            <w:tcBorders>
              <w:bottom w:val="single" w:sz="4" w:space="0" w:color="auto"/>
            </w:tcBorders>
          </w:tcPr>
          <w:p w:rsidR="00E47390" w:rsidRPr="00E47390" w:rsidRDefault="00E47390" w:rsidP="00E47390">
            <w:pPr>
              <w:spacing w:after="0" w:line="240" w:lineRule="auto"/>
              <w:rPr>
                <w:sz w:val="20"/>
                <w:szCs w:val="20"/>
              </w:rPr>
            </w:pPr>
          </w:p>
        </w:tc>
        <w:tc>
          <w:tcPr>
            <w:tcW w:w="630" w:type="dxa"/>
            <w:tcBorders>
              <w:bottom w:val="single" w:sz="4" w:space="0" w:color="auto"/>
            </w:tcBorders>
          </w:tcPr>
          <w:p w:rsidR="00E47390" w:rsidRPr="00E47390" w:rsidRDefault="00E47390" w:rsidP="00E47390">
            <w:pPr>
              <w:spacing w:after="0" w:line="240" w:lineRule="auto"/>
              <w:rPr>
                <w:sz w:val="20"/>
                <w:szCs w:val="20"/>
              </w:rPr>
            </w:pPr>
            <w:r w:rsidRPr="00E47390">
              <w:rPr>
                <w:sz w:val="20"/>
                <w:szCs w:val="20"/>
              </w:rPr>
              <w:t>SGP</w:t>
            </w:r>
          </w:p>
        </w:tc>
        <w:tc>
          <w:tcPr>
            <w:tcW w:w="990" w:type="dxa"/>
            <w:tcBorders>
              <w:bottom w:val="single" w:sz="4" w:space="0" w:color="auto"/>
            </w:tcBorders>
            <w:vAlign w:val="bottom"/>
          </w:tcPr>
          <w:p w:rsidR="00E47390" w:rsidRPr="00E47390" w:rsidRDefault="00E47390" w:rsidP="00E47390">
            <w:pPr>
              <w:spacing w:after="0" w:line="240" w:lineRule="auto"/>
              <w:jc w:val="center"/>
              <w:rPr>
                <w:sz w:val="20"/>
                <w:szCs w:val="20"/>
              </w:rPr>
            </w:pPr>
            <w:r w:rsidRPr="00E47390">
              <w:rPr>
                <w:sz w:val="20"/>
                <w:szCs w:val="20"/>
              </w:rPr>
              <w:t>388,999</w:t>
            </w:r>
          </w:p>
        </w:tc>
        <w:tc>
          <w:tcPr>
            <w:tcW w:w="784" w:type="dxa"/>
            <w:tcBorders>
              <w:bottom w:val="single" w:sz="4" w:space="0" w:color="auto"/>
            </w:tcBorders>
            <w:vAlign w:val="bottom"/>
          </w:tcPr>
          <w:p w:rsidR="00E47390" w:rsidRPr="00E47390" w:rsidRDefault="00E47390" w:rsidP="00E47390">
            <w:pPr>
              <w:spacing w:after="0" w:line="240" w:lineRule="auto"/>
              <w:jc w:val="center"/>
              <w:rPr>
                <w:sz w:val="20"/>
                <w:szCs w:val="20"/>
              </w:rPr>
            </w:pPr>
            <w:r w:rsidRPr="00E47390">
              <w:rPr>
                <w:sz w:val="20"/>
                <w:szCs w:val="20"/>
              </w:rPr>
              <w:t>51.0</w:t>
            </w:r>
          </w:p>
        </w:tc>
        <w:tc>
          <w:tcPr>
            <w:tcW w:w="784" w:type="dxa"/>
            <w:tcBorders>
              <w:bottom w:val="single" w:sz="4" w:space="0" w:color="auto"/>
            </w:tcBorders>
            <w:vAlign w:val="bottom"/>
          </w:tcPr>
          <w:p w:rsidR="00E47390" w:rsidRPr="00E47390" w:rsidRDefault="00E47390" w:rsidP="00E47390">
            <w:pPr>
              <w:spacing w:after="0" w:line="240" w:lineRule="auto"/>
              <w:jc w:val="center"/>
              <w:rPr>
                <w:sz w:val="20"/>
                <w:szCs w:val="20"/>
              </w:rPr>
            </w:pPr>
            <w:r w:rsidRPr="00E47390">
              <w:rPr>
                <w:sz w:val="20"/>
                <w:szCs w:val="20"/>
              </w:rPr>
              <w:t>50.0</w:t>
            </w:r>
          </w:p>
        </w:tc>
        <w:tc>
          <w:tcPr>
            <w:tcW w:w="784" w:type="dxa"/>
            <w:tcBorders>
              <w:bottom w:val="single" w:sz="4" w:space="0" w:color="auto"/>
            </w:tcBorders>
          </w:tcPr>
          <w:p w:rsidR="00E47390" w:rsidRPr="00E47390" w:rsidRDefault="00E47390" w:rsidP="00E47390">
            <w:pPr>
              <w:spacing w:after="0" w:line="240" w:lineRule="auto"/>
              <w:rPr>
                <w:sz w:val="20"/>
                <w:szCs w:val="20"/>
              </w:rPr>
            </w:pPr>
            <w:r w:rsidRPr="00E47390">
              <w:rPr>
                <w:sz w:val="20"/>
                <w:szCs w:val="20"/>
              </w:rPr>
              <w:t>SGP</w:t>
            </w:r>
          </w:p>
        </w:tc>
        <w:tc>
          <w:tcPr>
            <w:tcW w:w="785" w:type="dxa"/>
            <w:tcBorders>
              <w:bottom w:val="single" w:sz="4" w:space="0" w:color="auto"/>
            </w:tcBorders>
            <w:vAlign w:val="bottom"/>
          </w:tcPr>
          <w:p w:rsidR="00E47390" w:rsidRPr="00E47390" w:rsidRDefault="00E47390" w:rsidP="00E47390">
            <w:pPr>
              <w:spacing w:after="0" w:line="240" w:lineRule="auto"/>
              <w:jc w:val="center"/>
              <w:rPr>
                <w:sz w:val="20"/>
                <w:szCs w:val="20"/>
              </w:rPr>
            </w:pPr>
            <w:r w:rsidRPr="00E47390">
              <w:rPr>
                <w:sz w:val="20"/>
                <w:szCs w:val="20"/>
              </w:rPr>
              <w:t>50.0</w:t>
            </w:r>
          </w:p>
        </w:tc>
        <w:tc>
          <w:tcPr>
            <w:tcW w:w="784" w:type="dxa"/>
            <w:tcBorders>
              <w:bottom w:val="single" w:sz="4" w:space="0" w:color="auto"/>
            </w:tcBorders>
            <w:vAlign w:val="bottom"/>
          </w:tcPr>
          <w:p w:rsidR="00E47390" w:rsidRPr="00E47390" w:rsidRDefault="00E47390" w:rsidP="00E47390">
            <w:pPr>
              <w:spacing w:after="0" w:line="240" w:lineRule="auto"/>
              <w:jc w:val="center"/>
              <w:rPr>
                <w:sz w:val="20"/>
                <w:szCs w:val="20"/>
              </w:rPr>
            </w:pPr>
            <w:r w:rsidRPr="00E47390">
              <w:rPr>
                <w:sz w:val="20"/>
                <w:szCs w:val="20"/>
              </w:rPr>
              <w:t>50.0</w:t>
            </w:r>
          </w:p>
        </w:tc>
        <w:tc>
          <w:tcPr>
            <w:tcW w:w="784" w:type="dxa"/>
            <w:tcBorders>
              <w:bottom w:val="single" w:sz="4" w:space="0" w:color="auto"/>
            </w:tcBorders>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0.0</w:t>
            </w:r>
          </w:p>
        </w:tc>
        <w:tc>
          <w:tcPr>
            <w:tcW w:w="785" w:type="dxa"/>
            <w:tcBorders>
              <w:bottom w:val="single" w:sz="4" w:space="0" w:color="auto"/>
            </w:tcBorders>
            <w:vAlign w:val="bottom"/>
          </w:tcPr>
          <w:p w:rsidR="00E47390" w:rsidRPr="00E47390" w:rsidRDefault="00E47390" w:rsidP="00E47390">
            <w:pPr>
              <w:spacing w:after="0" w:line="240" w:lineRule="auto"/>
              <w:jc w:val="center"/>
              <w:rPr>
                <w:rFonts w:ascii="Calibri" w:hAnsi="Calibri"/>
                <w:sz w:val="20"/>
                <w:szCs w:val="20"/>
              </w:rPr>
            </w:pPr>
            <w:r w:rsidRPr="00E47390">
              <w:rPr>
                <w:rFonts w:ascii="Calibri" w:hAnsi="Calibri"/>
                <w:sz w:val="20"/>
                <w:szCs w:val="20"/>
              </w:rPr>
              <w:t>-1.0</w:t>
            </w:r>
          </w:p>
        </w:tc>
      </w:tr>
    </w:tbl>
    <w:p w:rsidR="00E47390" w:rsidRPr="00E47390" w:rsidRDefault="00E47390" w:rsidP="00E47390">
      <w:pPr>
        <w:spacing w:after="0" w:line="240" w:lineRule="auto"/>
      </w:pPr>
    </w:p>
    <w:p w:rsidR="001320EB" w:rsidRPr="00F04EDB" w:rsidRDefault="001320EB" w:rsidP="002F1EBE">
      <w:pPr>
        <w:spacing w:after="0" w:line="240" w:lineRule="auto"/>
        <w:rPr>
          <w:rFonts w:eastAsia="Times New Roman" w:cs="Times New Roman"/>
        </w:rPr>
      </w:pPr>
    </w:p>
    <w:p w:rsidR="002F1EBE" w:rsidRPr="00F04EDB" w:rsidRDefault="002F1EBE" w:rsidP="002F1EBE">
      <w:pPr>
        <w:spacing w:after="0" w:line="240" w:lineRule="auto"/>
        <w:rPr>
          <w:rFonts w:eastAsia="Times New Roman" w:cs="Times New Roman"/>
        </w:rPr>
      </w:pPr>
    </w:p>
    <w:p w:rsidR="002F1EBE" w:rsidRPr="00F04EDB" w:rsidRDefault="002F1EBE" w:rsidP="002F1EBE">
      <w:pPr>
        <w:spacing w:after="0" w:line="240" w:lineRule="auto"/>
        <w:rPr>
          <w:rFonts w:eastAsia="Times New Roman" w:cs="Times New Roman"/>
        </w:rPr>
      </w:pPr>
    </w:p>
    <w:p w:rsidR="00720D18" w:rsidRPr="00F04EDB" w:rsidRDefault="00720D18" w:rsidP="00720D18">
      <w:pPr>
        <w:spacing w:after="0" w:line="240" w:lineRule="auto"/>
        <w:rPr>
          <w:rFonts w:eastAsia="Times New Roman" w:cs="Times New Roman"/>
        </w:rPr>
      </w:pPr>
    </w:p>
    <w:p w:rsidR="00720D18" w:rsidRPr="00F04EDB" w:rsidRDefault="00720D18" w:rsidP="00720D18">
      <w:pPr>
        <w:spacing w:after="0" w:line="240" w:lineRule="auto"/>
        <w:rPr>
          <w:rFonts w:eastAsia="Times New Roman" w:cs="Times New Roman"/>
        </w:rPr>
      </w:pPr>
    </w:p>
    <w:p w:rsidR="00720D18" w:rsidRPr="00F04EDB" w:rsidRDefault="00720D18" w:rsidP="00720D18">
      <w:pPr>
        <w:spacing w:after="0" w:line="240" w:lineRule="auto"/>
        <w:rPr>
          <w:rFonts w:eastAsia="Times New Roman" w:cs="Times New Roman"/>
        </w:rPr>
      </w:pPr>
    </w:p>
    <w:p w:rsidR="00720D18" w:rsidRPr="00F04EDB" w:rsidRDefault="00720D18" w:rsidP="00720D18">
      <w:pPr>
        <w:spacing w:after="0" w:line="240" w:lineRule="auto"/>
        <w:rPr>
          <w:rFonts w:eastAsia="Times New Roman" w:cs="Times New Roman"/>
        </w:rPr>
      </w:pPr>
    </w:p>
    <w:p w:rsidR="00720D18" w:rsidRPr="00F04EDB" w:rsidRDefault="00720D18" w:rsidP="00720D18">
      <w:pPr>
        <w:spacing w:after="0" w:line="240" w:lineRule="auto"/>
        <w:rPr>
          <w:rFonts w:eastAsia="Times New Roman" w:cs="Times New Roman"/>
        </w:rPr>
      </w:pPr>
    </w:p>
    <w:p w:rsidR="002F1EBE" w:rsidRPr="00F04EDB" w:rsidRDefault="002F1EBE" w:rsidP="002F1EBE">
      <w:pPr>
        <w:spacing w:after="0" w:line="240" w:lineRule="auto"/>
        <w:rPr>
          <w:rFonts w:eastAsia="Times New Roman" w:cs="Times New Roman"/>
        </w:rPr>
      </w:pPr>
      <w:r w:rsidRPr="00F04EDB">
        <w:rPr>
          <w:rFonts w:eastAsia="Times New Roman" w:cs="Times New Roman"/>
        </w:rPr>
        <w:br w:type="page"/>
      </w:r>
    </w:p>
    <w:p w:rsidR="003F5A3D" w:rsidRPr="003F5A3D" w:rsidRDefault="003F5A3D" w:rsidP="003F5A3D">
      <w:pPr>
        <w:spacing w:after="0" w:line="240" w:lineRule="auto"/>
        <w:jc w:val="center"/>
        <w:rPr>
          <w:rFonts w:eastAsia="Calibri" w:cs="Times New Roman"/>
          <w:b/>
          <w:sz w:val="20"/>
          <w:szCs w:val="20"/>
        </w:rPr>
      </w:pPr>
      <w:r w:rsidRPr="003F5A3D">
        <w:rPr>
          <w:rFonts w:eastAsia="Calibri" w:cs="Times New Roman"/>
          <w:b/>
          <w:sz w:val="20"/>
          <w:szCs w:val="20"/>
        </w:rPr>
        <w:t xml:space="preserve">Table </w:t>
      </w:r>
      <w:r w:rsidR="002F368B" w:rsidRPr="003F5A3D">
        <w:rPr>
          <w:rFonts w:eastAsia="Calibri" w:cs="Times New Roman"/>
          <w:b/>
          <w:sz w:val="20"/>
          <w:szCs w:val="20"/>
        </w:rPr>
        <w:t>B</w:t>
      </w:r>
      <w:r w:rsidR="00923109">
        <w:rPr>
          <w:rFonts w:eastAsia="Calibri" w:cs="Times New Roman"/>
          <w:b/>
          <w:sz w:val="20"/>
          <w:szCs w:val="20"/>
        </w:rPr>
        <w:t>7</w:t>
      </w:r>
      <w:r w:rsidR="002F368B" w:rsidRPr="003F5A3D">
        <w:rPr>
          <w:rFonts w:eastAsia="Calibri" w:cs="Times New Roman"/>
          <w:b/>
          <w:sz w:val="20"/>
          <w:szCs w:val="20"/>
        </w:rPr>
        <w:t>b</w:t>
      </w:r>
      <w:r w:rsidRPr="003F5A3D">
        <w:rPr>
          <w:rFonts w:eastAsia="Calibri" w:cs="Times New Roman"/>
          <w:b/>
          <w:sz w:val="20"/>
          <w:szCs w:val="20"/>
        </w:rPr>
        <w:t xml:space="preserve">: </w:t>
      </w:r>
      <w:r w:rsidRPr="003F5A3D">
        <w:rPr>
          <w:rFonts w:ascii="Calibri" w:eastAsia="Calibri" w:hAnsi="Calibri" w:cs="Times New Roman"/>
          <w:b/>
          <w:sz w:val="20"/>
        </w:rPr>
        <w:t>Worcester</w:t>
      </w:r>
      <w:r w:rsidRPr="003F5A3D">
        <w:rPr>
          <w:rFonts w:eastAsia="Calibri" w:cs="Times New Roman"/>
          <w:b/>
          <w:sz w:val="20"/>
          <w:szCs w:val="20"/>
        </w:rPr>
        <w:t xml:space="preserve"> Public Schools</w:t>
      </w:r>
    </w:p>
    <w:p w:rsidR="003F5A3D" w:rsidRPr="003F5A3D" w:rsidRDefault="003F5A3D" w:rsidP="003F5A3D">
      <w:pPr>
        <w:spacing w:after="0" w:line="240" w:lineRule="auto"/>
        <w:jc w:val="center"/>
        <w:rPr>
          <w:rFonts w:eastAsia="Calibri" w:cs="Times New Roman"/>
          <w:b/>
          <w:sz w:val="20"/>
          <w:szCs w:val="20"/>
        </w:rPr>
      </w:pPr>
      <w:r w:rsidRPr="003F5A3D">
        <w:rPr>
          <w:rFonts w:eastAsia="Calibri" w:cs="Times New Roman"/>
          <w:b/>
          <w:sz w:val="20"/>
          <w:szCs w:val="20"/>
        </w:rPr>
        <w:t>Mathematics (All Grades)</w:t>
      </w:r>
    </w:p>
    <w:p w:rsidR="003F5A3D" w:rsidRPr="003F5A3D" w:rsidRDefault="003F5A3D" w:rsidP="003F5A3D">
      <w:pPr>
        <w:spacing w:after="0" w:line="240" w:lineRule="auto"/>
        <w:jc w:val="center"/>
        <w:rPr>
          <w:rFonts w:eastAsia="Calibri" w:cs="Times New Roman"/>
          <w:b/>
          <w:sz w:val="20"/>
          <w:szCs w:val="20"/>
        </w:rPr>
      </w:pPr>
      <w:r w:rsidRPr="003F5A3D">
        <w:rPr>
          <w:rFonts w:eastAsia="Calibri" w:cs="Times New Roman"/>
          <w:b/>
          <w:sz w:val="20"/>
          <w:szCs w:val="20"/>
        </w:rPr>
        <w:t>Performance for Selected Subgroups Compared to State, 2013–2016</w:t>
      </w:r>
      <w:r w:rsidRPr="003F5A3D">
        <w:rPr>
          <w:rFonts w:eastAsia="Calibri" w:cs="Times New Roman"/>
          <w:b/>
          <w:sz w:val="20"/>
          <w:vertAlign w:val="superscript"/>
        </w:rPr>
        <w:footnoteReference w:id="28"/>
      </w:r>
    </w:p>
    <w:tbl>
      <w:tblPr>
        <w:tblStyle w:val="TableGrid"/>
        <w:tblW w:w="8928" w:type="dxa"/>
        <w:tblLayout w:type="fixed"/>
        <w:tblLook w:val="04A0"/>
      </w:tblPr>
      <w:tblGrid>
        <w:gridCol w:w="1008"/>
        <w:gridCol w:w="810"/>
        <w:gridCol w:w="630"/>
        <w:gridCol w:w="990"/>
        <w:gridCol w:w="784"/>
        <w:gridCol w:w="784"/>
        <w:gridCol w:w="784"/>
        <w:gridCol w:w="785"/>
        <w:gridCol w:w="784"/>
        <w:gridCol w:w="784"/>
        <w:gridCol w:w="785"/>
      </w:tblGrid>
      <w:tr w:rsidR="003F5A3D" w:rsidRPr="003F5A3D" w:rsidTr="009D5584">
        <w:tc>
          <w:tcPr>
            <w:tcW w:w="2448" w:type="dxa"/>
            <w:gridSpan w:val="3"/>
            <w:vMerge w:val="restart"/>
            <w:vAlign w:val="center"/>
          </w:tcPr>
          <w:p w:rsidR="003F5A3D" w:rsidRPr="003F5A3D" w:rsidRDefault="003F5A3D" w:rsidP="003F5A3D">
            <w:pPr>
              <w:spacing w:after="0" w:line="240" w:lineRule="auto"/>
              <w:jc w:val="center"/>
              <w:rPr>
                <w:b/>
                <w:sz w:val="20"/>
                <w:szCs w:val="20"/>
              </w:rPr>
            </w:pPr>
            <w:r w:rsidRPr="003F5A3D">
              <w:rPr>
                <w:b/>
                <w:sz w:val="20"/>
                <w:szCs w:val="20"/>
              </w:rPr>
              <w:t>Group and Measure</w:t>
            </w:r>
          </w:p>
        </w:tc>
        <w:tc>
          <w:tcPr>
            <w:tcW w:w="990" w:type="dxa"/>
            <w:vMerge w:val="restart"/>
            <w:vAlign w:val="center"/>
          </w:tcPr>
          <w:p w:rsidR="003F5A3D" w:rsidRPr="003F5A3D" w:rsidRDefault="003F5A3D" w:rsidP="003F5A3D">
            <w:pPr>
              <w:spacing w:after="0" w:line="240" w:lineRule="auto"/>
              <w:jc w:val="center"/>
              <w:rPr>
                <w:b/>
                <w:sz w:val="20"/>
                <w:szCs w:val="20"/>
              </w:rPr>
            </w:pPr>
            <w:r w:rsidRPr="003F5A3D">
              <w:rPr>
                <w:b/>
                <w:sz w:val="20"/>
                <w:szCs w:val="20"/>
              </w:rPr>
              <w:t>Number Included (2016)</w:t>
            </w:r>
          </w:p>
        </w:tc>
        <w:tc>
          <w:tcPr>
            <w:tcW w:w="3921" w:type="dxa"/>
            <w:gridSpan w:val="5"/>
            <w:vAlign w:val="center"/>
          </w:tcPr>
          <w:p w:rsidR="003F5A3D" w:rsidRPr="003F5A3D" w:rsidRDefault="003F5A3D" w:rsidP="003F5A3D">
            <w:pPr>
              <w:spacing w:after="0" w:line="240" w:lineRule="auto"/>
              <w:jc w:val="center"/>
              <w:rPr>
                <w:b/>
                <w:sz w:val="20"/>
                <w:szCs w:val="20"/>
              </w:rPr>
            </w:pPr>
            <w:r w:rsidRPr="003F5A3D">
              <w:rPr>
                <w:b/>
                <w:sz w:val="20"/>
                <w:szCs w:val="20"/>
              </w:rPr>
              <w:t>Accountability</w:t>
            </w:r>
          </w:p>
        </w:tc>
        <w:tc>
          <w:tcPr>
            <w:tcW w:w="784" w:type="dxa"/>
            <w:vMerge w:val="restart"/>
            <w:vAlign w:val="center"/>
          </w:tcPr>
          <w:p w:rsidR="003F5A3D" w:rsidRPr="003F5A3D" w:rsidRDefault="003F5A3D" w:rsidP="003F5A3D">
            <w:pPr>
              <w:spacing w:after="0" w:line="240" w:lineRule="auto"/>
              <w:jc w:val="center"/>
              <w:rPr>
                <w:b/>
                <w:sz w:val="20"/>
                <w:szCs w:val="20"/>
              </w:rPr>
            </w:pPr>
            <w:r w:rsidRPr="003F5A3D">
              <w:rPr>
                <w:b/>
                <w:sz w:val="20"/>
                <w:szCs w:val="20"/>
              </w:rPr>
              <w:t>2-Year Trend</w:t>
            </w:r>
          </w:p>
        </w:tc>
        <w:tc>
          <w:tcPr>
            <w:tcW w:w="785" w:type="dxa"/>
            <w:vMerge w:val="restart"/>
            <w:vAlign w:val="center"/>
          </w:tcPr>
          <w:p w:rsidR="003F5A3D" w:rsidRPr="003F5A3D" w:rsidRDefault="003F5A3D" w:rsidP="003F5A3D">
            <w:pPr>
              <w:spacing w:after="0" w:line="240" w:lineRule="auto"/>
              <w:jc w:val="center"/>
              <w:rPr>
                <w:b/>
                <w:sz w:val="20"/>
                <w:szCs w:val="20"/>
              </w:rPr>
            </w:pPr>
            <w:r w:rsidRPr="003F5A3D">
              <w:rPr>
                <w:b/>
                <w:sz w:val="20"/>
                <w:szCs w:val="20"/>
              </w:rPr>
              <w:t>4-Year Trend</w:t>
            </w:r>
          </w:p>
        </w:tc>
      </w:tr>
      <w:tr w:rsidR="003F5A3D" w:rsidRPr="003F5A3D" w:rsidTr="009D5584">
        <w:trPr>
          <w:trHeight w:val="244"/>
        </w:trPr>
        <w:tc>
          <w:tcPr>
            <w:tcW w:w="2448" w:type="dxa"/>
            <w:gridSpan w:val="3"/>
            <w:vMerge/>
          </w:tcPr>
          <w:p w:rsidR="003F5A3D" w:rsidRPr="003F5A3D" w:rsidRDefault="003F5A3D" w:rsidP="003F5A3D">
            <w:pPr>
              <w:spacing w:after="0" w:line="240" w:lineRule="auto"/>
              <w:jc w:val="center"/>
              <w:rPr>
                <w:b/>
                <w:sz w:val="20"/>
                <w:szCs w:val="20"/>
              </w:rPr>
            </w:pPr>
          </w:p>
        </w:tc>
        <w:tc>
          <w:tcPr>
            <w:tcW w:w="990" w:type="dxa"/>
            <w:vMerge/>
          </w:tcPr>
          <w:p w:rsidR="003F5A3D" w:rsidRPr="003F5A3D" w:rsidRDefault="003F5A3D" w:rsidP="003F5A3D">
            <w:pPr>
              <w:spacing w:after="0" w:line="240" w:lineRule="auto"/>
              <w:jc w:val="center"/>
              <w:rPr>
                <w:b/>
                <w:sz w:val="20"/>
                <w:szCs w:val="20"/>
              </w:rPr>
            </w:pPr>
          </w:p>
        </w:tc>
        <w:tc>
          <w:tcPr>
            <w:tcW w:w="1568" w:type="dxa"/>
            <w:gridSpan w:val="2"/>
          </w:tcPr>
          <w:p w:rsidR="003F5A3D" w:rsidRPr="003F5A3D" w:rsidRDefault="003F5A3D" w:rsidP="003F5A3D">
            <w:pPr>
              <w:spacing w:after="0" w:line="240" w:lineRule="auto"/>
              <w:jc w:val="center"/>
              <w:rPr>
                <w:b/>
                <w:sz w:val="20"/>
                <w:szCs w:val="20"/>
              </w:rPr>
            </w:pPr>
            <w:r w:rsidRPr="003F5A3D">
              <w:rPr>
                <w:b/>
                <w:sz w:val="20"/>
                <w:szCs w:val="20"/>
              </w:rPr>
              <w:t>MCAS</w:t>
            </w:r>
          </w:p>
        </w:tc>
        <w:tc>
          <w:tcPr>
            <w:tcW w:w="784" w:type="dxa"/>
          </w:tcPr>
          <w:p w:rsidR="003F5A3D" w:rsidRPr="003F5A3D" w:rsidRDefault="003F5A3D" w:rsidP="003F5A3D">
            <w:pPr>
              <w:spacing w:after="0" w:line="240" w:lineRule="auto"/>
              <w:jc w:val="center"/>
              <w:rPr>
                <w:b/>
                <w:sz w:val="20"/>
                <w:szCs w:val="20"/>
              </w:rPr>
            </w:pPr>
          </w:p>
        </w:tc>
        <w:tc>
          <w:tcPr>
            <w:tcW w:w="1569" w:type="dxa"/>
            <w:gridSpan w:val="2"/>
          </w:tcPr>
          <w:p w:rsidR="003F5A3D" w:rsidRPr="003F5A3D" w:rsidRDefault="003F5A3D" w:rsidP="003F5A3D">
            <w:pPr>
              <w:spacing w:after="0" w:line="240" w:lineRule="auto"/>
              <w:jc w:val="center"/>
              <w:rPr>
                <w:b/>
                <w:sz w:val="20"/>
                <w:szCs w:val="20"/>
              </w:rPr>
            </w:pPr>
            <w:r w:rsidRPr="003F5A3D">
              <w:rPr>
                <w:b/>
                <w:sz w:val="20"/>
                <w:szCs w:val="20"/>
              </w:rPr>
              <w:t>MCAS/PARCC</w:t>
            </w:r>
          </w:p>
        </w:tc>
        <w:tc>
          <w:tcPr>
            <w:tcW w:w="784" w:type="dxa"/>
            <w:vMerge/>
          </w:tcPr>
          <w:p w:rsidR="003F5A3D" w:rsidRPr="003F5A3D" w:rsidRDefault="003F5A3D" w:rsidP="003F5A3D">
            <w:pPr>
              <w:spacing w:after="0" w:line="240" w:lineRule="auto"/>
              <w:jc w:val="center"/>
              <w:rPr>
                <w:b/>
                <w:sz w:val="20"/>
                <w:szCs w:val="20"/>
              </w:rPr>
            </w:pPr>
          </w:p>
        </w:tc>
        <w:tc>
          <w:tcPr>
            <w:tcW w:w="785" w:type="dxa"/>
            <w:vMerge/>
          </w:tcPr>
          <w:p w:rsidR="003F5A3D" w:rsidRPr="003F5A3D" w:rsidRDefault="003F5A3D" w:rsidP="003F5A3D">
            <w:pPr>
              <w:spacing w:after="0" w:line="240" w:lineRule="auto"/>
              <w:jc w:val="center"/>
              <w:rPr>
                <w:b/>
                <w:sz w:val="20"/>
                <w:szCs w:val="20"/>
              </w:rPr>
            </w:pPr>
          </w:p>
        </w:tc>
      </w:tr>
      <w:tr w:rsidR="003F5A3D" w:rsidRPr="003F5A3D" w:rsidTr="009D5584">
        <w:tc>
          <w:tcPr>
            <w:tcW w:w="2448" w:type="dxa"/>
            <w:gridSpan w:val="3"/>
            <w:vMerge/>
          </w:tcPr>
          <w:p w:rsidR="003F5A3D" w:rsidRPr="003F5A3D" w:rsidRDefault="003F5A3D" w:rsidP="003F5A3D">
            <w:pPr>
              <w:spacing w:after="0" w:line="240" w:lineRule="auto"/>
              <w:jc w:val="center"/>
              <w:rPr>
                <w:sz w:val="20"/>
                <w:szCs w:val="20"/>
              </w:rPr>
            </w:pPr>
          </w:p>
        </w:tc>
        <w:tc>
          <w:tcPr>
            <w:tcW w:w="990" w:type="dxa"/>
            <w:vMerge/>
          </w:tcPr>
          <w:p w:rsidR="003F5A3D" w:rsidRPr="003F5A3D" w:rsidRDefault="003F5A3D" w:rsidP="003F5A3D">
            <w:pPr>
              <w:spacing w:after="0" w:line="240" w:lineRule="auto"/>
              <w:jc w:val="center"/>
              <w:rPr>
                <w:sz w:val="20"/>
                <w:szCs w:val="20"/>
              </w:rPr>
            </w:pPr>
          </w:p>
        </w:tc>
        <w:tc>
          <w:tcPr>
            <w:tcW w:w="784" w:type="dxa"/>
          </w:tcPr>
          <w:p w:rsidR="003F5A3D" w:rsidRPr="003F5A3D" w:rsidRDefault="003F5A3D" w:rsidP="003F5A3D">
            <w:pPr>
              <w:spacing w:after="0" w:line="240" w:lineRule="auto"/>
              <w:jc w:val="center"/>
              <w:rPr>
                <w:b/>
                <w:sz w:val="20"/>
                <w:szCs w:val="20"/>
              </w:rPr>
            </w:pPr>
            <w:r w:rsidRPr="003F5A3D">
              <w:rPr>
                <w:b/>
                <w:sz w:val="20"/>
                <w:szCs w:val="20"/>
              </w:rPr>
              <w:t>2013</w:t>
            </w:r>
          </w:p>
        </w:tc>
        <w:tc>
          <w:tcPr>
            <w:tcW w:w="784" w:type="dxa"/>
          </w:tcPr>
          <w:p w:rsidR="003F5A3D" w:rsidRPr="003F5A3D" w:rsidRDefault="003F5A3D" w:rsidP="003F5A3D">
            <w:pPr>
              <w:spacing w:after="0" w:line="240" w:lineRule="auto"/>
              <w:jc w:val="center"/>
              <w:rPr>
                <w:b/>
                <w:sz w:val="20"/>
                <w:szCs w:val="20"/>
              </w:rPr>
            </w:pPr>
            <w:r w:rsidRPr="003F5A3D">
              <w:rPr>
                <w:b/>
                <w:sz w:val="20"/>
                <w:szCs w:val="20"/>
              </w:rPr>
              <w:t>2014</w:t>
            </w:r>
          </w:p>
        </w:tc>
        <w:tc>
          <w:tcPr>
            <w:tcW w:w="784" w:type="dxa"/>
          </w:tcPr>
          <w:p w:rsidR="003F5A3D" w:rsidRPr="003F5A3D" w:rsidRDefault="003F5A3D" w:rsidP="003F5A3D">
            <w:pPr>
              <w:spacing w:after="0" w:line="240" w:lineRule="auto"/>
              <w:jc w:val="center"/>
              <w:rPr>
                <w:b/>
                <w:sz w:val="20"/>
                <w:szCs w:val="20"/>
              </w:rPr>
            </w:pPr>
          </w:p>
        </w:tc>
        <w:tc>
          <w:tcPr>
            <w:tcW w:w="785" w:type="dxa"/>
          </w:tcPr>
          <w:p w:rsidR="003F5A3D" w:rsidRPr="003F5A3D" w:rsidRDefault="003F5A3D" w:rsidP="003F5A3D">
            <w:pPr>
              <w:spacing w:after="0" w:line="240" w:lineRule="auto"/>
              <w:jc w:val="center"/>
              <w:rPr>
                <w:b/>
                <w:sz w:val="20"/>
                <w:szCs w:val="20"/>
              </w:rPr>
            </w:pPr>
            <w:r w:rsidRPr="003F5A3D">
              <w:rPr>
                <w:b/>
                <w:sz w:val="20"/>
                <w:szCs w:val="20"/>
              </w:rPr>
              <w:t>2015</w:t>
            </w:r>
          </w:p>
        </w:tc>
        <w:tc>
          <w:tcPr>
            <w:tcW w:w="784" w:type="dxa"/>
          </w:tcPr>
          <w:p w:rsidR="003F5A3D" w:rsidRPr="003F5A3D" w:rsidRDefault="003F5A3D" w:rsidP="003F5A3D">
            <w:pPr>
              <w:spacing w:after="0" w:line="240" w:lineRule="auto"/>
              <w:jc w:val="center"/>
              <w:rPr>
                <w:b/>
                <w:sz w:val="20"/>
                <w:szCs w:val="20"/>
              </w:rPr>
            </w:pPr>
            <w:r w:rsidRPr="003F5A3D">
              <w:rPr>
                <w:b/>
                <w:sz w:val="20"/>
                <w:szCs w:val="20"/>
              </w:rPr>
              <w:t>2016</w:t>
            </w:r>
          </w:p>
        </w:tc>
        <w:tc>
          <w:tcPr>
            <w:tcW w:w="784" w:type="dxa"/>
            <w:vMerge/>
          </w:tcPr>
          <w:p w:rsidR="003F5A3D" w:rsidRPr="003F5A3D" w:rsidRDefault="003F5A3D" w:rsidP="003F5A3D">
            <w:pPr>
              <w:spacing w:after="0" w:line="240" w:lineRule="auto"/>
              <w:jc w:val="center"/>
              <w:rPr>
                <w:sz w:val="20"/>
                <w:szCs w:val="20"/>
              </w:rPr>
            </w:pPr>
          </w:p>
        </w:tc>
        <w:tc>
          <w:tcPr>
            <w:tcW w:w="785" w:type="dxa"/>
            <w:vMerge/>
          </w:tcPr>
          <w:p w:rsidR="003F5A3D" w:rsidRPr="003F5A3D" w:rsidRDefault="003F5A3D" w:rsidP="003F5A3D">
            <w:pPr>
              <w:spacing w:after="0" w:line="240" w:lineRule="auto"/>
              <w:jc w:val="center"/>
              <w:rPr>
                <w:sz w:val="20"/>
                <w:szCs w:val="20"/>
              </w:rPr>
            </w:pPr>
          </w:p>
        </w:tc>
      </w:tr>
      <w:tr w:rsidR="003F5A3D" w:rsidRPr="003F5A3D" w:rsidTr="009D5584">
        <w:tc>
          <w:tcPr>
            <w:tcW w:w="1008" w:type="dxa"/>
            <w:vMerge w:val="restart"/>
            <w:vAlign w:val="center"/>
          </w:tcPr>
          <w:p w:rsidR="003F5A3D" w:rsidRPr="003F5A3D" w:rsidRDefault="003F5A3D" w:rsidP="003F5A3D">
            <w:pPr>
              <w:spacing w:after="0" w:line="240" w:lineRule="auto"/>
              <w:jc w:val="center"/>
              <w:rPr>
                <w:sz w:val="20"/>
                <w:szCs w:val="20"/>
              </w:rPr>
            </w:pPr>
            <w:r w:rsidRPr="003F5A3D">
              <w:rPr>
                <w:sz w:val="20"/>
                <w:szCs w:val="20"/>
              </w:rPr>
              <w:t>High Needs</w:t>
            </w:r>
          </w:p>
        </w:tc>
        <w:tc>
          <w:tcPr>
            <w:tcW w:w="810" w:type="dxa"/>
            <w:vMerge w:val="restart"/>
            <w:shd w:val="clear" w:color="auto" w:fill="D9D9D9" w:themeFill="background1" w:themeFillShade="D9"/>
            <w:vAlign w:val="center"/>
          </w:tcPr>
          <w:p w:rsidR="003F5A3D" w:rsidRPr="003F5A3D" w:rsidRDefault="003F5A3D" w:rsidP="003F5A3D">
            <w:pPr>
              <w:spacing w:after="0" w:line="240" w:lineRule="auto"/>
              <w:jc w:val="center"/>
              <w:rPr>
                <w:sz w:val="20"/>
                <w:szCs w:val="20"/>
              </w:rPr>
            </w:pPr>
            <w:r w:rsidRPr="003F5A3D">
              <w:rPr>
                <w:sz w:val="20"/>
                <w:szCs w:val="20"/>
              </w:rPr>
              <w:t>District</w:t>
            </w:r>
          </w:p>
        </w:tc>
        <w:tc>
          <w:tcPr>
            <w:tcW w:w="630" w:type="dxa"/>
            <w:shd w:val="clear" w:color="auto" w:fill="D9D9D9" w:themeFill="background1" w:themeFillShade="D9"/>
          </w:tcPr>
          <w:p w:rsidR="003F5A3D" w:rsidRPr="003F5A3D" w:rsidRDefault="003F5A3D" w:rsidP="003F5A3D">
            <w:pPr>
              <w:spacing w:after="0" w:line="240" w:lineRule="auto"/>
              <w:rPr>
                <w:sz w:val="20"/>
                <w:szCs w:val="20"/>
              </w:rPr>
            </w:pPr>
            <w:r w:rsidRPr="003F5A3D">
              <w:rPr>
                <w:sz w:val="20"/>
                <w:szCs w:val="20"/>
              </w:rPr>
              <w:t>CPI</w:t>
            </w:r>
          </w:p>
        </w:tc>
        <w:tc>
          <w:tcPr>
            <w:tcW w:w="990" w:type="dxa"/>
            <w:shd w:val="clear" w:color="auto" w:fill="D9D9D9" w:themeFill="background1" w:themeFillShade="D9"/>
            <w:vAlign w:val="bottom"/>
          </w:tcPr>
          <w:p w:rsidR="003F5A3D" w:rsidRPr="003F5A3D" w:rsidRDefault="003F5A3D" w:rsidP="003F5A3D">
            <w:pPr>
              <w:spacing w:after="0" w:line="240" w:lineRule="auto"/>
              <w:jc w:val="center"/>
              <w:rPr>
                <w:sz w:val="20"/>
                <w:szCs w:val="20"/>
              </w:rPr>
            </w:pPr>
            <w:r w:rsidRPr="003F5A3D">
              <w:rPr>
                <w:sz w:val="20"/>
                <w:szCs w:val="20"/>
              </w:rPr>
              <w:t>9,218</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63.5</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61.3</w:t>
            </w:r>
          </w:p>
        </w:tc>
        <w:tc>
          <w:tcPr>
            <w:tcW w:w="784" w:type="dxa"/>
            <w:shd w:val="clear" w:color="auto" w:fill="D9D9D9" w:themeFill="background1" w:themeFillShade="D9"/>
          </w:tcPr>
          <w:p w:rsidR="003F5A3D" w:rsidRPr="003F5A3D" w:rsidRDefault="003F5A3D" w:rsidP="003F5A3D">
            <w:pPr>
              <w:spacing w:after="0" w:line="240" w:lineRule="auto"/>
              <w:rPr>
                <w:sz w:val="20"/>
                <w:szCs w:val="20"/>
              </w:rPr>
            </w:pPr>
            <w:r w:rsidRPr="003F5A3D">
              <w:rPr>
                <w:sz w:val="20"/>
                <w:szCs w:val="20"/>
              </w:rPr>
              <w:t>CPI</w:t>
            </w:r>
          </w:p>
        </w:tc>
        <w:tc>
          <w:tcPr>
            <w:tcW w:w="785" w:type="dxa"/>
            <w:shd w:val="clear" w:color="auto" w:fill="D9D9D9" w:themeFill="background1" w:themeFillShade="D9"/>
            <w:vAlign w:val="bottom"/>
          </w:tcPr>
          <w:p w:rsidR="003F5A3D" w:rsidRPr="003F5A3D" w:rsidRDefault="003F5A3D" w:rsidP="003F5A3D">
            <w:pPr>
              <w:spacing w:after="0" w:line="240" w:lineRule="auto"/>
              <w:jc w:val="center"/>
              <w:rPr>
                <w:sz w:val="20"/>
                <w:szCs w:val="20"/>
              </w:rPr>
            </w:pPr>
            <w:r w:rsidRPr="003F5A3D">
              <w:rPr>
                <w:sz w:val="20"/>
                <w:szCs w:val="20"/>
              </w:rPr>
              <w:t>60.8</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sz w:val="20"/>
                <w:szCs w:val="20"/>
              </w:rPr>
            </w:pPr>
            <w:r w:rsidRPr="003F5A3D">
              <w:rPr>
                <w:sz w:val="20"/>
                <w:szCs w:val="20"/>
              </w:rPr>
              <w:t>62.0</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1.2</w:t>
            </w:r>
          </w:p>
        </w:tc>
        <w:tc>
          <w:tcPr>
            <w:tcW w:w="785" w:type="dxa"/>
            <w:shd w:val="clear" w:color="auto" w:fill="D9D9D9" w:themeFill="background1" w:themeFillShade="D9"/>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-1.5</w:t>
            </w:r>
          </w:p>
        </w:tc>
      </w:tr>
      <w:tr w:rsidR="003F5A3D" w:rsidRPr="003F5A3D" w:rsidTr="009D5584">
        <w:tc>
          <w:tcPr>
            <w:tcW w:w="1008" w:type="dxa"/>
            <w:vMerge/>
            <w:vAlign w:val="center"/>
          </w:tcPr>
          <w:p w:rsidR="003F5A3D" w:rsidRPr="003F5A3D" w:rsidRDefault="003F5A3D" w:rsidP="003F5A3D">
            <w:pPr>
              <w:spacing w:after="0" w:line="240" w:lineRule="auto"/>
              <w:jc w:val="center"/>
              <w:rPr>
                <w:sz w:val="20"/>
                <w:szCs w:val="20"/>
              </w:rPr>
            </w:pPr>
          </w:p>
        </w:tc>
        <w:tc>
          <w:tcPr>
            <w:tcW w:w="810" w:type="dxa"/>
            <w:vMerge/>
            <w:shd w:val="clear" w:color="auto" w:fill="D9D9D9" w:themeFill="background1" w:themeFillShade="D9"/>
          </w:tcPr>
          <w:p w:rsidR="003F5A3D" w:rsidRPr="003F5A3D" w:rsidRDefault="003F5A3D" w:rsidP="003F5A3D">
            <w:pPr>
              <w:spacing w:after="0" w:line="240" w:lineRule="auto"/>
              <w:rPr>
                <w:sz w:val="20"/>
                <w:szCs w:val="20"/>
              </w:rPr>
            </w:pPr>
          </w:p>
        </w:tc>
        <w:tc>
          <w:tcPr>
            <w:tcW w:w="630" w:type="dxa"/>
            <w:shd w:val="clear" w:color="auto" w:fill="D9D9D9" w:themeFill="background1" w:themeFillShade="D9"/>
          </w:tcPr>
          <w:p w:rsidR="003F5A3D" w:rsidRPr="003F5A3D" w:rsidRDefault="003F5A3D" w:rsidP="003F5A3D">
            <w:pPr>
              <w:spacing w:after="0" w:line="240" w:lineRule="auto"/>
              <w:rPr>
                <w:sz w:val="20"/>
                <w:szCs w:val="20"/>
              </w:rPr>
            </w:pPr>
            <w:r w:rsidRPr="003F5A3D">
              <w:rPr>
                <w:sz w:val="20"/>
                <w:szCs w:val="20"/>
              </w:rPr>
              <w:t>P+</w:t>
            </w:r>
          </w:p>
        </w:tc>
        <w:tc>
          <w:tcPr>
            <w:tcW w:w="990" w:type="dxa"/>
            <w:shd w:val="clear" w:color="auto" w:fill="D9D9D9" w:themeFill="background1" w:themeFillShade="D9"/>
            <w:vAlign w:val="bottom"/>
          </w:tcPr>
          <w:p w:rsidR="003F5A3D" w:rsidRPr="003F5A3D" w:rsidRDefault="003F5A3D" w:rsidP="003F5A3D">
            <w:pPr>
              <w:spacing w:after="0" w:line="240" w:lineRule="auto"/>
              <w:jc w:val="center"/>
              <w:rPr>
                <w:sz w:val="20"/>
                <w:szCs w:val="20"/>
              </w:rPr>
            </w:pPr>
            <w:r w:rsidRPr="003F5A3D">
              <w:rPr>
                <w:sz w:val="20"/>
                <w:szCs w:val="20"/>
              </w:rPr>
              <w:t>--</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34%</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32%</w:t>
            </w:r>
          </w:p>
        </w:tc>
        <w:tc>
          <w:tcPr>
            <w:tcW w:w="784" w:type="dxa"/>
            <w:shd w:val="clear" w:color="auto" w:fill="D9D9D9" w:themeFill="background1" w:themeFillShade="D9"/>
          </w:tcPr>
          <w:p w:rsidR="003F5A3D" w:rsidRPr="003F5A3D" w:rsidRDefault="003F5A3D" w:rsidP="003F5A3D">
            <w:pPr>
              <w:spacing w:after="0" w:line="240" w:lineRule="auto"/>
              <w:rPr>
                <w:sz w:val="20"/>
                <w:szCs w:val="20"/>
              </w:rPr>
            </w:pPr>
            <w:r w:rsidRPr="003F5A3D">
              <w:rPr>
                <w:sz w:val="20"/>
                <w:szCs w:val="20"/>
              </w:rPr>
              <w:t>Lv 4&amp;5</w:t>
            </w:r>
          </w:p>
        </w:tc>
        <w:tc>
          <w:tcPr>
            <w:tcW w:w="785" w:type="dxa"/>
            <w:shd w:val="clear" w:color="auto" w:fill="D9D9D9" w:themeFill="background1" w:themeFillShade="D9"/>
            <w:vAlign w:val="bottom"/>
          </w:tcPr>
          <w:p w:rsidR="003F5A3D" w:rsidRPr="003F5A3D" w:rsidRDefault="003F5A3D" w:rsidP="003F5A3D">
            <w:pPr>
              <w:spacing w:after="0" w:line="240" w:lineRule="auto"/>
              <w:jc w:val="center"/>
              <w:rPr>
                <w:sz w:val="20"/>
                <w:szCs w:val="20"/>
              </w:rPr>
            </w:pPr>
            <w:r w:rsidRPr="003F5A3D">
              <w:rPr>
                <w:sz w:val="20"/>
                <w:szCs w:val="20"/>
              </w:rPr>
              <w:t>--</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sz w:val="20"/>
                <w:szCs w:val="20"/>
              </w:rPr>
            </w:pPr>
            <w:r w:rsidRPr="003F5A3D">
              <w:rPr>
                <w:sz w:val="20"/>
                <w:szCs w:val="20"/>
              </w:rPr>
              <w:t>--</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w:t>
            </w:r>
          </w:p>
        </w:tc>
        <w:tc>
          <w:tcPr>
            <w:tcW w:w="785" w:type="dxa"/>
            <w:shd w:val="clear" w:color="auto" w:fill="D9D9D9" w:themeFill="background1" w:themeFillShade="D9"/>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w:t>
            </w:r>
          </w:p>
        </w:tc>
      </w:tr>
      <w:tr w:rsidR="003F5A3D" w:rsidRPr="003F5A3D" w:rsidTr="009D5584">
        <w:tc>
          <w:tcPr>
            <w:tcW w:w="1008" w:type="dxa"/>
            <w:vMerge/>
            <w:vAlign w:val="center"/>
          </w:tcPr>
          <w:p w:rsidR="003F5A3D" w:rsidRPr="003F5A3D" w:rsidRDefault="003F5A3D" w:rsidP="003F5A3D">
            <w:pPr>
              <w:spacing w:after="0" w:line="240" w:lineRule="auto"/>
              <w:jc w:val="center"/>
              <w:rPr>
                <w:sz w:val="20"/>
                <w:szCs w:val="20"/>
              </w:rPr>
            </w:pPr>
          </w:p>
        </w:tc>
        <w:tc>
          <w:tcPr>
            <w:tcW w:w="810" w:type="dxa"/>
            <w:vMerge/>
            <w:shd w:val="clear" w:color="auto" w:fill="D9D9D9" w:themeFill="background1" w:themeFillShade="D9"/>
          </w:tcPr>
          <w:p w:rsidR="003F5A3D" w:rsidRPr="003F5A3D" w:rsidRDefault="003F5A3D" w:rsidP="003F5A3D">
            <w:pPr>
              <w:spacing w:after="0" w:line="240" w:lineRule="auto"/>
              <w:rPr>
                <w:sz w:val="20"/>
                <w:szCs w:val="20"/>
              </w:rPr>
            </w:pPr>
          </w:p>
        </w:tc>
        <w:tc>
          <w:tcPr>
            <w:tcW w:w="630" w:type="dxa"/>
            <w:shd w:val="clear" w:color="auto" w:fill="D9D9D9" w:themeFill="background1" w:themeFillShade="D9"/>
          </w:tcPr>
          <w:p w:rsidR="003F5A3D" w:rsidRPr="003F5A3D" w:rsidRDefault="003F5A3D" w:rsidP="003F5A3D">
            <w:pPr>
              <w:spacing w:after="0" w:line="240" w:lineRule="auto"/>
              <w:rPr>
                <w:sz w:val="20"/>
                <w:szCs w:val="20"/>
              </w:rPr>
            </w:pPr>
            <w:r w:rsidRPr="003F5A3D">
              <w:rPr>
                <w:sz w:val="20"/>
                <w:szCs w:val="20"/>
              </w:rPr>
              <w:t>SGP</w:t>
            </w:r>
          </w:p>
        </w:tc>
        <w:tc>
          <w:tcPr>
            <w:tcW w:w="990" w:type="dxa"/>
            <w:shd w:val="clear" w:color="auto" w:fill="D9D9D9" w:themeFill="background1" w:themeFillShade="D9"/>
            <w:vAlign w:val="bottom"/>
          </w:tcPr>
          <w:p w:rsidR="003F5A3D" w:rsidRPr="003F5A3D" w:rsidRDefault="003F5A3D" w:rsidP="003F5A3D">
            <w:pPr>
              <w:spacing w:after="0" w:line="240" w:lineRule="auto"/>
              <w:jc w:val="center"/>
              <w:rPr>
                <w:sz w:val="20"/>
                <w:szCs w:val="20"/>
              </w:rPr>
            </w:pPr>
            <w:r w:rsidRPr="003F5A3D">
              <w:rPr>
                <w:sz w:val="20"/>
                <w:szCs w:val="20"/>
              </w:rPr>
              <w:t>6,391</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49.0</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46.0</w:t>
            </w:r>
          </w:p>
        </w:tc>
        <w:tc>
          <w:tcPr>
            <w:tcW w:w="784" w:type="dxa"/>
            <w:shd w:val="clear" w:color="auto" w:fill="D9D9D9" w:themeFill="background1" w:themeFillShade="D9"/>
          </w:tcPr>
          <w:p w:rsidR="003F5A3D" w:rsidRPr="003F5A3D" w:rsidRDefault="003F5A3D" w:rsidP="003F5A3D">
            <w:pPr>
              <w:spacing w:after="0" w:line="240" w:lineRule="auto"/>
              <w:rPr>
                <w:sz w:val="20"/>
                <w:szCs w:val="20"/>
              </w:rPr>
            </w:pPr>
            <w:r w:rsidRPr="003F5A3D">
              <w:rPr>
                <w:sz w:val="20"/>
                <w:szCs w:val="20"/>
              </w:rPr>
              <w:t>SGP</w:t>
            </w:r>
          </w:p>
        </w:tc>
        <w:tc>
          <w:tcPr>
            <w:tcW w:w="785" w:type="dxa"/>
            <w:shd w:val="clear" w:color="auto" w:fill="D9D9D9" w:themeFill="background1" w:themeFillShade="D9"/>
            <w:vAlign w:val="bottom"/>
          </w:tcPr>
          <w:p w:rsidR="003F5A3D" w:rsidRPr="003F5A3D" w:rsidRDefault="003F5A3D" w:rsidP="003F5A3D">
            <w:pPr>
              <w:spacing w:after="0" w:line="240" w:lineRule="auto"/>
              <w:jc w:val="center"/>
              <w:rPr>
                <w:sz w:val="20"/>
                <w:szCs w:val="20"/>
              </w:rPr>
            </w:pPr>
            <w:r w:rsidRPr="003F5A3D">
              <w:rPr>
                <w:sz w:val="20"/>
                <w:szCs w:val="20"/>
              </w:rPr>
              <w:t>47.0</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sz w:val="20"/>
                <w:szCs w:val="20"/>
              </w:rPr>
            </w:pPr>
            <w:r w:rsidRPr="003F5A3D">
              <w:rPr>
                <w:sz w:val="20"/>
                <w:szCs w:val="20"/>
              </w:rPr>
              <w:t>48.0</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1.0</w:t>
            </w:r>
          </w:p>
        </w:tc>
        <w:tc>
          <w:tcPr>
            <w:tcW w:w="785" w:type="dxa"/>
            <w:shd w:val="clear" w:color="auto" w:fill="D9D9D9" w:themeFill="background1" w:themeFillShade="D9"/>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-1.0</w:t>
            </w:r>
          </w:p>
        </w:tc>
      </w:tr>
      <w:tr w:rsidR="003F5A3D" w:rsidRPr="003F5A3D" w:rsidTr="009D5584">
        <w:tc>
          <w:tcPr>
            <w:tcW w:w="1008" w:type="dxa"/>
            <w:vMerge/>
            <w:vAlign w:val="center"/>
          </w:tcPr>
          <w:p w:rsidR="003F5A3D" w:rsidRPr="003F5A3D" w:rsidRDefault="003F5A3D" w:rsidP="003F5A3D">
            <w:pPr>
              <w:spacing w:after="0" w:line="240" w:lineRule="auto"/>
              <w:jc w:val="center"/>
              <w:rPr>
                <w:sz w:val="20"/>
                <w:szCs w:val="20"/>
              </w:rPr>
            </w:pPr>
          </w:p>
        </w:tc>
        <w:tc>
          <w:tcPr>
            <w:tcW w:w="810" w:type="dxa"/>
            <w:vMerge w:val="restart"/>
            <w:vAlign w:val="center"/>
          </w:tcPr>
          <w:p w:rsidR="003F5A3D" w:rsidRPr="003F5A3D" w:rsidRDefault="003F5A3D" w:rsidP="003F5A3D">
            <w:pPr>
              <w:spacing w:after="0" w:line="240" w:lineRule="auto"/>
              <w:jc w:val="center"/>
              <w:rPr>
                <w:sz w:val="20"/>
                <w:szCs w:val="20"/>
              </w:rPr>
            </w:pPr>
            <w:r w:rsidRPr="003F5A3D">
              <w:rPr>
                <w:sz w:val="20"/>
                <w:szCs w:val="20"/>
              </w:rPr>
              <w:t>State</w:t>
            </w:r>
          </w:p>
        </w:tc>
        <w:tc>
          <w:tcPr>
            <w:tcW w:w="630" w:type="dxa"/>
          </w:tcPr>
          <w:p w:rsidR="003F5A3D" w:rsidRPr="003F5A3D" w:rsidRDefault="003F5A3D" w:rsidP="003F5A3D">
            <w:pPr>
              <w:spacing w:after="0" w:line="240" w:lineRule="auto"/>
              <w:rPr>
                <w:sz w:val="20"/>
                <w:szCs w:val="20"/>
              </w:rPr>
            </w:pPr>
            <w:r w:rsidRPr="003F5A3D">
              <w:rPr>
                <w:sz w:val="20"/>
                <w:szCs w:val="20"/>
              </w:rPr>
              <w:t>CPI</w:t>
            </w:r>
          </w:p>
        </w:tc>
        <w:tc>
          <w:tcPr>
            <w:tcW w:w="990" w:type="dxa"/>
            <w:vAlign w:val="bottom"/>
          </w:tcPr>
          <w:p w:rsidR="003F5A3D" w:rsidRPr="003F5A3D" w:rsidRDefault="003F5A3D" w:rsidP="003F5A3D">
            <w:pPr>
              <w:spacing w:after="0" w:line="240" w:lineRule="auto"/>
              <w:jc w:val="center"/>
              <w:rPr>
                <w:sz w:val="20"/>
                <w:szCs w:val="20"/>
              </w:rPr>
            </w:pPr>
            <w:r w:rsidRPr="003F5A3D">
              <w:rPr>
                <w:sz w:val="20"/>
                <w:szCs w:val="20"/>
              </w:rPr>
              <w:t>222,349</w:t>
            </w:r>
          </w:p>
        </w:tc>
        <w:tc>
          <w:tcPr>
            <w:tcW w:w="784" w:type="dxa"/>
            <w:vAlign w:val="bottom"/>
          </w:tcPr>
          <w:p w:rsidR="003F5A3D" w:rsidRPr="003F5A3D" w:rsidRDefault="003F5A3D" w:rsidP="003F5A3D">
            <w:pPr>
              <w:spacing w:after="0" w:line="240" w:lineRule="auto"/>
              <w:jc w:val="center"/>
              <w:rPr>
                <w:sz w:val="20"/>
                <w:szCs w:val="20"/>
              </w:rPr>
            </w:pPr>
            <w:r w:rsidRPr="003F5A3D">
              <w:rPr>
                <w:sz w:val="20"/>
                <w:szCs w:val="20"/>
              </w:rPr>
              <w:t>68.6</w:t>
            </w:r>
          </w:p>
        </w:tc>
        <w:tc>
          <w:tcPr>
            <w:tcW w:w="784" w:type="dxa"/>
            <w:vAlign w:val="bottom"/>
          </w:tcPr>
          <w:p w:rsidR="003F5A3D" w:rsidRPr="003F5A3D" w:rsidRDefault="003F5A3D" w:rsidP="003F5A3D">
            <w:pPr>
              <w:spacing w:after="0" w:line="240" w:lineRule="auto"/>
              <w:jc w:val="center"/>
              <w:rPr>
                <w:sz w:val="20"/>
                <w:szCs w:val="20"/>
              </w:rPr>
            </w:pPr>
            <w:r w:rsidRPr="003F5A3D">
              <w:rPr>
                <w:sz w:val="20"/>
                <w:szCs w:val="20"/>
              </w:rPr>
              <w:t>68.4</w:t>
            </w:r>
          </w:p>
        </w:tc>
        <w:tc>
          <w:tcPr>
            <w:tcW w:w="784" w:type="dxa"/>
          </w:tcPr>
          <w:p w:rsidR="003F5A3D" w:rsidRPr="003F5A3D" w:rsidRDefault="003F5A3D" w:rsidP="003F5A3D">
            <w:pPr>
              <w:spacing w:after="0" w:line="240" w:lineRule="auto"/>
              <w:rPr>
                <w:sz w:val="20"/>
                <w:szCs w:val="20"/>
              </w:rPr>
            </w:pPr>
            <w:r w:rsidRPr="003F5A3D">
              <w:rPr>
                <w:sz w:val="20"/>
                <w:szCs w:val="20"/>
              </w:rPr>
              <w:t>CPI</w:t>
            </w:r>
          </w:p>
        </w:tc>
        <w:tc>
          <w:tcPr>
            <w:tcW w:w="785" w:type="dxa"/>
            <w:vAlign w:val="bottom"/>
          </w:tcPr>
          <w:p w:rsidR="003F5A3D" w:rsidRPr="003F5A3D" w:rsidRDefault="003F5A3D" w:rsidP="003F5A3D">
            <w:pPr>
              <w:spacing w:after="0" w:line="240" w:lineRule="auto"/>
              <w:jc w:val="center"/>
              <w:rPr>
                <w:sz w:val="20"/>
                <w:szCs w:val="20"/>
              </w:rPr>
            </w:pPr>
            <w:r w:rsidRPr="003F5A3D">
              <w:rPr>
                <w:sz w:val="20"/>
                <w:szCs w:val="20"/>
              </w:rPr>
              <w:t>67.9</w:t>
            </w:r>
          </w:p>
        </w:tc>
        <w:tc>
          <w:tcPr>
            <w:tcW w:w="784" w:type="dxa"/>
            <w:vAlign w:val="bottom"/>
          </w:tcPr>
          <w:p w:rsidR="003F5A3D" w:rsidRPr="003F5A3D" w:rsidRDefault="003F5A3D" w:rsidP="003F5A3D">
            <w:pPr>
              <w:spacing w:after="0" w:line="240" w:lineRule="auto"/>
              <w:jc w:val="center"/>
              <w:rPr>
                <w:sz w:val="20"/>
                <w:szCs w:val="20"/>
              </w:rPr>
            </w:pPr>
            <w:r w:rsidRPr="003F5A3D">
              <w:rPr>
                <w:sz w:val="20"/>
                <w:szCs w:val="20"/>
              </w:rPr>
              <w:t>68.8</w:t>
            </w:r>
          </w:p>
        </w:tc>
        <w:tc>
          <w:tcPr>
            <w:tcW w:w="784" w:type="dxa"/>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0.9</w:t>
            </w:r>
          </w:p>
        </w:tc>
        <w:tc>
          <w:tcPr>
            <w:tcW w:w="785" w:type="dxa"/>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0.2</w:t>
            </w:r>
          </w:p>
        </w:tc>
      </w:tr>
      <w:tr w:rsidR="003F5A3D" w:rsidRPr="003F5A3D" w:rsidTr="009D5584">
        <w:tc>
          <w:tcPr>
            <w:tcW w:w="1008" w:type="dxa"/>
            <w:vMerge/>
            <w:vAlign w:val="center"/>
          </w:tcPr>
          <w:p w:rsidR="003F5A3D" w:rsidRPr="003F5A3D" w:rsidRDefault="003F5A3D" w:rsidP="003F5A3D">
            <w:pPr>
              <w:spacing w:after="0" w:line="240" w:lineRule="auto"/>
              <w:jc w:val="center"/>
              <w:rPr>
                <w:sz w:val="20"/>
                <w:szCs w:val="20"/>
              </w:rPr>
            </w:pPr>
          </w:p>
        </w:tc>
        <w:tc>
          <w:tcPr>
            <w:tcW w:w="810" w:type="dxa"/>
            <w:vMerge/>
            <w:vAlign w:val="center"/>
          </w:tcPr>
          <w:p w:rsidR="003F5A3D" w:rsidRPr="003F5A3D" w:rsidRDefault="003F5A3D" w:rsidP="003F5A3D">
            <w:pPr>
              <w:spacing w:after="0" w:line="240" w:lineRule="auto"/>
              <w:jc w:val="center"/>
              <w:rPr>
                <w:sz w:val="20"/>
                <w:szCs w:val="20"/>
              </w:rPr>
            </w:pPr>
          </w:p>
        </w:tc>
        <w:tc>
          <w:tcPr>
            <w:tcW w:w="630" w:type="dxa"/>
          </w:tcPr>
          <w:p w:rsidR="003F5A3D" w:rsidRPr="003F5A3D" w:rsidRDefault="003F5A3D" w:rsidP="003F5A3D">
            <w:pPr>
              <w:spacing w:after="0" w:line="240" w:lineRule="auto"/>
              <w:rPr>
                <w:sz w:val="20"/>
                <w:szCs w:val="20"/>
              </w:rPr>
            </w:pPr>
            <w:r w:rsidRPr="003F5A3D">
              <w:rPr>
                <w:sz w:val="20"/>
                <w:szCs w:val="20"/>
              </w:rPr>
              <w:t>P+</w:t>
            </w:r>
          </w:p>
        </w:tc>
        <w:tc>
          <w:tcPr>
            <w:tcW w:w="990" w:type="dxa"/>
            <w:vAlign w:val="bottom"/>
          </w:tcPr>
          <w:p w:rsidR="003F5A3D" w:rsidRPr="003F5A3D" w:rsidRDefault="003F5A3D" w:rsidP="003F5A3D">
            <w:pPr>
              <w:spacing w:after="0" w:line="240" w:lineRule="auto"/>
              <w:jc w:val="center"/>
              <w:rPr>
                <w:sz w:val="20"/>
                <w:szCs w:val="20"/>
              </w:rPr>
            </w:pPr>
            <w:r w:rsidRPr="003F5A3D">
              <w:rPr>
                <w:sz w:val="20"/>
                <w:szCs w:val="20"/>
              </w:rPr>
              <w:t>--</w:t>
            </w:r>
          </w:p>
        </w:tc>
        <w:tc>
          <w:tcPr>
            <w:tcW w:w="784" w:type="dxa"/>
            <w:vAlign w:val="bottom"/>
          </w:tcPr>
          <w:p w:rsidR="003F5A3D" w:rsidRPr="003F5A3D" w:rsidRDefault="003F5A3D" w:rsidP="003F5A3D">
            <w:pPr>
              <w:spacing w:after="0" w:line="240" w:lineRule="auto"/>
              <w:jc w:val="center"/>
              <w:rPr>
                <w:sz w:val="20"/>
                <w:szCs w:val="20"/>
              </w:rPr>
            </w:pPr>
            <w:r w:rsidRPr="003F5A3D">
              <w:rPr>
                <w:sz w:val="20"/>
                <w:szCs w:val="20"/>
              </w:rPr>
              <w:t>40%</w:t>
            </w:r>
          </w:p>
        </w:tc>
        <w:tc>
          <w:tcPr>
            <w:tcW w:w="784" w:type="dxa"/>
            <w:vAlign w:val="bottom"/>
          </w:tcPr>
          <w:p w:rsidR="003F5A3D" w:rsidRPr="003F5A3D" w:rsidRDefault="003F5A3D" w:rsidP="003F5A3D">
            <w:pPr>
              <w:spacing w:after="0" w:line="240" w:lineRule="auto"/>
              <w:jc w:val="center"/>
              <w:rPr>
                <w:sz w:val="20"/>
                <w:szCs w:val="20"/>
              </w:rPr>
            </w:pPr>
            <w:r w:rsidRPr="003F5A3D">
              <w:rPr>
                <w:sz w:val="20"/>
                <w:szCs w:val="20"/>
              </w:rPr>
              <w:t>40%</w:t>
            </w:r>
          </w:p>
        </w:tc>
        <w:tc>
          <w:tcPr>
            <w:tcW w:w="784" w:type="dxa"/>
          </w:tcPr>
          <w:p w:rsidR="003F5A3D" w:rsidRPr="003F5A3D" w:rsidRDefault="003F5A3D" w:rsidP="003F5A3D">
            <w:pPr>
              <w:spacing w:after="0" w:line="240" w:lineRule="auto"/>
              <w:rPr>
                <w:sz w:val="20"/>
                <w:szCs w:val="20"/>
              </w:rPr>
            </w:pPr>
            <w:r w:rsidRPr="003F5A3D">
              <w:rPr>
                <w:sz w:val="20"/>
                <w:szCs w:val="20"/>
              </w:rPr>
              <w:t>Lv 4&amp;5</w:t>
            </w:r>
          </w:p>
        </w:tc>
        <w:tc>
          <w:tcPr>
            <w:tcW w:w="785" w:type="dxa"/>
            <w:vAlign w:val="bottom"/>
          </w:tcPr>
          <w:p w:rsidR="003F5A3D" w:rsidRPr="003F5A3D" w:rsidRDefault="003F5A3D" w:rsidP="003F5A3D">
            <w:pPr>
              <w:spacing w:after="0" w:line="240" w:lineRule="auto"/>
              <w:jc w:val="center"/>
              <w:rPr>
                <w:sz w:val="20"/>
                <w:szCs w:val="20"/>
              </w:rPr>
            </w:pPr>
            <w:r w:rsidRPr="003F5A3D">
              <w:rPr>
                <w:sz w:val="20"/>
                <w:szCs w:val="20"/>
              </w:rPr>
              <w:t>--</w:t>
            </w:r>
          </w:p>
        </w:tc>
        <w:tc>
          <w:tcPr>
            <w:tcW w:w="784" w:type="dxa"/>
            <w:vAlign w:val="bottom"/>
          </w:tcPr>
          <w:p w:rsidR="003F5A3D" w:rsidRPr="003F5A3D" w:rsidRDefault="003F5A3D" w:rsidP="003F5A3D">
            <w:pPr>
              <w:spacing w:after="0" w:line="240" w:lineRule="auto"/>
              <w:jc w:val="center"/>
              <w:rPr>
                <w:sz w:val="20"/>
                <w:szCs w:val="20"/>
              </w:rPr>
            </w:pPr>
            <w:r w:rsidRPr="003F5A3D">
              <w:rPr>
                <w:sz w:val="20"/>
                <w:szCs w:val="20"/>
              </w:rPr>
              <w:t>--</w:t>
            </w:r>
          </w:p>
        </w:tc>
        <w:tc>
          <w:tcPr>
            <w:tcW w:w="784" w:type="dxa"/>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w:t>
            </w:r>
          </w:p>
        </w:tc>
        <w:tc>
          <w:tcPr>
            <w:tcW w:w="785" w:type="dxa"/>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w:t>
            </w:r>
          </w:p>
        </w:tc>
      </w:tr>
      <w:tr w:rsidR="003F5A3D" w:rsidRPr="003F5A3D" w:rsidTr="009D5584">
        <w:tc>
          <w:tcPr>
            <w:tcW w:w="1008" w:type="dxa"/>
            <w:vMerge/>
            <w:vAlign w:val="center"/>
          </w:tcPr>
          <w:p w:rsidR="003F5A3D" w:rsidRPr="003F5A3D" w:rsidRDefault="003F5A3D" w:rsidP="003F5A3D">
            <w:pPr>
              <w:spacing w:after="0" w:line="240" w:lineRule="auto"/>
              <w:jc w:val="center"/>
              <w:rPr>
                <w:sz w:val="20"/>
                <w:szCs w:val="20"/>
              </w:rPr>
            </w:pPr>
          </w:p>
        </w:tc>
        <w:tc>
          <w:tcPr>
            <w:tcW w:w="810" w:type="dxa"/>
            <w:vMerge/>
            <w:tcBorders>
              <w:bottom w:val="single" w:sz="4" w:space="0" w:color="auto"/>
            </w:tcBorders>
            <w:vAlign w:val="center"/>
          </w:tcPr>
          <w:p w:rsidR="003F5A3D" w:rsidRPr="003F5A3D" w:rsidRDefault="003F5A3D" w:rsidP="003F5A3D">
            <w:pPr>
              <w:spacing w:after="0" w:line="240" w:lineRule="auto"/>
              <w:jc w:val="center"/>
              <w:rPr>
                <w:sz w:val="20"/>
                <w:szCs w:val="20"/>
              </w:rPr>
            </w:pPr>
          </w:p>
        </w:tc>
        <w:tc>
          <w:tcPr>
            <w:tcW w:w="630" w:type="dxa"/>
            <w:tcBorders>
              <w:bottom w:val="single" w:sz="4" w:space="0" w:color="auto"/>
            </w:tcBorders>
          </w:tcPr>
          <w:p w:rsidR="003F5A3D" w:rsidRPr="003F5A3D" w:rsidRDefault="003F5A3D" w:rsidP="003F5A3D">
            <w:pPr>
              <w:spacing w:after="0" w:line="240" w:lineRule="auto"/>
              <w:rPr>
                <w:sz w:val="20"/>
                <w:szCs w:val="20"/>
              </w:rPr>
            </w:pPr>
            <w:r w:rsidRPr="003F5A3D">
              <w:rPr>
                <w:sz w:val="20"/>
                <w:szCs w:val="20"/>
              </w:rPr>
              <w:t>SGP</w:t>
            </w:r>
          </w:p>
        </w:tc>
        <w:tc>
          <w:tcPr>
            <w:tcW w:w="990" w:type="dxa"/>
            <w:tcBorders>
              <w:bottom w:val="single" w:sz="4" w:space="0" w:color="auto"/>
            </w:tcBorders>
            <w:vAlign w:val="bottom"/>
          </w:tcPr>
          <w:p w:rsidR="003F5A3D" w:rsidRPr="003F5A3D" w:rsidRDefault="003F5A3D" w:rsidP="003F5A3D">
            <w:pPr>
              <w:spacing w:after="0" w:line="240" w:lineRule="auto"/>
              <w:jc w:val="center"/>
              <w:rPr>
                <w:sz w:val="20"/>
                <w:szCs w:val="20"/>
              </w:rPr>
            </w:pPr>
            <w:r w:rsidRPr="003F5A3D">
              <w:rPr>
                <w:sz w:val="20"/>
                <w:szCs w:val="20"/>
              </w:rPr>
              <w:t>165,191</w:t>
            </w:r>
          </w:p>
        </w:tc>
        <w:tc>
          <w:tcPr>
            <w:tcW w:w="784" w:type="dxa"/>
            <w:tcBorders>
              <w:bottom w:val="single" w:sz="4" w:space="0" w:color="auto"/>
            </w:tcBorders>
            <w:vAlign w:val="bottom"/>
          </w:tcPr>
          <w:p w:rsidR="003F5A3D" w:rsidRPr="003F5A3D" w:rsidRDefault="003F5A3D" w:rsidP="003F5A3D">
            <w:pPr>
              <w:spacing w:after="0" w:line="240" w:lineRule="auto"/>
              <w:jc w:val="center"/>
              <w:rPr>
                <w:sz w:val="20"/>
                <w:szCs w:val="20"/>
              </w:rPr>
            </w:pPr>
            <w:r w:rsidRPr="003F5A3D">
              <w:rPr>
                <w:sz w:val="20"/>
                <w:szCs w:val="20"/>
              </w:rPr>
              <w:t>46.0</w:t>
            </w:r>
          </w:p>
        </w:tc>
        <w:tc>
          <w:tcPr>
            <w:tcW w:w="784" w:type="dxa"/>
            <w:tcBorders>
              <w:bottom w:val="single" w:sz="4" w:space="0" w:color="auto"/>
            </w:tcBorders>
            <w:vAlign w:val="bottom"/>
          </w:tcPr>
          <w:p w:rsidR="003F5A3D" w:rsidRPr="003F5A3D" w:rsidRDefault="003F5A3D" w:rsidP="003F5A3D">
            <w:pPr>
              <w:spacing w:after="0" w:line="240" w:lineRule="auto"/>
              <w:jc w:val="center"/>
              <w:rPr>
                <w:sz w:val="20"/>
                <w:szCs w:val="20"/>
              </w:rPr>
            </w:pPr>
            <w:r w:rsidRPr="003F5A3D">
              <w:rPr>
                <w:sz w:val="20"/>
                <w:szCs w:val="20"/>
              </w:rPr>
              <w:t>47.0</w:t>
            </w:r>
          </w:p>
        </w:tc>
        <w:tc>
          <w:tcPr>
            <w:tcW w:w="784" w:type="dxa"/>
            <w:tcBorders>
              <w:bottom w:val="single" w:sz="4" w:space="0" w:color="auto"/>
            </w:tcBorders>
          </w:tcPr>
          <w:p w:rsidR="003F5A3D" w:rsidRPr="003F5A3D" w:rsidRDefault="003F5A3D" w:rsidP="003F5A3D">
            <w:pPr>
              <w:spacing w:after="0" w:line="240" w:lineRule="auto"/>
              <w:rPr>
                <w:sz w:val="20"/>
                <w:szCs w:val="20"/>
              </w:rPr>
            </w:pPr>
            <w:r w:rsidRPr="003F5A3D">
              <w:rPr>
                <w:sz w:val="20"/>
                <w:szCs w:val="20"/>
              </w:rPr>
              <w:t>SGP</w:t>
            </w:r>
          </w:p>
        </w:tc>
        <w:tc>
          <w:tcPr>
            <w:tcW w:w="785" w:type="dxa"/>
            <w:tcBorders>
              <w:bottom w:val="single" w:sz="4" w:space="0" w:color="auto"/>
            </w:tcBorders>
            <w:vAlign w:val="bottom"/>
          </w:tcPr>
          <w:p w:rsidR="003F5A3D" w:rsidRPr="003F5A3D" w:rsidRDefault="003F5A3D" w:rsidP="003F5A3D">
            <w:pPr>
              <w:spacing w:after="0" w:line="240" w:lineRule="auto"/>
              <w:jc w:val="center"/>
              <w:rPr>
                <w:sz w:val="20"/>
                <w:szCs w:val="20"/>
              </w:rPr>
            </w:pPr>
            <w:r w:rsidRPr="003F5A3D">
              <w:rPr>
                <w:sz w:val="20"/>
                <w:szCs w:val="20"/>
              </w:rPr>
              <w:t>46.0</w:t>
            </w:r>
          </w:p>
        </w:tc>
        <w:tc>
          <w:tcPr>
            <w:tcW w:w="784" w:type="dxa"/>
            <w:tcBorders>
              <w:bottom w:val="single" w:sz="4" w:space="0" w:color="auto"/>
            </w:tcBorders>
            <w:vAlign w:val="bottom"/>
          </w:tcPr>
          <w:p w:rsidR="003F5A3D" w:rsidRPr="003F5A3D" w:rsidRDefault="003F5A3D" w:rsidP="003F5A3D">
            <w:pPr>
              <w:spacing w:after="0" w:line="240" w:lineRule="auto"/>
              <w:jc w:val="center"/>
              <w:rPr>
                <w:sz w:val="20"/>
                <w:szCs w:val="20"/>
              </w:rPr>
            </w:pPr>
            <w:r w:rsidRPr="003F5A3D">
              <w:rPr>
                <w:sz w:val="20"/>
                <w:szCs w:val="20"/>
              </w:rPr>
              <w:t>46.0</w:t>
            </w:r>
          </w:p>
        </w:tc>
        <w:tc>
          <w:tcPr>
            <w:tcW w:w="784" w:type="dxa"/>
            <w:tcBorders>
              <w:bottom w:val="single" w:sz="4" w:space="0" w:color="auto"/>
            </w:tcBorders>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0.0</w:t>
            </w:r>
          </w:p>
        </w:tc>
        <w:tc>
          <w:tcPr>
            <w:tcW w:w="785" w:type="dxa"/>
            <w:tcBorders>
              <w:bottom w:val="single" w:sz="4" w:space="0" w:color="auto"/>
            </w:tcBorders>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0.0</w:t>
            </w:r>
          </w:p>
        </w:tc>
      </w:tr>
      <w:tr w:rsidR="003F5A3D" w:rsidRPr="003F5A3D" w:rsidTr="009D5584">
        <w:tc>
          <w:tcPr>
            <w:tcW w:w="1008" w:type="dxa"/>
            <w:vMerge w:val="restart"/>
            <w:vAlign w:val="center"/>
          </w:tcPr>
          <w:p w:rsidR="003F5A3D" w:rsidRPr="003F5A3D" w:rsidRDefault="003F5A3D" w:rsidP="003F5A3D">
            <w:pPr>
              <w:spacing w:after="0" w:line="240" w:lineRule="auto"/>
              <w:jc w:val="center"/>
              <w:rPr>
                <w:sz w:val="20"/>
                <w:szCs w:val="20"/>
              </w:rPr>
            </w:pPr>
            <w:r w:rsidRPr="003F5A3D">
              <w:rPr>
                <w:sz w:val="20"/>
                <w:szCs w:val="20"/>
              </w:rPr>
              <w:t>Econ.</w:t>
            </w:r>
          </w:p>
          <w:p w:rsidR="003F5A3D" w:rsidRPr="003F5A3D" w:rsidRDefault="003F5A3D" w:rsidP="003F5A3D">
            <w:pPr>
              <w:spacing w:after="0" w:line="240" w:lineRule="auto"/>
              <w:jc w:val="center"/>
              <w:rPr>
                <w:sz w:val="20"/>
                <w:szCs w:val="20"/>
              </w:rPr>
            </w:pPr>
            <w:r w:rsidRPr="003F5A3D">
              <w:rPr>
                <w:sz w:val="20"/>
                <w:szCs w:val="20"/>
              </w:rPr>
              <w:t>Disad.</w:t>
            </w:r>
          </w:p>
        </w:tc>
        <w:tc>
          <w:tcPr>
            <w:tcW w:w="810" w:type="dxa"/>
            <w:vMerge w:val="restart"/>
            <w:shd w:val="clear" w:color="auto" w:fill="D9D9D9" w:themeFill="background1" w:themeFillShade="D9"/>
            <w:vAlign w:val="center"/>
          </w:tcPr>
          <w:p w:rsidR="003F5A3D" w:rsidRPr="003F5A3D" w:rsidRDefault="003F5A3D" w:rsidP="003F5A3D">
            <w:pPr>
              <w:spacing w:after="0" w:line="240" w:lineRule="auto"/>
              <w:jc w:val="center"/>
              <w:rPr>
                <w:sz w:val="20"/>
                <w:szCs w:val="20"/>
              </w:rPr>
            </w:pPr>
            <w:r w:rsidRPr="003F5A3D">
              <w:rPr>
                <w:sz w:val="20"/>
                <w:szCs w:val="20"/>
              </w:rPr>
              <w:t>District</w:t>
            </w:r>
          </w:p>
        </w:tc>
        <w:tc>
          <w:tcPr>
            <w:tcW w:w="630" w:type="dxa"/>
            <w:shd w:val="clear" w:color="auto" w:fill="D9D9D9" w:themeFill="background1" w:themeFillShade="D9"/>
          </w:tcPr>
          <w:p w:rsidR="003F5A3D" w:rsidRPr="003F5A3D" w:rsidRDefault="003F5A3D" w:rsidP="003F5A3D">
            <w:pPr>
              <w:spacing w:after="0" w:line="240" w:lineRule="auto"/>
              <w:rPr>
                <w:sz w:val="20"/>
                <w:szCs w:val="20"/>
              </w:rPr>
            </w:pPr>
            <w:r w:rsidRPr="003F5A3D">
              <w:rPr>
                <w:sz w:val="20"/>
                <w:szCs w:val="20"/>
              </w:rPr>
              <w:t>CPI</w:t>
            </w:r>
          </w:p>
        </w:tc>
        <w:tc>
          <w:tcPr>
            <w:tcW w:w="990" w:type="dxa"/>
            <w:shd w:val="clear" w:color="auto" w:fill="D9D9D9" w:themeFill="background1" w:themeFillShade="D9"/>
            <w:vAlign w:val="bottom"/>
          </w:tcPr>
          <w:p w:rsidR="003F5A3D" w:rsidRPr="003F5A3D" w:rsidRDefault="003F5A3D" w:rsidP="003F5A3D">
            <w:pPr>
              <w:spacing w:after="0" w:line="240" w:lineRule="auto"/>
              <w:jc w:val="center"/>
              <w:rPr>
                <w:sz w:val="20"/>
                <w:szCs w:val="20"/>
              </w:rPr>
            </w:pPr>
            <w:r w:rsidRPr="003F5A3D">
              <w:rPr>
                <w:sz w:val="20"/>
                <w:szCs w:val="20"/>
              </w:rPr>
              <w:t>7,296</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sz w:val="20"/>
                <w:szCs w:val="20"/>
              </w:rPr>
            </w:pPr>
            <w:r w:rsidRPr="003F5A3D">
              <w:rPr>
                <w:sz w:val="20"/>
                <w:szCs w:val="20"/>
              </w:rPr>
              <w:t>--</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sz w:val="20"/>
                <w:szCs w:val="20"/>
              </w:rPr>
            </w:pPr>
            <w:r w:rsidRPr="003F5A3D">
              <w:rPr>
                <w:sz w:val="20"/>
                <w:szCs w:val="20"/>
              </w:rPr>
              <w:t>--</w:t>
            </w:r>
          </w:p>
        </w:tc>
        <w:tc>
          <w:tcPr>
            <w:tcW w:w="784" w:type="dxa"/>
            <w:shd w:val="clear" w:color="auto" w:fill="D9D9D9" w:themeFill="background1" w:themeFillShade="D9"/>
          </w:tcPr>
          <w:p w:rsidR="003F5A3D" w:rsidRPr="003F5A3D" w:rsidRDefault="003F5A3D" w:rsidP="003F5A3D">
            <w:pPr>
              <w:spacing w:after="0" w:line="240" w:lineRule="auto"/>
              <w:rPr>
                <w:sz w:val="20"/>
                <w:szCs w:val="20"/>
              </w:rPr>
            </w:pPr>
            <w:r w:rsidRPr="003F5A3D">
              <w:rPr>
                <w:sz w:val="20"/>
                <w:szCs w:val="20"/>
              </w:rPr>
              <w:t>CPI</w:t>
            </w:r>
          </w:p>
        </w:tc>
        <w:tc>
          <w:tcPr>
            <w:tcW w:w="785" w:type="dxa"/>
            <w:shd w:val="clear" w:color="auto" w:fill="D9D9D9" w:themeFill="background1" w:themeFillShade="D9"/>
            <w:vAlign w:val="bottom"/>
          </w:tcPr>
          <w:p w:rsidR="003F5A3D" w:rsidRPr="003F5A3D" w:rsidRDefault="003F5A3D" w:rsidP="003F5A3D">
            <w:pPr>
              <w:spacing w:after="0" w:line="240" w:lineRule="auto"/>
              <w:jc w:val="center"/>
              <w:rPr>
                <w:sz w:val="20"/>
                <w:szCs w:val="20"/>
              </w:rPr>
            </w:pPr>
            <w:r w:rsidRPr="003F5A3D">
              <w:rPr>
                <w:sz w:val="20"/>
                <w:szCs w:val="20"/>
              </w:rPr>
              <w:t>60.2</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sz w:val="20"/>
                <w:szCs w:val="20"/>
              </w:rPr>
            </w:pPr>
            <w:r w:rsidRPr="003F5A3D">
              <w:rPr>
                <w:sz w:val="20"/>
                <w:szCs w:val="20"/>
              </w:rPr>
              <w:t>61.4</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1.2</w:t>
            </w:r>
          </w:p>
        </w:tc>
        <w:tc>
          <w:tcPr>
            <w:tcW w:w="785" w:type="dxa"/>
            <w:shd w:val="clear" w:color="auto" w:fill="D9D9D9" w:themeFill="background1" w:themeFillShade="D9"/>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w:t>
            </w:r>
          </w:p>
        </w:tc>
      </w:tr>
      <w:tr w:rsidR="003F5A3D" w:rsidRPr="003F5A3D" w:rsidTr="009D5584">
        <w:tc>
          <w:tcPr>
            <w:tcW w:w="1008" w:type="dxa"/>
            <w:vMerge/>
            <w:vAlign w:val="center"/>
          </w:tcPr>
          <w:p w:rsidR="003F5A3D" w:rsidRPr="003F5A3D" w:rsidRDefault="003F5A3D" w:rsidP="003F5A3D">
            <w:pPr>
              <w:spacing w:after="0" w:line="240" w:lineRule="auto"/>
              <w:jc w:val="center"/>
              <w:rPr>
                <w:sz w:val="20"/>
                <w:szCs w:val="20"/>
              </w:rPr>
            </w:pPr>
          </w:p>
        </w:tc>
        <w:tc>
          <w:tcPr>
            <w:tcW w:w="810" w:type="dxa"/>
            <w:vMerge/>
            <w:shd w:val="clear" w:color="auto" w:fill="D9D9D9" w:themeFill="background1" w:themeFillShade="D9"/>
            <w:vAlign w:val="center"/>
          </w:tcPr>
          <w:p w:rsidR="003F5A3D" w:rsidRPr="003F5A3D" w:rsidRDefault="003F5A3D" w:rsidP="003F5A3D">
            <w:pPr>
              <w:spacing w:after="0" w:line="240" w:lineRule="auto"/>
              <w:jc w:val="center"/>
              <w:rPr>
                <w:sz w:val="20"/>
                <w:szCs w:val="20"/>
              </w:rPr>
            </w:pPr>
          </w:p>
        </w:tc>
        <w:tc>
          <w:tcPr>
            <w:tcW w:w="630" w:type="dxa"/>
            <w:shd w:val="clear" w:color="auto" w:fill="D9D9D9" w:themeFill="background1" w:themeFillShade="D9"/>
          </w:tcPr>
          <w:p w:rsidR="003F5A3D" w:rsidRPr="003F5A3D" w:rsidRDefault="003F5A3D" w:rsidP="003F5A3D">
            <w:pPr>
              <w:spacing w:after="0" w:line="240" w:lineRule="auto"/>
              <w:rPr>
                <w:sz w:val="20"/>
                <w:szCs w:val="20"/>
              </w:rPr>
            </w:pPr>
            <w:r w:rsidRPr="003F5A3D">
              <w:rPr>
                <w:sz w:val="20"/>
                <w:szCs w:val="20"/>
              </w:rPr>
              <w:t>P+</w:t>
            </w:r>
          </w:p>
        </w:tc>
        <w:tc>
          <w:tcPr>
            <w:tcW w:w="990" w:type="dxa"/>
            <w:shd w:val="clear" w:color="auto" w:fill="D9D9D9" w:themeFill="background1" w:themeFillShade="D9"/>
            <w:vAlign w:val="bottom"/>
          </w:tcPr>
          <w:p w:rsidR="003F5A3D" w:rsidRPr="003F5A3D" w:rsidRDefault="003F5A3D" w:rsidP="003F5A3D">
            <w:pPr>
              <w:spacing w:after="0" w:line="240" w:lineRule="auto"/>
              <w:jc w:val="center"/>
              <w:rPr>
                <w:sz w:val="20"/>
                <w:szCs w:val="20"/>
              </w:rPr>
            </w:pPr>
            <w:r w:rsidRPr="003F5A3D">
              <w:rPr>
                <w:sz w:val="20"/>
                <w:szCs w:val="20"/>
              </w:rPr>
              <w:t>--</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sz w:val="20"/>
                <w:szCs w:val="20"/>
              </w:rPr>
            </w:pPr>
            <w:r w:rsidRPr="003F5A3D">
              <w:rPr>
                <w:sz w:val="20"/>
                <w:szCs w:val="20"/>
              </w:rPr>
              <w:t>--</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sz w:val="20"/>
                <w:szCs w:val="20"/>
              </w:rPr>
            </w:pPr>
            <w:r w:rsidRPr="003F5A3D">
              <w:rPr>
                <w:sz w:val="20"/>
                <w:szCs w:val="20"/>
              </w:rPr>
              <w:t>--</w:t>
            </w:r>
          </w:p>
        </w:tc>
        <w:tc>
          <w:tcPr>
            <w:tcW w:w="784" w:type="dxa"/>
            <w:shd w:val="clear" w:color="auto" w:fill="D9D9D9" w:themeFill="background1" w:themeFillShade="D9"/>
          </w:tcPr>
          <w:p w:rsidR="003F5A3D" w:rsidRPr="003F5A3D" w:rsidRDefault="003F5A3D" w:rsidP="003F5A3D">
            <w:pPr>
              <w:spacing w:after="0" w:line="240" w:lineRule="auto"/>
              <w:rPr>
                <w:sz w:val="20"/>
                <w:szCs w:val="20"/>
              </w:rPr>
            </w:pPr>
            <w:r w:rsidRPr="003F5A3D">
              <w:rPr>
                <w:sz w:val="20"/>
                <w:szCs w:val="20"/>
              </w:rPr>
              <w:t>Lv 4&amp;5</w:t>
            </w:r>
          </w:p>
        </w:tc>
        <w:tc>
          <w:tcPr>
            <w:tcW w:w="785" w:type="dxa"/>
            <w:shd w:val="clear" w:color="auto" w:fill="D9D9D9" w:themeFill="background1" w:themeFillShade="D9"/>
            <w:vAlign w:val="bottom"/>
          </w:tcPr>
          <w:p w:rsidR="003F5A3D" w:rsidRPr="003F5A3D" w:rsidRDefault="003F5A3D" w:rsidP="003F5A3D">
            <w:pPr>
              <w:spacing w:after="0" w:line="240" w:lineRule="auto"/>
              <w:jc w:val="center"/>
              <w:rPr>
                <w:sz w:val="20"/>
                <w:szCs w:val="20"/>
              </w:rPr>
            </w:pPr>
            <w:r w:rsidRPr="003F5A3D">
              <w:rPr>
                <w:sz w:val="20"/>
                <w:szCs w:val="20"/>
              </w:rPr>
              <w:t>--</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sz w:val="20"/>
                <w:szCs w:val="20"/>
              </w:rPr>
            </w:pPr>
            <w:r w:rsidRPr="003F5A3D">
              <w:rPr>
                <w:sz w:val="20"/>
                <w:szCs w:val="20"/>
              </w:rPr>
              <w:t>--</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w:t>
            </w:r>
          </w:p>
        </w:tc>
        <w:tc>
          <w:tcPr>
            <w:tcW w:w="785" w:type="dxa"/>
            <w:shd w:val="clear" w:color="auto" w:fill="D9D9D9" w:themeFill="background1" w:themeFillShade="D9"/>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w:t>
            </w:r>
          </w:p>
        </w:tc>
      </w:tr>
      <w:tr w:rsidR="003F5A3D" w:rsidRPr="003F5A3D" w:rsidTr="009D5584">
        <w:tc>
          <w:tcPr>
            <w:tcW w:w="1008" w:type="dxa"/>
            <w:vMerge/>
            <w:vAlign w:val="center"/>
          </w:tcPr>
          <w:p w:rsidR="003F5A3D" w:rsidRPr="003F5A3D" w:rsidRDefault="003F5A3D" w:rsidP="003F5A3D">
            <w:pPr>
              <w:spacing w:after="0" w:line="240" w:lineRule="auto"/>
              <w:jc w:val="center"/>
              <w:rPr>
                <w:sz w:val="20"/>
                <w:szCs w:val="20"/>
              </w:rPr>
            </w:pPr>
          </w:p>
        </w:tc>
        <w:tc>
          <w:tcPr>
            <w:tcW w:w="810" w:type="dxa"/>
            <w:vMerge/>
            <w:shd w:val="clear" w:color="auto" w:fill="D9D9D9" w:themeFill="background1" w:themeFillShade="D9"/>
            <w:vAlign w:val="center"/>
          </w:tcPr>
          <w:p w:rsidR="003F5A3D" w:rsidRPr="003F5A3D" w:rsidRDefault="003F5A3D" w:rsidP="003F5A3D">
            <w:pPr>
              <w:spacing w:after="0" w:line="240" w:lineRule="auto"/>
              <w:jc w:val="center"/>
              <w:rPr>
                <w:sz w:val="20"/>
                <w:szCs w:val="20"/>
              </w:rPr>
            </w:pPr>
          </w:p>
        </w:tc>
        <w:tc>
          <w:tcPr>
            <w:tcW w:w="630" w:type="dxa"/>
            <w:shd w:val="clear" w:color="auto" w:fill="D9D9D9" w:themeFill="background1" w:themeFillShade="D9"/>
          </w:tcPr>
          <w:p w:rsidR="003F5A3D" w:rsidRPr="003F5A3D" w:rsidRDefault="003F5A3D" w:rsidP="003F5A3D">
            <w:pPr>
              <w:spacing w:after="0" w:line="240" w:lineRule="auto"/>
              <w:rPr>
                <w:sz w:val="20"/>
                <w:szCs w:val="20"/>
              </w:rPr>
            </w:pPr>
            <w:r w:rsidRPr="003F5A3D">
              <w:rPr>
                <w:sz w:val="20"/>
                <w:szCs w:val="20"/>
              </w:rPr>
              <w:t>SGP</w:t>
            </w:r>
          </w:p>
        </w:tc>
        <w:tc>
          <w:tcPr>
            <w:tcW w:w="990" w:type="dxa"/>
            <w:shd w:val="clear" w:color="auto" w:fill="D9D9D9" w:themeFill="background1" w:themeFillShade="D9"/>
            <w:vAlign w:val="bottom"/>
          </w:tcPr>
          <w:p w:rsidR="003F5A3D" w:rsidRPr="003F5A3D" w:rsidRDefault="003F5A3D" w:rsidP="003F5A3D">
            <w:pPr>
              <w:spacing w:after="0" w:line="240" w:lineRule="auto"/>
              <w:jc w:val="center"/>
              <w:rPr>
                <w:sz w:val="20"/>
                <w:szCs w:val="20"/>
              </w:rPr>
            </w:pPr>
            <w:r w:rsidRPr="003F5A3D">
              <w:rPr>
                <w:sz w:val="20"/>
                <w:szCs w:val="20"/>
              </w:rPr>
              <w:t>5,030</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sz w:val="20"/>
                <w:szCs w:val="20"/>
              </w:rPr>
            </w:pPr>
            <w:r w:rsidRPr="003F5A3D">
              <w:rPr>
                <w:sz w:val="20"/>
                <w:szCs w:val="20"/>
              </w:rPr>
              <w:t>--</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sz w:val="20"/>
                <w:szCs w:val="20"/>
              </w:rPr>
            </w:pPr>
            <w:r w:rsidRPr="003F5A3D">
              <w:rPr>
                <w:sz w:val="20"/>
                <w:szCs w:val="20"/>
              </w:rPr>
              <w:t>--</w:t>
            </w:r>
          </w:p>
        </w:tc>
        <w:tc>
          <w:tcPr>
            <w:tcW w:w="784" w:type="dxa"/>
            <w:shd w:val="clear" w:color="auto" w:fill="D9D9D9" w:themeFill="background1" w:themeFillShade="D9"/>
          </w:tcPr>
          <w:p w:rsidR="003F5A3D" w:rsidRPr="003F5A3D" w:rsidRDefault="003F5A3D" w:rsidP="003F5A3D">
            <w:pPr>
              <w:spacing w:after="0" w:line="240" w:lineRule="auto"/>
              <w:rPr>
                <w:sz w:val="20"/>
                <w:szCs w:val="20"/>
              </w:rPr>
            </w:pPr>
            <w:r w:rsidRPr="003F5A3D">
              <w:rPr>
                <w:sz w:val="20"/>
                <w:szCs w:val="20"/>
              </w:rPr>
              <w:t>SGP</w:t>
            </w:r>
          </w:p>
        </w:tc>
        <w:tc>
          <w:tcPr>
            <w:tcW w:w="785" w:type="dxa"/>
            <w:shd w:val="clear" w:color="auto" w:fill="D9D9D9" w:themeFill="background1" w:themeFillShade="D9"/>
            <w:vAlign w:val="bottom"/>
          </w:tcPr>
          <w:p w:rsidR="003F5A3D" w:rsidRPr="003F5A3D" w:rsidRDefault="003F5A3D" w:rsidP="003F5A3D">
            <w:pPr>
              <w:spacing w:after="0" w:line="240" w:lineRule="auto"/>
              <w:jc w:val="center"/>
              <w:rPr>
                <w:sz w:val="20"/>
                <w:szCs w:val="20"/>
              </w:rPr>
            </w:pPr>
            <w:r w:rsidRPr="003F5A3D">
              <w:rPr>
                <w:sz w:val="20"/>
                <w:szCs w:val="20"/>
              </w:rPr>
              <w:t>45.0</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sz w:val="20"/>
                <w:szCs w:val="20"/>
              </w:rPr>
            </w:pPr>
            <w:r w:rsidRPr="003F5A3D">
              <w:rPr>
                <w:sz w:val="20"/>
                <w:szCs w:val="20"/>
              </w:rPr>
              <w:t>48.0</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3.0</w:t>
            </w:r>
          </w:p>
        </w:tc>
        <w:tc>
          <w:tcPr>
            <w:tcW w:w="785" w:type="dxa"/>
            <w:shd w:val="clear" w:color="auto" w:fill="D9D9D9" w:themeFill="background1" w:themeFillShade="D9"/>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w:t>
            </w:r>
          </w:p>
        </w:tc>
      </w:tr>
      <w:tr w:rsidR="003F5A3D" w:rsidRPr="003F5A3D" w:rsidTr="009D5584">
        <w:tc>
          <w:tcPr>
            <w:tcW w:w="1008" w:type="dxa"/>
            <w:vMerge/>
            <w:vAlign w:val="center"/>
          </w:tcPr>
          <w:p w:rsidR="003F5A3D" w:rsidRPr="003F5A3D" w:rsidRDefault="003F5A3D" w:rsidP="003F5A3D">
            <w:pPr>
              <w:spacing w:after="0" w:line="240" w:lineRule="auto"/>
              <w:jc w:val="center"/>
              <w:rPr>
                <w:sz w:val="20"/>
                <w:szCs w:val="20"/>
              </w:rPr>
            </w:pPr>
          </w:p>
        </w:tc>
        <w:tc>
          <w:tcPr>
            <w:tcW w:w="810" w:type="dxa"/>
            <w:vMerge w:val="restart"/>
            <w:vAlign w:val="center"/>
          </w:tcPr>
          <w:p w:rsidR="003F5A3D" w:rsidRPr="003F5A3D" w:rsidRDefault="003F5A3D" w:rsidP="003F5A3D">
            <w:pPr>
              <w:spacing w:after="0" w:line="240" w:lineRule="auto"/>
              <w:jc w:val="center"/>
              <w:rPr>
                <w:sz w:val="20"/>
                <w:szCs w:val="20"/>
              </w:rPr>
            </w:pPr>
            <w:r w:rsidRPr="003F5A3D">
              <w:rPr>
                <w:sz w:val="20"/>
                <w:szCs w:val="20"/>
              </w:rPr>
              <w:t>State</w:t>
            </w:r>
          </w:p>
        </w:tc>
        <w:tc>
          <w:tcPr>
            <w:tcW w:w="630" w:type="dxa"/>
          </w:tcPr>
          <w:p w:rsidR="003F5A3D" w:rsidRPr="003F5A3D" w:rsidRDefault="003F5A3D" w:rsidP="003F5A3D">
            <w:pPr>
              <w:spacing w:after="0" w:line="240" w:lineRule="auto"/>
              <w:rPr>
                <w:sz w:val="20"/>
                <w:szCs w:val="20"/>
              </w:rPr>
            </w:pPr>
            <w:r w:rsidRPr="003F5A3D">
              <w:rPr>
                <w:sz w:val="20"/>
                <w:szCs w:val="20"/>
              </w:rPr>
              <w:t>CPI</w:t>
            </w:r>
          </w:p>
        </w:tc>
        <w:tc>
          <w:tcPr>
            <w:tcW w:w="990" w:type="dxa"/>
            <w:vAlign w:val="bottom"/>
          </w:tcPr>
          <w:p w:rsidR="003F5A3D" w:rsidRPr="003F5A3D" w:rsidRDefault="003F5A3D" w:rsidP="003F5A3D">
            <w:pPr>
              <w:spacing w:after="0" w:line="240" w:lineRule="auto"/>
              <w:jc w:val="center"/>
              <w:rPr>
                <w:sz w:val="20"/>
                <w:szCs w:val="20"/>
              </w:rPr>
            </w:pPr>
            <w:r w:rsidRPr="003F5A3D">
              <w:rPr>
                <w:sz w:val="20"/>
                <w:szCs w:val="20"/>
              </w:rPr>
              <w:t>152,560</w:t>
            </w:r>
          </w:p>
        </w:tc>
        <w:tc>
          <w:tcPr>
            <w:tcW w:w="784" w:type="dxa"/>
            <w:vAlign w:val="bottom"/>
          </w:tcPr>
          <w:p w:rsidR="003F5A3D" w:rsidRPr="003F5A3D" w:rsidRDefault="003F5A3D" w:rsidP="003F5A3D">
            <w:pPr>
              <w:spacing w:after="0" w:line="240" w:lineRule="auto"/>
              <w:jc w:val="center"/>
              <w:rPr>
                <w:sz w:val="20"/>
                <w:szCs w:val="20"/>
              </w:rPr>
            </w:pPr>
            <w:r w:rsidRPr="003F5A3D">
              <w:rPr>
                <w:sz w:val="20"/>
                <w:szCs w:val="20"/>
              </w:rPr>
              <w:t>--</w:t>
            </w:r>
          </w:p>
        </w:tc>
        <w:tc>
          <w:tcPr>
            <w:tcW w:w="784" w:type="dxa"/>
            <w:vAlign w:val="bottom"/>
          </w:tcPr>
          <w:p w:rsidR="003F5A3D" w:rsidRPr="003F5A3D" w:rsidRDefault="003F5A3D" w:rsidP="003F5A3D">
            <w:pPr>
              <w:spacing w:after="0" w:line="240" w:lineRule="auto"/>
              <w:jc w:val="center"/>
              <w:rPr>
                <w:sz w:val="20"/>
                <w:szCs w:val="20"/>
              </w:rPr>
            </w:pPr>
            <w:r w:rsidRPr="003F5A3D">
              <w:rPr>
                <w:sz w:val="20"/>
                <w:szCs w:val="20"/>
              </w:rPr>
              <w:t>--</w:t>
            </w:r>
          </w:p>
        </w:tc>
        <w:tc>
          <w:tcPr>
            <w:tcW w:w="784" w:type="dxa"/>
          </w:tcPr>
          <w:p w:rsidR="003F5A3D" w:rsidRPr="003F5A3D" w:rsidRDefault="003F5A3D" w:rsidP="003F5A3D">
            <w:pPr>
              <w:spacing w:after="0" w:line="240" w:lineRule="auto"/>
              <w:rPr>
                <w:sz w:val="20"/>
                <w:szCs w:val="20"/>
              </w:rPr>
            </w:pPr>
            <w:r w:rsidRPr="003F5A3D">
              <w:rPr>
                <w:sz w:val="20"/>
                <w:szCs w:val="20"/>
              </w:rPr>
              <w:t>CPI</w:t>
            </w:r>
          </w:p>
        </w:tc>
        <w:tc>
          <w:tcPr>
            <w:tcW w:w="785" w:type="dxa"/>
            <w:vAlign w:val="bottom"/>
          </w:tcPr>
          <w:p w:rsidR="003F5A3D" w:rsidRPr="003F5A3D" w:rsidRDefault="003F5A3D" w:rsidP="003F5A3D">
            <w:pPr>
              <w:spacing w:after="0" w:line="240" w:lineRule="auto"/>
              <w:jc w:val="center"/>
              <w:rPr>
                <w:sz w:val="20"/>
                <w:szCs w:val="20"/>
              </w:rPr>
            </w:pPr>
            <w:r w:rsidRPr="003F5A3D">
              <w:rPr>
                <w:sz w:val="20"/>
                <w:szCs w:val="20"/>
              </w:rPr>
              <w:t>69.2</w:t>
            </w:r>
          </w:p>
        </w:tc>
        <w:tc>
          <w:tcPr>
            <w:tcW w:w="784" w:type="dxa"/>
            <w:vAlign w:val="bottom"/>
          </w:tcPr>
          <w:p w:rsidR="003F5A3D" w:rsidRPr="003F5A3D" w:rsidRDefault="003F5A3D" w:rsidP="003F5A3D">
            <w:pPr>
              <w:spacing w:after="0" w:line="240" w:lineRule="auto"/>
              <w:jc w:val="center"/>
              <w:rPr>
                <w:sz w:val="20"/>
                <w:szCs w:val="20"/>
              </w:rPr>
            </w:pPr>
            <w:r w:rsidRPr="003F5A3D">
              <w:rPr>
                <w:sz w:val="20"/>
                <w:szCs w:val="20"/>
              </w:rPr>
              <w:t>70.0</w:t>
            </w:r>
          </w:p>
        </w:tc>
        <w:tc>
          <w:tcPr>
            <w:tcW w:w="784" w:type="dxa"/>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0.8</w:t>
            </w:r>
          </w:p>
        </w:tc>
        <w:tc>
          <w:tcPr>
            <w:tcW w:w="785" w:type="dxa"/>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w:t>
            </w:r>
          </w:p>
        </w:tc>
      </w:tr>
      <w:tr w:rsidR="003F5A3D" w:rsidRPr="003F5A3D" w:rsidTr="009D5584">
        <w:tc>
          <w:tcPr>
            <w:tcW w:w="1008" w:type="dxa"/>
            <w:vMerge/>
            <w:vAlign w:val="center"/>
          </w:tcPr>
          <w:p w:rsidR="003F5A3D" w:rsidRPr="003F5A3D" w:rsidRDefault="003F5A3D" w:rsidP="003F5A3D">
            <w:pPr>
              <w:spacing w:after="0" w:line="240" w:lineRule="auto"/>
              <w:jc w:val="center"/>
              <w:rPr>
                <w:sz w:val="20"/>
                <w:szCs w:val="20"/>
              </w:rPr>
            </w:pPr>
          </w:p>
        </w:tc>
        <w:tc>
          <w:tcPr>
            <w:tcW w:w="810" w:type="dxa"/>
            <w:vMerge/>
            <w:vAlign w:val="center"/>
          </w:tcPr>
          <w:p w:rsidR="003F5A3D" w:rsidRPr="003F5A3D" w:rsidRDefault="003F5A3D" w:rsidP="003F5A3D">
            <w:pPr>
              <w:spacing w:after="0" w:line="240" w:lineRule="auto"/>
              <w:jc w:val="center"/>
              <w:rPr>
                <w:sz w:val="20"/>
                <w:szCs w:val="20"/>
              </w:rPr>
            </w:pPr>
          </w:p>
        </w:tc>
        <w:tc>
          <w:tcPr>
            <w:tcW w:w="630" w:type="dxa"/>
          </w:tcPr>
          <w:p w:rsidR="003F5A3D" w:rsidRPr="003F5A3D" w:rsidRDefault="003F5A3D" w:rsidP="003F5A3D">
            <w:pPr>
              <w:spacing w:after="0" w:line="240" w:lineRule="auto"/>
              <w:rPr>
                <w:sz w:val="20"/>
                <w:szCs w:val="20"/>
              </w:rPr>
            </w:pPr>
            <w:r w:rsidRPr="003F5A3D">
              <w:rPr>
                <w:sz w:val="20"/>
                <w:szCs w:val="20"/>
              </w:rPr>
              <w:t>P+</w:t>
            </w:r>
          </w:p>
        </w:tc>
        <w:tc>
          <w:tcPr>
            <w:tcW w:w="990" w:type="dxa"/>
            <w:vAlign w:val="bottom"/>
          </w:tcPr>
          <w:p w:rsidR="003F5A3D" w:rsidRPr="003F5A3D" w:rsidRDefault="003F5A3D" w:rsidP="003F5A3D">
            <w:pPr>
              <w:spacing w:after="0" w:line="240" w:lineRule="auto"/>
              <w:jc w:val="center"/>
              <w:rPr>
                <w:sz w:val="20"/>
                <w:szCs w:val="20"/>
              </w:rPr>
            </w:pPr>
            <w:r w:rsidRPr="003F5A3D">
              <w:rPr>
                <w:sz w:val="20"/>
                <w:szCs w:val="20"/>
              </w:rPr>
              <w:t>--</w:t>
            </w:r>
          </w:p>
        </w:tc>
        <w:tc>
          <w:tcPr>
            <w:tcW w:w="784" w:type="dxa"/>
            <w:vAlign w:val="bottom"/>
          </w:tcPr>
          <w:p w:rsidR="003F5A3D" w:rsidRPr="003F5A3D" w:rsidRDefault="003F5A3D" w:rsidP="003F5A3D">
            <w:pPr>
              <w:spacing w:after="0" w:line="240" w:lineRule="auto"/>
              <w:jc w:val="center"/>
              <w:rPr>
                <w:sz w:val="20"/>
                <w:szCs w:val="20"/>
              </w:rPr>
            </w:pPr>
            <w:r w:rsidRPr="003F5A3D">
              <w:rPr>
                <w:sz w:val="20"/>
                <w:szCs w:val="20"/>
              </w:rPr>
              <w:t>--</w:t>
            </w:r>
          </w:p>
        </w:tc>
        <w:tc>
          <w:tcPr>
            <w:tcW w:w="784" w:type="dxa"/>
            <w:vAlign w:val="bottom"/>
          </w:tcPr>
          <w:p w:rsidR="003F5A3D" w:rsidRPr="003F5A3D" w:rsidRDefault="003F5A3D" w:rsidP="003F5A3D">
            <w:pPr>
              <w:spacing w:after="0" w:line="240" w:lineRule="auto"/>
              <w:jc w:val="center"/>
              <w:rPr>
                <w:sz w:val="20"/>
                <w:szCs w:val="20"/>
              </w:rPr>
            </w:pPr>
            <w:r w:rsidRPr="003F5A3D">
              <w:rPr>
                <w:sz w:val="20"/>
                <w:szCs w:val="20"/>
              </w:rPr>
              <w:t>--</w:t>
            </w:r>
          </w:p>
        </w:tc>
        <w:tc>
          <w:tcPr>
            <w:tcW w:w="784" w:type="dxa"/>
          </w:tcPr>
          <w:p w:rsidR="003F5A3D" w:rsidRPr="003F5A3D" w:rsidRDefault="003F5A3D" w:rsidP="003F5A3D">
            <w:pPr>
              <w:spacing w:after="0" w:line="240" w:lineRule="auto"/>
              <w:rPr>
                <w:sz w:val="20"/>
                <w:szCs w:val="20"/>
              </w:rPr>
            </w:pPr>
            <w:r w:rsidRPr="003F5A3D">
              <w:rPr>
                <w:sz w:val="20"/>
                <w:szCs w:val="20"/>
              </w:rPr>
              <w:t>Lv 4&amp;5</w:t>
            </w:r>
          </w:p>
        </w:tc>
        <w:tc>
          <w:tcPr>
            <w:tcW w:w="785" w:type="dxa"/>
            <w:vAlign w:val="bottom"/>
          </w:tcPr>
          <w:p w:rsidR="003F5A3D" w:rsidRPr="003F5A3D" w:rsidRDefault="003F5A3D" w:rsidP="003F5A3D">
            <w:pPr>
              <w:spacing w:after="0" w:line="240" w:lineRule="auto"/>
              <w:jc w:val="center"/>
              <w:rPr>
                <w:sz w:val="20"/>
                <w:szCs w:val="20"/>
              </w:rPr>
            </w:pPr>
            <w:r w:rsidRPr="003F5A3D">
              <w:rPr>
                <w:sz w:val="20"/>
                <w:szCs w:val="20"/>
              </w:rPr>
              <w:t>--</w:t>
            </w:r>
          </w:p>
        </w:tc>
        <w:tc>
          <w:tcPr>
            <w:tcW w:w="784" w:type="dxa"/>
            <w:vAlign w:val="bottom"/>
          </w:tcPr>
          <w:p w:rsidR="003F5A3D" w:rsidRPr="003F5A3D" w:rsidRDefault="003F5A3D" w:rsidP="003F5A3D">
            <w:pPr>
              <w:spacing w:after="0" w:line="240" w:lineRule="auto"/>
              <w:jc w:val="center"/>
              <w:rPr>
                <w:sz w:val="20"/>
                <w:szCs w:val="20"/>
              </w:rPr>
            </w:pPr>
            <w:r w:rsidRPr="003F5A3D">
              <w:rPr>
                <w:sz w:val="20"/>
                <w:szCs w:val="20"/>
              </w:rPr>
              <w:t>--</w:t>
            </w:r>
          </w:p>
        </w:tc>
        <w:tc>
          <w:tcPr>
            <w:tcW w:w="784" w:type="dxa"/>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w:t>
            </w:r>
          </w:p>
        </w:tc>
        <w:tc>
          <w:tcPr>
            <w:tcW w:w="785" w:type="dxa"/>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w:t>
            </w:r>
          </w:p>
        </w:tc>
      </w:tr>
      <w:tr w:rsidR="003F5A3D" w:rsidRPr="003F5A3D" w:rsidTr="009D5584">
        <w:tc>
          <w:tcPr>
            <w:tcW w:w="1008" w:type="dxa"/>
            <w:vMerge/>
            <w:vAlign w:val="center"/>
          </w:tcPr>
          <w:p w:rsidR="003F5A3D" w:rsidRPr="003F5A3D" w:rsidRDefault="003F5A3D" w:rsidP="003F5A3D">
            <w:pPr>
              <w:spacing w:after="0" w:line="240" w:lineRule="auto"/>
              <w:jc w:val="center"/>
              <w:rPr>
                <w:sz w:val="20"/>
                <w:szCs w:val="20"/>
              </w:rPr>
            </w:pPr>
          </w:p>
        </w:tc>
        <w:tc>
          <w:tcPr>
            <w:tcW w:w="810" w:type="dxa"/>
            <w:vMerge/>
            <w:tcBorders>
              <w:bottom w:val="single" w:sz="4" w:space="0" w:color="auto"/>
            </w:tcBorders>
            <w:vAlign w:val="center"/>
          </w:tcPr>
          <w:p w:rsidR="003F5A3D" w:rsidRPr="003F5A3D" w:rsidRDefault="003F5A3D" w:rsidP="003F5A3D">
            <w:pPr>
              <w:spacing w:after="0" w:line="240" w:lineRule="auto"/>
              <w:jc w:val="center"/>
              <w:rPr>
                <w:sz w:val="20"/>
                <w:szCs w:val="20"/>
              </w:rPr>
            </w:pPr>
          </w:p>
        </w:tc>
        <w:tc>
          <w:tcPr>
            <w:tcW w:w="630" w:type="dxa"/>
            <w:tcBorders>
              <w:bottom w:val="single" w:sz="4" w:space="0" w:color="auto"/>
            </w:tcBorders>
          </w:tcPr>
          <w:p w:rsidR="003F5A3D" w:rsidRPr="003F5A3D" w:rsidRDefault="003F5A3D" w:rsidP="003F5A3D">
            <w:pPr>
              <w:spacing w:after="0" w:line="240" w:lineRule="auto"/>
              <w:rPr>
                <w:sz w:val="20"/>
                <w:szCs w:val="20"/>
              </w:rPr>
            </w:pPr>
            <w:r w:rsidRPr="003F5A3D">
              <w:rPr>
                <w:sz w:val="20"/>
                <w:szCs w:val="20"/>
              </w:rPr>
              <w:t>SGP</w:t>
            </w:r>
          </w:p>
        </w:tc>
        <w:tc>
          <w:tcPr>
            <w:tcW w:w="990" w:type="dxa"/>
            <w:tcBorders>
              <w:bottom w:val="single" w:sz="4" w:space="0" w:color="auto"/>
            </w:tcBorders>
            <w:vAlign w:val="bottom"/>
          </w:tcPr>
          <w:p w:rsidR="003F5A3D" w:rsidRPr="003F5A3D" w:rsidRDefault="003F5A3D" w:rsidP="003F5A3D">
            <w:pPr>
              <w:spacing w:after="0" w:line="240" w:lineRule="auto"/>
              <w:jc w:val="center"/>
              <w:rPr>
                <w:sz w:val="20"/>
                <w:szCs w:val="20"/>
              </w:rPr>
            </w:pPr>
            <w:r w:rsidRPr="003F5A3D">
              <w:rPr>
                <w:sz w:val="20"/>
                <w:szCs w:val="20"/>
              </w:rPr>
              <w:t>114,091</w:t>
            </w:r>
          </w:p>
        </w:tc>
        <w:tc>
          <w:tcPr>
            <w:tcW w:w="784" w:type="dxa"/>
            <w:tcBorders>
              <w:bottom w:val="single" w:sz="4" w:space="0" w:color="auto"/>
            </w:tcBorders>
            <w:vAlign w:val="bottom"/>
          </w:tcPr>
          <w:p w:rsidR="003F5A3D" w:rsidRPr="003F5A3D" w:rsidRDefault="003F5A3D" w:rsidP="003F5A3D">
            <w:pPr>
              <w:spacing w:after="0" w:line="240" w:lineRule="auto"/>
              <w:jc w:val="center"/>
              <w:rPr>
                <w:sz w:val="20"/>
                <w:szCs w:val="20"/>
              </w:rPr>
            </w:pPr>
            <w:r w:rsidRPr="003F5A3D">
              <w:rPr>
                <w:sz w:val="20"/>
                <w:szCs w:val="20"/>
              </w:rPr>
              <w:t>--</w:t>
            </w:r>
          </w:p>
        </w:tc>
        <w:tc>
          <w:tcPr>
            <w:tcW w:w="784" w:type="dxa"/>
            <w:tcBorders>
              <w:bottom w:val="single" w:sz="4" w:space="0" w:color="auto"/>
            </w:tcBorders>
            <w:vAlign w:val="bottom"/>
          </w:tcPr>
          <w:p w:rsidR="003F5A3D" w:rsidRPr="003F5A3D" w:rsidRDefault="003F5A3D" w:rsidP="003F5A3D">
            <w:pPr>
              <w:spacing w:after="0" w:line="240" w:lineRule="auto"/>
              <w:jc w:val="center"/>
              <w:rPr>
                <w:sz w:val="20"/>
                <w:szCs w:val="20"/>
              </w:rPr>
            </w:pPr>
            <w:r w:rsidRPr="003F5A3D">
              <w:rPr>
                <w:sz w:val="20"/>
                <w:szCs w:val="20"/>
              </w:rPr>
              <w:t>--</w:t>
            </w:r>
          </w:p>
        </w:tc>
        <w:tc>
          <w:tcPr>
            <w:tcW w:w="784" w:type="dxa"/>
            <w:tcBorders>
              <w:bottom w:val="single" w:sz="4" w:space="0" w:color="auto"/>
            </w:tcBorders>
          </w:tcPr>
          <w:p w:rsidR="003F5A3D" w:rsidRPr="003F5A3D" w:rsidRDefault="003F5A3D" w:rsidP="003F5A3D">
            <w:pPr>
              <w:spacing w:after="0" w:line="240" w:lineRule="auto"/>
              <w:rPr>
                <w:sz w:val="20"/>
                <w:szCs w:val="20"/>
              </w:rPr>
            </w:pPr>
            <w:r w:rsidRPr="003F5A3D">
              <w:rPr>
                <w:sz w:val="20"/>
                <w:szCs w:val="20"/>
              </w:rPr>
              <w:t>SGP</w:t>
            </w:r>
          </w:p>
        </w:tc>
        <w:tc>
          <w:tcPr>
            <w:tcW w:w="785" w:type="dxa"/>
            <w:tcBorders>
              <w:bottom w:val="single" w:sz="4" w:space="0" w:color="auto"/>
            </w:tcBorders>
            <w:vAlign w:val="bottom"/>
          </w:tcPr>
          <w:p w:rsidR="003F5A3D" w:rsidRPr="003F5A3D" w:rsidRDefault="003F5A3D" w:rsidP="003F5A3D">
            <w:pPr>
              <w:spacing w:after="0" w:line="240" w:lineRule="auto"/>
              <w:jc w:val="center"/>
              <w:rPr>
                <w:sz w:val="20"/>
                <w:szCs w:val="20"/>
              </w:rPr>
            </w:pPr>
            <w:r w:rsidRPr="003F5A3D">
              <w:rPr>
                <w:sz w:val="20"/>
                <w:szCs w:val="20"/>
              </w:rPr>
              <w:t>46.0</w:t>
            </w:r>
          </w:p>
        </w:tc>
        <w:tc>
          <w:tcPr>
            <w:tcW w:w="784" w:type="dxa"/>
            <w:tcBorders>
              <w:bottom w:val="single" w:sz="4" w:space="0" w:color="auto"/>
            </w:tcBorders>
            <w:vAlign w:val="bottom"/>
          </w:tcPr>
          <w:p w:rsidR="003F5A3D" w:rsidRPr="003F5A3D" w:rsidRDefault="003F5A3D" w:rsidP="003F5A3D">
            <w:pPr>
              <w:spacing w:after="0" w:line="240" w:lineRule="auto"/>
              <w:jc w:val="center"/>
              <w:rPr>
                <w:sz w:val="20"/>
                <w:szCs w:val="20"/>
              </w:rPr>
            </w:pPr>
            <w:r w:rsidRPr="003F5A3D">
              <w:rPr>
                <w:sz w:val="20"/>
                <w:szCs w:val="20"/>
              </w:rPr>
              <w:t>45.0</w:t>
            </w:r>
          </w:p>
        </w:tc>
        <w:tc>
          <w:tcPr>
            <w:tcW w:w="784" w:type="dxa"/>
            <w:tcBorders>
              <w:bottom w:val="single" w:sz="4" w:space="0" w:color="auto"/>
            </w:tcBorders>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-1.0</w:t>
            </w:r>
          </w:p>
        </w:tc>
        <w:tc>
          <w:tcPr>
            <w:tcW w:w="785" w:type="dxa"/>
            <w:tcBorders>
              <w:bottom w:val="single" w:sz="4" w:space="0" w:color="auto"/>
            </w:tcBorders>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w:t>
            </w:r>
          </w:p>
        </w:tc>
      </w:tr>
      <w:tr w:rsidR="003F5A3D" w:rsidRPr="003F5A3D" w:rsidTr="009D5584">
        <w:tc>
          <w:tcPr>
            <w:tcW w:w="1008" w:type="dxa"/>
            <w:vMerge w:val="restart"/>
            <w:vAlign w:val="center"/>
          </w:tcPr>
          <w:p w:rsidR="003F5A3D" w:rsidRPr="003F5A3D" w:rsidRDefault="003F5A3D" w:rsidP="003F5A3D">
            <w:pPr>
              <w:spacing w:after="0" w:line="240" w:lineRule="auto"/>
              <w:jc w:val="center"/>
              <w:rPr>
                <w:sz w:val="20"/>
                <w:szCs w:val="20"/>
              </w:rPr>
            </w:pPr>
            <w:r w:rsidRPr="003F5A3D">
              <w:rPr>
                <w:sz w:val="20"/>
                <w:szCs w:val="20"/>
              </w:rPr>
              <w:t>SWD</w:t>
            </w:r>
          </w:p>
        </w:tc>
        <w:tc>
          <w:tcPr>
            <w:tcW w:w="810" w:type="dxa"/>
            <w:vMerge w:val="restart"/>
            <w:shd w:val="clear" w:color="auto" w:fill="D9D9D9" w:themeFill="background1" w:themeFillShade="D9"/>
            <w:vAlign w:val="center"/>
          </w:tcPr>
          <w:p w:rsidR="003F5A3D" w:rsidRPr="003F5A3D" w:rsidRDefault="003F5A3D" w:rsidP="003F5A3D">
            <w:pPr>
              <w:spacing w:after="0" w:line="240" w:lineRule="auto"/>
              <w:jc w:val="center"/>
              <w:rPr>
                <w:sz w:val="20"/>
                <w:szCs w:val="20"/>
              </w:rPr>
            </w:pPr>
            <w:r w:rsidRPr="003F5A3D">
              <w:rPr>
                <w:sz w:val="20"/>
                <w:szCs w:val="20"/>
              </w:rPr>
              <w:t>District</w:t>
            </w:r>
          </w:p>
        </w:tc>
        <w:tc>
          <w:tcPr>
            <w:tcW w:w="630" w:type="dxa"/>
            <w:shd w:val="clear" w:color="auto" w:fill="D9D9D9" w:themeFill="background1" w:themeFillShade="D9"/>
          </w:tcPr>
          <w:p w:rsidR="003F5A3D" w:rsidRPr="003F5A3D" w:rsidRDefault="003F5A3D" w:rsidP="003F5A3D">
            <w:pPr>
              <w:spacing w:after="0" w:line="240" w:lineRule="auto"/>
              <w:rPr>
                <w:sz w:val="20"/>
                <w:szCs w:val="20"/>
              </w:rPr>
            </w:pPr>
            <w:r w:rsidRPr="003F5A3D">
              <w:rPr>
                <w:sz w:val="20"/>
                <w:szCs w:val="20"/>
              </w:rPr>
              <w:t>CPI</w:t>
            </w:r>
          </w:p>
        </w:tc>
        <w:tc>
          <w:tcPr>
            <w:tcW w:w="990" w:type="dxa"/>
            <w:shd w:val="clear" w:color="auto" w:fill="D9D9D9" w:themeFill="background1" w:themeFillShade="D9"/>
            <w:vAlign w:val="bottom"/>
          </w:tcPr>
          <w:p w:rsidR="003F5A3D" w:rsidRPr="003F5A3D" w:rsidRDefault="003F5A3D" w:rsidP="003F5A3D">
            <w:pPr>
              <w:spacing w:after="0" w:line="240" w:lineRule="auto"/>
              <w:jc w:val="center"/>
              <w:rPr>
                <w:sz w:val="20"/>
                <w:szCs w:val="20"/>
              </w:rPr>
            </w:pPr>
            <w:r w:rsidRPr="003F5A3D">
              <w:rPr>
                <w:sz w:val="20"/>
                <w:szCs w:val="20"/>
              </w:rPr>
              <w:t>2,562</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45.3</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43.6</w:t>
            </w:r>
          </w:p>
        </w:tc>
        <w:tc>
          <w:tcPr>
            <w:tcW w:w="784" w:type="dxa"/>
            <w:shd w:val="clear" w:color="auto" w:fill="D9D9D9" w:themeFill="background1" w:themeFillShade="D9"/>
          </w:tcPr>
          <w:p w:rsidR="003F5A3D" w:rsidRPr="003F5A3D" w:rsidRDefault="003F5A3D" w:rsidP="003F5A3D">
            <w:pPr>
              <w:spacing w:after="0" w:line="240" w:lineRule="auto"/>
              <w:rPr>
                <w:sz w:val="20"/>
                <w:szCs w:val="20"/>
              </w:rPr>
            </w:pPr>
            <w:r w:rsidRPr="003F5A3D">
              <w:rPr>
                <w:sz w:val="20"/>
                <w:szCs w:val="20"/>
              </w:rPr>
              <w:t>CPI</w:t>
            </w:r>
          </w:p>
        </w:tc>
        <w:tc>
          <w:tcPr>
            <w:tcW w:w="785" w:type="dxa"/>
            <w:shd w:val="clear" w:color="auto" w:fill="D9D9D9" w:themeFill="background1" w:themeFillShade="D9"/>
            <w:vAlign w:val="bottom"/>
          </w:tcPr>
          <w:p w:rsidR="003F5A3D" w:rsidRPr="003F5A3D" w:rsidRDefault="003F5A3D" w:rsidP="003F5A3D">
            <w:pPr>
              <w:spacing w:after="0" w:line="240" w:lineRule="auto"/>
              <w:jc w:val="center"/>
              <w:rPr>
                <w:sz w:val="20"/>
                <w:szCs w:val="20"/>
              </w:rPr>
            </w:pPr>
            <w:r w:rsidRPr="003F5A3D">
              <w:rPr>
                <w:sz w:val="20"/>
                <w:szCs w:val="20"/>
              </w:rPr>
              <w:t>46.0</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sz w:val="20"/>
                <w:szCs w:val="20"/>
              </w:rPr>
            </w:pPr>
            <w:r w:rsidRPr="003F5A3D">
              <w:rPr>
                <w:sz w:val="20"/>
                <w:szCs w:val="20"/>
              </w:rPr>
              <w:t>46.3</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0.3</w:t>
            </w:r>
          </w:p>
        </w:tc>
        <w:tc>
          <w:tcPr>
            <w:tcW w:w="785" w:type="dxa"/>
            <w:shd w:val="clear" w:color="auto" w:fill="D9D9D9" w:themeFill="background1" w:themeFillShade="D9"/>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1.0</w:t>
            </w:r>
          </w:p>
        </w:tc>
      </w:tr>
      <w:tr w:rsidR="003F5A3D" w:rsidRPr="003F5A3D" w:rsidTr="009D5584">
        <w:tc>
          <w:tcPr>
            <w:tcW w:w="1008" w:type="dxa"/>
            <w:vMerge/>
            <w:vAlign w:val="center"/>
          </w:tcPr>
          <w:p w:rsidR="003F5A3D" w:rsidRPr="003F5A3D" w:rsidRDefault="003F5A3D" w:rsidP="003F5A3D">
            <w:pPr>
              <w:spacing w:after="0" w:line="240" w:lineRule="auto"/>
              <w:jc w:val="center"/>
              <w:rPr>
                <w:sz w:val="20"/>
                <w:szCs w:val="20"/>
              </w:rPr>
            </w:pPr>
          </w:p>
        </w:tc>
        <w:tc>
          <w:tcPr>
            <w:tcW w:w="810" w:type="dxa"/>
            <w:vMerge/>
            <w:shd w:val="clear" w:color="auto" w:fill="D9D9D9" w:themeFill="background1" w:themeFillShade="D9"/>
            <w:vAlign w:val="center"/>
          </w:tcPr>
          <w:p w:rsidR="003F5A3D" w:rsidRPr="003F5A3D" w:rsidRDefault="003F5A3D" w:rsidP="003F5A3D">
            <w:pPr>
              <w:spacing w:after="0" w:line="240" w:lineRule="auto"/>
              <w:jc w:val="center"/>
              <w:rPr>
                <w:sz w:val="20"/>
                <w:szCs w:val="20"/>
              </w:rPr>
            </w:pPr>
          </w:p>
        </w:tc>
        <w:tc>
          <w:tcPr>
            <w:tcW w:w="630" w:type="dxa"/>
            <w:shd w:val="clear" w:color="auto" w:fill="D9D9D9" w:themeFill="background1" w:themeFillShade="D9"/>
          </w:tcPr>
          <w:p w:rsidR="003F5A3D" w:rsidRPr="003F5A3D" w:rsidRDefault="003F5A3D" w:rsidP="003F5A3D">
            <w:pPr>
              <w:spacing w:after="0" w:line="240" w:lineRule="auto"/>
              <w:rPr>
                <w:sz w:val="20"/>
                <w:szCs w:val="20"/>
              </w:rPr>
            </w:pPr>
            <w:r w:rsidRPr="003F5A3D">
              <w:rPr>
                <w:sz w:val="20"/>
                <w:szCs w:val="20"/>
              </w:rPr>
              <w:t>P+</w:t>
            </w:r>
          </w:p>
        </w:tc>
        <w:tc>
          <w:tcPr>
            <w:tcW w:w="990" w:type="dxa"/>
            <w:shd w:val="clear" w:color="auto" w:fill="D9D9D9" w:themeFill="background1" w:themeFillShade="D9"/>
            <w:vAlign w:val="bottom"/>
          </w:tcPr>
          <w:p w:rsidR="003F5A3D" w:rsidRPr="003F5A3D" w:rsidRDefault="003F5A3D" w:rsidP="003F5A3D">
            <w:pPr>
              <w:spacing w:after="0" w:line="240" w:lineRule="auto"/>
              <w:jc w:val="center"/>
              <w:rPr>
                <w:sz w:val="20"/>
                <w:szCs w:val="20"/>
              </w:rPr>
            </w:pPr>
            <w:r w:rsidRPr="003F5A3D">
              <w:rPr>
                <w:sz w:val="20"/>
                <w:szCs w:val="20"/>
              </w:rPr>
              <w:t>--</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10%</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9%</w:t>
            </w:r>
          </w:p>
        </w:tc>
        <w:tc>
          <w:tcPr>
            <w:tcW w:w="784" w:type="dxa"/>
            <w:shd w:val="clear" w:color="auto" w:fill="D9D9D9" w:themeFill="background1" w:themeFillShade="D9"/>
          </w:tcPr>
          <w:p w:rsidR="003F5A3D" w:rsidRPr="003F5A3D" w:rsidRDefault="003F5A3D" w:rsidP="003F5A3D">
            <w:pPr>
              <w:spacing w:after="0" w:line="240" w:lineRule="auto"/>
              <w:rPr>
                <w:sz w:val="20"/>
                <w:szCs w:val="20"/>
              </w:rPr>
            </w:pPr>
            <w:r w:rsidRPr="003F5A3D">
              <w:rPr>
                <w:sz w:val="20"/>
                <w:szCs w:val="20"/>
              </w:rPr>
              <w:t>Lv 4&amp;5</w:t>
            </w:r>
          </w:p>
        </w:tc>
        <w:tc>
          <w:tcPr>
            <w:tcW w:w="785" w:type="dxa"/>
            <w:shd w:val="clear" w:color="auto" w:fill="D9D9D9" w:themeFill="background1" w:themeFillShade="D9"/>
            <w:vAlign w:val="bottom"/>
          </w:tcPr>
          <w:p w:rsidR="003F5A3D" w:rsidRPr="003F5A3D" w:rsidRDefault="003F5A3D" w:rsidP="003F5A3D">
            <w:pPr>
              <w:spacing w:after="0" w:line="240" w:lineRule="auto"/>
              <w:jc w:val="center"/>
              <w:rPr>
                <w:sz w:val="20"/>
                <w:szCs w:val="20"/>
              </w:rPr>
            </w:pPr>
            <w:r w:rsidRPr="003F5A3D">
              <w:rPr>
                <w:sz w:val="20"/>
                <w:szCs w:val="20"/>
              </w:rPr>
              <w:t>--</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sz w:val="20"/>
                <w:szCs w:val="20"/>
              </w:rPr>
            </w:pPr>
            <w:r w:rsidRPr="003F5A3D">
              <w:rPr>
                <w:sz w:val="20"/>
                <w:szCs w:val="20"/>
              </w:rPr>
              <w:t>--</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w:t>
            </w:r>
          </w:p>
        </w:tc>
        <w:tc>
          <w:tcPr>
            <w:tcW w:w="785" w:type="dxa"/>
            <w:shd w:val="clear" w:color="auto" w:fill="D9D9D9" w:themeFill="background1" w:themeFillShade="D9"/>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w:t>
            </w:r>
          </w:p>
        </w:tc>
      </w:tr>
      <w:tr w:rsidR="003F5A3D" w:rsidRPr="003F5A3D" w:rsidTr="009D5584">
        <w:tc>
          <w:tcPr>
            <w:tcW w:w="1008" w:type="dxa"/>
            <w:vMerge/>
            <w:vAlign w:val="center"/>
          </w:tcPr>
          <w:p w:rsidR="003F5A3D" w:rsidRPr="003F5A3D" w:rsidRDefault="003F5A3D" w:rsidP="003F5A3D">
            <w:pPr>
              <w:spacing w:after="0" w:line="240" w:lineRule="auto"/>
              <w:jc w:val="center"/>
              <w:rPr>
                <w:sz w:val="20"/>
                <w:szCs w:val="20"/>
              </w:rPr>
            </w:pPr>
          </w:p>
        </w:tc>
        <w:tc>
          <w:tcPr>
            <w:tcW w:w="810" w:type="dxa"/>
            <w:vMerge/>
            <w:shd w:val="clear" w:color="auto" w:fill="D9D9D9" w:themeFill="background1" w:themeFillShade="D9"/>
            <w:vAlign w:val="center"/>
          </w:tcPr>
          <w:p w:rsidR="003F5A3D" w:rsidRPr="003F5A3D" w:rsidRDefault="003F5A3D" w:rsidP="003F5A3D">
            <w:pPr>
              <w:spacing w:after="0" w:line="240" w:lineRule="auto"/>
              <w:jc w:val="center"/>
              <w:rPr>
                <w:sz w:val="20"/>
                <w:szCs w:val="20"/>
              </w:rPr>
            </w:pPr>
          </w:p>
        </w:tc>
        <w:tc>
          <w:tcPr>
            <w:tcW w:w="630" w:type="dxa"/>
            <w:shd w:val="clear" w:color="auto" w:fill="D9D9D9" w:themeFill="background1" w:themeFillShade="D9"/>
          </w:tcPr>
          <w:p w:rsidR="003F5A3D" w:rsidRPr="003F5A3D" w:rsidRDefault="003F5A3D" w:rsidP="003F5A3D">
            <w:pPr>
              <w:spacing w:after="0" w:line="240" w:lineRule="auto"/>
              <w:rPr>
                <w:sz w:val="20"/>
                <w:szCs w:val="20"/>
              </w:rPr>
            </w:pPr>
            <w:r w:rsidRPr="003F5A3D">
              <w:rPr>
                <w:sz w:val="20"/>
                <w:szCs w:val="20"/>
              </w:rPr>
              <w:t>SGP</w:t>
            </w:r>
          </w:p>
        </w:tc>
        <w:tc>
          <w:tcPr>
            <w:tcW w:w="990" w:type="dxa"/>
            <w:shd w:val="clear" w:color="auto" w:fill="D9D9D9" w:themeFill="background1" w:themeFillShade="D9"/>
            <w:vAlign w:val="bottom"/>
          </w:tcPr>
          <w:p w:rsidR="003F5A3D" w:rsidRPr="003F5A3D" w:rsidRDefault="003F5A3D" w:rsidP="003F5A3D">
            <w:pPr>
              <w:spacing w:after="0" w:line="240" w:lineRule="auto"/>
              <w:jc w:val="center"/>
              <w:rPr>
                <w:sz w:val="20"/>
                <w:szCs w:val="20"/>
              </w:rPr>
            </w:pPr>
            <w:r w:rsidRPr="003F5A3D">
              <w:rPr>
                <w:sz w:val="20"/>
                <w:szCs w:val="20"/>
              </w:rPr>
              <w:t>1,662</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44.0</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41.0</w:t>
            </w:r>
          </w:p>
        </w:tc>
        <w:tc>
          <w:tcPr>
            <w:tcW w:w="784" w:type="dxa"/>
            <w:shd w:val="clear" w:color="auto" w:fill="D9D9D9" w:themeFill="background1" w:themeFillShade="D9"/>
          </w:tcPr>
          <w:p w:rsidR="003F5A3D" w:rsidRPr="003F5A3D" w:rsidRDefault="003F5A3D" w:rsidP="003F5A3D">
            <w:pPr>
              <w:spacing w:after="0" w:line="240" w:lineRule="auto"/>
              <w:rPr>
                <w:sz w:val="20"/>
                <w:szCs w:val="20"/>
              </w:rPr>
            </w:pPr>
            <w:r w:rsidRPr="003F5A3D">
              <w:rPr>
                <w:sz w:val="20"/>
                <w:szCs w:val="20"/>
              </w:rPr>
              <w:t>SGP</w:t>
            </w:r>
          </w:p>
        </w:tc>
        <w:tc>
          <w:tcPr>
            <w:tcW w:w="785" w:type="dxa"/>
            <w:shd w:val="clear" w:color="auto" w:fill="D9D9D9" w:themeFill="background1" w:themeFillShade="D9"/>
            <w:vAlign w:val="bottom"/>
          </w:tcPr>
          <w:p w:rsidR="003F5A3D" w:rsidRPr="003F5A3D" w:rsidRDefault="003F5A3D" w:rsidP="003F5A3D">
            <w:pPr>
              <w:spacing w:after="0" w:line="240" w:lineRule="auto"/>
              <w:jc w:val="center"/>
              <w:rPr>
                <w:sz w:val="20"/>
                <w:szCs w:val="20"/>
              </w:rPr>
            </w:pPr>
            <w:r w:rsidRPr="003F5A3D">
              <w:rPr>
                <w:sz w:val="20"/>
                <w:szCs w:val="20"/>
              </w:rPr>
              <w:t>44.0</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sz w:val="20"/>
                <w:szCs w:val="20"/>
              </w:rPr>
            </w:pPr>
            <w:r w:rsidRPr="003F5A3D">
              <w:rPr>
                <w:sz w:val="20"/>
                <w:szCs w:val="20"/>
              </w:rPr>
              <w:t>45.0</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1.0</w:t>
            </w:r>
          </w:p>
        </w:tc>
        <w:tc>
          <w:tcPr>
            <w:tcW w:w="785" w:type="dxa"/>
            <w:shd w:val="clear" w:color="auto" w:fill="D9D9D9" w:themeFill="background1" w:themeFillShade="D9"/>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1.0</w:t>
            </w:r>
          </w:p>
        </w:tc>
      </w:tr>
      <w:tr w:rsidR="003F5A3D" w:rsidRPr="003F5A3D" w:rsidTr="009D5584">
        <w:tc>
          <w:tcPr>
            <w:tcW w:w="1008" w:type="dxa"/>
            <w:vMerge/>
            <w:vAlign w:val="center"/>
          </w:tcPr>
          <w:p w:rsidR="003F5A3D" w:rsidRPr="003F5A3D" w:rsidRDefault="003F5A3D" w:rsidP="003F5A3D">
            <w:pPr>
              <w:spacing w:after="0" w:line="240" w:lineRule="auto"/>
              <w:jc w:val="center"/>
              <w:rPr>
                <w:sz w:val="20"/>
                <w:szCs w:val="20"/>
              </w:rPr>
            </w:pPr>
          </w:p>
        </w:tc>
        <w:tc>
          <w:tcPr>
            <w:tcW w:w="810" w:type="dxa"/>
            <w:vMerge w:val="restart"/>
            <w:vAlign w:val="center"/>
          </w:tcPr>
          <w:p w:rsidR="003F5A3D" w:rsidRPr="003F5A3D" w:rsidRDefault="003F5A3D" w:rsidP="003F5A3D">
            <w:pPr>
              <w:spacing w:after="0" w:line="240" w:lineRule="auto"/>
              <w:jc w:val="center"/>
              <w:rPr>
                <w:sz w:val="20"/>
                <w:szCs w:val="20"/>
              </w:rPr>
            </w:pPr>
            <w:r w:rsidRPr="003F5A3D">
              <w:rPr>
                <w:sz w:val="20"/>
                <w:szCs w:val="20"/>
              </w:rPr>
              <w:t>State</w:t>
            </w:r>
          </w:p>
        </w:tc>
        <w:tc>
          <w:tcPr>
            <w:tcW w:w="630" w:type="dxa"/>
          </w:tcPr>
          <w:p w:rsidR="003F5A3D" w:rsidRPr="003F5A3D" w:rsidRDefault="003F5A3D" w:rsidP="003F5A3D">
            <w:pPr>
              <w:spacing w:after="0" w:line="240" w:lineRule="auto"/>
              <w:rPr>
                <w:sz w:val="20"/>
                <w:szCs w:val="20"/>
              </w:rPr>
            </w:pPr>
            <w:r w:rsidRPr="003F5A3D">
              <w:rPr>
                <w:sz w:val="20"/>
                <w:szCs w:val="20"/>
              </w:rPr>
              <w:t>CPI</w:t>
            </w:r>
          </w:p>
        </w:tc>
        <w:tc>
          <w:tcPr>
            <w:tcW w:w="990" w:type="dxa"/>
            <w:vAlign w:val="bottom"/>
          </w:tcPr>
          <w:p w:rsidR="003F5A3D" w:rsidRPr="003F5A3D" w:rsidRDefault="003F5A3D" w:rsidP="003F5A3D">
            <w:pPr>
              <w:spacing w:after="0" w:line="240" w:lineRule="auto"/>
              <w:jc w:val="center"/>
              <w:rPr>
                <w:sz w:val="20"/>
                <w:szCs w:val="20"/>
              </w:rPr>
            </w:pPr>
            <w:r w:rsidRPr="003F5A3D">
              <w:rPr>
                <w:sz w:val="20"/>
                <w:szCs w:val="20"/>
              </w:rPr>
              <w:t>91,049</w:t>
            </w:r>
          </w:p>
        </w:tc>
        <w:tc>
          <w:tcPr>
            <w:tcW w:w="784" w:type="dxa"/>
            <w:vAlign w:val="bottom"/>
          </w:tcPr>
          <w:p w:rsidR="003F5A3D" w:rsidRPr="003F5A3D" w:rsidRDefault="003F5A3D" w:rsidP="003F5A3D">
            <w:pPr>
              <w:spacing w:after="0" w:line="240" w:lineRule="auto"/>
              <w:jc w:val="center"/>
              <w:rPr>
                <w:sz w:val="20"/>
                <w:szCs w:val="20"/>
              </w:rPr>
            </w:pPr>
            <w:r w:rsidRPr="003F5A3D">
              <w:rPr>
                <w:sz w:val="20"/>
                <w:szCs w:val="20"/>
              </w:rPr>
              <w:t>57.4</w:t>
            </w:r>
          </w:p>
        </w:tc>
        <w:tc>
          <w:tcPr>
            <w:tcW w:w="784" w:type="dxa"/>
            <w:vAlign w:val="bottom"/>
          </w:tcPr>
          <w:p w:rsidR="003F5A3D" w:rsidRPr="003F5A3D" w:rsidRDefault="003F5A3D" w:rsidP="003F5A3D">
            <w:pPr>
              <w:spacing w:after="0" w:line="240" w:lineRule="auto"/>
              <w:jc w:val="center"/>
              <w:rPr>
                <w:sz w:val="20"/>
                <w:szCs w:val="20"/>
              </w:rPr>
            </w:pPr>
            <w:r w:rsidRPr="003F5A3D">
              <w:rPr>
                <w:sz w:val="20"/>
                <w:szCs w:val="20"/>
              </w:rPr>
              <w:t>57.1</w:t>
            </w:r>
          </w:p>
        </w:tc>
        <w:tc>
          <w:tcPr>
            <w:tcW w:w="784" w:type="dxa"/>
          </w:tcPr>
          <w:p w:rsidR="003F5A3D" w:rsidRPr="003F5A3D" w:rsidRDefault="003F5A3D" w:rsidP="003F5A3D">
            <w:pPr>
              <w:spacing w:after="0" w:line="240" w:lineRule="auto"/>
              <w:rPr>
                <w:sz w:val="20"/>
                <w:szCs w:val="20"/>
              </w:rPr>
            </w:pPr>
            <w:r w:rsidRPr="003F5A3D">
              <w:rPr>
                <w:sz w:val="20"/>
                <w:szCs w:val="20"/>
              </w:rPr>
              <w:t>CPI</w:t>
            </w:r>
          </w:p>
        </w:tc>
        <w:tc>
          <w:tcPr>
            <w:tcW w:w="785" w:type="dxa"/>
            <w:vAlign w:val="bottom"/>
          </w:tcPr>
          <w:p w:rsidR="003F5A3D" w:rsidRPr="003F5A3D" w:rsidRDefault="003F5A3D" w:rsidP="003F5A3D">
            <w:pPr>
              <w:spacing w:after="0" w:line="240" w:lineRule="auto"/>
              <w:jc w:val="center"/>
              <w:rPr>
                <w:sz w:val="20"/>
                <w:szCs w:val="20"/>
              </w:rPr>
            </w:pPr>
            <w:r w:rsidRPr="003F5A3D">
              <w:rPr>
                <w:sz w:val="20"/>
                <w:szCs w:val="20"/>
              </w:rPr>
              <w:t>57.3</w:t>
            </w:r>
          </w:p>
        </w:tc>
        <w:tc>
          <w:tcPr>
            <w:tcW w:w="784" w:type="dxa"/>
            <w:vAlign w:val="bottom"/>
          </w:tcPr>
          <w:p w:rsidR="003F5A3D" w:rsidRPr="003F5A3D" w:rsidRDefault="003F5A3D" w:rsidP="003F5A3D">
            <w:pPr>
              <w:spacing w:after="0" w:line="240" w:lineRule="auto"/>
              <w:jc w:val="center"/>
              <w:rPr>
                <w:sz w:val="20"/>
                <w:szCs w:val="20"/>
              </w:rPr>
            </w:pPr>
            <w:r w:rsidRPr="003F5A3D">
              <w:rPr>
                <w:sz w:val="20"/>
                <w:szCs w:val="20"/>
              </w:rPr>
              <w:t>58.1</w:t>
            </w:r>
          </w:p>
        </w:tc>
        <w:tc>
          <w:tcPr>
            <w:tcW w:w="784" w:type="dxa"/>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0.8</w:t>
            </w:r>
          </w:p>
        </w:tc>
        <w:tc>
          <w:tcPr>
            <w:tcW w:w="785" w:type="dxa"/>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0.7</w:t>
            </w:r>
          </w:p>
        </w:tc>
      </w:tr>
      <w:tr w:rsidR="003F5A3D" w:rsidRPr="003F5A3D" w:rsidTr="009D5584">
        <w:tc>
          <w:tcPr>
            <w:tcW w:w="1008" w:type="dxa"/>
            <w:vMerge/>
            <w:vAlign w:val="center"/>
          </w:tcPr>
          <w:p w:rsidR="003F5A3D" w:rsidRPr="003F5A3D" w:rsidRDefault="003F5A3D" w:rsidP="003F5A3D">
            <w:pPr>
              <w:spacing w:after="0" w:line="240" w:lineRule="auto"/>
              <w:jc w:val="center"/>
              <w:rPr>
                <w:sz w:val="20"/>
                <w:szCs w:val="20"/>
              </w:rPr>
            </w:pPr>
          </w:p>
        </w:tc>
        <w:tc>
          <w:tcPr>
            <w:tcW w:w="810" w:type="dxa"/>
            <w:vMerge/>
            <w:vAlign w:val="center"/>
          </w:tcPr>
          <w:p w:rsidR="003F5A3D" w:rsidRPr="003F5A3D" w:rsidRDefault="003F5A3D" w:rsidP="003F5A3D">
            <w:pPr>
              <w:spacing w:after="0" w:line="240" w:lineRule="auto"/>
              <w:jc w:val="center"/>
              <w:rPr>
                <w:sz w:val="20"/>
                <w:szCs w:val="20"/>
              </w:rPr>
            </w:pPr>
          </w:p>
        </w:tc>
        <w:tc>
          <w:tcPr>
            <w:tcW w:w="630" w:type="dxa"/>
          </w:tcPr>
          <w:p w:rsidR="003F5A3D" w:rsidRPr="003F5A3D" w:rsidRDefault="003F5A3D" w:rsidP="003F5A3D">
            <w:pPr>
              <w:spacing w:after="0" w:line="240" w:lineRule="auto"/>
              <w:rPr>
                <w:sz w:val="20"/>
                <w:szCs w:val="20"/>
              </w:rPr>
            </w:pPr>
            <w:r w:rsidRPr="003F5A3D">
              <w:rPr>
                <w:sz w:val="20"/>
                <w:szCs w:val="20"/>
              </w:rPr>
              <w:t>P+</w:t>
            </w:r>
          </w:p>
        </w:tc>
        <w:tc>
          <w:tcPr>
            <w:tcW w:w="990" w:type="dxa"/>
            <w:vAlign w:val="bottom"/>
          </w:tcPr>
          <w:p w:rsidR="003F5A3D" w:rsidRPr="003F5A3D" w:rsidRDefault="003F5A3D" w:rsidP="003F5A3D">
            <w:pPr>
              <w:spacing w:after="0" w:line="240" w:lineRule="auto"/>
              <w:jc w:val="center"/>
              <w:rPr>
                <w:sz w:val="20"/>
                <w:szCs w:val="20"/>
              </w:rPr>
            </w:pPr>
            <w:r w:rsidRPr="003F5A3D">
              <w:rPr>
                <w:sz w:val="20"/>
                <w:szCs w:val="20"/>
              </w:rPr>
              <w:t>--</w:t>
            </w:r>
          </w:p>
        </w:tc>
        <w:tc>
          <w:tcPr>
            <w:tcW w:w="784" w:type="dxa"/>
            <w:vAlign w:val="bottom"/>
          </w:tcPr>
          <w:p w:rsidR="003F5A3D" w:rsidRPr="003F5A3D" w:rsidRDefault="003F5A3D" w:rsidP="003F5A3D">
            <w:pPr>
              <w:spacing w:after="0" w:line="240" w:lineRule="auto"/>
              <w:jc w:val="center"/>
              <w:rPr>
                <w:sz w:val="20"/>
                <w:szCs w:val="20"/>
              </w:rPr>
            </w:pPr>
            <w:r w:rsidRPr="003F5A3D">
              <w:rPr>
                <w:sz w:val="20"/>
                <w:szCs w:val="20"/>
              </w:rPr>
              <w:t>22%</w:t>
            </w:r>
          </w:p>
        </w:tc>
        <w:tc>
          <w:tcPr>
            <w:tcW w:w="784" w:type="dxa"/>
            <w:vAlign w:val="bottom"/>
          </w:tcPr>
          <w:p w:rsidR="003F5A3D" w:rsidRPr="003F5A3D" w:rsidRDefault="003F5A3D" w:rsidP="003F5A3D">
            <w:pPr>
              <w:spacing w:after="0" w:line="240" w:lineRule="auto"/>
              <w:jc w:val="center"/>
              <w:rPr>
                <w:sz w:val="20"/>
                <w:szCs w:val="20"/>
              </w:rPr>
            </w:pPr>
            <w:r w:rsidRPr="003F5A3D">
              <w:rPr>
                <w:sz w:val="20"/>
                <w:szCs w:val="20"/>
              </w:rPr>
              <w:t>22%</w:t>
            </w:r>
          </w:p>
        </w:tc>
        <w:tc>
          <w:tcPr>
            <w:tcW w:w="784" w:type="dxa"/>
          </w:tcPr>
          <w:p w:rsidR="003F5A3D" w:rsidRPr="003F5A3D" w:rsidRDefault="003F5A3D" w:rsidP="003F5A3D">
            <w:pPr>
              <w:spacing w:after="0" w:line="240" w:lineRule="auto"/>
              <w:rPr>
                <w:sz w:val="20"/>
                <w:szCs w:val="20"/>
              </w:rPr>
            </w:pPr>
            <w:r w:rsidRPr="003F5A3D">
              <w:rPr>
                <w:sz w:val="20"/>
                <w:szCs w:val="20"/>
              </w:rPr>
              <w:t>Lv 4&amp;5</w:t>
            </w:r>
          </w:p>
        </w:tc>
        <w:tc>
          <w:tcPr>
            <w:tcW w:w="785" w:type="dxa"/>
            <w:vAlign w:val="bottom"/>
          </w:tcPr>
          <w:p w:rsidR="003F5A3D" w:rsidRPr="003F5A3D" w:rsidRDefault="003F5A3D" w:rsidP="003F5A3D">
            <w:pPr>
              <w:spacing w:after="0" w:line="240" w:lineRule="auto"/>
              <w:jc w:val="center"/>
              <w:rPr>
                <w:sz w:val="20"/>
                <w:szCs w:val="20"/>
              </w:rPr>
            </w:pPr>
            <w:r w:rsidRPr="003F5A3D">
              <w:rPr>
                <w:sz w:val="20"/>
                <w:szCs w:val="20"/>
              </w:rPr>
              <w:t>--</w:t>
            </w:r>
          </w:p>
        </w:tc>
        <w:tc>
          <w:tcPr>
            <w:tcW w:w="784" w:type="dxa"/>
            <w:vAlign w:val="bottom"/>
          </w:tcPr>
          <w:p w:rsidR="003F5A3D" w:rsidRPr="003F5A3D" w:rsidRDefault="003F5A3D" w:rsidP="003F5A3D">
            <w:pPr>
              <w:spacing w:after="0" w:line="240" w:lineRule="auto"/>
              <w:jc w:val="center"/>
              <w:rPr>
                <w:sz w:val="20"/>
                <w:szCs w:val="20"/>
              </w:rPr>
            </w:pPr>
            <w:r w:rsidRPr="003F5A3D">
              <w:rPr>
                <w:sz w:val="20"/>
                <w:szCs w:val="20"/>
              </w:rPr>
              <w:t>--</w:t>
            </w:r>
          </w:p>
        </w:tc>
        <w:tc>
          <w:tcPr>
            <w:tcW w:w="784" w:type="dxa"/>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w:t>
            </w:r>
          </w:p>
        </w:tc>
        <w:tc>
          <w:tcPr>
            <w:tcW w:w="785" w:type="dxa"/>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w:t>
            </w:r>
          </w:p>
        </w:tc>
      </w:tr>
      <w:tr w:rsidR="003F5A3D" w:rsidRPr="003F5A3D" w:rsidTr="009D5584">
        <w:tc>
          <w:tcPr>
            <w:tcW w:w="1008" w:type="dxa"/>
            <w:vMerge/>
            <w:vAlign w:val="center"/>
          </w:tcPr>
          <w:p w:rsidR="003F5A3D" w:rsidRPr="003F5A3D" w:rsidRDefault="003F5A3D" w:rsidP="003F5A3D">
            <w:pPr>
              <w:spacing w:after="0" w:line="240" w:lineRule="auto"/>
              <w:jc w:val="center"/>
              <w:rPr>
                <w:sz w:val="20"/>
                <w:szCs w:val="20"/>
              </w:rPr>
            </w:pPr>
          </w:p>
        </w:tc>
        <w:tc>
          <w:tcPr>
            <w:tcW w:w="810" w:type="dxa"/>
            <w:vMerge/>
            <w:tcBorders>
              <w:bottom w:val="single" w:sz="4" w:space="0" w:color="auto"/>
            </w:tcBorders>
            <w:vAlign w:val="center"/>
          </w:tcPr>
          <w:p w:rsidR="003F5A3D" w:rsidRPr="003F5A3D" w:rsidRDefault="003F5A3D" w:rsidP="003F5A3D">
            <w:pPr>
              <w:spacing w:after="0" w:line="240" w:lineRule="auto"/>
              <w:jc w:val="center"/>
              <w:rPr>
                <w:sz w:val="20"/>
                <w:szCs w:val="20"/>
              </w:rPr>
            </w:pPr>
          </w:p>
        </w:tc>
        <w:tc>
          <w:tcPr>
            <w:tcW w:w="630" w:type="dxa"/>
            <w:tcBorders>
              <w:bottom w:val="single" w:sz="4" w:space="0" w:color="auto"/>
            </w:tcBorders>
          </w:tcPr>
          <w:p w:rsidR="003F5A3D" w:rsidRPr="003F5A3D" w:rsidRDefault="003F5A3D" w:rsidP="003F5A3D">
            <w:pPr>
              <w:spacing w:after="0" w:line="240" w:lineRule="auto"/>
              <w:rPr>
                <w:sz w:val="20"/>
                <w:szCs w:val="20"/>
              </w:rPr>
            </w:pPr>
            <w:r w:rsidRPr="003F5A3D">
              <w:rPr>
                <w:sz w:val="20"/>
                <w:szCs w:val="20"/>
              </w:rPr>
              <w:t>SGP</w:t>
            </w:r>
          </w:p>
        </w:tc>
        <w:tc>
          <w:tcPr>
            <w:tcW w:w="990" w:type="dxa"/>
            <w:tcBorders>
              <w:bottom w:val="single" w:sz="4" w:space="0" w:color="auto"/>
            </w:tcBorders>
            <w:vAlign w:val="bottom"/>
          </w:tcPr>
          <w:p w:rsidR="003F5A3D" w:rsidRPr="003F5A3D" w:rsidRDefault="003F5A3D" w:rsidP="003F5A3D">
            <w:pPr>
              <w:spacing w:after="0" w:line="240" w:lineRule="auto"/>
              <w:jc w:val="center"/>
              <w:rPr>
                <w:sz w:val="20"/>
                <w:szCs w:val="20"/>
              </w:rPr>
            </w:pPr>
            <w:r w:rsidRPr="003F5A3D">
              <w:rPr>
                <w:sz w:val="20"/>
                <w:szCs w:val="20"/>
              </w:rPr>
              <w:t>66,511</w:t>
            </w:r>
          </w:p>
        </w:tc>
        <w:tc>
          <w:tcPr>
            <w:tcW w:w="784" w:type="dxa"/>
            <w:tcBorders>
              <w:bottom w:val="single" w:sz="4" w:space="0" w:color="auto"/>
            </w:tcBorders>
            <w:vAlign w:val="bottom"/>
          </w:tcPr>
          <w:p w:rsidR="003F5A3D" w:rsidRPr="003F5A3D" w:rsidRDefault="003F5A3D" w:rsidP="003F5A3D">
            <w:pPr>
              <w:spacing w:after="0" w:line="240" w:lineRule="auto"/>
              <w:jc w:val="center"/>
              <w:rPr>
                <w:sz w:val="20"/>
                <w:szCs w:val="20"/>
              </w:rPr>
            </w:pPr>
            <w:r w:rsidRPr="003F5A3D">
              <w:rPr>
                <w:sz w:val="20"/>
                <w:szCs w:val="20"/>
              </w:rPr>
              <w:t>42.0</w:t>
            </w:r>
          </w:p>
        </w:tc>
        <w:tc>
          <w:tcPr>
            <w:tcW w:w="784" w:type="dxa"/>
            <w:tcBorders>
              <w:bottom w:val="single" w:sz="4" w:space="0" w:color="auto"/>
            </w:tcBorders>
            <w:vAlign w:val="bottom"/>
          </w:tcPr>
          <w:p w:rsidR="003F5A3D" w:rsidRPr="003F5A3D" w:rsidRDefault="003F5A3D" w:rsidP="003F5A3D">
            <w:pPr>
              <w:spacing w:after="0" w:line="240" w:lineRule="auto"/>
              <w:jc w:val="center"/>
              <w:rPr>
                <w:sz w:val="20"/>
                <w:szCs w:val="20"/>
              </w:rPr>
            </w:pPr>
            <w:r w:rsidRPr="003F5A3D">
              <w:rPr>
                <w:sz w:val="20"/>
                <w:szCs w:val="20"/>
              </w:rPr>
              <w:t>43.0</w:t>
            </w:r>
          </w:p>
        </w:tc>
        <w:tc>
          <w:tcPr>
            <w:tcW w:w="784" w:type="dxa"/>
            <w:tcBorders>
              <w:bottom w:val="single" w:sz="4" w:space="0" w:color="auto"/>
            </w:tcBorders>
          </w:tcPr>
          <w:p w:rsidR="003F5A3D" w:rsidRPr="003F5A3D" w:rsidRDefault="003F5A3D" w:rsidP="003F5A3D">
            <w:pPr>
              <w:spacing w:after="0" w:line="240" w:lineRule="auto"/>
              <w:rPr>
                <w:sz w:val="20"/>
                <w:szCs w:val="20"/>
              </w:rPr>
            </w:pPr>
            <w:r w:rsidRPr="003F5A3D">
              <w:rPr>
                <w:sz w:val="20"/>
                <w:szCs w:val="20"/>
              </w:rPr>
              <w:t>SGP</w:t>
            </w:r>
          </w:p>
        </w:tc>
        <w:tc>
          <w:tcPr>
            <w:tcW w:w="785" w:type="dxa"/>
            <w:tcBorders>
              <w:bottom w:val="single" w:sz="4" w:space="0" w:color="auto"/>
            </w:tcBorders>
            <w:vAlign w:val="bottom"/>
          </w:tcPr>
          <w:p w:rsidR="003F5A3D" w:rsidRPr="003F5A3D" w:rsidRDefault="003F5A3D" w:rsidP="003F5A3D">
            <w:pPr>
              <w:spacing w:after="0" w:line="240" w:lineRule="auto"/>
              <w:jc w:val="center"/>
              <w:rPr>
                <w:sz w:val="20"/>
                <w:szCs w:val="20"/>
              </w:rPr>
            </w:pPr>
            <w:r w:rsidRPr="003F5A3D">
              <w:rPr>
                <w:sz w:val="20"/>
                <w:szCs w:val="20"/>
              </w:rPr>
              <w:t>43.0</w:t>
            </w:r>
          </w:p>
        </w:tc>
        <w:tc>
          <w:tcPr>
            <w:tcW w:w="784" w:type="dxa"/>
            <w:tcBorders>
              <w:bottom w:val="single" w:sz="4" w:space="0" w:color="auto"/>
            </w:tcBorders>
            <w:vAlign w:val="bottom"/>
          </w:tcPr>
          <w:p w:rsidR="003F5A3D" w:rsidRPr="003F5A3D" w:rsidRDefault="003F5A3D" w:rsidP="003F5A3D">
            <w:pPr>
              <w:spacing w:after="0" w:line="240" w:lineRule="auto"/>
              <w:jc w:val="center"/>
              <w:rPr>
                <w:sz w:val="20"/>
                <w:szCs w:val="20"/>
              </w:rPr>
            </w:pPr>
            <w:r w:rsidRPr="003F5A3D">
              <w:rPr>
                <w:sz w:val="20"/>
                <w:szCs w:val="20"/>
              </w:rPr>
              <w:t>44.0</w:t>
            </w:r>
          </w:p>
        </w:tc>
        <w:tc>
          <w:tcPr>
            <w:tcW w:w="784" w:type="dxa"/>
            <w:tcBorders>
              <w:bottom w:val="single" w:sz="4" w:space="0" w:color="auto"/>
            </w:tcBorders>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1.0</w:t>
            </w:r>
          </w:p>
        </w:tc>
        <w:tc>
          <w:tcPr>
            <w:tcW w:w="785" w:type="dxa"/>
            <w:tcBorders>
              <w:bottom w:val="single" w:sz="4" w:space="0" w:color="auto"/>
            </w:tcBorders>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2.0</w:t>
            </w:r>
          </w:p>
        </w:tc>
      </w:tr>
      <w:tr w:rsidR="003F5A3D" w:rsidRPr="003F5A3D" w:rsidTr="009D5584">
        <w:tc>
          <w:tcPr>
            <w:tcW w:w="1008" w:type="dxa"/>
            <w:vMerge w:val="restart"/>
            <w:vAlign w:val="center"/>
          </w:tcPr>
          <w:p w:rsidR="003F5A3D" w:rsidRPr="003F5A3D" w:rsidRDefault="003F5A3D" w:rsidP="003F5A3D">
            <w:pPr>
              <w:spacing w:after="0" w:line="240" w:lineRule="auto"/>
              <w:jc w:val="center"/>
              <w:rPr>
                <w:sz w:val="20"/>
                <w:szCs w:val="20"/>
              </w:rPr>
            </w:pPr>
            <w:r w:rsidRPr="003F5A3D">
              <w:rPr>
                <w:sz w:val="20"/>
                <w:szCs w:val="20"/>
              </w:rPr>
              <w:t>ELL or Former ELLs</w:t>
            </w:r>
          </w:p>
        </w:tc>
        <w:tc>
          <w:tcPr>
            <w:tcW w:w="810" w:type="dxa"/>
            <w:vMerge w:val="restart"/>
            <w:shd w:val="clear" w:color="auto" w:fill="D9D9D9" w:themeFill="background1" w:themeFillShade="D9"/>
            <w:vAlign w:val="center"/>
          </w:tcPr>
          <w:p w:rsidR="003F5A3D" w:rsidRPr="003F5A3D" w:rsidRDefault="003F5A3D" w:rsidP="003F5A3D">
            <w:pPr>
              <w:spacing w:after="0" w:line="240" w:lineRule="auto"/>
              <w:jc w:val="center"/>
              <w:rPr>
                <w:sz w:val="20"/>
                <w:szCs w:val="20"/>
              </w:rPr>
            </w:pPr>
            <w:r w:rsidRPr="003F5A3D">
              <w:rPr>
                <w:sz w:val="20"/>
                <w:szCs w:val="20"/>
              </w:rPr>
              <w:t>District</w:t>
            </w:r>
          </w:p>
        </w:tc>
        <w:tc>
          <w:tcPr>
            <w:tcW w:w="630" w:type="dxa"/>
            <w:shd w:val="clear" w:color="auto" w:fill="D9D9D9" w:themeFill="background1" w:themeFillShade="D9"/>
          </w:tcPr>
          <w:p w:rsidR="003F5A3D" w:rsidRPr="003F5A3D" w:rsidRDefault="003F5A3D" w:rsidP="003F5A3D">
            <w:pPr>
              <w:spacing w:after="0" w:line="240" w:lineRule="auto"/>
              <w:rPr>
                <w:sz w:val="20"/>
                <w:szCs w:val="20"/>
              </w:rPr>
            </w:pPr>
            <w:r w:rsidRPr="003F5A3D">
              <w:rPr>
                <w:sz w:val="20"/>
                <w:szCs w:val="20"/>
              </w:rPr>
              <w:t>CPI</w:t>
            </w:r>
          </w:p>
        </w:tc>
        <w:tc>
          <w:tcPr>
            <w:tcW w:w="990" w:type="dxa"/>
            <w:shd w:val="clear" w:color="auto" w:fill="D9D9D9" w:themeFill="background1" w:themeFillShade="D9"/>
            <w:vAlign w:val="bottom"/>
          </w:tcPr>
          <w:p w:rsidR="003F5A3D" w:rsidRPr="003F5A3D" w:rsidRDefault="003F5A3D" w:rsidP="003F5A3D">
            <w:pPr>
              <w:spacing w:after="0" w:line="240" w:lineRule="auto"/>
              <w:jc w:val="center"/>
              <w:rPr>
                <w:sz w:val="20"/>
                <w:szCs w:val="20"/>
              </w:rPr>
            </w:pPr>
            <w:r w:rsidRPr="003F5A3D">
              <w:rPr>
                <w:sz w:val="20"/>
                <w:szCs w:val="20"/>
              </w:rPr>
              <w:t>4,751</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60.8</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58.2</w:t>
            </w:r>
          </w:p>
        </w:tc>
        <w:tc>
          <w:tcPr>
            <w:tcW w:w="784" w:type="dxa"/>
            <w:shd w:val="clear" w:color="auto" w:fill="D9D9D9" w:themeFill="background1" w:themeFillShade="D9"/>
          </w:tcPr>
          <w:p w:rsidR="003F5A3D" w:rsidRPr="003F5A3D" w:rsidRDefault="003F5A3D" w:rsidP="003F5A3D">
            <w:pPr>
              <w:spacing w:after="0" w:line="240" w:lineRule="auto"/>
              <w:rPr>
                <w:sz w:val="20"/>
                <w:szCs w:val="20"/>
              </w:rPr>
            </w:pPr>
            <w:r w:rsidRPr="003F5A3D">
              <w:rPr>
                <w:sz w:val="20"/>
                <w:szCs w:val="20"/>
              </w:rPr>
              <w:t>CPI</w:t>
            </w:r>
          </w:p>
        </w:tc>
        <w:tc>
          <w:tcPr>
            <w:tcW w:w="785" w:type="dxa"/>
            <w:shd w:val="clear" w:color="auto" w:fill="D9D9D9" w:themeFill="background1" w:themeFillShade="D9"/>
            <w:vAlign w:val="bottom"/>
          </w:tcPr>
          <w:p w:rsidR="003F5A3D" w:rsidRPr="003F5A3D" w:rsidRDefault="003F5A3D" w:rsidP="003F5A3D">
            <w:pPr>
              <w:spacing w:after="0" w:line="240" w:lineRule="auto"/>
              <w:jc w:val="center"/>
              <w:rPr>
                <w:sz w:val="20"/>
                <w:szCs w:val="20"/>
              </w:rPr>
            </w:pPr>
            <w:r w:rsidRPr="003F5A3D">
              <w:rPr>
                <w:sz w:val="20"/>
                <w:szCs w:val="20"/>
              </w:rPr>
              <w:t>59.2</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sz w:val="20"/>
                <w:szCs w:val="20"/>
              </w:rPr>
            </w:pPr>
            <w:r w:rsidRPr="003F5A3D">
              <w:rPr>
                <w:sz w:val="20"/>
                <w:szCs w:val="20"/>
              </w:rPr>
              <w:t>59.4</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0.2</w:t>
            </w:r>
          </w:p>
        </w:tc>
        <w:tc>
          <w:tcPr>
            <w:tcW w:w="785" w:type="dxa"/>
            <w:shd w:val="clear" w:color="auto" w:fill="D9D9D9" w:themeFill="background1" w:themeFillShade="D9"/>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-1.4</w:t>
            </w:r>
          </w:p>
        </w:tc>
      </w:tr>
      <w:tr w:rsidR="003F5A3D" w:rsidRPr="003F5A3D" w:rsidTr="009D5584">
        <w:tc>
          <w:tcPr>
            <w:tcW w:w="1008" w:type="dxa"/>
            <w:vMerge/>
            <w:vAlign w:val="center"/>
          </w:tcPr>
          <w:p w:rsidR="003F5A3D" w:rsidRPr="003F5A3D" w:rsidRDefault="003F5A3D" w:rsidP="003F5A3D">
            <w:pPr>
              <w:spacing w:after="0" w:line="240" w:lineRule="auto"/>
              <w:jc w:val="center"/>
              <w:rPr>
                <w:sz w:val="20"/>
                <w:szCs w:val="20"/>
              </w:rPr>
            </w:pPr>
          </w:p>
        </w:tc>
        <w:tc>
          <w:tcPr>
            <w:tcW w:w="810" w:type="dxa"/>
            <w:vMerge/>
            <w:shd w:val="clear" w:color="auto" w:fill="D9D9D9" w:themeFill="background1" w:themeFillShade="D9"/>
            <w:vAlign w:val="center"/>
          </w:tcPr>
          <w:p w:rsidR="003F5A3D" w:rsidRPr="003F5A3D" w:rsidRDefault="003F5A3D" w:rsidP="003F5A3D">
            <w:pPr>
              <w:spacing w:after="0" w:line="240" w:lineRule="auto"/>
              <w:jc w:val="center"/>
              <w:rPr>
                <w:sz w:val="20"/>
                <w:szCs w:val="20"/>
              </w:rPr>
            </w:pPr>
          </w:p>
        </w:tc>
        <w:tc>
          <w:tcPr>
            <w:tcW w:w="630" w:type="dxa"/>
            <w:shd w:val="clear" w:color="auto" w:fill="D9D9D9" w:themeFill="background1" w:themeFillShade="D9"/>
          </w:tcPr>
          <w:p w:rsidR="003F5A3D" w:rsidRPr="003F5A3D" w:rsidRDefault="003F5A3D" w:rsidP="003F5A3D">
            <w:pPr>
              <w:spacing w:after="0" w:line="240" w:lineRule="auto"/>
              <w:rPr>
                <w:sz w:val="20"/>
                <w:szCs w:val="20"/>
              </w:rPr>
            </w:pPr>
            <w:r w:rsidRPr="003F5A3D">
              <w:rPr>
                <w:sz w:val="20"/>
                <w:szCs w:val="20"/>
              </w:rPr>
              <w:t>P+</w:t>
            </w:r>
          </w:p>
        </w:tc>
        <w:tc>
          <w:tcPr>
            <w:tcW w:w="990" w:type="dxa"/>
            <w:shd w:val="clear" w:color="auto" w:fill="D9D9D9" w:themeFill="background1" w:themeFillShade="D9"/>
            <w:vAlign w:val="bottom"/>
          </w:tcPr>
          <w:p w:rsidR="003F5A3D" w:rsidRPr="003F5A3D" w:rsidRDefault="003F5A3D" w:rsidP="003F5A3D">
            <w:pPr>
              <w:spacing w:after="0" w:line="240" w:lineRule="auto"/>
              <w:jc w:val="center"/>
              <w:rPr>
                <w:sz w:val="20"/>
                <w:szCs w:val="20"/>
              </w:rPr>
            </w:pPr>
            <w:r w:rsidRPr="003F5A3D">
              <w:rPr>
                <w:sz w:val="20"/>
                <w:szCs w:val="20"/>
              </w:rPr>
              <w:t>--</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32%</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29%</w:t>
            </w:r>
          </w:p>
        </w:tc>
        <w:tc>
          <w:tcPr>
            <w:tcW w:w="784" w:type="dxa"/>
            <w:shd w:val="clear" w:color="auto" w:fill="D9D9D9" w:themeFill="background1" w:themeFillShade="D9"/>
          </w:tcPr>
          <w:p w:rsidR="003F5A3D" w:rsidRPr="003F5A3D" w:rsidRDefault="003F5A3D" w:rsidP="003F5A3D">
            <w:pPr>
              <w:spacing w:after="0" w:line="240" w:lineRule="auto"/>
              <w:rPr>
                <w:sz w:val="20"/>
                <w:szCs w:val="20"/>
              </w:rPr>
            </w:pPr>
            <w:r w:rsidRPr="003F5A3D">
              <w:rPr>
                <w:sz w:val="20"/>
                <w:szCs w:val="20"/>
              </w:rPr>
              <w:t>Lv 4&amp;5</w:t>
            </w:r>
          </w:p>
        </w:tc>
        <w:tc>
          <w:tcPr>
            <w:tcW w:w="785" w:type="dxa"/>
            <w:shd w:val="clear" w:color="auto" w:fill="D9D9D9" w:themeFill="background1" w:themeFillShade="D9"/>
            <w:vAlign w:val="bottom"/>
          </w:tcPr>
          <w:p w:rsidR="003F5A3D" w:rsidRPr="003F5A3D" w:rsidRDefault="003F5A3D" w:rsidP="003F5A3D">
            <w:pPr>
              <w:spacing w:after="0" w:line="240" w:lineRule="auto"/>
              <w:jc w:val="center"/>
              <w:rPr>
                <w:sz w:val="20"/>
                <w:szCs w:val="20"/>
              </w:rPr>
            </w:pPr>
            <w:r w:rsidRPr="003F5A3D">
              <w:rPr>
                <w:sz w:val="20"/>
                <w:szCs w:val="20"/>
              </w:rPr>
              <w:t>--</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sz w:val="20"/>
                <w:szCs w:val="20"/>
              </w:rPr>
            </w:pPr>
            <w:r w:rsidRPr="003F5A3D">
              <w:rPr>
                <w:sz w:val="20"/>
                <w:szCs w:val="20"/>
              </w:rPr>
              <w:t>--</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w:t>
            </w:r>
          </w:p>
        </w:tc>
        <w:tc>
          <w:tcPr>
            <w:tcW w:w="785" w:type="dxa"/>
            <w:shd w:val="clear" w:color="auto" w:fill="D9D9D9" w:themeFill="background1" w:themeFillShade="D9"/>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w:t>
            </w:r>
          </w:p>
        </w:tc>
      </w:tr>
      <w:tr w:rsidR="003F5A3D" w:rsidRPr="003F5A3D" w:rsidTr="009D5584">
        <w:tc>
          <w:tcPr>
            <w:tcW w:w="1008" w:type="dxa"/>
            <w:vMerge/>
            <w:vAlign w:val="center"/>
          </w:tcPr>
          <w:p w:rsidR="003F5A3D" w:rsidRPr="003F5A3D" w:rsidRDefault="003F5A3D" w:rsidP="003F5A3D">
            <w:pPr>
              <w:spacing w:after="0" w:line="240" w:lineRule="auto"/>
              <w:jc w:val="center"/>
              <w:rPr>
                <w:sz w:val="20"/>
                <w:szCs w:val="20"/>
              </w:rPr>
            </w:pPr>
          </w:p>
        </w:tc>
        <w:tc>
          <w:tcPr>
            <w:tcW w:w="810" w:type="dxa"/>
            <w:vMerge/>
            <w:shd w:val="clear" w:color="auto" w:fill="D9D9D9" w:themeFill="background1" w:themeFillShade="D9"/>
            <w:vAlign w:val="center"/>
          </w:tcPr>
          <w:p w:rsidR="003F5A3D" w:rsidRPr="003F5A3D" w:rsidRDefault="003F5A3D" w:rsidP="003F5A3D">
            <w:pPr>
              <w:spacing w:after="0" w:line="240" w:lineRule="auto"/>
              <w:jc w:val="center"/>
              <w:rPr>
                <w:sz w:val="20"/>
                <w:szCs w:val="20"/>
              </w:rPr>
            </w:pPr>
          </w:p>
        </w:tc>
        <w:tc>
          <w:tcPr>
            <w:tcW w:w="630" w:type="dxa"/>
            <w:shd w:val="clear" w:color="auto" w:fill="D9D9D9" w:themeFill="background1" w:themeFillShade="D9"/>
          </w:tcPr>
          <w:p w:rsidR="003F5A3D" w:rsidRPr="003F5A3D" w:rsidRDefault="003F5A3D" w:rsidP="003F5A3D">
            <w:pPr>
              <w:spacing w:after="0" w:line="240" w:lineRule="auto"/>
              <w:rPr>
                <w:sz w:val="20"/>
                <w:szCs w:val="20"/>
              </w:rPr>
            </w:pPr>
            <w:r w:rsidRPr="003F5A3D">
              <w:rPr>
                <w:sz w:val="20"/>
                <w:szCs w:val="20"/>
              </w:rPr>
              <w:t>SGP</w:t>
            </w:r>
          </w:p>
        </w:tc>
        <w:tc>
          <w:tcPr>
            <w:tcW w:w="990" w:type="dxa"/>
            <w:shd w:val="clear" w:color="auto" w:fill="D9D9D9" w:themeFill="background1" w:themeFillShade="D9"/>
            <w:vAlign w:val="bottom"/>
          </w:tcPr>
          <w:p w:rsidR="003F5A3D" w:rsidRPr="003F5A3D" w:rsidRDefault="003F5A3D" w:rsidP="003F5A3D">
            <w:pPr>
              <w:spacing w:after="0" w:line="240" w:lineRule="auto"/>
              <w:jc w:val="center"/>
              <w:rPr>
                <w:sz w:val="20"/>
                <w:szCs w:val="20"/>
              </w:rPr>
            </w:pPr>
            <w:r w:rsidRPr="003F5A3D">
              <w:rPr>
                <w:sz w:val="20"/>
                <w:szCs w:val="20"/>
              </w:rPr>
              <w:t>3,255</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52.0</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50.0</w:t>
            </w:r>
          </w:p>
        </w:tc>
        <w:tc>
          <w:tcPr>
            <w:tcW w:w="784" w:type="dxa"/>
            <w:shd w:val="clear" w:color="auto" w:fill="D9D9D9" w:themeFill="background1" w:themeFillShade="D9"/>
          </w:tcPr>
          <w:p w:rsidR="003F5A3D" w:rsidRPr="003F5A3D" w:rsidRDefault="003F5A3D" w:rsidP="003F5A3D">
            <w:pPr>
              <w:spacing w:after="0" w:line="240" w:lineRule="auto"/>
              <w:rPr>
                <w:sz w:val="20"/>
                <w:szCs w:val="20"/>
              </w:rPr>
            </w:pPr>
            <w:r w:rsidRPr="003F5A3D">
              <w:rPr>
                <w:sz w:val="20"/>
                <w:szCs w:val="20"/>
              </w:rPr>
              <w:t>SGP</w:t>
            </w:r>
          </w:p>
        </w:tc>
        <w:tc>
          <w:tcPr>
            <w:tcW w:w="785" w:type="dxa"/>
            <w:shd w:val="clear" w:color="auto" w:fill="D9D9D9" w:themeFill="background1" w:themeFillShade="D9"/>
            <w:vAlign w:val="bottom"/>
          </w:tcPr>
          <w:p w:rsidR="003F5A3D" w:rsidRPr="003F5A3D" w:rsidRDefault="003F5A3D" w:rsidP="003F5A3D">
            <w:pPr>
              <w:spacing w:after="0" w:line="240" w:lineRule="auto"/>
              <w:jc w:val="center"/>
              <w:rPr>
                <w:sz w:val="20"/>
                <w:szCs w:val="20"/>
              </w:rPr>
            </w:pPr>
            <w:r w:rsidRPr="003F5A3D">
              <w:rPr>
                <w:sz w:val="20"/>
                <w:szCs w:val="20"/>
              </w:rPr>
              <w:t>50.0</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sz w:val="20"/>
                <w:szCs w:val="20"/>
              </w:rPr>
            </w:pPr>
            <w:r w:rsidRPr="003F5A3D">
              <w:rPr>
                <w:sz w:val="20"/>
                <w:szCs w:val="20"/>
              </w:rPr>
              <w:t>50.0</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0.0</w:t>
            </w:r>
          </w:p>
        </w:tc>
        <w:tc>
          <w:tcPr>
            <w:tcW w:w="785" w:type="dxa"/>
            <w:shd w:val="clear" w:color="auto" w:fill="D9D9D9" w:themeFill="background1" w:themeFillShade="D9"/>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-2.0</w:t>
            </w:r>
          </w:p>
        </w:tc>
      </w:tr>
      <w:tr w:rsidR="003F5A3D" w:rsidRPr="003F5A3D" w:rsidTr="009D5584">
        <w:tc>
          <w:tcPr>
            <w:tcW w:w="1008" w:type="dxa"/>
            <w:vMerge/>
            <w:vAlign w:val="center"/>
          </w:tcPr>
          <w:p w:rsidR="003F5A3D" w:rsidRPr="003F5A3D" w:rsidRDefault="003F5A3D" w:rsidP="003F5A3D">
            <w:pPr>
              <w:spacing w:after="0" w:line="240" w:lineRule="auto"/>
              <w:jc w:val="center"/>
              <w:rPr>
                <w:sz w:val="20"/>
                <w:szCs w:val="20"/>
              </w:rPr>
            </w:pPr>
          </w:p>
        </w:tc>
        <w:tc>
          <w:tcPr>
            <w:tcW w:w="810" w:type="dxa"/>
            <w:vMerge w:val="restart"/>
            <w:vAlign w:val="center"/>
          </w:tcPr>
          <w:p w:rsidR="003F5A3D" w:rsidRPr="003F5A3D" w:rsidRDefault="003F5A3D" w:rsidP="003F5A3D">
            <w:pPr>
              <w:spacing w:after="0" w:line="240" w:lineRule="auto"/>
              <w:jc w:val="center"/>
              <w:rPr>
                <w:sz w:val="20"/>
                <w:szCs w:val="20"/>
              </w:rPr>
            </w:pPr>
            <w:r w:rsidRPr="003F5A3D">
              <w:rPr>
                <w:sz w:val="20"/>
                <w:szCs w:val="20"/>
              </w:rPr>
              <w:t>State</w:t>
            </w:r>
          </w:p>
        </w:tc>
        <w:tc>
          <w:tcPr>
            <w:tcW w:w="630" w:type="dxa"/>
          </w:tcPr>
          <w:p w:rsidR="003F5A3D" w:rsidRPr="003F5A3D" w:rsidRDefault="003F5A3D" w:rsidP="003F5A3D">
            <w:pPr>
              <w:spacing w:after="0" w:line="240" w:lineRule="auto"/>
              <w:rPr>
                <w:sz w:val="20"/>
                <w:szCs w:val="20"/>
              </w:rPr>
            </w:pPr>
            <w:r w:rsidRPr="003F5A3D">
              <w:rPr>
                <w:sz w:val="20"/>
                <w:szCs w:val="20"/>
              </w:rPr>
              <w:t>CPI</w:t>
            </w:r>
          </w:p>
        </w:tc>
        <w:tc>
          <w:tcPr>
            <w:tcW w:w="990" w:type="dxa"/>
            <w:vAlign w:val="bottom"/>
          </w:tcPr>
          <w:p w:rsidR="003F5A3D" w:rsidRPr="003F5A3D" w:rsidRDefault="003F5A3D" w:rsidP="003F5A3D">
            <w:pPr>
              <w:spacing w:after="0" w:line="240" w:lineRule="auto"/>
              <w:jc w:val="center"/>
              <w:rPr>
                <w:sz w:val="20"/>
                <w:szCs w:val="20"/>
              </w:rPr>
            </w:pPr>
            <w:r w:rsidRPr="003F5A3D">
              <w:rPr>
                <w:sz w:val="20"/>
                <w:szCs w:val="20"/>
              </w:rPr>
              <w:t>53,048</w:t>
            </w:r>
          </w:p>
        </w:tc>
        <w:tc>
          <w:tcPr>
            <w:tcW w:w="784" w:type="dxa"/>
            <w:vAlign w:val="bottom"/>
          </w:tcPr>
          <w:p w:rsidR="003F5A3D" w:rsidRPr="003F5A3D" w:rsidRDefault="003F5A3D" w:rsidP="003F5A3D">
            <w:pPr>
              <w:spacing w:after="0" w:line="240" w:lineRule="auto"/>
              <w:jc w:val="center"/>
              <w:rPr>
                <w:sz w:val="20"/>
                <w:szCs w:val="20"/>
              </w:rPr>
            </w:pPr>
            <w:r w:rsidRPr="003F5A3D">
              <w:rPr>
                <w:sz w:val="20"/>
                <w:szCs w:val="20"/>
              </w:rPr>
              <w:t>63.9</w:t>
            </w:r>
          </w:p>
        </w:tc>
        <w:tc>
          <w:tcPr>
            <w:tcW w:w="784" w:type="dxa"/>
            <w:vAlign w:val="bottom"/>
          </w:tcPr>
          <w:p w:rsidR="003F5A3D" w:rsidRPr="003F5A3D" w:rsidRDefault="003F5A3D" w:rsidP="003F5A3D">
            <w:pPr>
              <w:spacing w:after="0" w:line="240" w:lineRule="auto"/>
              <w:jc w:val="center"/>
              <w:rPr>
                <w:sz w:val="20"/>
                <w:szCs w:val="20"/>
              </w:rPr>
            </w:pPr>
            <w:r w:rsidRPr="003F5A3D">
              <w:rPr>
                <w:sz w:val="20"/>
                <w:szCs w:val="20"/>
              </w:rPr>
              <w:t>63.8</w:t>
            </w:r>
          </w:p>
        </w:tc>
        <w:tc>
          <w:tcPr>
            <w:tcW w:w="784" w:type="dxa"/>
          </w:tcPr>
          <w:p w:rsidR="003F5A3D" w:rsidRPr="003F5A3D" w:rsidRDefault="003F5A3D" w:rsidP="003F5A3D">
            <w:pPr>
              <w:spacing w:after="0" w:line="240" w:lineRule="auto"/>
              <w:rPr>
                <w:sz w:val="20"/>
                <w:szCs w:val="20"/>
              </w:rPr>
            </w:pPr>
            <w:r w:rsidRPr="003F5A3D">
              <w:rPr>
                <w:sz w:val="20"/>
                <w:szCs w:val="20"/>
              </w:rPr>
              <w:t>CPI</w:t>
            </w:r>
          </w:p>
        </w:tc>
        <w:tc>
          <w:tcPr>
            <w:tcW w:w="785" w:type="dxa"/>
            <w:vAlign w:val="bottom"/>
          </w:tcPr>
          <w:p w:rsidR="003F5A3D" w:rsidRPr="003F5A3D" w:rsidRDefault="003F5A3D" w:rsidP="003F5A3D">
            <w:pPr>
              <w:spacing w:after="0" w:line="240" w:lineRule="auto"/>
              <w:jc w:val="center"/>
              <w:rPr>
                <w:sz w:val="20"/>
                <w:szCs w:val="20"/>
              </w:rPr>
            </w:pPr>
            <w:r w:rsidRPr="003F5A3D">
              <w:rPr>
                <w:sz w:val="20"/>
                <w:szCs w:val="20"/>
              </w:rPr>
              <w:t>64.5</w:t>
            </w:r>
          </w:p>
        </w:tc>
        <w:tc>
          <w:tcPr>
            <w:tcW w:w="784" w:type="dxa"/>
            <w:vAlign w:val="bottom"/>
          </w:tcPr>
          <w:p w:rsidR="003F5A3D" w:rsidRPr="003F5A3D" w:rsidRDefault="003F5A3D" w:rsidP="003F5A3D">
            <w:pPr>
              <w:spacing w:after="0" w:line="240" w:lineRule="auto"/>
              <w:jc w:val="center"/>
              <w:rPr>
                <w:sz w:val="20"/>
                <w:szCs w:val="20"/>
              </w:rPr>
            </w:pPr>
            <w:r w:rsidRPr="003F5A3D">
              <w:rPr>
                <w:sz w:val="20"/>
                <w:szCs w:val="20"/>
              </w:rPr>
              <w:t>65.8</w:t>
            </w:r>
          </w:p>
        </w:tc>
        <w:tc>
          <w:tcPr>
            <w:tcW w:w="784" w:type="dxa"/>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1.3</w:t>
            </w:r>
          </w:p>
        </w:tc>
        <w:tc>
          <w:tcPr>
            <w:tcW w:w="785" w:type="dxa"/>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1.9</w:t>
            </w:r>
          </w:p>
        </w:tc>
      </w:tr>
      <w:tr w:rsidR="003F5A3D" w:rsidRPr="003F5A3D" w:rsidTr="009D5584">
        <w:tc>
          <w:tcPr>
            <w:tcW w:w="1008" w:type="dxa"/>
            <w:vMerge/>
            <w:vAlign w:val="center"/>
          </w:tcPr>
          <w:p w:rsidR="003F5A3D" w:rsidRPr="003F5A3D" w:rsidRDefault="003F5A3D" w:rsidP="003F5A3D">
            <w:pPr>
              <w:spacing w:after="0" w:line="240" w:lineRule="auto"/>
              <w:jc w:val="center"/>
              <w:rPr>
                <w:sz w:val="20"/>
                <w:szCs w:val="20"/>
              </w:rPr>
            </w:pPr>
          </w:p>
        </w:tc>
        <w:tc>
          <w:tcPr>
            <w:tcW w:w="810" w:type="dxa"/>
            <w:vMerge/>
          </w:tcPr>
          <w:p w:rsidR="003F5A3D" w:rsidRPr="003F5A3D" w:rsidRDefault="003F5A3D" w:rsidP="003F5A3D">
            <w:pPr>
              <w:spacing w:after="0" w:line="240" w:lineRule="auto"/>
              <w:rPr>
                <w:sz w:val="20"/>
                <w:szCs w:val="20"/>
              </w:rPr>
            </w:pPr>
          </w:p>
        </w:tc>
        <w:tc>
          <w:tcPr>
            <w:tcW w:w="630" w:type="dxa"/>
          </w:tcPr>
          <w:p w:rsidR="003F5A3D" w:rsidRPr="003F5A3D" w:rsidRDefault="003F5A3D" w:rsidP="003F5A3D">
            <w:pPr>
              <w:spacing w:after="0" w:line="240" w:lineRule="auto"/>
              <w:rPr>
                <w:sz w:val="20"/>
                <w:szCs w:val="20"/>
              </w:rPr>
            </w:pPr>
            <w:r w:rsidRPr="003F5A3D">
              <w:rPr>
                <w:sz w:val="20"/>
                <w:szCs w:val="20"/>
              </w:rPr>
              <w:t>P+</w:t>
            </w:r>
          </w:p>
        </w:tc>
        <w:tc>
          <w:tcPr>
            <w:tcW w:w="990" w:type="dxa"/>
            <w:vAlign w:val="bottom"/>
          </w:tcPr>
          <w:p w:rsidR="003F5A3D" w:rsidRPr="003F5A3D" w:rsidRDefault="003F5A3D" w:rsidP="003F5A3D">
            <w:pPr>
              <w:spacing w:after="0" w:line="240" w:lineRule="auto"/>
              <w:jc w:val="center"/>
              <w:rPr>
                <w:sz w:val="20"/>
                <w:szCs w:val="20"/>
              </w:rPr>
            </w:pPr>
            <w:r w:rsidRPr="003F5A3D">
              <w:rPr>
                <w:sz w:val="20"/>
                <w:szCs w:val="20"/>
              </w:rPr>
              <w:t>--</w:t>
            </w:r>
          </w:p>
        </w:tc>
        <w:tc>
          <w:tcPr>
            <w:tcW w:w="784" w:type="dxa"/>
            <w:vAlign w:val="bottom"/>
          </w:tcPr>
          <w:p w:rsidR="003F5A3D" w:rsidRPr="003F5A3D" w:rsidRDefault="003F5A3D" w:rsidP="003F5A3D">
            <w:pPr>
              <w:spacing w:after="0" w:line="240" w:lineRule="auto"/>
              <w:jc w:val="center"/>
              <w:rPr>
                <w:sz w:val="20"/>
                <w:szCs w:val="20"/>
              </w:rPr>
            </w:pPr>
            <w:r w:rsidRPr="003F5A3D">
              <w:rPr>
                <w:sz w:val="20"/>
                <w:szCs w:val="20"/>
              </w:rPr>
              <w:t>35%</w:t>
            </w:r>
          </w:p>
        </w:tc>
        <w:tc>
          <w:tcPr>
            <w:tcW w:w="784" w:type="dxa"/>
            <w:vAlign w:val="bottom"/>
          </w:tcPr>
          <w:p w:rsidR="003F5A3D" w:rsidRPr="003F5A3D" w:rsidRDefault="003F5A3D" w:rsidP="003F5A3D">
            <w:pPr>
              <w:spacing w:after="0" w:line="240" w:lineRule="auto"/>
              <w:jc w:val="center"/>
              <w:rPr>
                <w:sz w:val="20"/>
                <w:szCs w:val="20"/>
              </w:rPr>
            </w:pPr>
            <w:r w:rsidRPr="003F5A3D">
              <w:rPr>
                <w:sz w:val="20"/>
                <w:szCs w:val="20"/>
              </w:rPr>
              <w:t>36%</w:t>
            </w:r>
          </w:p>
        </w:tc>
        <w:tc>
          <w:tcPr>
            <w:tcW w:w="784" w:type="dxa"/>
          </w:tcPr>
          <w:p w:rsidR="003F5A3D" w:rsidRPr="003F5A3D" w:rsidRDefault="003F5A3D" w:rsidP="003F5A3D">
            <w:pPr>
              <w:spacing w:after="0" w:line="240" w:lineRule="auto"/>
              <w:rPr>
                <w:sz w:val="20"/>
                <w:szCs w:val="20"/>
              </w:rPr>
            </w:pPr>
            <w:r w:rsidRPr="003F5A3D">
              <w:rPr>
                <w:sz w:val="20"/>
                <w:szCs w:val="20"/>
              </w:rPr>
              <w:t>Lv 4&amp;5</w:t>
            </w:r>
          </w:p>
        </w:tc>
        <w:tc>
          <w:tcPr>
            <w:tcW w:w="785" w:type="dxa"/>
            <w:vAlign w:val="bottom"/>
          </w:tcPr>
          <w:p w:rsidR="003F5A3D" w:rsidRPr="003F5A3D" w:rsidRDefault="003F5A3D" w:rsidP="003F5A3D">
            <w:pPr>
              <w:spacing w:after="0" w:line="240" w:lineRule="auto"/>
              <w:jc w:val="center"/>
              <w:rPr>
                <w:sz w:val="20"/>
                <w:szCs w:val="20"/>
              </w:rPr>
            </w:pPr>
            <w:r w:rsidRPr="003F5A3D">
              <w:rPr>
                <w:sz w:val="20"/>
                <w:szCs w:val="20"/>
              </w:rPr>
              <w:t>--</w:t>
            </w:r>
          </w:p>
        </w:tc>
        <w:tc>
          <w:tcPr>
            <w:tcW w:w="784" w:type="dxa"/>
            <w:vAlign w:val="bottom"/>
          </w:tcPr>
          <w:p w:rsidR="003F5A3D" w:rsidRPr="003F5A3D" w:rsidRDefault="003F5A3D" w:rsidP="003F5A3D">
            <w:pPr>
              <w:spacing w:after="0" w:line="240" w:lineRule="auto"/>
              <w:jc w:val="center"/>
              <w:rPr>
                <w:sz w:val="20"/>
                <w:szCs w:val="20"/>
              </w:rPr>
            </w:pPr>
            <w:r w:rsidRPr="003F5A3D">
              <w:rPr>
                <w:sz w:val="20"/>
                <w:szCs w:val="20"/>
              </w:rPr>
              <w:t>--</w:t>
            </w:r>
          </w:p>
        </w:tc>
        <w:tc>
          <w:tcPr>
            <w:tcW w:w="784" w:type="dxa"/>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w:t>
            </w:r>
          </w:p>
        </w:tc>
        <w:tc>
          <w:tcPr>
            <w:tcW w:w="785" w:type="dxa"/>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w:t>
            </w:r>
          </w:p>
        </w:tc>
      </w:tr>
      <w:tr w:rsidR="003F5A3D" w:rsidRPr="003F5A3D" w:rsidTr="009D5584">
        <w:tc>
          <w:tcPr>
            <w:tcW w:w="1008" w:type="dxa"/>
            <w:vMerge/>
            <w:vAlign w:val="center"/>
          </w:tcPr>
          <w:p w:rsidR="003F5A3D" w:rsidRPr="003F5A3D" w:rsidRDefault="003F5A3D" w:rsidP="003F5A3D">
            <w:pPr>
              <w:spacing w:after="0" w:line="240" w:lineRule="auto"/>
              <w:jc w:val="center"/>
              <w:rPr>
                <w:sz w:val="20"/>
                <w:szCs w:val="20"/>
              </w:rPr>
            </w:pPr>
          </w:p>
        </w:tc>
        <w:tc>
          <w:tcPr>
            <w:tcW w:w="810" w:type="dxa"/>
            <w:vMerge/>
            <w:tcBorders>
              <w:bottom w:val="single" w:sz="4" w:space="0" w:color="auto"/>
            </w:tcBorders>
          </w:tcPr>
          <w:p w:rsidR="003F5A3D" w:rsidRPr="003F5A3D" w:rsidRDefault="003F5A3D" w:rsidP="003F5A3D">
            <w:pPr>
              <w:spacing w:after="0" w:line="240" w:lineRule="auto"/>
              <w:rPr>
                <w:sz w:val="20"/>
                <w:szCs w:val="20"/>
              </w:rPr>
            </w:pPr>
          </w:p>
        </w:tc>
        <w:tc>
          <w:tcPr>
            <w:tcW w:w="630" w:type="dxa"/>
            <w:tcBorders>
              <w:bottom w:val="single" w:sz="4" w:space="0" w:color="auto"/>
            </w:tcBorders>
          </w:tcPr>
          <w:p w:rsidR="003F5A3D" w:rsidRPr="003F5A3D" w:rsidRDefault="003F5A3D" w:rsidP="003F5A3D">
            <w:pPr>
              <w:spacing w:after="0" w:line="240" w:lineRule="auto"/>
              <w:rPr>
                <w:sz w:val="20"/>
                <w:szCs w:val="20"/>
              </w:rPr>
            </w:pPr>
            <w:r w:rsidRPr="003F5A3D">
              <w:rPr>
                <w:sz w:val="20"/>
                <w:szCs w:val="20"/>
              </w:rPr>
              <w:t>SGP</w:t>
            </w:r>
          </w:p>
        </w:tc>
        <w:tc>
          <w:tcPr>
            <w:tcW w:w="990" w:type="dxa"/>
            <w:tcBorders>
              <w:bottom w:val="single" w:sz="4" w:space="0" w:color="auto"/>
            </w:tcBorders>
            <w:vAlign w:val="bottom"/>
          </w:tcPr>
          <w:p w:rsidR="003F5A3D" w:rsidRPr="003F5A3D" w:rsidRDefault="003F5A3D" w:rsidP="003F5A3D">
            <w:pPr>
              <w:spacing w:after="0" w:line="240" w:lineRule="auto"/>
              <w:jc w:val="center"/>
              <w:rPr>
                <w:sz w:val="20"/>
                <w:szCs w:val="20"/>
              </w:rPr>
            </w:pPr>
            <w:r w:rsidRPr="003F5A3D">
              <w:rPr>
                <w:sz w:val="20"/>
                <w:szCs w:val="20"/>
              </w:rPr>
              <w:t>35,290</w:t>
            </w:r>
          </w:p>
        </w:tc>
        <w:tc>
          <w:tcPr>
            <w:tcW w:w="784" w:type="dxa"/>
            <w:tcBorders>
              <w:bottom w:val="single" w:sz="4" w:space="0" w:color="auto"/>
            </w:tcBorders>
            <w:vAlign w:val="bottom"/>
          </w:tcPr>
          <w:p w:rsidR="003F5A3D" w:rsidRPr="003F5A3D" w:rsidRDefault="003F5A3D" w:rsidP="003F5A3D">
            <w:pPr>
              <w:spacing w:after="0" w:line="240" w:lineRule="auto"/>
              <w:jc w:val="center"/>
              <w:rPr>
                <w:sz w:val="20"/>
                <w:szCs w:val="20"/>
              </w:rPr>
            </w:pPr>
            <w:r w:rsidRPr="003F5A3D">
              <w:rPr>
                <w:sz w:val="20"/>
                <w:szCs w:val="20"/>
              </w:rPr>
              <w:t>53.0</w:t>
            </w:r>
          </w:p>
        </w:tc>
        <w:tc>
          <w:tcPr>
            <w:tcW w:w="784" w:type="dxa"/>
            <w:tcBorders>
              <w:bottom w:val="single" w:sz="4" w:space="0" w:color="auto"/>
            </w:tcBorders>
            <w:vAlign w:val="bottom"/>
          </w:tcPr>
          <w:p w:rsidR="003F5A3D" w:rsidRPr="003F5A3D" w:rsidRDefault="003F5A3D" w:rsidP="003F5A3D">
            <w:pPr>
              <w:spacing w:after="0" w:line="240" w:lineRule="auto"/>
              <w:jc w:val="center"/>
              <w:rPr>
                <w:sz w:val="20"/>
                <w:szCs w:val="20"/>
              </w:rPr>
            </w:pPr>
            <w:r w:rsidRPr="003F5A3D">
              <w:rPr>
                <w:sz w:val="20"/>
                <w:szCs w:val="20"/>
              </w:rPr>
              <w:t>52.0</w:t>
            </w:r>
          </w:p>
        </w:tc>
        <w:tc>
          <w:tcPr>
            <w:tcW w:w="784" w:type="dxa"/>
            <w:tcBorders>
              <w:bottom w:val="single" w:sz="4" w:space="0" w:color="auto"/>
            </w:tcBorders>
          </w:tcPr>
          <w:p w:rsidR="003F5A3D" w:rsidRPr="003F5A3D" w:rsidRDefault="003F5A3D" w:rsidP="003F5A3D">
            <w:pPr>
              <w:spacing w:after="0" w:line="240" w:lineRule="auto"/>
              <w:rPr>
                <w:sz w:val="20"/>
                <w:szCs w:val="20"/>
              </w:rPr>
            </w:pPr>
            <w:r w:rsidRPr="003F5A3D">
              <w:rPr>
                <w:sz w:val="20"/>
                <w:szCs w:val="20"/>
              </w:rPr>
              <w:t>SGP</w:t>
            </w:r>
          </w:p>
        </w:tc>
        <w:tc>
          <w:tcPr>
            <w:tcW w:w="785" w:type="dxa"/>
            <w:tcBorders>
              <w:bottom w:val="single" w:sz="4" w:space="0" w:color="auto"/>
            </w:tcBorders>
            <w:vAlign w:val="bottom"/>
          </w:tcPr>
          <w:p w:rsidR="003F5A3D" w:rsidRPr="003F5A3D" w:rsidRDefault="003F5A3D" w:rsidP="003F5A3D">
            <w:pPr>
              <w:spacing w:after="0" w:line="240" w:lineRule="auto"/>
              <w:jc w:val="center"/>
              <w:rPr>
                <w:sz w:val="20"/>
                <w:szCs w:val="20"/>
              </w:rPr>
            </w:pPr>
            <w:r w:rsidRPr="003F5A3D">
              <w:rPr>
                <w:sz w:val="20"/>
                <w:szCs w:val="20"/>
              </w:rPr>
              <w:t>51.0</w:t>
            </w:r>
          </w:p>
        </w:tc>
        <w:tc>
          <w:tcPr>
            <w:tcW w:w="784" w:type="dxa"/>
            <w:tcBorders>
              <w:bottom w:val="single" w:sz="4" w:space="0" w:color="auto"/>
            </w:tcBorders>
            <w:vAlign w:val="bottom"/>
          </w:tcPr>
          <w:p w:rsidR="003F5A3D" w:rsidRPr="003F5A3D" w:rsidRDefault="003F5A3D" w:rsidP="003F5A3D">
            <w:pPr>
              <w:spacing w:after="0" w:line="240" w:lineRule="auto"/>
              <w:jc w:val="center"/>
              <w:rPr>
                <w:sz w:val="20"/>
                <w:szCs w:val="20"/>
              </w:rPr>
            </w:pPr>
            <w:r w:rsidRPr="003F5A3D">
              <w:rPr>
                <w:sz w:val="20"/>
                <w:szCs w:val="20"/>
              </w:rPr>
              <w:t>50.0</w:t>
            </w:r>
          </w:p>
        </w:tc>
        <w:tc>
          <w:tcPr>
            <w:tcW w:w="784" w:type="dxa"/>
            <w:tcBorders>
              <w:bottom w:val="single" w:sz="4" w:space="0" w:color="auto"/>
            </w:tcBorders>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-1.0</w:t>
            </w:r>
          </w:p>
        </w:tc>
        <w:tc>
          <w:tcPr>
            <w:tcW w:w="785" w:type="dxa"/>
            <w:tcBorders>
              <w:bottom w:val="single" w:sz="4" w:space="0" w:color="auto"/>
            </w:tcBorders>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-3.0</w:t>
            </w:r>
          </w:p>
        </w:tc>
      </w:tr>
      <w:tr w:rsidR="003F5A3D" w:rsidRPr="003F5A3D" w:rsidTr="009D5584">
        <w:tc>
          <w:tcPr>
            <w:tcW w:w="1008" w:type="dxa"/>
            <w:vMerge w:val="restart"/>
            <w:vAlign w:val="center"/>
          </w:tcPr>
          <w:p w:rsidR="003F5A3D" w:rsidRPr="00F714E8" w:rsidRDefault="0047041E" w:rsidP="003F5A3D">
            <w:pPr>
              <w:spacing w:after="0" w:line="240" w:lineRule="auto"/>
              <w:jc w:val="center"/>
              <w:rPr>
                <w:sz w:val="20"/>
                <w:szCs w:val="20"/>
              </w:rPr>
            </w:pPr>
            <w:r w:rsidRPr="0047041E">
              <w:rPr>
                <w:sz w:val="20"/>
                <w:szCs w:val="20"/>
              </w:rPr>
              <w:t>All students</w:t>
            </w:r>
          </w:p>
        </w:tc>
        <w:tc>
          <w:tcPr>
            <w:tcW w:w="810" w:type="dxa"/>
            <w:vMerge w:val="restart"/>
            <w:shd w:val="clear" w:color="auto" w:fill="D9D9D9" w:themeFill="background1" w:themeFillShade="D9"/>
            <w:vAlign w:val="center"/>
          </w:tcPr>
          <w:p w:rsidR="003F5A3D" w:rsidRPr="003F5A3D" w:rsidRDefault="003F5A3D" w:rsidP="003F5A3D">
            <w:pPr>
              <w:spacing w:after="0" w:line="240" w:lineRule="auto"/>
              <w:jc w:val="center"/>
              <w:rPr>
                <w:sz w:val="20"/>
                <w:szCs w:val="20"/>
              </w:rPr>
            </w:pPr>
            <w:r w:rsidRPr="003F5A3D">
              <w:rPr>
                <w:sz w:val="20"/>
                <w:szCs w:val="20"/>
              </w:rPr>
              <w:t>District</w:t>
            </w:r>
          </w:p>
        </w:tc>
        <w:tc>
          <w:tcPr>
            <w:tcW w:w="630" w:type="dxa"/>
            <w:shd w:val="clear" w:color="auto" w:fill="D9D9D9" w:themeFill="background1" w:themeFillShade="D9"/>
          </w:tcPr>
          <w:p w:rsidR="003F5A3D" w:rsidRPr="003F5A3D" w:rsidRDefault="003F5A3D" w:rsidP="003F5A3D">
            <w:pPr>
              <w:spacing w:after="0" w:line="240" w:lineRule="auto"/>
              <w:rPr>
                <w:sz w:val="20"/>
                <w:szCs w:val="20"/>
              </w:rPr>
            </w:pPr>
            <w:r w:rsidRPr="003F5A3D">
              <w:rPr>
                <w:sz w:val="20"/>
                <w:szCs w:val="20"/>
              </w:rPr>
              <w:t>CPI</w:t>
            </w:r>
          </w:p>
        </w:tc>
        <w:tc>
          <w:tcPr>
            <w:tcW w:w="990" w:type="dxa"/>
            <w:shd w:val="clear" w:color="auto" w:fill="D9D9D9" w:themeFill="background1" w:themeFillShade="D9"/>
            <w:vAlign w:val="bottom"/>
          </w:tcPr>
          <w:p w:rsidR="003F5A3D" w:rsidRPr="003F5A3D" w:rsidRDefault="003F5A3D" w:rsidP="003F5A3D">
            <w:pPr>
              <w:spacing w:after="0" w:line="240" w:lineRule="auto"/>
              <w:jc w:val="center"/>
              <w:rPr>
                <w:sz w:val="20"/>
                <w:szCs w:val="20"/>
              </w:rPr>
            </w:pPr>
            <w:r w:rsidRPr="003F5A3D">
              <w:rPr>
                <w:sz w:val="20"/>
                <w:szCs w:val="20"/>
              </w:rPr>
              <w:t>12,189</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68.0</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66.3</w:t>
            </w:r>
          </w:p>
        </w:tc>
        <w:tc>
          <w:tcPr>
            <w:tcW w:w="784" w:type="dxa"/>
            <w:shd w:val="clear" w:color="auto" w:fill="D9D9D9" w:themeFill="background1" w:themeFillShade="D9"/>
          </w:tcPr>
          <w:p w:rsidR="003F5A3D" w:rsidRPr="003F5A3D" w:rsidRDefault="003F5A3D" w:rsidP="003F5A3D">
            <w:pPr>
              <w:spacing w:after="0" w:line="240" w:lineRule="auto"/>
              <w:rPr>
                <w:sz w:val="20"/>
                <w:szCs w:val="20"/>
              </w:rPr>
            </w:pPr>
            <w:r w:rsidRPr="003F5A3D">
              <w:rPr>
                <w:sz w:val="20"/>
                <w:szCs w:val="20"/>
              </w:rPr>
              <w:t>CPI</w:t>
            </w:r>
          </w:p>
        </w:tc>
        <w:tc>
          <w:tcPr>
            <w:tcW w:w="785" w:type="dxa"/>
            <w:shd w:val="clear" w:color="auto" w:fill="D9D9D9" w:themeFill="background1" w:themeFillShade="D9"/>
            <w:vAlign w:val="bottom"/>
          </w:tcPr>
          <w:p w:rsidR="003F5A3D" w:rsidRPr="003F5A3D" w:rsidRDefault="003F5A3D" w:rsidP="003F5A3D">
            <w:pPr>
              <w:spacing w:after="0" w:line="240" w:lineRule="auto"/>
              <w:jc w:val="center"/>
              <w:rPr>
                <w:sz w:val="20"/>
                <w:szCs w:val="20"/>
              </w:rPr>
            </w:pPr>
            <w:r w:rsidRPr="003F5A3D">
              <w:rPr>
                <w:sz w:val="20"/>
                <w:szCs w:val="20"/>
              </w:rPr>
              <w:t>66.8</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sz w:val="20"/>
                <w:szCs w:val="20"/>
              </w:rPr>
            </w:pPr>
            <w:r w:rsidRPr="003F5A3D">
              <w:rPr>
                <w:sz w:val="20"/>
                <w:szCs w:val="20"/>
              </w:rPr>
              <w:t>68.1</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1.3</w:t>
            </w:r>
          </w:p>
        </w:tc>
        <w:tc>
          <w:tcPr>
            <w:tcW w:w="785" w:type="dxa"/>
            <w:shd w:val="clear" w:color="auto" w:fill="D9D9D9" w:themeFill="background1" w:themeFillShade="D9"/>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0.1</w:t>
            </w:r>
          </w:p>
        </w:tc>
      </w:tr>
      <w:tr w:rsidR="003F5A3D" w:rsidRPr="003F5A3D" w:rsidTr="009D5584">
        <w:tc>
          <w:tcPr>
            <w:tcW w:w="1008" w:type="dxa"/>
            <w:vMerge/>
          </w:tcPr>
          <w:p w:rsidR="003F5A3D" w:rsidRPr="003F5A3D" w:rsidRDefault="003F5A3D" w:rsidP="003F5A3D">
            <w:pPr>
              <w:spacing w:after="0" w:line="240" w:lineRule="auto"/>
              <w:rPr>
                <w:color w:val="FF0000"/>
                <w:sz w:val="20"/>
                <w:szCs w:val="20"/>
              </w:rPr>
            </w:pPr>
          </w:p>
        </w:tc>
        <w:tc>
          <w:tcPr>
            <w:tcW w:w="810" w:type="dxa"/>
            <w:vMerge/>
            <w:shd w:val="clear" w:color="auto" w:fill="D9D9D9" w:themeFill="background1" w:themeFillShade="D9"/>
            <w:vAlign w:val="center"/>
          </w:tcPr>
          <w:p w:rsidR="003F5A3D" w:rsidRPr="003F5A3D" w:rsidRDefault="003F5A3D" w:rsidP="003F5A3D">
            <w:pPr>
              <w:spacing w:after="0" w:line="240" w:lineRule="auto"/>
              <w:jc w:val="center"/>
              <w:rPr>
                <w:sz w:val="20"/>
                <w:szCs w:val="20"/>
              </w:rPr>
            </w:pPr>
          </w:p>
        </w:tc>
        <w:tc>
          <w:tcPr>
            <w:tcW w:w="630" w:type="dxa"/>
            <w:shd w:val="clear" w:color="auto" w:fill="D9D9D9" w:themeFill="background1" w:themeFillShade="D9"/>
          </w:tcPr>
          <w:p w:rsidR="003F5A3D" w:rsidRPr="003F5A3D" w:rsidRDefault="003F5A3D" w:rsidP="003F5A3D">
            <w:pPr>
              <w:spacing w:after="0" w:line="240" w:lineRule="auto"/>
              <w:rPr>
                <w:sz w:val="20"/>
                <w:szCs w:val="20"/>
              </w:rPr>
            </w:pPr>
            <w:r w:rsidRPr="003F5A3D">
              <w:rPr>
                <w:sz w:val="20"/>
                <w:szCs w:val="20"/>
              </w:rPr>
              <w:t>P+</w:t>
            </w:r>
          </w:p>
        </w:tc>
        <w:tc>
          <w:tcPr>
            <w:tcW w:w="990" w:type="dxa"/>
            <w:shd w:val="clear" w:color="auto" w:fill="D9D9D9" w:themeFill="background1" w:themeFillShade="D9"/>
            <w:vAlign w:val="bottom"/>
          </w:tcPr>
          <w:p w:rsidR="003F5A3D" w:rsidRPr="003F5A3D" w:rsidRDefault="003F5A3D" w:rsidP="003F5A3D">
            <w:pPr>
              <w:spacing w:after="0" w:line="240" w:lineRule="auto"/>
              <w:jc w:val="center"/>
              <w:rPr>
                <w:sz w:val="20"/>
                <w:szCs w:val="20"/>
              </w:rPr>
            </w:pPr>
            <w:r w:rsidRPr="003F5A3D">
              <w:rPr>
                <w:sz w:val="20"/>
                <w:szCs w:val="20"/>
              </w:rPr>
              <w:t>--</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41%</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39%</w:t>
            </w:r>
          </w:p>
        </w:tc>
        <w:tc>
          <w:tcPr>
            <w:tcW w:w="784" w:type="dxa"/>
            <w:shd w:val="clear" w:color="auto" w:fill="D9D9D9" w:themeFill="background1" w:themeFillShade="D9"/>
          </w:tcPr>
          <w:p w:rsidR="003F5A3D" w:rsidRPr="003F5A3D" w:rsidRDefault="003F5A3D" w:rsidP="003F5A3D">
            <w:pPr>
              <w:spacing w:after="0" w:line="240" w:lineRule="auto"/>
              <w:rPr>
                <w:sz w:val="20"/>
                <w:szCs w:val="20"/>
              </w:rPr>
            </w:pPr>
            <w:r w:rsidRPr="003F5A3D">
              <w:rPr>
                <w:sz w:val="20"/>
                <w:szCs w:val="20"/>
              </w:rPr>
              <w:t>Lv 4&amp;5</w:t>
            </w:r>
          </w:p>
        </w:tc>
        <w:tc>
          <w:tcPr>
            <w:tcW w:w="785" w:type="dxa"/>
            <w:shd w:val="clear" w:color="auto" w:fill="D9D9D9" w:themeFill="background1" w:themeFillShade="D9"/>
            <w:vAlign w:val="bottom"/>
          </w:tcPr>
          <w:p w:rsidR="003F5A3D" w:rsidRPr="003F5A3D" w:rsidRDefault="003F5A3D" w:rsidP="003F5A3D">
            <w:pPr>
              <w:spacing w:after="0" w:line="240" w:lineRule="auto"/>
              <w:jc w:val="center"/>
              <w:rPr>
                <w:sz w:val="20"/>
                <w:szCs w:val="20"/>
              </w:rPr>
            </w:pPr>
            <w:r w:rsidRPr="003F5A3D">
              <w:rPr>
                <w:sz w:val="20"/>
                <w:szCs w:val="20"/>
              </w:rPr>
              <w:t>--</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sz w:val="20"/>
                <w:szCs w:val="20"/>
              </w:rPr>
            </w:pPr>
            <w:r w:rsidRPr="003F5A3D">
              <w:rPr>
                <w:sz w:val="20"/>
                <w:szCs w:val="20"/>
              </w:rPr>
              <w:t>--</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w:t>
            </w:r>
          </w:p>
        </w:tc>
        <w:tc>
          <w:tcPr>
            <w:tcW w:w="785" w:type="dxa"/>
            <w:shd w:val="clear" w:color="auto" w:fill="D9D9D9" w:themeFill="background1" w:themeFillShade="D9"/>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w:t>
            </w:r>
          </w:p>
        </w:tc>
      </w:tr>
      <w:tr w:rsidR="003F5A3D" w:rsidRPr="003F5A3D" w:rsidTr="009D5584">
        <w:tc>
          <w:tcPr>
            <w:tcW w:w="1008" w:type="dxa"/>
            <w:vMerge/>
          </w:tcPr>
          <w:p w:rsidR="003F5A3D" w:rsidRPr="003F5A3D" w:rsidRDefault="003F5A3D" w:rsidP="003F5A3D">
            <w:pPr>
              <w:spacing w:after="0" w:line="240" w:lineRule="auto"/>
              <w:rPr>
                <w:color w:val="FF0000"/>
                <w:sz w:val="20"/>
                <w:szCs w:val="20"/>
              </w:rPr>
            </w:pPr>
          </w:p>
        </w:tc>
        <w:tc>
          <w:tcPr>
            <w:tcW w:w="810" w:type="dxa"/>
            <w:vMerge/>
            <w:shd w:val="clear" w:color="auto" w:fill="D9D9D9" w:themeFill="background1" w:themeFillShade="D9"/>
            <w:vAlign w:val="center"/>
          </w:tcPr>
          <w:p w:rsidR="003F5A3D" w:rsidRPr="003F5A3D" w:rsidRDefault="003F5A3D" w:rsidP="003F5A3D">
            <w:pPr>
              <w:spacing w:after="0" w:line="240" w:lineRule="auto"/>
              <w:jc w:val="center"/>
              <w:rPr>
                <w:sz w:val="20"/>
                <w:szCs w:val="20"/>
              </w:rPr>
            </w:pPr>
          </w:p>
        </w:tc>
        <w:tc>
          <w:tcPr>
            <w:tcW w:w="630" w:type="dxa"/>
            <w:shd w:val="clear" w:color="auto" w:fill="D9D9D9" w:themeFill="background1" w:themeFillShade="D9"/>
          </w:tcPr>
          <w:p w:rsidR="003F5A3D" w:rsidRPr="003F5A3D" w:rsidRDefault="003F5A3D" w:rsidP="003F5A3D">
            <w:pPr>
              <w:spacing w:after="0" w:line="240" w:lineRule="auto"/>
              <w:rPr>
                <w:sz w:val="20"/>
                <w:szCs w:val="20"/>
              </w:rPr>
            </w:pPr>
            <w:r w:rsidRPr="003F5A3D">
              <w:rPr>
                <w:sz w:val="20"/>
                <w:szCs w:val="20"/>
              </w:rPr>
              <w:t>SGP</w:t>
            </w:r>
          </w:p>
        </w:tc>
        <w:tc>
          <w:tcPr>
            <w:tcW w:w="990" w:type="dxa"/>
            <w:shd w:val="clear" w:color="auto" w:fill="D9D9D9" w:themeFill="background1" w:themeFillShade="D9"/>
            <w:vAlign w:val="bottom"/>
          </w:tcPr>
          <w:p w:rsidR="003F5A3D" w:rsidRPr="003F5A3D" w:rsidRDefault="003F5A3D" w:rsidP="003F5A3D">
            <w:pPr>
              <w:spacing w:after="0" w:line="240" w:lineRule="auto"/>
              <w:jc w:val="center"/>
              <w:rPr>
                <w:sz w:val="20"/>
                <w:szCs w:val="20"/>
              </w:rPr>
            </w:pPr>
            <w:r w:rsidRPr="003F5A3D">
              <w:rPr>
                <w:sz w:val="20"/>
                <w:szCs w:val="20"/>
              </w:rPr>
              <w:t>8,853</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49.0</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47.0</w:t>
            </w:r>
          </w:p>
        </w:tc>
        <w:tc>
          <w:tcPr>
            <w:tcW w:w="784" w:type="dxa"/>
            <w:shd w:val="clear" w:color="auto" w:fill="D9D9D9" w:themeFill="background1" w:themeFillShade="D9"/>
          </w:tcPr>
          <w:p w:rsidR="003F5A3D" w:rsidRPr="003F5A3D" w:rsidRDefault="003F5A3D" w:rsidP="003F5A3D">
            <w:pPr>
              <w:spacing w:after="0" w:line="240" w:lineRule="auto"/>
              <w:rPr>
                <w:sz w:val="20"/>
                <w:szCs w:val="20"/>
              </w:rPr>
            </w:pPr>
            <w:r w:rsidRPr="003F5A3D">
              <w:rPr>
                <w:sz w:val="20"/>
                <w:szCs w:val="20"/>
              </w:rPr>
              <w:t>SGP</w:t>
            </w:r>
          </w:p>
        </w:tc>
        <w:tc>
          <w:tcPr>
            <w:tcW w:w="785" w:type="dxa"/>
            <w:shd w:val="clear" w:color="auto" w:fill="D9D9D9" w:themeFill="background1" w:themeFillShade="D9"/>
            <w:vAlign w:val="bottom"/>
          </w:tcPr>
          <w:p w:rsidR="003F5A3D" w:rsidRPr="003F5A3D" w:rsidRDefault="003F5A3D" w:rsidP="003F5A3D">
            <w:pPr>
              <w:spacing w:after="0" w:line="240" w:lineRule="auto"/>
              <w:jc w:val="center"/>
              <w:rPr>
                <w:sz w:val="20"/>
                <w:szCs w:val="20"/>
              </w:rPr>
            </w:pPr>
            <w:r w:rsidRPr="003F5A3D">
              <w:rPr>
                <w:sz w:val="20"/>
                <w:szCs w:val="20"/>
              </w:rPr>
              <w:t>48.0</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sz w:val="20"/>
                <w:szCs w:val="20"/>
              </w:rPr>
            </w:pPr>
            <w:r w:rsidRPr="003F5A3D">
              <w:rPr>
                <w:sz w:val="20"/>
                <w:szCs w:val="20"/>
              </w:rPr>
              <w:t>50.0</w:t>
            </w:r>
          </w:p>
        </w:tc>
        <w:tc>
          <w:tcPr>
            <w:tcW w:w="784" w:type="dxa"/>
            <w:shd w:val="clear" w:color="auto" w:fill="D9D9D9" w:themeFill="background1" w:themeFillShade="D9"/>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2.0</w:t>
            </w:r>
          </w:p>
        </w:tc>
        <w:tc>
          <w:tcPr>
            <w:tcW w:w="785" w:type="dxa"/>
            <w:shd w:val="clear" w:color="auto" w:fill="D9D9D9" w:themeFill="background1" w:themeFillShade="D9"/>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1.0</w:t>
            </w:r>
          </w:p>
        </w:tc>
      </w:tr>
      <w:tr w:rsidR="003F5A3D" w:rsidRPr="003F5A3D" w:rsidTr="009D5584">
        <w:tc>
          <w:tcPr>
            <w:tcW w:w="1008" w:type="dxa"/>
            <w:vMerge/>
          </w:tcPr>
          <w:p w:rsidR="003F5A3D" w:rsidRPr="003F5A3D" w:rsidRDefault="003F5A3D" w:rsidP="003F5A3D">
            <w:pPr>
              <w:spacing w:after="0" w:line="240" w:lineRule="auto"/>
              <w:rPr>
                <w:color w:val="FF0000"/>
                <w:sz w:val="20"/>
                <w:szCs w:val="20"/>
              </w:rPr>
            </w:pPr>
          </w:p>
        </w:tc>
        <w:tc>
          <w:tcPr>
            <w:tcW w:w="810" w:type="dxa"/>
            <w:vMerge w:val="restart"/>
            <w:vAlign w:val="center"/>
          </w:tcPr>
          <w:p w:rsidR="003F5A3D" w:rsidRPr="003F5A3D" w:rsidRDefault="003F5A3D" w:rsidP="003F5A3D">
            <w:pPr>
              <w:spacing w:after="0" w:line="240" w:lineRule="auto"/>
              <w:jc w:val="center"/>
              <w:rPr>
                <w:sz w:val="20"/>
                <w:szCs w:val="20"/>
              </w:rPr>
            </w:pPr>
            <w:r w:rsidRPr="003F5A3D">
              <w:rPr>
                <w:sz w:val="20"/>
                <w:szCs w:val="20"/>
              </w:rPr>
              <w:t>State</w:t>
            </w:r>
          </w:p>
        </w:tc>
        <w:tc>
          <w:tcPr>
            <w:tcW w:w="630" w:type="dxa"/>
          </w:tcPr>
          <w:p w:rsidR="003F5A3D" w:rsidRPr="003F5A3D" w:rsidRDefault="003F5A3D" w:rsidP="003F5A3D">
            <w:pPr>
              <w:spacing w:after="0" w:line="240" w:lineRule="auto"/>
              <w:rPr>
                <w:sz w:val="20"/>
                <w:szCs w:val="20"/>
              </w:rPr>
            </w:pPr>
            <w:r w:rsidRPr="003F5A3D">
              <w:rPr>
                <w:sz w:val="20"/>
                <w:szCs w:val="20"/>
              </w:rPr>
              <w:t>CPI</w:t>
            </w:r>
          </w:p>
        </w:tc>
        <w:tc>
          <w:tcPr>
            <w:tcW w:w="990" w:type="dxa"/>
            <w:vAlign w:val="bottom"/>
          </w:tcPr>
          <w:p w:rsidR="003F5A3D" w:rsidRPr="003F5A3D" w:rsidRDefault="003F5A3D" w:rsidP="003F5A3D">
            <w:pPr>
              <w:spacing w:after="0" w:line="240" w:lineRule="auto"/>
              <w:jc w:val="center"/>
              <w:rPr>
                <w:sz w:val="20"/>
                <w:szCs w:val="20"/>
              </w:rPr>
            </w:pPr>
            <w:r w:rsidRPr="003F5A3D">
              <w:rPr>
                <w:sz w:val="20"/>
                <w:szCs w:val="20"/>
              </w:rPr>
              <w:t>490,612</w:t>
            </w:r>
          </w:p>
        </w:tc>
        <w:tc>
          <w:tcPr>
            <w:tcW w:w="784" w:type="dxa"/>
            <w:vAlign w:val="bottom"/>
          </w:tcPr>
          <w:p w:rsidR="003F5A3D" w:rsidRPr="003F5A3D" w:rsidRDefault="003F5A3D" w:rsidP="003F5A3D">
            <w:pPr>
              <w:spacing w:after="0" w:line="240" w:lineRule="auto"/>
              <w:jc w:val="center"/>
              <w:rPr>
                <w:sz w:val="20"/>
                <w:szCs w:val="20"/>
              </w:rPr>
            </w:pPr>
            <w:r w:rsidRPr="003F5A3D">
              <w:rPr>
                <w:sz w:val="20"/>
                <w:szCs w:val="20"/>
              </w:rPr>
              <w:t>80.8</w:t>
            </w:r>
          </w:p>
        </w:tc>
        <w:tc>
          <w:tcPr>
            <w:tcW w:w="784" w:type="dxa"/>
            <w:vAlign w:val="bottom"/>
          </w:tcPr>
          <w:p w:rsidR="003F5A3D" w:rsidRPr="003F5A3D" w:rsidRDefault="003F5A3D" w:rsidP="003F5A3D">
            <w:pPr>
              <w:spacing w:after="0" w:line="240" w:lineRule="auto"/>
              <w:jc w:val="center"/>
              <w:rPr>
                <w:sz w:val="20"/>
                <w:szCs w:val="20"/>
              </w:rPr>
            </w:pPr>
            <w:r w:rsidRPr="003F5A3D">
              <w:rPr>
                <w:sz w:val="20"/>
                <w:szCs w:val="20"/>
              </w:rPr>
              <w:t>80.3</w:t>
            </w:r>
          </w:p>
        </w:tc>
        <w:tc>
          <w:tcPr>
            <w:tcW w:w="784" w:type="dxa"/>
          </w:tcPr>
          <w:p w:rsidR="003F5A3D" w:rsidRPr="003F5A3D" w:rsidRDefault="003F5A3D" w:rsidP="003F5A3D">
            <w:pPr>
              <w:spacing w:after="0" w:line="240" w:lineRule="auto"/>
              <w:rPr>
                <w:sz w:val="20"/>
                <w:szCs w:val="20"/>
              </w:rPr>
            </w:pPr>
            <w:r w:rsidRPr="003F5A3D">
              <w:rPr>
                <w:sz w:val="20"/>
                <w:szCs w:val="20"/>
              </w:rPr>
              <w:t>CPI</w:t>
            </w:r>
          </w:p>
        </w:tc>
        <w:tc>
          <w:tcPr>
            <w:tcW w:w="785" w:type="dxa"/>
            <w:vAlign w:val="bottom"/>
          </w:tcPr>
          <w:p w:rsidR="003F5A3D" w:rsidRPr="003F5A3D" w:rsidRDefault="003F5A3D" w:rsidP="003F5A3D">
            <w:pPr>
              <w:spacing w:after="0" w:line="240" w:lineRule="auto"/>
              <w:jc w:val="center"/>
              <w:rPr>
                <w:sz w:val="20"/>
                <w:szCs w:val="20"/>
              </w:rPr>
            </w:pPr>
            <w:r w:rsidRPr="003F5A3D">
              <w:rPr>
                <w:sz w:val="20"/>
                <w:szCs w:val="20"/>
              </w:rPr>
              <w:t>80.7</w:t>
            </w:r>
          </w:p>
        </w:tc>
        <w:tc>
          <w:tcPr>
            <w:tcW w:w="784" w:type="dxa"/>
            <w:vAlign w:val="bottom"/>
          </w:tcPr>
          <w:p w:rsidR="003F5A3D" w:rsidRPr="003F5A3D" w:rsidRDefault="003F5A3D" w:rsidP="003F5A3D">
            <w:pPr>
              <w:spacing w:after="0" w:line="240" w:lineRule="auto"/>
              <w:jc w:val="center"/>
              <w:rPr>
                <w:sz w:val="20"/>
                <w:szCs w:val="20"/>
              </w:rPr>
            </w:pPr>
            <w:r w:rsidRPr="003F5A3D">
              <w:rPr>
                <w:sz w:val="20"/>
                <w:szCs w:val="20"/>
              </w:rPr>
              <w:t>81.5</w:t>
            </w:r>
          </w:p>
        </w:tc>
        <w:tc>
          <w:tcPr>
            <w:tcW w:w="784" w:type="dxa"/>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0.8</w:t>
            </w:r>
          </w:p>
        </w:tc>
        <w:tc>
          <w:tcPr>
            <w:tcW w:w="785" w:type="dxa"/>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0.7</w:t>
            </w:r>
          </w:p>
        </w:tc>
      </w:tr>
      <w:tr w:rsidR="003F5A3D" w:rsidRPr="003F5A3D" w:rsidTr="009D5584">
        <w:tc>
          <w:tcPr>
            <w:tcW w:w="1008" w:type="dxa"/>
            <w:vMerge/>
          </w:tcPr>
          <w:p w:rsidR="003F5A3D" w:rsidRPr="003F5A3D" w:rsidRDefault="003F5A3D" w:rsidP="003F5A3D">
            <w:pPr>
              <w:spacing w:after="0" w:line="240" w:lineRule="auto"/>
              <w:rPr>
                <w:color w:val="FF0000"/>
                <w:sz w:val="20"/>
                <w:szCs w:val="20"/>
              </w:rPr>
            </w:pPr>
          </w:p>
        </w:tc>
        <w:tc>
          <w:tcPr>
            <w:tcW w:w="810" w:type="dxa"/>
            <w:vMerge/>
          </w:tcPr>
          <w:p w:rsidR="003F5A3D" w:rsidRPr="003F5A3D" w:rsidRDefault="003F5A3D" w:rsidP="003F5A3D">
            <w:pPr>
              <w:spacing w:after="0" w:line="240" w:lineRule="auto"/>
              <w:rPr>
                <w:sz w:val="20"/>
                <w:szCs w:val="20"/>
              </w:rPr>
            </w:pPr>
          </w:p>
        </w:tc>
        <w:tc>
          <w:tcPr>
            <w:tcW w:w="630" w:type="dxa"/>
          </w:tcPr>
          <w:p w:rsidR="003F5A3D" w:rsidRPr="003F5A3D" w:rsidRDefault="003F5A3D" w:rsidP="003F5A3D">
            <w:pPr>
              <w:spacing w:after="0" w:line="240" w:lineRule="auto"/>
              <w:rPr>
                <w:sz w:val="20"/>
                <w:szCs w:val="20"/>
              </w:rPr>
            </w:pPr>
            <w:r w:rsidRPr="003F5A3D">
              <w:rPr>
                <w:sz w:val="20"/>
                <w:szCs w:val="20"/>
              </w:rPr>
              <w:t>P+</w:t>
            </w:r>
          </w:p>
        </w:tc>
        <w:tc>
          <w:tcPr>
            <w:tcW w:w="990" w:type="dxa"/>
            <w:vAlign w:val="bottom"/>
          </w:tcPr>
          <w:p w:rsidR="003F5A3D" w:rsidRPr="003F5A3D" w:rsidRDefault="003F5A3D" w:rsidP="003F5A3D">
            <w:pPr>
              <w:spacing w:after="0" w:line="240" w:lineRule="auto"/>
              <w:jc w:val="center"/>
              <w:rPr>
                <w:sz w:val="20"/>
                <w:szCs w:val="20"/>
              </w:rPr>
            </w:pPr>
            <w:r w:rsidRPr="003F5A3D">
              <w:rPr>
                <w:sz w:val="20"/>
                <w:szCs w:val="20"/>
              </w:rPr>
              <w:t>--</w:t>
            </w:r>
          </w:p>
        </w:tc>
        <w:tc>
          <w:tcPr>
            <w:tcW w:w="784" w:type="dxa"/>
            <w:vAlign w:val="bottom"/>
          </w:tcPr>
          <w:p w:rsidR="003F5A3D" w:rsidRPr="003F5A3D" w:rsidRDefault="003F5A3D" w:rsidP="003F5A3D">
            <w:pPr>
              <w:spacing w:after="0" w:line="240" w:lineRule="auto"/>
              <w:jc w:val="center"/>
              <w:rPr>
                <w:sz w:val="20"/>
                <w:szCs w:val="20"/>
              </w:rPr>
            </w:pPr>
            <w:r w:rsidRPr="003F5A3D">
              <w:rPr>
                <w:sz w:val="20"/>
                <w:szCs w:val="20"/>
              </w:rPr>
              <w:t>61%</w:t>
            </w:r>
          </w:p>
        </w:tc>
        <w:tc>
          <w:tcPr>
            <w:tcW w:w="784" w:type="dxa"/>
            <w:vAlign w:val="bottom"/>
          </w:tcPr>
          <w:p w:rsidR="003F5A3D" w:rsidRPr="003F5A3D" w:rsidRDefault="003F5A3D" w:rsidP="003F5A3D">
            <w:pPr>
              <w:spacing w:after="0" w:line="240" w:lineRule="auto"/>
              <w:jc w:val="center"/>
              <w:rPr>
                <w:sz w:val="20"/>
                <w:szCs w:val="20"/>
              </w:rPr>
            </w:pPr>
            <w:r w:rsidRPr="003F5A3D">
              <w:rPr>
                <w:sz w:val="20"/>
                <w:szCs w:val="20"/>
              </w:rPr>
              <w:t>60%</w:t>
            </w:r>
          </w:p>
        </w:tc>
        <w:tc>
          <w:tcPr>
            <w:tcW w:w="784" w:type="dxa"/>
          </w:tcPr>
          <w:p w:rsidR="003F5A3D" w:rsidRPr="003F5A3D" w:rsidRDefault="003F5A3D" w:rsidP="003F5A3D">
            <w:pPr>
              <w:spacing w:after="0" w:line="240" w:lineRule="auto"/>
              <w:rPr>
                <w:sz w:val="20"/>
                <w:szCs w:val="20"/>
              </w:rPr>
            </w:pPr>
            <w:r w:rsidRPr="003F5A3D">
              <w:rPr>
                <w:sz w:val="20"/>
                <w:szCs w:val="20"/>
              </w:rPr>
              <w:t>Lv 4&amp;5</w:t>
            </w:r>
          </w:p>
        </w:tc>
        <w:tc>
          <w:tcPr>
            <w:tcW w:w="785" w:type="dxa"/>
            <w:vAlign w:val="bottom"/>
          </w:tcPr>
          <w:p w:rsidR="003F5A3D" w:rsidRPr="003F5A3D" w:rsidRDefault="003F5A3D" w:rsidP="003F5A3D">
            <w:pPr>
              <w:spacing w:after="0" w:line="240" w:lineRule="auto"/>
              <w:jc w:val="center"/>
              <w:rPr>
                <w:sz w:val="20"/>
                <w:szCs w:val="20"/>
              </w:rPr>
            </w:pPr>
            <w:r w:rsidRPr="003F5A3D">
              <w:rPr>
                <w:sz w:val="20"/>
                <w:szCs w:val="20"/>
              </w:rPr>
              <w:t>--</w:t>
            </w:r>
          </w:p>
        </w:tc>
        <w:tc>
          <w:tcPr>
            <w:tcW w:w="784" w:type="dxa"/>
            <w:vAlign w:val="bottom"/>
          </w:tcPr>
          <w:p w:rsidR="003F5A3D" w:rsidRPr="003F5A3D" w:rsidRDefault="003F5A3D" w:rsidP="003F5A3D">
            <w:pPr>
              <w:spacing w:after="0" w:line="240" w:lineRule="auto"/>
              <w:jc w:val="center"/>
              <w:rPr>
                <w:sz w:val="20"/>
                <w:szCs w:val="20"/>
              </w:rPr>
            </w:pPr>
            <w:r w:rsidRPr="003F5A3D">
              <w:rPr>
                <w:sz w:val="20"/>
                <w:szCs w:val="20"/>
              </w:rPr>
              <w:t>--</w:t>
            </w:r>
          </w:p>
        </w:tc>
        <w:tc>
          <w:tcPr>
            <w:tcW w:w="784" w:type="dxa"/>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w:t>
            </w:r>
          </w:p>
        </w:tc>
        <w:tc>
          <w:tcPr>
            <w:tcW w:w="785" w:type="dxa"/>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w:t>
            </w:r>
          </w:p>
        </w:tc>
      </w:tr>
      <w:tr w:rsidR="003F5A3D" w:rsidRPr="003F5A3D" w:rsidTr="009D5584">
        <w:tc>
          <w:tcPr>
            <w:tcW w:w="1008" w:type="dxa"/>
            <w:vMerge/>
            <w:tcBorders>
              <w:bottom w:val="single" w:sz="4" w:space="0" w:color="auto"/>
            </w:tcBorders>
          </w:tcPr>
          <w:p w:rsidR="003F5A3D" w:rsidRPr="003F5A3D" w:rsidRDefault="003F5A3D" w:rsidP="003F5A3D">
            <w:pPr>
              <w:spacing w:after="0" w:line="240" w:lineRule="auto"/>
              <w:rPr>
                <w:color w:val="FF0000"/>
                <w:sz w:val="20"/>
                <w:szCs w:val="20"/>
              </w:rPr>
            </w:pPr>
          </w:p>
        </w:tc>
        <w:tc>
          <w:tcPr>
            <w:tcW w:w="810" w:type="dxa"/>
            <w:vMerge/>
            <w:tcBorders>
              <w:bottom w:val="single" w:sz="4" w:space="0" w:color="auto"/>
            </w:tcBorders>
          </w:tcPr>
          <w:p w:rsidR="003F5A3D" w:rsidRPr="003F5A3D" w:rsidRDefault="003F5A3D" w:rsidP="003F5A3D">
            <w:pPr>
              <w:spacing w:after="0" w:line="240" w:lineRule="auto"/>
              <w:rPr>
                <w:sz w:val="20"/>
                <w:szCs w:val="20"/>
              </w:rPr>
            </w:pPr>
          </w:p>
        </w:tc>
        <w:tc>
          <w:tcPr>
            <w:tcW w:w="630" w:type="dxa"/>
            <w:tcBorders>
              <w:bottom w:val="single" w:sz="4" w:space="0" w:color="auto"/>
            </w:tcBorders>
          </w:tcPr>
          <w:p w:rsidR="003F5A3D" w:rsidRPr="003F5A3D" w:rsidRDefault="003F5A3D" w:rsidP="003F5A3D">
            <w:pPr>
              <w:spacing w:after="0" w:line="240" w:lineRule="auto"/>
              <w:rPr>
                <w:sz w:val="20"/>
                <w:szCs w:val="20"/>
              </w:rPr>
            </w:pPr>
            <w:r w:rsidRPr="003F5A3D">
              <w:rPr>
                <w:sz w:val="20"/>
                <w:szCs w:val="20"/>
              </w:rPr>
              <w:t>SGP</w:t>
            </w:r>
          </w:p>
        </w:tc>
        <w:tc>
          <w:tcPr>
            <w:tcW w:w="990" w:type="dxa"/>
            <w:tcBorders>
              <w:bottom w:val="single" w:sz="4" w:space="0" w:color="auto"/>
            </w:tcBorders>
            <w:vAlign w:val="bottom"/>
          </w:tcPr>
          <w:p w:rsidR="003F5A3D" w:rsidRPr="003F5A3D" w:rsidRDefault="003F5A3D" w:rsidP="003F5A3D">
            <w:pPr>
              <w:spacing w:after="0" w:line="240" w:lineRule="auto"/>
              <w:jc w:val="center"/>
              <w:rPr>
                <w:sz w:val="20"/>
                <w:szCs w:val="20"/>
              </w:rPr>
            </w:pPr>
            <w:r w:rsidRPr="003F5A3D">
              <w:rPr>
                <w:sz w:val="20"/>
                <w:szCs w:val="20"/>
              </w:rPr>
              <w:t>388,423</w:t>
            </w:r>
          </w:p>
        </w:tc>
        <w:tc>
          <w:tcPr>
            <w:tcW w:w="784" w:type="dxa"/>
            <w:tcBorders>
              <w:bottom w:val="single" w:sz="4" w:space="0" w:color="auto"/>
            </w:tcBorders>
            <w:vAlign w:val="bottom"/>
          </w:tcPr>
          <w:p w:rsidR="003F5A3D" w:rsidRPr="003F5A3D" w:rsidRDefault="003F5A3D" w:rsidP="003F5A3D">
            <w:pPr>
              <w:spacing w:after="0" w:line="240" w:lineRule="auto"/>
              <w:jc w:val="center"/>
              <w:rPr>
                <w:sz w:val="20"/>
                <w:szCs w:val="20"/>
              </w:rPr>
            </w:pPr>
            <w:r w:rsidRPr="003F5A3D">
              <w:rPr>
                <w:sz w:val="20"/>
                <w:szCs w:val="20"/>
              </w:rPr>
              <w:t>51.0</w:t>
            </w:r>
          </w:p>
        </w:tc>
        <w:tc>
          <w:tcPr>
            <w:tcW w:w="784" w:type="dxa"/>
            <w:tcBorders>
              <w:bottom w:val="single" w:sz="4" w:space="0" w:color="auto"/>
            </w:tcBorders>
            <w:vAlign w:val="bottom"/>
          </w:tcPr>
          <w:p w:rsidR="003F5A3D" w:rsidRPr="003F5A3D" w:rsidRDefault="003F5A3D" w:rsidP="003F5A3D">
            <w:pPr>
              <w:spacing w:after="0" w:line="240" w:lineRule="auto"/>
              <w:jc w:val="center"/>
              <w:rPr>
                <w:sz w:val="20"/>
                <w:szCs w:val="20"/>
              </w:rPr>
            </w:pPr>
            <w:r w:rsidRPr="003F5A3D">
              <w:rPr>
                <w:sz w:val="20"/>
                <w:szCs w:val="20"/>
              </w:rPr>
              <w:t>50.0</w:t>
            </w:r>
          </w:p>
        </w:tc>
        <w:tc>
          <w:tcPr>
            <w:tcW w:w="784" w:type="dxa"/>
            <w:tcBorders>
              <w:bottom w:val="single" w:sz="4" w:space="0" w:color="auto"/>
            </w:tcBorders>
          </w:tcPr>
          <w:p w:rsidR="003F5A3D" w:rsidRPr="003F5A3D" w:rsidRDefault="003F5A3D" w:rsidP="003F5A3D">
            <w:pPr>
              <w:spacing w:after="0" w:line="240" w:lineRule="auto"/>
              <w:rPr>
                <w:sz w:val="20"/>
                <w:szCs w:val="20"/>
              </w:rPr>
            </w:pPr>
            <w:r w:rsidRPr="003F5A3D">
              <w:rPr>
                <w:sz w:val="20"/>
                <w:szCs w:val="20"/>
              </w:rPr>
              <w:t>SGP</w:t>
            </w:r>
          </w:p>
        </w:tc>
        <w:tc>
          <w:tcPr>
            <w:tcW w:w="785" w:type="dxa"/>
            <w:tcBorders>
              <w:bottom w:val="single" w:sz="4" w:space="0" w:color="auto"/>
            </w:tcBorders>
            <w:vAlign w:val="bottom"/>
          </w:tcPr>
          <w:p w:rsidR="003F5A3D" w:rsidRPr="003F5A3D" w:rsidRDefault="003F5A3D" w:rsidP="003F5A3D">
            <w:pPr>
              <w:spacing w:after="0" w:line="240" w:lineRule="auto"/>
              <w:jc w:val="center"/>
              <w:rPr>
                <w:sz w:val="20"/>
                <w:szCs w:val="20"/>
              </w:rPr>
            </w:pPr>
            <w:r w:rsidRPr="003F5A3D">
              <w:rPr>
                <w:sz w:val="20"/>
                <w:szCs w:val="20"/>
              </w:rPr>
              <w:t>50.0</w:t>
            </w:r>
          </w:p>
        </w:tc>
        <w:tc>
          <w:tcPr>
            <w:tcW w:w="784" w:type="dxa"/>
            <w:tcBorders>
              <w:bottom w:val="single" w:sz="4" w:space="0" w:color="auto"/>
            </w:tcBorders>
            <w:vAlign w:val="bottom"/>
          </w:tcPr>
          <w:p w:rsidR="003F5A3D" w:rsidRPr="003F5A3D" w:rsidRDefault="003F5A3D" w:rsidP="003F5A3D">
            <w:pPr>
              <w:spacing w:after="0" w:line="240" w:lineRule="auto"/>
              <w:jc w:val="center"/>
              <w:rPr>
                <w:sz w:val="20"/>
                <w:szCs w:val="20"/>
              </w:rPr>
            </w:pPr>
            <w:r w:rsidRPr="003F5A3D">
              <w:rPr>
                <w:sz w:val="20"/>
                <w:szCs w:val="20"/>
              </w:rPr>
              <w:t>50.0</w:t>
            </w:r>
          </w:p>
        </w:tc>
        <w:tc>
          <w:tcPr>
            <w:tcW w:w="784" w:type="dxa"/>
            <w:tcBorders>
              <w:bottom w:val="single" w:sz="4" w:space="0" w:color="auto"/>
            </w:tcBorders>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0.0</w:t>
            </w:r>
          </w:p>
        </w:tc>
        <w:tc>
          <w:tcPr>
            <w:tcW w:w="785" w:type="dxa"/>
            <w:tcBorders>
              <w:bottom w:val="single" w:sz="4" w:space="0" w:color="auto"/>
            </w:tcBorders>
            <w:vAlign w:val="bottom"/>
          </w:tcPr>
          <w:p w:rsidR="003F5A3D" w:rsidRPr="003F5A3D" w:rsidRDefault="003F5A3D" w:rsidP="003F5A3D">
            <w:pPr>
              <w:spacing w:after="0" w:line="240" w:lineRule="auto"/>
              <w:jc w:val="center"/>
              <w:rPr>
                <w:rFonts w:ascii="Calibri" w:hAnsi="Calibri"/>
                <w:sz w:val="20"/>
                <w:szCs w:val="20"/>
              </w:rPr>
            </w:pPr>
            <w:r w:rsidRPr="003F5A3D">
              <w:rPr>
                <w:rFonts w:ascii="Calibri" w:hAnsi="Calibri"/>
                <w:sz w:val="20"/>
                <w:szCs w:val="20"/>
              </w:rPr>
              <w:t>-1.0</w:t>
            </w:r>
          </w:p>
        </w:tc>
      </w:tr>
    </w:tbl>
    <w:p w:rsidR="003F5A3D" w:rsidRPr="003F5A3D" w:rsidRDefault="003F5A3D" w:rsidP="003F5A3D">
      <w:pPr>
        <w:spacing w:after="0" w:line="240" w:lineRule="auto"/>
      </w:pPr>
    </w:p>
    <w:p w:rsidR="002F1EBE" w:rsidRPr="00F04EDB" w:rsidRDefault="002F1EBE" w:rsidP="002F1EBE">
      <w:pPr>
        <w:spacing w:after="0" w:line="240" w:lineRule="auto"/>
        <w:rPr>
          <w:rFonts w:eastAsia="Times New Roman" w:cs="Times New Roman"/>
        </w:rPr>
      </w:pPr>
    </w:p>
    <w:p w:rsidR="002F1EBE" w:rsidRPr="00F04EDB" w:rsidRDefault="002F1EBE" w:rsidP="002F1EBE">
      <w:pPr>
        <w:spacing w:after="0" w:line="240" w:lineRule="auto"/>
        <w:rPr>
          <w:rFonts w:eastAsia="Times New Roman" w:cs="Times New Roman"/>
        </w:rPr>
      </w:pPr>
    </w:p>
    <w:p w:rsidR="002F1EBE" w:rsidRPr="00F04EDB" w:rsidRDefault="002F1EBE" w:rsidP="002F1EBE">
      <w:pPr>
        <w:spacing w:after="0" w:line="240" w:lineRule="auto"/>
        <w:rPr>
          <w:rFonts w:eastAsia="Times New Roman" w:cs="Times New Roman"/>
        </w:rPr>
      </w:pPr>
    </w:p>
    <w:p w:rsidR="002F1EBE" w:rsidRPr="00F04EDB" w:rsidRDefault="002F1EBE" w:rsidP="002F1EBE">
      <w:pPr>
        <w:spacing w:after="0" w:line="240" w:lineRule="auto"/>
        <w:rPr>
          <w:rFonts w:eastAsia="Times New Roman" w:cs="Times New Roman"/>
        </w:rPr>
      </w:pPr>
    </w:p>
    <w:p w:rsidR="002F1EBE" w:rsidRPr="00F04EDB" w:rsidRDefault="002F1EBE" w:rsidP="002F1EBE">
      <w:pPr>
        <w:spacing w:after="0" w:line="240" w:lineRule="auto"/>
        <w:rPr>
          <w:rFonts w:eastAsia="Times New Roman" w:cs="Times New Roman"/>
        </w:rPr>
      </w:pPr>
    </w:p>
    <w:p w:rsidR="002F1EBE" w:rsidRPr="00F04EDB" w:rsidRDefault="002F1EBE" w:rsidP="002F1EBE">
      <w:pPr>
        <w:spacing w:after="0" w:line="240" w:lineRule="auto"/>
        <w:rPr>
          <w:rFonts w:eastAsia="Times New Roman" w:cs="Times New Roman"/>
        </w:rPr>
      </w:pPr>
    </w:p>
    <w:p w:rsidR="002F1EBE" w:rsidRPr="00F04EDB" w:rsidRDefault="002F1EBE" w:rsidP="002F1EBE">
      <w:pPr>
        <w:spacing w:after="0" w:line="240" w:lineRule="auto"/>
        <w:rPr>
          <w:rFonts w:eastAsia="Times New Roman" w:cs="Times New Roman"/>
        </w:rPr>
      </w:pPr>
    </w:p>
    <w:p w:rsidR="002F1EBE" w:rsidRPr="00F04EDB" w:rsidRDefault="002F1EBE" w:rsidP="002F1EBE">
      <w:pPr>
        <w:spacing w:after="0" w:line="240" w:lineRule="auto"/>
        <w:rPr>
          <w:rFonts w:eastAsia="Times New Roman" w:cs="Times New Roman"/>
        </w:rPr>
      </w:pPr>
    </w:p>
    <w:p w:rsidR="002F1EBE" w:rsidRPr="00F04EDB" w:rsidRDefault="002F1EBE" w:rsidP="002F1EBE">
      <w:pPr>
        <w:spacing w:after="0" w:line="240" w:lineRule="auto"/>
        <w:rPr>
          <w:rFonts w:eastAsia="Times New Roman" w:cs="Times New Roman"/>
        </w:rPr>
      </w:pPr>
    </w:p>
    <w:p w:rsidR="002F1EBE" w:rsidRPr="00F04EDB" w:rsidRDefault="002F1EBE" w:rsidP="002F1EBE">
      <w:pPr>
        <w:spacing w:after="0" w:line="240" w:lineRule="auto"/>
        <w:rPr>
          <w:rFonts w:eastAsia="Times New Roman" w:cs="Times New Roman"/>
        </w:rPr>
      </w:pPr>
    </w:p>
    <w:p w:rsidR="002F1EBE" w:rsidRPr="00F04EDB" w:rsidRDefault="002F1EBE" w:rsidP="002F1EBE">
      <w:pPr>
        <w:spacing w:after="0" w:line="240" w:lineRule="auto"/>
        <w:rPr>
          <w:rFonts w:eastAsia="Calibri" w:cs="Times New Roman"/>
          <w:b/>
        </w:rPr>
      </w:pPr>
      <w:r w:rsidRPr="00F04EDB">
        <w:rPr>
          <w:rFonts w:eastAsia="Calibri" w:cs="Times New Roman"/>
          <w:b/>
        </w:rPr>
        <w:br w:type="page"/>
      </w:r>
    </w:p>
    <w:p w:rsidR="00D46AA6" w:rsidRPr="004D522B" w:rsidRDefault="00D46AA6" w:rsidP="00D46AA6">
      <w:pPr>
        <w:spacing w:after="0" w:line="240" w:lineRule="auto"/>
        <w:jc w:val="center"/>
        <w:rPr>
          <w:rFonts w:ascii="Calibri" w:eastAsia="Calibri" w:hAnsi="Calibri" w:cs="Times New Roman"/>
          <w:b/>
          <w:sz w:val="20"/>
        </w:rPr>
      </w:pPr>
      <w:r w:rsidRPr="004D522B">
        <w:rPr>
          <w:rFonts w:ascii="Calibri" w:eastAsia="Calibri" w:hAnsi="Calibri" w:cs="Times New Roman"/>
          <w:b/>
          <w:sz w:val="20"/>
        </w:rPr>
        <w:t xml:space="preserve">Table </w:t>
      </w:r>
      <w:r w:rsidR="002F368B" w:rsidRPr="004D522B">
        <w:rPr>
          <w:rFonts w:ascii="Calibri" w:eastAsia="Calibri" w:hAnsi="Calibri" w:cs="Times New Roman"/>
          <w:b/>
          <w:sz w:val="20"/>
        </w:rPr>
        <w:t>B</w:t>
      </w:r>
      <w:r w:rsidR="00923109">
        <w:rPr>
          <w:rFonts w:ascii="Calibri" w:eastAsia="Calibri" w:hAnsi="Calibri" w:cs="Times New Roman"/>
          <w:b/>
          <w:sz w:val="20"/>
        </w:rPr>
        <w:t>7</w:t>
      </w:r>
      <w:r w:rsidR="002F368B" w:rsidRPr="004D522B">
        <w:rPr>
          <w:rFonts w:ascii="Calibri" w:eastAsia="Calibri" w:hAnsi="Calibri" w:cs="Times New Roman"/>
          <w:b/>
          <w:sz w:val="20"/>
        </w:rPr>
        <w:t>c</w:t>
      </w:r>
      <w:r w:rsidRPr="004D522B">
        <w:rPr>
          <w:rFonts w:ascii="Calibri" w:eastAsia="Calibri" w:hAnsi="Calibri" w:cs="Times New Roman"/>
          <w:b/>
          <w:sz w:val="20"/>
        </w:rPr>
        <w:t>: Worcester Public Schools</w:t>
      </w:r>
    </w:p>
    <w:p w:rsidR="00D46AA6" w:rsidRPr="004D522B" w:rsidRDefault="00D46AA6" w:rsidP="00D46AA6">
      <w:pPr>
        <w:spacing w:after="0"/>
        <w:jc w:val="center"/>
        <w:rPr>
          <w:rFonts w:ascii="Calibri" w:eastAsia="Calibri" w:hAnsi="Calibri" w:cs="Times New Roman"/>
          <w:b/>
          <w:sz w:val="20"/>
        </w:rPr>
      </w:pPr>
      <w:r w:rsidRPr="004D522B">
        <w:rPr>
          <w:rFonts w:ascii="Calibri" w:eastAsia="Calibri" w:hAnsi="Calibri" w:cs="Times New Roman"/>
          <w:b/>
          <w:sz w:val="20"/>
        </w:rPr>
        <w:t>Science and Technology/Engineering (All Grades)</w:t>
      </w:r>
    </w:p>
    <w:p w:rsidR="00D46AA6" w:rsidRPr="004D522B" w:rsidRDefault="00D46AA6" w:rsidP="00D46AA6">
      <w:pPr>
        <w:spacing w:after="0" w:line="240" w:lineRule="auto"/>
        <w:jc w:val="center"/>
        <w:rPr>
          <w:rFonts w:ascii="Calibri" w:eastAsia="Calibri" w:hAnsi="Calibri" w:cs="Times New Roman"/>
          <w:b/>
          <w:sz w:val="20"/>
          <w:szCs w:val="24"/>
        </w:rPr>
      </w:pPr>
      <w:r w:rsidRPr="004D522B">
        <w:rPr>
          <w:rFonts w:ascii="Calibri" w:eastAsia="Calibri" w:hAnsi="Calibri" w:cs="Times New Roman"/>
          <w:b/>
          <w:sz w:val="20"/>
        </w:rPr>
        <w:t>Performance for Selected Subgroups Compared to State, 2013–2016</w:t>
      </w:r>
    </w:p>
    <w:tbl>
      <w:tblPr>
        <w:tblStyle w:val="TableGrid"/>
        <w:tblW w:w="0" w:type="auto"/>
        <w:tblLayout w:type="fixed"/>
        <w:tblLook w:val="04A0"/>
      </w:tblPr>
      <w:tblGrid>
        <w:gridCol w:w="1278"/>
        <w:gridCol w:w="810"/>
        <w:gridCol w:w="720"/>
        <w:gridCol w:w="990"/>
        <w:gridCol w:w="810"/>
        <w:gridCol w:w="810"/>
        <w:gridCol w:w="810"/>
        <w:gridCol w:w="810"/>
        <w:gridCol w:w="936"/>
        <w:gridCol w:w="882"/>
      </w:tblGrid>
      <w:tr w:rsidR="00D46AA6" w:rsidRPr="004D522B" w:rsidTr="009D5584">
        <w:tc>
          <w:tcPr>
            <w:tcW w:w="2808" w:type="dxa"/>
            <w:gridSpan w:val="3"/>
            <w:vMerge w:val="restart"/>
            <w:vAlign w:val="center"/>
          </w:tcPr>
          <w:p w:rsidR="00D46AA6" w:rsidRPr="004D522B" w:rsidRDefault="00D46AA6" w:rsidP="009D5584">
            <w:pPr>
              <w:spacing w:after="0" w:line="240" w:lineRule="auto"/>
              <w:jc w:val="center"/>
              <w:rPr>
                <w:rFonts w:ascii="Calibri" w:eastAsia="Times New Roman" w:hAnsi="Calibri" w:cs="Times New Roman"/>
                <w:b/>
                <w:sz w:val="20"/>
                <w:szCs w:val="20"/>
              </w:rPr>
            </w:pPr>
            <w:r w:rsidRPr="004D522B">
              <w:rPr>
                <w:rFonts w:ascii="Calibri" w:eastAsia="Times New Roman" w:hAnsi="Calibri" w:cs="Times New Roman"/>
                <w:b/>
                <w:sz w:val="20"/>
                <w:szCs w:val="20"/>
              </w:rPr>
              <w:t>Group and Measure</w:t>
            </w:r>
          </w:p>
        </w:tc>
        <w:tc>
          <w:tcPr>
            <w:tcW w:w="990" w:type="dxa"/>
            <w:vMerge w:val="restart"/>
            <w:vAlign w:val="center"/>
          </w:tcPr>
          <w:p w:rsidR="00D46AA6" w:rsidRPr="004D522B" w:rsidRDefault="00D46AA6" w:rsidP="009D5584">
            <w:pPr>
              <w:spacing w:after="0" w:line="240" w:lineRule="auto"/>
              <w:jc w:val="center"/>
              <w:rPr>
                <w:rFonts w:ascii="Calibri" w:eastAsia="Times New Roman" w:hAnsi="Calibri" w:cs="Times New Roman"/>
                <w:b/>
                <w:sz w:val="20"/>
                <w:szCs w:val="20"/>
              </w:rPr>
            </w:pPr>
            <w:r w:rsidRPr="004D522B">
              <w:rPr>
                <w:rFonts w:ascii="Calibri" w:eastAsia="Times New Roman" w:hAnsi="Calibri" w:cs="Times New Roman"/>
                <w:b/>
                <w:sz w:val="20"/>
                <w:szCs w:val="20"/>
              </w:rPr>
              <w:t>Number Included (2016)</w:t>
            </w:r>
          </w:p>
        </w:tc>
        <w:tc>
          <w:tcPr>
            <w:tcW w:w="3240" w:type="dxa"/>
            <w:gridSpan w:val="4"/>
            <w:vMerge w:val="restart"/>
            <w:vAlign w:val="center"/>
          </w:tcPr>
          <w:p w:rsidR="00D46AA6" w:rsidRPr="004D522B" w:rsidRDefault="00D46AA6" w:rsidP="009D5584">
            <w:pPr>
              <w:spacing w:after="0" w:line="240" w:lineRule="auto"/>
              <w:jc w:val="center"/>
              <w:rPr>
                <w:rFonts w:ascii="Calibri" w:eastAsia="Times New Roman" w:hAnsi="Calibri" w:cs="Times New Roman"/>
                <w:b/>
                <w:sz w:val="20"/>
                <w:szCs w:val="20"/>
              </w:rPr>
            </w:pPr>
            <w:r w:rsidRPr="004D522B">
              <w:rPr>
                <w:rFonts w:ascii="Calibri" w:eastAsia="Times New Roman" w:hAnsi="Calibri" w:cs="Times New Roman"/>
                <w:b/>
                <w:sz w:val="20"/>
                <w:szCs w:val="20"/>
              </w:rPr>
              <w:t>Spring MCAS Year</w:t>
            </w:r>
          </w:p>
        </w:tc>
        <w:tc>
          <w:tcPr>
            <w:tcW w:w="1818" w:type="dxa"/>
            <w:gridSpan w:val="2"/>
          </w:tcPr>
          <w:p w:rsidR="00D46AA6" w:rsidRPr="004D522B" w:rsidRDefault="00D46AA6" w:rsidP="009D5584">
            <w:pPr>
              <w:spacing w:after="0" w:line="240" w:lineRule="auto"/>
              <w:rPr>
                <w:rFonts w:ascii="Calibri" w:eastAsia="Times New Roman" w:hAnsi="Calibri" w:cs="Times New Roman"/>
                <w:b/>
                <w:sz w:val="20"/>
                <w:szCs w:val="20"/>
              </w:rPr>
            </w:pPr>
            <w:r w:rsidRPr="004D522B">
              <w:rPr>
                <w:rFonts w:ascii="Calibri" w:eastAsia="Times New Roman" w:hAnsi="Calibri" w:cs="Times New Roman"/>
                <w:b/>
                <w:sz w:val="20"/>
                <w:szCs w:val="20"/>
              </w:rPr>
              <w:t>Gains and Declines</w:t>
            </w:r>
          </w:p>
        </w:tc>
      </w:tr>
      <w:tr w:rsidR="00D46AA6" w:rsidRPr="004D522B" w:rsidTr="009D5584">
        <w:trPr>
          <w:trHeight w:val="244"/>
        </w:trPr>
        <w:tc>
          <w:tcPr>
            <w:tcW w:w="2808" w:type="dxa"/>
            <w:gridSpan w:val="3"/>
            <w:vMerge/>
          </w:tcPr>
          <w:p w:rsidR="00D46AA6" w:rsidRPr="004D522B" w:rsidRDefault="00D46AA6" w:rsidP="009D5584">
            <w:pPr>
              <w:spacing w:after="0" w:line="240" w:lineRule="auto"/>
              <w:rPr>
                <w:rFonts w:ascii="Calibri" w:eastAsia="Times New Roman" w:hAnsi="Calibri" w:cs="Times New Roman"/>
                <w:b/>
                <w:sz w:val="20"/>
                <w:szCs w:val="20"/>
              </w:rPr>
            </w:pPr>
          </w:p>
        </w:tc>
        <w:tc>
          <w:tcPr>
            <w:tcW w:w="990" w:type="dxa"/>
            <w:vMerge/>
          </w:tcPr>
          <w:p w:rsidR="00D46AA6" w:rsidRPr="004D522B" w:rsidRDefault="00D46AA6" w:rsidP="009D5584">
            <w:pPr>
              <w:spacing w:after="0" w:line="240" w:lineRule="auto"/>
              <w:rPr>
                <w:rFonts w:ascii="Calibri" w:eastAsia="Times New Roman" w:hAnsi="Calibri" w:cs="Times New Roman"/>
                <w:b/>
                <w:sz w:val="20"/>
                <w:szCs w:val="20"/>
              </w:rPr>
            </w:pPr>
          </w:p>
        </w:tc>
        <w:tc>
          <w:tcPr>
            <w:tcW w:w="3240" w:type="dxa"/>
            <w:gridSpan w:val="4"/>
            <w:vMerge/>
          </w:tcPr>
          <w:p w:rsidR="00D46AA6" w:rsidRPr="004D522B" w:rsidRDefault="00D46AA6" w:rsidP="009D5584">
            <w:pPr>
              <w:spacing w:after="0" w:line="240" w:lineRule="auto"/>
              <w:rPr>
                <w:rFonts w:ascii="Calibri" w:eastAsia="Times New Roman" w:hAnsi="Calibri" w:cs="Times New Roman"/>
                <w:b/>
                <w:sz w:val="20"/>
                <w:szCs w:val="20"/>
              </w:rPr>
            </w:pPr>
          </w:p>
        </w:tc>
        <w:tc>
          <w:tcPr>
            <w:tcW w:w="936" w:type="dxa"/>
            <w:vMerge w:val="restart"/>
          </w:tcPr>
          <w:p w:rsidR="00D46AA6" w:rsidRPr="004D522B" w:rsidRDefault="00D46AA6" w:rsidP="009D5584">
            <w:pPr>
              <w:spacing w:after="0" w:line="240" w:lineRule="auto"/>
              <w:rPr>
                <w:rFonts w:ascii="Calibri" w:eastAsia="Times New Roman" w:hAnsi="Calibri" w:cs="Times New Roman"/>
                <w:b/>
                <w:sz w:val="20"/>
                <w:szCs w:val="20"/>
              </w:rPr>
            </w:pPr>
            <w:r w:rsidRPr="004D522B">
              <w:rPr>
                <w:rFonts w:ascii="Calibri" w:eastAsia="Times New Roman" w:hAnsi="Calibri" w:cs="Times New Roman"/>
                <w:b/>
                <w:sz w:val="20"/>
                <w:szCs w:val="20"/>
              </w:rPr>
              <w:t>4-Year Trend</w:t>
            </w:r>
          </w:p>
        </w:tc>
        <w:tc>
          <w:tcPr>
            <w:tcW w:w="882" w:type="dxa"/>
            <w:vMerge w:val="restart"/>
          </w:tcPr>
          <w:p w:rsidR="00D46AA6" w:rsidRPr="004D522B" w:rsidRDefault="00D46AA6" w:rsidP="009D5584">
            <w:pPr>
              <w:spacing w:after="0" w:line="240" w:lineRule="auto"/>
              <w:rPr>
                <w:rFonts w:ascii="Calibri" w:eastAsia="Times New Roman" w:hAnsi="Calibri" w:cs="Times New Roman"/>
                <w:b/>
                <w:sz w:val="20"/>
                <w:szCs w:val="20"/>
              </w:rPr>
            </w:pPr>
            <w:r w:rsidRPr="004D522B">
              <w:rPr>
                <w:rFonts w:ascii="Calibri" w:eastAsia="Times New Roman" w:hAnsi="Calibri" w:cs="Times New Roman"/>
                <w:b/>
                <w:sz w:val="20"/>
                <w:szCs w:val="20"/>
              </w:rPr>
              <w:t>2-Year Trend</w:t>
            </w:r>
          </w:p>
        </w:tc>
      </w:tr>
      <w:tr w:rsidR="00D46AA6" w:rsidRPr="004D522B" w:rsidTr="009D5584">
        <w:tc>
          <w:tcPr>
            <w:tcW w:w="2808" w:type="dxa"/>
            <w:gridSpan w:val="3"/>
            <w:vMerge/>
          </w:tcPr>
          <w:p w:rsidR="00D46AA6" w:rsidRPr="004D522B" w:rsidRDefault="00D46AA6" w:rsidP="009D5584">
            <w:pPr>
              <w:spacing w:after="0" w:line="240" w:lineRule="auto"/>
              <w:rPr>
                <w:rFonts w:ascii="Calibri" w:eastAsia="Times New Roman" w:hAnsi="Calibri" w:cs="Times New Roman"/>
                <w:sz w:val="20"/>
                <w:szCs w:val="20"/>
              </w:rPr>
            </w:pPr>
          </w:p>
        </w:tc>
        <w:tc>
          <w:tcPr>
            <w:tcW w:w="990" w:type="dxa"/>
            <w:vMerge/>
          </w:tcPr>
          <w:p w:rsidR="00D46AA6" w:rsidRPr="004D522B" w:rsidRDefault="00D46AA6" w:rsidP="009D5584">
            <w:pPr>
              <w:spacing w:after="0" w:line="240" w:lineRule="auto"/>
              <w:rPr>
                <w:rFonts w:ascii="Calibri" w:eastAsia="Times New Roman" w:hAnsi="Calibri" w:cs="Times New Roman"/>
                <w:sz w:val="20"/>
                <w:szCs w:val="20"/>
              </w:rPr>
            </w:pPr>
          </w:p>
        </w:tc>
        <w:tc>
          <w:tcPr>
            <w:tcW w:w="810" w:type="dxa"/>
          </w:tcPr>
          <w:p w:rsidR="00D46AA6" w:rsidRPr="004D522B" w:rsidRDefault="00D46AA6" w:rsidP="009D5584">
            <w:pPr>
              <w:spacing w:after="0" w:line="240" w:lineRule="auto"/>
              <w:jc w:val="center"/>
              <w:rPr>
                <w:rFonts w:ascii="Calibri" w:eastAsia="Times New Roman" w:hAnsi="Calibri" w:cs="Times New Roman"/>
                <w:b/>
                <w:sz w:val="20"/>
                <w:szCs w:val="20"/>
              </w:rPr>
            </w:pPr>
            <w:r w:rsidRPr="004D522B">
              <w:rPr>
                <w:rFonts w:ascii="Calibri" w:eastAsia="Times New Roman" w:hAnsi="Calibri" w:cs="Times New Roman"/>
                <w:b/>
                <w:sz w:val="20"/>
                <w:szCs w:val="20"/>
              </w:rPr>
              <w:t>2013</w:t>
            </w:r>
          </w:p>
        </w:tc>
        <w:tc>
          <w:tcPr>
            <w:tcW w:w="810" w:type="dxa"/>
          </w:tcPr>
          <w:p w:rsidR="00D46AA6" w:rsidRPr="004D522B" w:rsidRDefault="00D46AA6" w:rsidP="009D5584">
            <w:pPr>
              <w:spacing w:after="0" w:line="240" w:lineRule="auto"/>
              <w:jc w:val="center"/>
              <w:rPr>
                <w:rFonts w:ascii="Calibri" w:eastAsia="Times New Roman" w:hAnsi="Calibri" w:cs="Times New Roman"/>
                <w:b/>
                <w:sz w:val="20"/>
                <w:szCs w:val="20"/>
              </w:rPr>
            </w:pPr>
            <w:r w:rsidRPr="004D522B">
              <w:rPr>
                <w:rFonts w:ascii="Calibri" w:eastAsia="Times New Roman" w:hAnsi="Calibri" w:cs="Times New Roman"/>
                <w:b/>
                <w:sz w:val="20"/>
                <w:szCs w:val="20"/>
              </w:rPr>
              <w:t>2014</w:t>
            </w:r>
          </w:p>
        </w:tc>
        <w:tc>
          <w:tcPr>
            <w:tcW w:w="810" w:type="dxa"/>
          </w:tcPr>
          <w:p w:rsidR="00D46AA6" w:rsidRPr="004D522B" w:rsidRDefault="00D46AA6" w:rsidP="009D5584">
            <w:pPr>
              <w:spacing w:after="0" w:line="240" w:lineRule="auto"/>
              <w:jc w:val="center"/>
              <w:rPr>
                <w:rFonts w:ascii="Calibri" w:eastAsia="Times New Roman" w:hAnsi="Calibri" w:cs="Times New Roman"/>
                <w:b/>
                <w:sz w:val="20"/>
                <w:szCs w:val="20"/>
              </w:rPr>
            </w:pPr>
            <w:r w:rsidRPr="004D522B">
              <w:rPr>
                <w:rFonts w:ascii="Calibri" w:eastAsia="Times New Roman" w:hAnsi="Calibri" w:cs="Times New Roman"/>
                <w:b/>
                <w:sz w:val="20"/>
                <w:szCs w:val="20"/>
              </w:rPr>
              <w:t>2015</w:t>
            </w:r>
          </w:p>
        </w:tc>
        <w:tc>
          <w:tcPr>
            <w:tcW w:w="810" w:type="dxa"/>
          </w:tcPr>
          <w:p w:rsidR="00D46AA6" w:rsidRPr="004D522B" w:rsidRDefault="00D46AA6" w:rsidP="009D5584">
            <w:pPr>
              <w:spacing w:after="0" w:line="240" w:lineRule="auto"/>
              <w:jc w:val="center"/>
              <w:rPr>
                <w:rFonts w:ascii="Calibri" w:eastAsia="Times New Roman" w:hAnsi="Calibri" w:cs="Times New Roman"/>
                <w:b/>
                <w:sz w:val="20"/>
                <w:szCs w:val="20"/>
              </w:rPr>
            </w:pPr>
            <w:r w:rsidRPr="004D522B">
              <w:rPr>
                <w:rFonts w:ascii="Calibri" w:eastAsia="Times New Roman" w:hAnsi="Calibri" w:cs="Times New Roman"/>
                <w:b/>
                <w:sz w:val="20"/>
                <w:szCs w:val="20"/>
              </w:rPr>
              <w:t>2016</w:t>
            </w:r>
          </w:p>
        </w:tc>
        <w:tc>
          <w:tcPr>
            <w:tcW w:w="936" w:type="dxa"/>
            <w:vMerge/>
          </w:tcPr>
          <w:p w:rsidR="00D46AA6" w:rsidRPr="004D522B" w:rsidRDefault="00D46AA6" w:rsidP="009D5584">
            <w:pPr>
              <w:spacing w:after="0" w:line="240" w:lineRule="auto"/>
              <w:rPr>
                <w:rFonts w:ascii="Calibri" w:eastAsia="Times New Roman" w:hAnsi="Calibri" w:cs="Times New Roman"/>
                <w:sz w:val="20"/>
                <w:szCs w:val="20"/>
              </w:rPr>
            </w:pPr>
          </w:p>
        </w:tc>
        <w:tc>
          <w:tcPr>
            <w:tcW w:w="882" w:type="dxa"/>
            <w:vMerge/>
          </w:tcPr>
          <w:p w:rsidR="00D46AA6" w:rsidRPr="004D522B" w:rsidRDefault="00D46AA6" w:rsidP="009D5584">
            <w:pPr>
              <w:spacing w:after="0" w:line="240" w:lineRule="auto"/>
              <w:rPr>
                <w:rFonts w:ascii="Calibri" w:eastAsia="Times New Roman" w:hAnsi="Calibri" w:cs="Times New Roman"/>
                <w:sz w:val="20"/>
                <w:szCs w:val="20"/>
              </w:rPr>
            </w:pPr>
          </w:p>
        </w:tc>
      </w:tr>
      <w:tr w:rsidR="00D46AA6" w:rsidRPr="004D522B" w:rsidTr="009D5584">
        <w:tc>
          <w:tcPr>
            <w:tcW w:w="1278" w:type="dxa"/>
            <w:vMerge w:val="restart"/>
            <w:vAlign w:val="center"/>
          </w:tcPr>
          <w:p w:rsidR="00D46AA6" w:rsidRPr="004D522B" w:rsidRDefault="00D46AA6" w:rsidP="009D5584">
            <w:pPr>
              <w:spacing w:after="0" w:line="240" w:lineRule="auto"/>
              <w:jc w:val="center"/>
              <w:rPr>
                <w:rFonts w:ascii="Calibri" w:eastAsia="Times New Roman" w:hAnsi="Calibri" w:cs="Times New Roman"/>
                <w:sz w:val="20"/>
                <w:szCs w:val="20"/>
              </w:rPr>
            </w:pPr>
            <w:r w:rsidRPr="004D522B">
              <w:rPr>
                <w:rFonts w:ascii="Calibri" w:eastAsia="Times New Roman" w:hAnsi="Calibri" w:cs="Times New Roman"/>
                <w:sz w:val="20"/>
                <w:szCs w:val="20"/>
              </w:rPr>
              <w:t>High Needs</w:t>
            </w:r>
          </w:p>
        </w:tc>
        <w:tc>
          <w:tcPr>
            <w:tcW w:w="810" w:type="dxa"/>
            <w:vMerge w:val="restart"/>
            <w:shd w:val="clear" w:color="auto" w:fill="D9D9D9" w:themeFill="background1" w:themeFillShade="D9"/>
            <w:vAlign w:val="center"/>
          </w:tcPr>
          <w:p w:rsidR="00D46AA6" w:rsidRPr="004D522B" w:rsidRDefault="00D46AA6" w:rsidP="009D5584">
            <w:pPr>
              <w:spacing w:after="0" w:line="240" w:lineRule="auto"/>
              <w:jc w:val="center"/>
              <w:rPr>
                <w:rFonts w:ascii="Calibri" w:eastAsia="Times New Roman" w:hAnsi="Calibri" w:cs="Times New Roman"/>
                <w:sz w:val="20"/>
                <w:szCs w:val="20"/>
              </w:rPr>
            </w:pPr>
            <w:r w:rsidRPr="004D522B">
              <w:rPr>
                <w:rFonts w:ascii="Calibri" w:eastAsia="Times New Roman" w:hAnsi="Calibri" w:cs="Times New Roman"/>
                <w:sz w:val="20"/>
                <w:szCs w:val="20"/>
              </w:rPr>
              <w:t>District</w:t>
            </w:r>
          </w:p>
        </w:tc>
        <w:tc>
          <w:tcPr>
            <w:tcW w:w="720" w:type="dxa"/>
            <w:shd w:val="clear" w:color="auto" w:fill="D9D9D9" w:themeFill="background1" w:themeFillShade="D9"/>
          </w:tcPr>
          <w:p w:rsidR="00D46AA6" w:rsidRPr="004D522B" w:rsidRDefault="00D46AA6" w:rsidP="009D5584">
            <w:pPr>
              <w:spacing w:after="0" w:line="240" w:lineRule="auto"/>
              <w:rPr>
                <w:rFonts w:ascii="Calibri" w:eastAsia="Times New Roman" w:hAnsi="Calibri" w:cs="Times New Roman"/>
                <w:sz w:val="20"/>
                <w:szCs w:val="20"/>
              </w:rPr>
            </w:pPr>
            <w:r w:rsidRPr="004D522B">
              <w:rPr>
                <w:rFonts w:ascii="Calibri" w:eastAsia="Times New Roman" w:hAnsi="Calibri" w:cs="Times New Roman"/>
                <w:sz w:val="20"/>
                <w:szCs w:val="20"/>
              </w:rPr>
              <w:t>CPI</w:t>
            </w:r>
          </w:p>
        </w:tc>
        <w:tc>
          <w:tcPr>
            <w:tcW w:w="990"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3,674</w:t>
            </w:r>
          </w:p>
        </w:tc>
        <w:tc>
          <w:tcPr>
            <w:tcW w:w="810"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59.9</w:t>
            </w:r>
          </w:p>
        </w:tc>
        <w:tc>
          <w:tcPr>
            <w:tcW w:w="810"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61.4</w:t>
            </w:r>
          </w:p>
        </w:tc>
        <w:tc>
          <w:tcPr>
            <w:tcW w:w="810"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59.2</w:t>
            </w:r>
          </w:p>
        </w:tc>
        <w:tc>
          <w:tcPr>
            <w:tcW w:w="810"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59.4</w:t>
            </w:r>
          </w:p>
        </w:tc>
        <w:tc>
          <w:tcPr>
            <w:tcW w:w="936"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-0.5</w:t>
            </w:r>
          </w:p>
        </w:tc>
        <w:tc>
          <w:tcPr>
            <w:tcW w:w="882"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0.2</w:t>
            </w:r>
          </w:p>
        </w:tc>
      </w:tr>
      <w:tr w:rsidR="00D46AA6" w:rsidRPr="004D522B" w:rsidTr="009D5584">
        <w:tc>
          <w:tcPr>
            <w:tcW w:w="1278" w:type="dxa"/>
            <w:vMerge/>
            <w:vAlign w:val="center"/>
          </w:tcPr>
          <w:p w:rsidR="00D46AA6" w:rsidRPr="004D522B" w:rsidRDefault="00D46AA6" w:rsidP="009D5584">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tcPr>
          <w:p w:rsidR="00D46AA6" w:rsidRPr="004D522B" w:rsidRDefault="00D46AA6" w:rsidP="009D5584">
            <w:pPr>
              <w:spacing w:after="0" w:line="240" w:lineRule="auto"/>
              <w:rPr>
                <w:rFonts w:ascii="Calibri" w:eastAsia="Times New Roman" w:hAnsi="Calibri" w:cs="Times New Roman"/>
                <w:sz w:val="20"/>
                <w:szCs w:val="20"/>
              </w:rPr>
            </w:pPr>
          </w:p>
        </w:tc>
        <w:tc>
          <w:tcPr>
            <w:tcW w:w="720" w:type="dxa"/>
            <w:shd w:val="clear" w:color="auto" w:fill="D9D9D9" w:themeFill="background1" w:themeFillShade="D9"/>
          </w:tcPr>
          <w:p w:rsidR="00D46AA6" w:rsidRPr="004D522B" w:rsidRDefault="00D46AA6" w:rsidP="009D5584">
            <w:pPr>
              <w:spacing w:after="0" w:line="240" w:lineRule="auto"/>
              <w:rPr>
                <w:rFonts w:ascii="Calibri" w:eastAsia="Times New Roman" w:hAnsi="Calibri" w:cs="Times New Roman"/>
                <w:sz w:val="20"/>
                <w:szCs w:val="20"/>
              </w:rPr>
            </w:pPr>
            <w:r w:rsidRPr="004D522B">
              <w:rPr>
                <w:rFonts w:ascii="Calibri" w:eastAsia="Times New Roman" w:hAnsi="Calibri" w:cs="Times New Roman"/>
                <w:sz w:val="20"/>
                <w:szCs w:val="20"/>
              </w:rPr>
              <w:t>P+</w:t>
            </w:r>
          </w:p>
        </w:tc>
        <w:tc>
          <w:tcPr>
            <w:tcW w:w="990"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3,674</w:t>
            </w:r>
          </w:p>
        </w:tc>
        <w:tc>
          <w:tcPr>
            <w:tcW w:w="810"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24%</w:t>
            </w:r>
          </w:p>
        </w:tc>
        <w:tc>
          <w:tcPr>
            <w:tcW w:w="810"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26%</w:t>
            </w:r>
          </w:p>
        </w:tc>
        <w:tc>
          <w:tcPr>
            <w:tcW w:w="810"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22%</w:t>
            </w:r>
          </w:p>
        </w:tc>
        <w:tc>
          <w:tcPr>
            <w:tcW w:w="810"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23%</w:t>
            </w:r>
          </w:p>
        </w:tc>
        <w:tc>
          <w:tcPr>
            <w:tcW w:w="936"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-1</w:t>
            </w:r>
          </w:p>
        </w:tc>
        <w:tc>
          <w:tcPr>
            <w:tcW w:w="882"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1</w:t>
            </w:r>
          </w:p>
        </w:tc>
      </w:tr>
      <w:tr w:rsidR="00D46AA6" w:rsidRPr="004D522B" w:rsidTr="009D5584">
        <w:tc>
          <w:tcPr>
            <w:tcW w:w="1278" w:type="dxa"/>
            <w:vMerge/>
            <w:vAlign w:val="center"/>
          </w:tcPr>
          <w:p w:rsidR="00D46AA6" w:rsidRPr="004D522B" w:rsidRDefault="00D46AA6" w:rsidP="009D5584">
            <w:pPr>
              <w:spacing w:after="0" w:line="240" w:lineRule="auto"/>
              <w:jc w:val="center"/>
              <w:rPr>
                <w:rFonts w:ascii="Calibri" w:eastAsia="Times New Roman" w:hAnsi="Calibri" w:cs="Times New Roman"/>
                <w:sz w:val="20"/>
                <w:szCs w:val="20"/>
              </w:rPr>
            </w:pPr>
          </w:p>
        </w:tc>
        <w:tc>
          <w:tcPr>
            <w:tcW w:w="810" w:type="dxa"/>
            <w:vMerge w:val="restart"/>
            <w:vAlign w:val="center"/>
          </w:tcPr>
          <w:p w:rsidR="00D46AA6" w:rsidRPr="004D522B" w:rsidRDefault="00D46AA6" w:rsidP="009D5584">
            <w:pPr>
              <w:spacing w:after="0" w:line="240" w:lineRule="auto"/>
              <w:jc w:val="center"/>
              <w:rPr>
                <w:rFonts w:ascii="Calibri" w:eastAsia="Times New Roman" w:hAnsi="Calibri" w:cs="Times New Roman"/>
                <w:sz w:val="20"/>
                <w:szCs w:val="20"/>
              </w:rPr>
            </w:pPr>
            <w:r w:rsidRPr="004D522B">
              <w:rPr>
                <w:rFonts w:ascii="Calibri" w:eastAsia="Times New Roman" w:hAnsi="Calibri" w:cs="Times New Roman"/>
                <w:sz w:val="20"/>
                <w:szCs w:val="20"/>
              </w:rPr>
              <w:t>State</w:t>
            </w:r>
          </w:p>
        </w:tc>
        <w:tc>
          <w:tcPr>
            <w:tcW w:w="720" w:type="dxa"/>
          </w:tcPr>
          <w:p w:rsidR="00D46AA6" w:rsidRPr="004D522B" w:rsidRDefault="00D46AA6" w:rsidP="009D5584">
            <w:pPr>
              <w:spacing w:after="0" w:line="240" w:lineRule="auto"/>
              <w:rPr>
                <w:rFonts w:ascii="Calibri" w:eastAsia="Times New Roman" w:hAnsi="Calibri" w:cs="Times New Roman"/>
                <w:sz w:val="20"/>
                <w:szCs w:val="20"/>
              </w:rPr>
            </w:pPr>
            <w:r w:rsidRPr="004D522B">
              <w:rPr>
                <w:rFonts w:ascii="Calibri" w:eastAsia="Times New Roman" w:hAnsi="Calibri" w:cs="Times New Roman"/>
                <w:sz w:val="20"/>
                <w:szCs w:val="20"/>
              </w:rPr>
              <w:t>CPI</w:t>
            </w:r>
          </w:p>
        </w:tc>
        <w:tc>
          <w:tcPr>
            <w:tcW w:w="990" w:type="dxa"/>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89,857</w:t>
            </w:r>
          </w:p>
        </w:tc>
        <w:tc>
          <w:tcPr>
            <w:tcW w:w="810" w:type="dxa"/>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66.4</w:t>
            </w:r>
          </w:p>
        </w:tc>
        <w:tc>
          <w:tcPr>
            <w:tcW w:w="810" w:type="dxa"/>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67.3</w:t>
            </w:r>
          </w:p>
        </w:tc>
        <w:tc>
          <w:tcPr>
            <w:tcW w:w="810" w:type="dxa"/>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66.3</w:t>
            </w:r>
          </w:p>
        </w:tc>
        <w:tc>
          <w:tcPr>
            <w:tcW w:w="810" w:type="dxa"/>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65.4</w:t>
            </w:r>
          </w:p>
        </w:tc>
        <w:tc>
          <w:tcPr>
            <w:tcW w:w="936" w:type="dxa"/>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-1.0</w:t>
            </w:r>
          </w:p>
        </w:tc>
        <w:tc>
          <w:tcPr>
            <w:tcW w:w="882" w:type="dxa"/>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-0.9</w:t>
            </w:r>
          </w:p>
        </w:tc>
      </w:tr>
      <w:tr w:rsidR="00D46AA6" w:rsidRPr="004D522B" w:rsidTr="009D5584">
        <w:tc>
          <w:tcPr>
            <w:tcW w:w="1278" w:type="dxa"/>
            <w:vMerge/>
            <w:vAlign w:val="center"/>
          </w:tcPr>
          <w:p w:rsidR="00D46AA6" w:rsidRPr="004D522B" w:rsidRDefault="00D46AA6" w:rsidP="009D5584">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D46AA6" w:rsidRPr="004D522B" w:rsidRDefault="00D46AA6" w:rsidP="009D5584">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D46AA6" w:rsidRPr="004D522B" w:rsidRDefault="00D46AA6" w:rsidP="009D5584">
            <w:pPr>
              <w:spacing w:after="0" w:line="240" w:lineRule="auto"/>
              <w:rPr>
                <w:rFonts w:ascii="Calibri" w:eastAsia="Times New Roman" w:hAnsi="Calibri" w:cs="Times New Roman"/>
                <w:sz w:val="20"/>
                <w:szCs w:val="20"/>
              </w:rPr>
            </w:pPr>
            <w:r w:rsidRPr="004D522B">
              <w:rPr>
                <w:rFonts w:ascii="Calibri" w:eastAsia="Times New Roman" w:hAnsi="Calibri" w:cs="Times New Roman"/>
                <w:sz w:val="20"/>
                <w:szCs w:val="20"/>
              </w:rPr>
              <w:t>P+</w:t>
            </w:r>
          </w:p>
        </w:tc>
        <w:tc>
          <w:tcPr>
            <w:tcW w:w="990" w:type="dxa"/>
            <w:tcBorders>
              <w:bottom w:val="single" w:sz="4" w:space="0" w:color="auto"/>
            </w:tcBorders>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89,857</w:t>
            </w:r>
          </w:p>
        </w:tc>
        <w:tc>
          <w:tcPr>
            <w:tcW w:w="810" w:type="dxa"/>
            <w:tcBorders>
              <w:bottom w:val="single" w:sz="4" w:space="0" w:color="auto"/>
            </w:tcBorders>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31%</w:t>
            </w:r>
          </w:p>
        </w:tc>
        <w:tc>
          <w:tcPr>
            <w:tcW w:w="810" w:type="dxa"/>
            <w:tcBorders>
              <w:bottom w:val="single" w:sz="4" w:space="0" w:color="auto"/>
            </w:tcBorders>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33%</w:t>
            </w:r>
          </w:p>
        </w:tc>
        <w:tc>
          <w:tcPr>
            <w:tcW w:w="810" w:type="dxa"/>
            <w:tcBorders>
              <w:bottom w:val="single" w:sz="4" w:space="0" w:color="auto"/>
            </w:tcBorders>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32%</w:t>
            </w:r>
          </w:p>
        </w:tc>
        <w:tc>
          <w:tcPr>
            <w:tcW w:w="810" w:type="dxa"/>
            <w:tcBorders>
              <w:bottom w:val="single" w:sz="4" w:space="0" w:color="auto"/>
            </w:tcBorders>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31%</w:t>
            </w:r>
          </w:p>
        </w:tc>
        <w:tc>
          <w:tcPr>
            <w:tcW w:w="936" w:type="dxa"/>
            <w:tcBorders>
              <w:bottom w:val="single" w:sz="4" w:space="0" w:color="auto"/>
            </w:tcBorders>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0</w:t>
            </w:r>
          </w:p>
        </w:tc>
        <w:tc>
          <w:tcPr>
            <w:tcW w:w="882" w:type="dxa"/>
            <w:tcBorders>
              <w:bottom w:val="single" w:sz="4" w:space="0" w:color="auto"/>
            </w:tcBorders>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-1</w:t>
            </w:r>
          </w:p>
        </w:tc>
      </w:tr>
      <w:tr w:rsidR="00D46AA6" w:rsidRPr="004D522B" w:rsidTr="009D5584">
        <w:tc>
          <w:tcPr>
            <w:tcW w:w="1278" w:type="dxa"/>
            <w:vMerge w:val="restart"/>
            <w:vAlign w:val="center"/>
          </w:tcPr>
          <w:p w:rsidR="00D46AA6" w:rsidRPr="004D522B" w:rsidRDefault="00D46AA6" w:rsidP="004B192B">
            <w:pPr>
              <w:spacing w:after="0" w:line="240" w:lineRule="auto"/>
              <w:jc w:val="center"/>
              <w:rPr>
                <w:rFonts w:ascii="Calibri" w:eastAsia="Times New Roman" w:hAnsi="Calibri" w:cs="Times New Roman"/>
                <w:sz w:val="20"/>
                <w:szCs w:val="20"/>
              </w:rPr>
            </w:pPr>
            <w:r w:rsidRPr="004D522B">
              <w:rPr>
                <w:rFonts w:ascii="Calibri" w:eastAsia="Times New Roman" w:hAnsi="Calibri" w:cs="Times New Roman"/>
                <w:sz w:val="20"/>
                <w:szCs w:val="20"/>
              </w:rPr>
              <w:t>Econ. Disad.</w:t>
            </w:r>
          </w:p>
        </w:tc>
        <w:tc>
          <w:tcPr>
            <w:tcW w:w="810" w:type="dxa"/>
            <w:vMerge w:val="restart"/>
            <w:shd w:val="clear" w:color="auto" w:fill="D9D9D9" w:themeFill="background1" w:themeFillShade="D9"/>
            <w:vAlign w:val="center"/>
          </w:tcPr>
          <w:p w:rsidR="00D46AA6" w:rsidRPr="004D522B" w:rsidRDefault="00D46AA6" w:rsidP="009D5584">
            <w:pPr>
              <w:spacing w:after="0" w:line="240" w:lineRule="auto"/>
              <w:jc w:val="center"/>
              <w:rPr>
                <w:rFonts w:ascii="Calibri" w:eastAsia="Times New Roman" w:hAnsi="Calibri" w:cs="Times New Roman"/>
                <w:sz w:val="20"/>
                <w:szCs w:val="20"/>
              </w:rPr>
            </w:pPr>
            <w:r w:rsidRPr="004D522B">
              <w:rPr>
                <w:rFonts w:ascii="Calibri" w:eastAsia="Times New Roman" w:hAnsi="Calibri" w:cs="Times New Roman"/>
                <w:sz w:val="20"/>
                <w:szCs w:val="20"/>
              </w:rPr>
              <w:t>District</w:t>
            </w:r>
          </w:p>
        </w:tc>
        <w:tc>
          <w:tcPr>
            <w:tcW w:w="720" w:type="dxa"/>
            <w:shd w:val="clear" w:color="auto" w:fill="D9D9D9" w:themeFill="background1" w:themeFillShade="D9"/>
          </w:tcPr>
          <w:p w:rsidR="00D46AA6" w:rsidRPr="004D522B" w:rsidRDefault="00D46AA6" w:rsidP="009D5584">
            <w:pPr>
              <w:spacing w:after="0" w:line="240" w:lineRule="auto"/>
              <w:rPr>
                <w:rFonts w:ascii="Calibri" w:eastAsia="Times New Roman" w:hAnsi="Calibri" w:cs="Times New Roman"/>
                <w:sz w:val="20"/>
                <w:szCs w:val="20"/>
              </w:rPr>
            </w:pPr>
            <w:r w:rsidRPr="004D522B">
              <w:rPr>
                <w:rFonts w:ascii="Calibri" w:eastAsia="Times New Roman" w:hAnsi="Calibri" w:cs="Times New Roman"/>
                <w:sz w:val="20"/>
                <w:szCs w:val="20"/>
              </w:rPr>
              <w:t>CPI</w:t>
            </w:r>
          </w:p>
        </w:tc>
        <w:tc>
          <w:tcPr>
            <w:tcW w:w="990"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2,958</w:t>
            </w:r>
          </w:p>
        </w:tc>
        <w:tc>
          <w:tcPr>
            <w:tcW w:w="810"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w:t>
            </w:r>
          </w:p>
        </w:tc>
        <w:tc>
          <w:tcPr>
            <w:tcW w:w="810"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w:t>
            </w:r>
          </w:p>
        </w:tc>
        <w:tc>
          <w:tcPr>
            <w:tcW w:w="810"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59.4</w:t>
            </w:r>
          </w:p>
        </w:tc>
        <w:tc>
          <w:tcPr>
            <w:tcW w:w="810"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59.2</w:t>
            </w:r>
          </w:p>
        </w:tc>
        <w:tc>
          <w:tcPr>
            <w:tcW w:w="936"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w:t>
            </w:r>
          </w:p>
        </w:tc>
        <w:tc>
          <w:tcPr>
            <w:tcW w:w="882"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-0.2</w:t>
            </w:r>
          </w:p>
        </w:tc>
      </w:tr>
      <w:tr w:rsidR="00D46AA6" w:rsidRPr="004D522B" w:rsidTr="009D5584">
        <w:tc>
          <w:tcPr>
            <w:tcW w:w="1278" w:type="dxa"/>
            <w:vMerge/>
            <w:vAlign w:val="center"/>
          </w:tcPr>
          <w:p w:rsidR="00D46AA6" w:rsidRPr="004D522B" w:rsidRDefault="00D46AA6" w:rsidP="009D5584">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D46AA6" w:rsidRPr="004D522B" w:rsidRDefault="00D46AA6" w:rsidP="009D5584">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D46AA6" w:rsidRPr="004D522B" w:rsidRDefault="00D46AA6" w:rsidP="009D5584">
            <w:pPr>
              <w:spacing w:after="0" w:line="240" w:lineRule="auto"/>
              <w:rPr>
                <w:rFonts w:ascii="Calibri" w:eastAsia="Times New Roman" w:hAnsi="Calibri" w:cs="Times New Roman"/>
                <w:sz w:val="20"/>
                <w:szCs w:val="20"/>
              </w:rPr>
            </w:pPr>
            <w:r w:rsidRPr="004D522B">
              <w:rPr>
                <w:rFonts w:ascii="Calibri" w:eastAsia="Times New Roman" w:hAnsi="Calibri" w:cs="Times New Roman"/>
                <w:sz w:val="20"/>
                <w:szCs w:val="20"/>
              </w:rPr>
              <w:t>P+</w:t>
            </w:r>
          </w:p>
        </w:tc>
        <w:tc>
          <w:tcPr>
            <w:tcW w:w="990"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2,958</w:t>
            </w:r>
          </w:p>
        </w:tc>
        <w:tc>
          <w:tcPr>
            <w:tcW w:w="810"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w:t>
            </w:r>
          </w:p>
        </w:tc>
        <w:tc>
          <w:tcPr>
            <w:tcW w:w="810"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w:t>
            </w:r>
          </w:p>
        </w:tc>
        <w:tc>
          <w:tcPr>
            <w:tcW w:w="810"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23%</w:t>
            </w:r>
          </w:p>
        </w:tc>
        <w:tc>
          <w:tcPr>
            <w:tcW w:w="810"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24%</w:t>
            </w:r>
          </w:p>
        </w:tc>
        <w:tc>
          <w:tcPr>
            <w:tcW w:w="936"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w:t>
            </w:r>
          </w:p>
        </w:tc>
        <w:tc>
          <w:tcPr>
            <w:tcW w:w="882"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1</w:t>
            </w:r>
          </w:p>
        </w:tc>
      </w:tr>
      <w:tr w:rsidR="00D46AA6" w:rsidRPr="004D522B" w:rsidTr="009D5584">
        <w:tc>
          <w:tcPr>
            <w:tcW w:w="1278" w:type="dxa"/>
            <w:vMerge/>
            <w:vAlign w:val="center"/>
          </w:tcPr>
          <w:p w:rsidR="00D46AA6" w:rsidRPr="004D522B" w:rsidRDefault="00D46AA6" w:rsidP="009D5584">
            <w:pPr>
              <w:spacing w:after="0" w:line="240" w:lineRule="auto"/>
              <w:jc w:val="center"/>
              <w:rPr>
                <w:rFonts w:ascii="Calibri" w:eastAsia="Times New Roman" w:hAnsi="Calibri" w:cs="Times New Roman"/>
                <w:sz w:val="20"/>
                <w:szCs w:val="20"/>
              </w:rPr>
            </w:pPr>
          </w:p>
        </w:tc>
        <w:tc>
          <w:tcPr>
            <w:tcW w:w="810" w:type="dxa"/>
            <w:vMerge w:val="restart"/>
            <w:vAlign w:val="center"/>
          </w:tcPr>
          <w:p w:rsidR="00D46AA6" w:rsidRPr="004D522B" w:rsidRDefault="00D46AA6" w:rsidP="009D5584">
            <w:pPr>
              <w:spacing w:after="0" w:line="240" w:lineRule="auto"/>
              <w:jc w:val="center"/>
              <w:rPr>
                <w:rFonts w:ascii="Calibri" w:eastAsia="Times New Roman" w:hAnsi="Calibri" w:cs="Times New Roman"/>
                <w:sz w:val="20"/>
                <w:szCs w:val="20"/>
              </w:rPr>
            </w:pPr>
            <w:r w:rsidRPr="004D522B">
              <w:rPr>
                <w:rFonts w:ascii="Calibri" w:eastAsia="Times New Roman" w:hAnsi="Calibri" w:cs="Times New Roman"/>
                <w:sz w:val="20"/>
                <w:szCs w:val="20"/>
              </w:rPr>
              <w:t>State</w:t>
            </w:r>
          </w:p>
        </w:tc>
        <w:tc>
          <w:tcPr>
            <w:tcW w:w="720" w:type="dxa"/>
          </w:tcPr>
          <w:p w:rsidR="00D46AA6" w:rsidRPr="004D522B" w:rsidRDefault="00D46AA6" w:rsidP="009D5584">
            <w:pPr>
              <w:spacing w:after="0" w:line="240" w:lineRule="auto"/>
              <w:rPr>
                <w:rFonts w:ascii="Calibri" w:eastAsia="Times New Roman" w:hAnsi="Calibri" w:cs="Times New Roman"/>
                <w:sz w:val="20"/>
                <w:szCs w:val="20"/>
              </w:rPr>
            </w:pPr>
            <w:r w:rsidRPr="004D522B">
              <w:rPr>
                <w:rFonts w:ascii="Calibri" w:eastAsia="Times New Roman" w:hAnsi="Calibri" w:cs="Times New Roman"/>
                <w:sz w:val="20"/>
                <w:szCs w:val="20"/>
              </w:rPr>
              <w:t>CPI</w:t>
            </w:r>
          </w:p>
        </w:tc>
        <w:tc>
          <w:tcPr>
            <w:tcW w:w="990" w:type="dxa"/>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61,476</w:t>
            </w:r>
          </w:p>
        </w:tc>
        <w:tc>
          <w:tcPr>
            <w:tcW w:w="810" w:type="dxa"/>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w:t>
            </w:r>
          </w:p>
        </w:tc>
        <w:tc>
          <w:tcPr>
            <w:tcW w:w="810" w:type="dxa"/>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w:t>
            </w:r>
          </w:p>
        </w:tc>
        <w:tc>
          <w:tcPr>
            <w:tcW w:w="810" w:type="dxa"/>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67.1</w:t>
            </w:r>
          </w:p>
        </w:tc>
        <w:tc>
          <w:tcPr>
            <w:tcW w:w="810" w:type="dxa"/>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65.8</w:t>
            </w:r>
          </w:p>
        </w:tc>
        <w:tc>
          <w:tcPr>
            <w:tcW w:w="936" w:type="dxa"/>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w:t>
            </w:r>
          </w:p>
        </w:tc>
        <w:tc>
          <w:tcPr>
            <w:tcW w:w="882" w:type="dxa"/>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-1.3</w:t>
            </w:r>
          </w:p>
        </w:tc>
      </w:tr>
      <w:tr w:rsidR="00D46AA6" w:rsidRPr="004D522B" w:rsidTr="009D5584">
        <w:tc>
          <w:tcPr>
            <w:tcW w:w="1278" w:type="dxa"/>
            <w:vMerge/>
            <w:vAlign w:val="center"/>
          </w:tcPr>
          <w:p w:rsidR="00D46AA6" w:rsidRPr="004D522B" w:rsidRDefault="00D46AA6" w:rsidP="009D5584">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D46AA6" w:rsidRPr="004D522B" w:rsidRDefault="00D46AA6" w:rsidP="009D5584">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D46AA6" w:rsidRPr="004D522B" w:rsidRDefault="00D46AA6" w:rsidP="009D5584">
            <w:pPr>
              <w:spacing w:after="0" w:line="240" w:lineRule="auto"/>
              <w:rPr>
                <w:rFonts w:ascii="Calibri" w:eastAsia="Times New Roman" w:hAnsi="Calibri" w:cs="Times New Roman"/>
                <w:sz w:val="20"/>
                <w:szCs w:val="20"/>
              </w:rPr>
            </w:pPr>
            <w:r w:rsidRPr="004D522B">
              <w:rPr>
                <w:rFonts w:ascii="Calibri" w:eastAsia="Times New Roman" w:hAnsi="Calibri" w:cs="Times New Roman"/>
                <w:sz w:val="20"/>
                <w:szCs w:val="20"/>
              </w:rPr>
              <w:t>P+</w:t>
            </w:r>
          </w:p>
        </w:tc>
        <w:tc>
          <w:tcPr>
            <w:tcW w:w="990" w:type="dxa"/>
            <w:tcBorders>
              <w:bottom w:val="single" w:sz="4" w:space="0" w:color="auto"/>
            </w:tcBorders>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61,476</w:t>
            </w:r>
          </w:p>
        </w:tc>
        <w:tc>
          <w:tcPr>
            <w:tcW w:w="810" w:type="dxa"/>
            <w:tcBorders>
              <w:bottom w:val="single" w:sz="4" w:space="0" w:color="auto"/>
            </w:tcBorders>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w:t>
            </w:r>
          </w:p>
        </w:tc>
        <w:tc>
          <w:tcPr>
            <w:tcW w:w="810" w:type="dxa"/>
            <w:tcBorders>
              <w:bottom w:val="single" w:sz="4" w:space="0" w:color="auto"/>
            </w:tcBorders>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w:t>
            </w:r>
          </w:p>
        </w:tc>
        <w:tc>
          <w:tcPr>
            <w:tcW w:w="810" w:type="dxa"/>
            <w:tcBorders>
              <w:bottom w:val="single" w:sz="4" w:space="0" w:color="auto"/>
            </w:tcBorders>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33.0%</w:t>
            </w:r>
          </w:p>
        </w:tc>
        <w:tc>
          <w:tcPr>
            <w:tcW w:w="810" w:type="dxa"/>
            <w:tcBorders>
              <w:bottom w:val="single" w:sz="4" w:space="0" w:color="auto"/>
            </w:tcBorders>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29%</w:t>
            </w:r>
          </w:p>
        </w:tc>
        <w:tc>
          <w:tcPr>
            <w:tcW w:w="936" w:type="dxa"/>
            <w:tcBorders>
              <w:bottom w:val="single" w:sz="4" w:space="0" w:color="auto"/>
            </w:tcBorders>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w:t>
            </w:r>
          </w:p>
        </w:tc>
        <w:tc>
          <w:tcPr>
            <w:tcW w:w="882" w:type="dxa"/>
            <w:tcBorders>
              <w:bottom w:val="single" w:sz="4" w:space="0" w:color="auto"/>
            </w:tcBorders>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-4</w:t>
            </w:r>
          </w:p>
        </w:tc>
      </w:tr>
      <w:tr w:rsidR="00D46AA6" w:rsidRPr="004D522B" w:rsidTr="009D5584">
        <w:tc>
          <w:tcPr>
            <w:tcW w:w="1278" w:type="dxa"/>
            <w:vMerge w:val="restart"/>
            <w:vAlign w:val="center"/>
          </w:tcPr>
          <w:p w:rsidR="00D46AA6" w:rsidRPr="004D522B" w:rsidRDefault="00D46AA6" w:rsidP="009D5584">
            <w:pPr>
              <w:spacing w:after="0" w:line="240" w:lineRule="auto"/>
              <w:jc w:val="center"/>
              <w:rPr>
                <w:rFonts w:ascii="Calibri" w:eastAsia="Times New Roman" w:hAnsi="Calibri" w:cs="Times New Roman"/>
                <w:sz w:val="20"/>
                <w:szCs w:val="20"/>
              </w:rPr>
            </w:pPr>
            <w:r w:rsidRPr="004D522B">
              <w:rPr>
                <w:rFonts w:ascii="Calibri" w:eastAsia="Times New Roman" w:hAnsi="Calibri" w:cs="Times New Roman"/>
                <w:sz w:val="20"/>
                <w:szCs w:val="20"/>
              </w:rPr>
              <w:t>Students w/ disabilities</w:t>
            </w:r>
          </w:p>
        </w:tc>
        <w:tc>
          <w:tcPr>
            <w:tcW w:w="810" w:type="dxa"/>
            <w:vMerge w:val="restart"/>
            <w:shd w:val="clear" w:color="auto" w:fill="D9D9D9" w:themeFill="background1" w:themeFillShade="D9"/>
            <w:vAlign w:val="center"/>
          </w:tcPr>
          <w:p w:rsidR="00D46AA6" w:rsidRPr="004D522B" w:rsidRDefault="00D46AA6" w:rsidP="009D5584">
            <w:pPr>
              <w:spacing w:after="0" w:line="240" w:lineRule="auto"/>
              <w:jc w:val="center"/>
              <w:rPr>
                <w:rFonts w:ascii="Calibri" w:eastAsia="Times New Roman" w:hAnsi="Calibri" w:cs="Times New Roman"/>
                <w:sz w:val="20"/>
                <w:szCs w:val="20"/>
              </w:rPr>
            </w:pPr>
            <w:r w:rsidRPr="004D522B">
              <w:rPr>
                <w:rFonts w:ascii="Calibri" w:eastAsia="Times New Roman" w:hAnsi="Calibri" w:cs="Times New Roman"/>
                <w:sz w:val="20"/>
                <w:szCs w:val="20"/>
              </w:rPr>
              <w:t>District</w:t>
            </w:r>
          </w:p>
        </w:tc>
        <w:tc>
          <w:tcPr>
            <w:tcW w:w="720" w:type="dxa"/>
            <w:shd w:val="clear" w:color="auto" w:fill="D9D9D9" w:themeFill="background1" w:themeFillShade="D9"/>
          </w:tcPr>
          <w:p w:rsidR="00D46AA6" w:rsidRPr="004D522B" w:rsidRDefault="00D46AA6" w:rsidP="009D5584">
            <w:pPr>
              <w:spacing w:after="0" w:line="240" w:lineRule="auto"/>
              <w:rPr>
                <w:rFonts w:ascii="Calibri" w:eastAsia="Times New Roman" w:hAnsi="Calibri" w:cs="Times New Roman"/>
                <w:sz w:val="20"/>
                <w:szCs w:val="20"/>
              </w:rPr>
            </w:pPr>
            <w:r w:rsidRPr="004D522B">
              <w:rPr>
                <w:rFonts w:ascii="Calibri" w:eastAsia="Times New Roman" w:hAnsi="Calibri" w:cs="Times New Roman"/>
                <w:sz w:val="20"/>
                <w:szCs w:val="20"/>
              </w:rPr>
              <w:t>CPI</w:t>
            </w:r>
          </w:p>
        </w:tc>
        <w:tc>
          <w:tcPr>
            <w:tcW w:w="990"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1,109</w:t>
            </w:r>
          </w:p>
        </w:tc>
        <w:tc>
          <w:tcPr>
            <w:tcW w:w="810"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45.6</w:t>
            </w:r>
          </w:p>
        </w:tc>
        <w:tc>
          <w:tcPr>
            <w:tcW w:w="810"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47.3</w:t>
            </w:r>
          </w:p>
        </w:tc>
        <w:tc>
          <w:tcPr>
            <w:tcW w:w="810"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48.3</w:t>
            </w:r>
          </w:p>
        </w:tc>
        <w:tc>
          <w:tcPr>
            <w:tcW w:w="810"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48.6</w:t>
            </w:r>
          </w:p>
        </w:tc>
        <w:tc>
          <w:tcPr>
            <w:tcW w:w="936"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3</w:t>
            </w:r>
          </w:p>
        </w:tc>
        <w:tc>
          <w:tcPr>
            <w:tcW w:w="882"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0.3</w:t>
            </w:r>
          </w:p>
        </w:tc>
      </w:tr>
      <w:tr w:rsidR="00D46AA6" w:rsidRPr="004D522B" w:rsidTr="009D5584">
        <w:tc>
          <w:tcPr>
            <w:tcW w:w="1278" w:type="dxa"/>
            <w:vMerge/>
            <w:vAlign w:val="center"/>
          </w:tcPr>
          <w:p w:rsidR="00D46AA6" w:rsidRPr="004D522B" w:rsidRDefault="00D46AA6" w:rsidP="009D5584">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D46AA6" w:rsidRPr="004D522B" w:rsidRDefault="00D46AA6" w:rsidP="009D5584">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D46AA6" w:rsidRPr="004D522B" w:rsidRDefault="00D46AA6" w:rsidP="009D5584">
            <w:pPr>
              <w:spacing w:after="0" w:line="240" w:lineRule="auto"/>
              <w:rPr>
                <w:rFonts w:ascii="Calibri" w:eastAsia="Times New Roman" w:hAnsi="Calibri" w:cs="Times New Roman"/>
                <w:sz w:val="20"/>
                <w:szCs w:val="20"/>
              </w:rPr>
            </w:pPr>
            <w:r w:rsidRPr="004D522B">
              <w:rPr>
                <w:rFonts w:ascii="Calibri" w:eastAsia="Times New Roman" w:hAnsi="Calibri" w:cs="Times New Roman"/>
                <w:sz w:val="20"/>
                <w:szCs w:val="20"/>
              </w:rPr>
              <w:t>P+</w:t>
            </w:r>
          </w:p>
        </w:tc>
        <w:tc>
          <w:tcPr>
            <w:tcW w:w="990"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1,109</w:t>
            </w:r>
          </w:p>
        </w:tc>
        <w:tc>
          <w:tcPr>
            <w:tcW w:w="810"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7%</w:t>
            </w:r>
          </w:p>
        </w:tc>
        <w:tc>
          <w:tcPr>
            <w:tcW w:w="810"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8%</w:t>
            </w:r>
          </w:p>
        </w:tc>
        <w:tc>
          <w:tcPr>
            <w:tcW w:w="810"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9%</w:t>
            </w:r>
          </w:p>
        </w:tc>
        <w:tc>
          <w:tcPr>
            <w:tcW w:w="810"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7%</w:t>
            </w:r>
          </w:p>
        </w:tc>
        <w:tc>
          <w:tcPr>
            <w:tcW w:w="936"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0</w:t>
            </w:r>
          </w:p>
        </w:tc>
        <w:tc>
          <w:tcPr>
            <w:tcW w:w="882"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-2</w:t>
            </w:r>
          </w:p>
        </w:tc>
      </w:tr>
      <w:tr w:rsidR="00D46AA6" w:rsidRPr="004D522B" w:rsidTr="009D5584">
        <w:tc>
          <w:tcPr>
            <w:tcW w:w="1278" w:type="dxa"/>
            <w:vMerge/>
            <w:vAlign w:val="center"/>
          </w:tcPr>
          <w:p w:rsidR="00D46AA6" w:rsidRPr="004D522B" w:rsidRDefault="00D46AA6" w:rsidP="009D5584">
            <w:pPr>
              <w:spacing w:after="0" w:line="240" w:lineRule="auto"/>
              <w:jc w:val="center"/>
              <w:rPr>
                <w:rFonts w:ascii="Calibri" w:eastAsia="Times New Roman" w:hAnsi="Calibri" w:cs="Times New Roman"/>
                <w:sz w:val="20"/>
                <w:szCs w:val="20"/>
              </w:rPr>
            </w:pPr>
          </w:p>
        </w:tc>
        <w:tc>
          <w:tcPr>
            <w:tcW w:w="810" w:type="dxa"/>
            <w:vMerge w:val="restart"/>
            <w:vAlign w:val="center"/>
          </w:tcPr>
          <w:p w:rsidR="00D46AA6" w:rsidRPr="004D522B" w:rsidRDefault="00D46AA6" w:rsidP="009D5584">
            <w:pPr>
              <w:spacing w:after="0" w:line="240" w:lineRule="auto"/>
              <w:jc w:val="center"/>
              <w:rPr>
                <w:rFonts w:ascii="Calibri" w:eastAsia="Times New Roman" w:hAnsi="Calibri" w:cs="Times New Roman"/>
                <w:sz w:val="20"/>
                <w:szCs w:val="20"/>
              </w:rPr>
            </w:pPr>
            <w:r w:rsidRPr="004D522B">
              <w:rPr>
                <w:rFonts w:ascii="Calibri" w:eastAsia="Times New Roman" w:hAnsi="Calibri" w:cs="Times New Roman"/>
                <w:sz w:val="20"/>
                <w:szCs w:val="20"/>
              </w:rPr>
              <w:t>State</w:t>
            </w:r>
          </w:p>
        </w:tc>
        <w:tc>
          <w:tcPr>
            <w:tcW w:w="720" w:type="dxa"/>
          </w:tcPr>
          <w:p w:rsidR="00D46AA6" w:rsidRPr="004D522B" w:rsidRDefault="00D46AA6" w:rsidP="009D5584">
            <w:pPr>
              <w:spacing w:after="0" w:line="240" w:lineRule="auto"/>
              <w:rPr>
                <w:rFonts w:ascii="Calibri" w:eastAsia="Times New Roman" w:hAnsi="Calibri" w:cs="Times New Roman"/>
                <w:sz w:val="20"/>
                <w:szCs w:val="20"/>
              </w:rPr>
            </w:pPr>
            <w:r w:rsidRPr="004D522B">
              <w:rPr>
                <w:rFonts w:ascii="Calibri" w:eastAsia="Times New Roman" w:hAnsi="Calibri" w:cs="Times New Roman"/>
                <w:sz w:val="20"/>
                <w:szCs w:val="20"/>
              </w:rPr>
              <w:t>CPI</w:t>
            </w:r>
          </w:p>
        </w:tc>
        <w:tc>
          <w:tcPr>
            <w:tcW w:w="990" w:type="dxa"/>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38,109</w:t>
            </w:r>
          </w:p>
        </w:tc>
        <w:tc>
          <w:tcPr>
            <w:tcW w:w="810" w:type="dxa"/>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59.8</w:t>
            </w:r>
          </w:p>
        </w:tc>
        <w:tc>
          <w:tcPr>
            <w:tcW w:w="810" w:type="dxa"/>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60.1</w:t>
            </w:r>
          </w:p>
        </w:tc>
        <w:tc>
          <w:tcPr>
            <w:tcW w:w="810" w:type="dxa"/>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60.2</w:t>
            </w:r>
          </w:p>
        </w:tc>
        <w:tc>
          <w:tcPr>
            <w:tcW w:w="810" w:type="dxa"/>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59.7</w:t>
            </w:r>
          </w:p>
        </w:tc>
        <w:tc>
          <w:tcPr>
            <w:tcW w:w="936" w:type="dxa"/>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-0.1</w:t>
            </w:r>
          </w:p>
        </w:tc>
        <w:tc>
          <w:tcPr>
            <w:tcW w:w="882" w:type="dxa"/>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-0.5</w:t>
            </w:r>
          </w:p>
        </w:tc>
      </w:tr>
      <w:tr w:rsidR="00D46AA6" w:rsidRPr="004D522B" w:rsidTr="009D5584">
        <w:tc>
          <w:tcPr>
            <w:tcW w:w="1278" w:type="dxa"/>
            <w:vMerge/>
            <w:vAlign w:val="center"/>
          </w:tcPr>
          <w:p w:rsidR="00D46AA6" w:rsidRPr="004D522B" w:rsidRDefault="00D46AA6" w:rsidP="009D5584">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D46AA6" w:rsidRPr="004D522B" w:rsidRDefault="00D46AA6" w:rsidP="009D5584">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D46AA6" w:rsidRPr="004D522B" w:rsidRDefault="00D46AA6" w:rsidP="009D5584">
            <w:pPr>
              <w:spacing w:after="0" w:line="240" w:lineRule="auto"/>
              <w:rPr>
                <w:rFonts w:ascii="Calibri" w:eastAsia="Times New Roman" w:hAnsi="Calibri" w:cs="Times New Roman"/>
                <w:sz w:val="20"/>
                <w:szCs w:val="20"/>
              </w:rPr>
            </w:pPr>
            <w:r w:rsidRPr="004D522B">
              <w:rPr>
                <w:rFonts w:ascii="Calibri" w:eastAsia="Times New Roman" w:hAnsi="Calibri" w:cs="Times New Roman"/>
                <w:sz w:val="20"/>
                <w:szCs w:val="20"/>
              </w:rPr>
              <w:t>P+</w:t>
            </w:r>
          </w:p>
        </w:tc>
        <w:tc>
          <w:tcPr>
            <w:tcW w:w="990" w:type="dxa"/>
            <w:tcBorders>
              <w:bottom w:val="single" w:sz="4" w:space="0" w:color="auto"/>
            </w:tcBorders>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38,109</w:t>
            </w:r>
          </w:p>
        </w:tc>
        <w:tc>
          <w:tcPr>
            <w:tcW w:w="810" w:type="dxa"/>
            <w:tcBorders>
              <w:bottom w:val="single" w:sz="4" w:space="0" w:color="auto"/>
            </w:tcBorders>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20%</w:t>
            </w:r>
          </w:p>
        </w:tc>
        <w:tc>
          <w:tcPr>
            <w:tcW w:w="810" w:type="dxa"/>
            <w:tcBorders>
              <w:bottom w:val="single" w:sz="4" w:space="0" w:color="auto"/>
            </w:tcBorders>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22%</w:t>
            </w:r>
          </w:p>
        </w:tc>
        <w:tc>
          <w:tcPr>
            <w:tcW w:w="810" w:type="dxa"/>
            <w:tcBorders>
              <w:bottom w:val="single" w:sz="4" w:space="0" w:color="auto"/>
            </w:tcBorders>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22%</w:t>
            </w:r>
          </w:p>
        </w:tc>
        <w:tc>
          <w:tcPr>
            <w:tcW w:w="810" w:type="dxa"/>
            <w:tcBorders>
              <w:bottom w:val="single" w:sz="4" w:space="0" w:color="auto"/>
            </w:tcBorders>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21%</w:t>
            </w:r>
          </w:p>
        </w:tc>
        <w:tc>
          <w:tcPr>
            <w:tcW w:w="936" w:type="dxa"/>
            <w:tcBorders>
              <w:bottom w:val="single" w:sz="4" w:space="0" w:color="auto"/>
            </w:tcBorders>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1</w:t>
            </w:r>
          </w:p>
        </w:tc>
        <w:tc>
          <w:tcPr>
            <w:tcW w:w="882" w:type="dxa"/>
            <w:tcBorders>
              <w:bottom w:val="single" w:sz="4" w:space="0" w:color="auto"/>
            </w:tcBorders>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-1</w:t>
            </w:r>
          </w:p>
        </w:tc>
      </w:tr>
      <w:tr w:rsidR="00D46AA6" w:rsidRPr="004D522B" w:rsidTr="009D5584">
        <w:tc>
          <w:tcPr>
            <w:tcW w:w="1278" w:type="dxa"/>
            <w:vMerge w:val="restart"/>
            <w:vAlign w:val="center"/>
          </w:tcPr>
          <w:p w:rsidR="00D46AA6" w:rsidRPr="004D522B" w:rsidRDefault="00D46AA6" w:rsidP="009D5584">
            <w:pPr>
              <w:spacing w:after="0" w:line="240" w:lineRule="auto"/>
              <w:jc w:val="center"/>
              <w:rPr>
                <w:rFonts w:ascii="Calibri" w:eastAsia="Times New Roman" w:hAnsi="Calibri" w:cs="Times New Roman"/>
                <w:sz w:val="20"/>
                <w:szCs w:val="20"/>
              </w:rPr>
            </w:pPr>
            <w:r w:rsidRPr="004D522B">
              <w:rPr>
                <w:rFonts w:ascii="Calibri" w:eastAsia="Times New Roman" w:hAnsi="Calibri" w:cs="Times New Roman"/>
                <w:sz w:val="20"/>
                <w:szCs w:val="20"/>
              </w:rPr>
              <w:t>English language learners or Former ELLs</w:t>
            </w:r>
          </w:p>
        </w:tc>
        <w:tc>
          <w:tcPr>
            <w:tcW w:w="810" w:type="dxa"/>
            <w:vMerge w:val="restart"/>
            <w:shd w:val="clear" w:color="auto" w:fill="D9D9D9" w:themeFill="background1" w:themeFillShade="D9"/>
            <w:vAlign w:val="center"/>
          </w:tcPr>
          <w:p w:rsidR="00D46AA6" w:rsidRPr="004D522B" w:rsidRDefault="00D46AA6" w:rsidP="009D5584">
            <w:pPr>
              <w:spacing w:after="0" w:line="240" w:lineRule="auto"/>
              <w:jc w:val="center"/>
              <w:rPr>
                <w:rFonts w:ascii="Calibri" w:eastAsia="Times New Roman" w:hAnsi="Calibri" w:cs="Times New Roman"/>
                <w:sz w:val="20"/>
                <w:szCs w:val="20"/>
              </w:rPr>
            </w:pPr>
            <w:r w:rsidRPr="004D522B">
              <w:rPr>
                <w:rFonts w:ascii="Calibri" w:eastAsia="Times New Roman" w:hAnsi="Calibri" w:cs="Times New Roman"/>
                <w:sz w:val="20"/>
                <w:szCs w:val="20"/>
              </w:rPr>
              <w:t>District</w:t>
            </w:r>
          </w:p>
        </w:tc>
        <w:tc>
          <w:tcPr>
            <w:tcW w:w="720" w:type="dxa"/>
            <w:shd w:val="clear" w:color="auto" w:fill="D9D9D9" w:themeFill="background1" w:themeFillShade="D9"/>
          </w:tcPr>
          <w:p w:rsidR="00D46AA6" w:rsidRPr="004D522B" w:rsidRDefault="00D46AA6" w:rsidP="009D5584">
            <w:pPr>
              <w:spacing w:after="0" w:line="240" w:lineRule="auto"/>
              <w:rPr>
                <w:rFonts w:ascii="Calibri" w:eastAsia="Times New Roman" w:hAnsi="Calibri" w:cs="Times New Roman"/>
                <w:sz w:val="20"/>
                <w:szCs w:val="20"/>
              </w:rPr>
            </w:pPr>
            <w:r w:rsidRPr="004D522B">
              <w:rPr>
                <w:rFonts w:ascii="Calibri" w:eastAsia="Times New Roman" w:hAnsi="Calibri" w:cs="Times New Roman"/>
                <w:sz w:val="20"/>
                <w:szCs w:val="20"/>
              </w:rPr>
              <w:t>CPI</w:t>
            </w:r>
          </w:p>
        </w:tc>
        <w:tc>
          <w:tcPr>
            <w:tcW w:w="990"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1,771</w:t>
            </w:r>
          </w:p>
        </w:tc>
        <w:tc>
          <w:tcPr>
            <w:tcW w:w="810"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54.1</w:t>
            </w:r>
          </w:p>
        </w:tc>
        <w:tc>
          <w:tcPr>
            <w:tcW w:w="810"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54.4</w:t>
            </w:r>
          </w:p>
        </w:tc>
        <w:tc>
          <w:tcPr>
            <w:tcW w:w="810"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53.4</w:t>
            </w:r>
          </w:p>
        </w:tc>
        <w:tc>
          <w:tcPr>
            <w:tcW w:w="810"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53.8</w:t>
            </w:r>
          </w:p>
        </w:tc>
        <w:tc>
          <w:tcPr>
            <w:tcW w:w="936"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-0.3</w:t>
            </w:r>
          </w:p>
        </w:tc>
        <w:tc>
          <w:tcPr>
            <w:tcW w:w="882"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0.4</w:t>
            </w:r>
          </w:p>
        </w:tc>
      </w:tr>
      <w:tr w:rsidR="00D46AA6" w:rsidRPr="004D522B" w:rsidTr="009D5584">
        <w:tc>
          <w:tcPr>
            <w:tcW w:w="1278" w:type="dxa"/>
            <w:vMerge/>
            <w:vAlign w:val="center"/>
          </w:tcPr>
          <w:p w:rsidR="00D46AA6" w:rsidRPr="004D522B" w:rsidRDefault="00D46AA6" w:rsidP="009D5584">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D46AA6" w:rsidRPr="004D522B" w:rsidRDefault="00D46AA6" w:rsidP="009D5584">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D46AA6" w:rsidRPr="004D522B" w:rsidRDefault="00D46AA6" w:rsidP="009D5584">
            <w:pPr>
              <w:spacing w:after="0" w:line="240" w:lineRule="auto"/>
              <w:rPr>
                <w:rFonts w:ascii="Calibri" w:eastAsia="Times New Roman" w:hAnsi="Calibri" w:cs="Times New Roman"/>
                <w:sz w:val="20"/>
                <w:szCs w:val="20"/>
              </w:rPr>
            </w:pPr>
            <w:r w:rsidRPr="004D522B">
              <w:rPr>
                <w:rFonts w:ascii="Calibri" w:eastAsia="Times New Roman" w:hAnsi="Calibri" w:cs="Times New Roman"/>
                <w:sz w:val="20"/>
                <w:szCs w:val="20"/>
              </w:rPr>
              <w:t>P+</w:t>
            </w:r>
          </w:p>
        </w:tc>
        <w:tc>
          <w:tcPr>
            <w:tcW w:w="990"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1,771</w:t>
            </w:r>
          </w:p>
        </w:tc>
        <w:tc>
          <w:tcPr>
            <w:tcW w:w="810"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19%</w:t>
            </w:r>
          </w:p>
        </w:tc>
        <w:tc>
          <w:tcPr>
            <w:tcW w:w="810"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18%</w:t>
            </w:r>
          </w:p>
        </w:tc>
        <w:tc>
          <w:tcPr>
            <w:tcW w:w="810"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17%</w:t>
            </w:r>
          </w:p>
        </w:tc>
        <w:tc>
          <w:tcPr>
            <w:tcW w:w="810"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18%</w:t>
            </w:r>
          </w:p>
        </w:tc>
        <w:tc>
          <w:tcPr>
            <w:tcW w:w="936"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-1</w:t>
            </w:r>
          </w:p>
        </w:tc>
        <w:tc>
          <w:tcPr>
            <w:tcW w:w="882"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1</w:t>
            </w:r>
          </w:p>
        </w:tc>
      </w:tr>
      <w:tr w:rsidR="00D46AA6" w:rsidRPr="004D522B" w:rsidTr="009D5584">
        <w:tc>
          <w:tcPr>
            <w:tcW w:w="1278" w:type="dxa"/>
            <w:vMerge/>
            <w:vAlign w:val="center"/>
          </w:tcPr>
          <w:p w:rsidR="00D46AA6" w:rsidRPr="004D522B" w:rsidRDefault="00D46AA6" w:rsidP="009D5584">
            <w:pPr>
              <w:spacing w:after="0" w:line="240" w:lineRule="auto"/>
              <w:jc w:val="center"/>
              <w:rPr>
                <w:rFonts w:ascii="Calibri" w:eastAsia="Times New Roman" w:hAnsi="Calibri" w:cs="Times New Roman"/>
                <w:sz w:val="20"/>
                <w:szCs w:val="20"/>
              </w:rPr>
            </w:pPr>
          </w:p>
        </w:tc>
        <w:tc>
          <w:tcPr>
            <w:tcW w:w="810" w:type="dxa"/>
            <w:vMerge w:val="restart"/>
            <w:vAlign w:val="center"/>
          </w:tcPr>
          <w:p w:rsidR="00D46AA6" w:rsidRPr="004D522B" w:rsidRDefault="00D46AA6" w:rsidP="009D5584">
            <w:pPr>
              <w:spacing w:after="0" w:line="240" w:lineRule="auto"/>
              <w:jc w:val="center"/>
              <w:rPr>
                <w:rFonts w:ascii="Calibri" w:eastAsia="Times New Roman" w:hAnsi="Calibri" w:cs="Times New Roman"/>
                <w:sz w:val="20"/>
                <w:szCs w:val="20"/>
              </w:rPr>
            </w:pPr>
            <w:r w:rsidRPr="004D522B">
              <w:rPr>
                <w:rFonts w:ascii="Calibri" w:eastAsia="Times New Roman" w:hAnsi="Calibri" w:cs="Times New Roman"/>
                <w:sz w:val="20"/>
                <w:szCs w:val="20"/>
              </w:rPr>
              <w:t>State</w:t>
            </w:r>
          </w:p>
        </w:tc>
        <w:tc>
          <w:tcPr>
            <w:tcW w:w="720" w:type="dxa"/>
          </w:tcPr>
          <w:p w:rsidR="00D46AA6" w:rsidRPr="004D522B" w:rsidRDefault="00D46AA6" w:rsidP="009D5584">
            <w:pPr>
              <w:spacing w:after="0" w:line="240" w:lineRule="auto"/>
              <w:rPr>
                <w:rFonts w:ascii="Calibri" w:eastAsia="Times New Roman" w:hAnsi="Calibri" w:cs="Times New Roman"/>
                <w:sz w:val="20"/>
                <w:szCs w:val="20"/>
              </w:rPr>
            </w:pPr>
            <w:r w:rsidRPr="004D522B">
              <w:rPr>
                <w:rFonts w:ascii="Calibri" w:eastAsia="Times New Roman" w:hAnsi="Calibri" w:cs="Times New Roman"/>
                <w:sz w:val="20"/>
                <w:szCs w:val="20"/>
              </w:rPr>
              <w:t>CPI</w:t>
            </w:r>
          </w:p>
        </w:tc>
        <w:tc>
          <w:tcPr>
            <w:tcW w:w="990" w:type="dxa"/>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18,594</w:t>
            </w:r>
          </w:p>
        </w:tc>
        <w:tc>
          <w:tcPr>
            <w:tcW w:w="810" w:type="dxa"/>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54</w:t>
            </w:r>
          </w:p>
        </w:tc>
        <w:tc>
          <w:tcPr>
            <w:tcW w:w="810" w:type="dxa"/>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54</w:t>
            </w:r>
          </w:p>
        </w:tc>
        <w:tc>
          <w:tcPr>
            <w:tcW w:w="810" w:type="dxa"/>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53.9</w:t>
            </w:r>
          </w:p>
        </w:tc>
        <w:tc>
          <w:tcPr>
            <w:tcW w:w="810" w:type="dxa"/>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54.1</w:t>
            </w:r>
          </w:p>
        </w:tc>
        <w:tc>
          <w:tcPr>
            <w:tcW w:w="936" w:type="dxa"/>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0.1</w:t>
            </w:r>
          </w:p>
        </w:tc>
        <w:tc>
          <w:tcPr>
            <w:tcW w:w="882" w:type="dxa"/>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0.2</w:t>
            </w:r>
          </w:p>
        </w:tc>
      </w:tr>
      <w:tr w:rsidR="00D46AA6" w:rsidRPr="004D522B" w:rsidTr="009D5584">
        <w:tc>
          <w:tcPr>
            <w:tcW w:w="1278" w:type="dxa"/>
            <w:vMerge/>
            <w:vAlign w:val="center"/>
          </w:tcPr>
          <w:p w:rsidR="00D46AA6" w:rsidRPr="004D522B" w:rsidRDefault="00D46AA6" w:rsidP="009D5584">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tcPr>
          <w:p w:rsidR="00D46AA6" w:rsidRPr="004D522B" w:rsidRDefault="00D46AA6" w:rsidP="009D5584">
            <w:pPr>
              <w:spacing w:after="0" w:line="240" w:lineRule="auto"/>
              <w:rPr>
                <w:rFonts w:ascii="Calibri" w:eastAsia="Times New Roman" w:hAnsi="Calibri" w:cs="Times New Roman"/>
                <w:sz w:val="20"/>
                <w:szCs w:val="20"/>
              </w:rPr>
            </w:pPr>
          </w:p>
        </w:tc>
        <w:tc>
          <w:tcPr>
            <w:tcW w:w="720" w:type="dxa"/>
            <w:tcBorders>
              <w:bottom w:val="single" w:sz="4" w:space="0" w:color="auto"/>
            </w:tcBorders>
          </w:tcPr>
          <w:p w:rsidR="00D46AA6" w:rsidRPr="004D522B" w:rsidRDefault="00D46AA6" w:rsidP="009D5584">
            <w:pPr>
              <w:spacing w:after="0" w:line="240" w:lineRule="auto"/>
              <w:rPr>
                <w:rFonts w:ascii="Calibri" w:eastAsia="Times New Roman" w:hAnsi="Calibri" w:cs="Times New Roman"/>
                <w:sz w:val="20"/>
                <w:szCs w:val="20"/>
              </w:rPr>
            </w:pPr>
            <w:r w:rsidRPr="004D522B">
              <w:rPr>
                <w:rFonts w:ascii="Calibri" w:eastAsia="Times New Roman" w:hAnsi="Calibri" w:cs="Times New Roman"/>
                <w:sz w:val="20"/>
                <w:szCs w:val="20"/>
              </w:rPr>
              <w:t>P+</w:t>
            </w:r>
          </w:p>
        </w:tc>
        <w:tc>
          <w:tcPr>
            <w:tcW w:w="990" w:type="dxa"/>
            <w:tcBorders>
              <w:bottom w:val="single" w:sz="4" w:space="0" w:color="auto"/>
            </w:tcBorders>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18,594</w:t>
            </w:r>
          </w:p>
        </w:tc>
        <w:tc>
          <w:tcPr>
            <w:tcW w:w="810" w:type="dxa"/>
            <w:tcBorders>
              <w:bottom w:val="single" w:sz="4" w:space="0" w:color="auto"/>
            </w:tcBorders>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19%</w:t>
            </w:r>
          </w:p>
        </w:tc>
        <w:tc>
          <w:tcPr>
            <w:tcW w:w="810" w:type="dxa"/>
            <w:tcBorders>
              <w:bottom w:val="single" w:sz="4" w:space="0" w:color="auto"/>
            </w:tcBorders>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18%</w:t>
            </w:r>
          </w:p>
        </w:tc>
        <w:tc>
          <w:tcPr>
            <w:tcW w:w="810" w:type="dxa"/>
            <w:tcBorders>
              <w:bottom w:val="single" w:sz="4" w:space="0" w:color="auto"/>
            </w:tcBorders>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18%</w:t>
            </w:r>
          </w:p>
        </w:tc>
        <w:tc>
          <w:tcPr>
            <w:tcW w:w="810" w:type="dxa"/>
            <w:tcBorders>
              <w:bottom w:val="single" w:sz="4" w:space="0" w:color="auto"/>
            </w:tcBorders>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19%</w:t>
            </w:r>
          </w:p>
        </w:tc>
        <w:tc>
          <w:tcPr>
            <w:tcW w:w="936" w:type="dxa"/>
            <w:tcBorders>
              <w:bottom w:val="single" w:sz="4" w:space="0" w:color="auto"/>
            </w:tcBorders>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0</w:t>
            </w:r>
          </w:p>
        </w:tc>
        <w:tc>
          <w:tcPr>
            <w:tcW w:w="882" w:type="dxa"/>
            <w:tcBorders>
              <w:bottom w:val="single" w:sz="4" w:space="0" w:color="auto"/>
            </w:tcBorders>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1</w:t>
            </w:r>
          </w:p>
        </w:tc>
      </w:tr>
      <w:tr w:rsidR="00D46AA6" w:rsidRPr="004D522B" w:rsidTr="009D5584">
        <w:tc>
          <w:tcPr>
            <w:tcW w:w="1278" w:type="dxa"/>
            <w:vMerge w:val="restart"/>
            <w:vAlign w:val="center"/>
          </w:tcPr>
          <w:p w:rsidR="00D46AA6" w:rsidRPr="004D522B" w:rsidRDefault="00D46AA6" w:rsidP="009D5584">
            <w:pPr>
              <w:spacing w:after="0" w:line="240" w:lineRule="auto"/>
              <w:jc w:val="center"/>
              <w:rPr>
                <w:rFonts w:ascii="Calibri" w:eastAsia="Times New Roman" w:hAnsi="Calibri" w:cs="Times New Roman"/>
                <w:sz w:val="20"/>
                <w:szCs w:val="20"/>
              </w:rPr>
            </w:pPr>
            <w:r w:rsidRPr="004D522B">
              <w:rPr>
                <w:rFonts w:ascii="Calibri" w:eastAsia="Times New Roman" w:hAnsi="Calibri" w:cs="Times New Roman"/>
                <w:sz w:val="20"/>
                <w:szCs w:val="20"/>
              </w:rPr>
              <w:t>All students</w:t>
            </w:r>
          </w:p>
        </w:tc>
        <w:tc>
          <w:tcPr>
            <w:tcW w:w="810" w:type="dxa"/>
            <w:vMerge w:val="restart"/>
            <w:shd w:val="clear" w:color="auto" w:fill="D9D9D9" w:themeFill="background1" w:themeFillShade="D9"/>
            <w:vAlign w:val="center"/>
          </w:tcPr>
          <w:p w:rsidR="00D46AA6" w:rsidRPr="004D522B" w:rsidRDefault="00D46AA6" w:rsidP="009D5584">
            <w:pPr>
              <w:spacing w:after="0" w:line="240" w:lineRule="auto"/>
              <w:jc w:val="center"/>
              <w:rPr>
                <w:rFonts w:ascii="Calibri" w:eastAsia="Times New Roman" w:hAnsi="Calibri" w:cs="Times New Roman"/>
                <w:sz w:val="20"/>
                <w:szCs w:val="20"/>
              </w:rPr>
            </w:pPr>
            <w:r w:rsidRPr="004D522B">
              <w:rPr>
                <w:rFonts w:ascii="Calibri" w:eastAsia="Times New Roman" w:hAnsi="Calibri" w:cs="Times New Roman"/>
                <w:sz w:val="20"/>
                <w:szCs w:val="20"/>
              </w:rPr>
              <w:t>District</w:t>
            </w:r>
          </w:p>
        </w:tc>
        <w:tc>
          <w:tcPr>
            <w:tcW w:w="720" w:type="dxa"/>
            <w:shd w:val="clear" w:color="auto" w:fill="D9D9D9" w:themeFill="background1" w:themeFillShade="D9"/>
          </w:tcPr>
          <w:p w:rsidR="00D46AA6" w:rsidRPr="004D522B" w:rsidRDefault="00D46AA6" w:rsidP="009D5584">
            <w:pPr>
              <w:spacing w:after="0" w:line="240" w:lineRule="auto"/>
              <w:rPr>
                <w:rFonts w:ascii="Calibri" w:eastAsia="Times New Roman" w:hAnsi="Calibri" w:cs="Times New Roman"/>
                <w:sz w:val="20"/>
                <w:szCs w:val="20"/>
              </w:rPr>
            </w:pPr>
            <w:r w:rsidRPr="004D522B">
              <w:rPr>
                <w:rFonts w:ascii="Calibri" w:eastAsia="Times New Roman" w:hAnsi="Calibri" w:cs="Times New Roman"/>
                <w:sz w:val="20"/>
                <w:szCs w:val="20"/>
              </w:rPr>
              <w:t>CPI</w:t>
            </w:r>
          </w:p>
        </w:tc>
        <w:tc>
          <w:tcPr>
            <w:tcW w:w="990"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5,053</w:t>
            </w:r>
          </w:p>
        </w:tc>
        <w:tc>
          <w:tcPr>
            <w:tcW w:w="810"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64.8</w:t>
            </w:r>
          </w:p>
        </w:tc>
        <w:tc>
          <w:tcPr>
            <w:tcW w:w="810"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66.4</w:t>
            </w:r>
          </w:p>
        </w:tc>
        <w:tc>
          <w:tcPr>
            <w:tcW w:w="810"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66</w:t>
            </w:r>
          </w:p>
        </w:tc>
        <w:tc>
          <w:tcPr>
            <w:tcW w:w="810"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66</w:t>
            </w:r>
          </w:p>
        </w:tc>
        <w:tc>
          <w:tcPr>
            <w:tcW w:w="936"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1.2</w:t>
            </w:r>
          </w:p>
        </w:tc>
        <w:tc>
          <w:tcPr>
            <w:tcW w:w="882"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0.0</w:t>
            </w:r>
          </w:p>
        </w:tc>
      </w:tr>
      <w:tr w:rsidR="00D46AA6" w:rsidRPr="004D522B" w:rsidTr="009D5584">
        <w:tc>
          <w:tcPr>
            <w:tcW w:w="1278" w:type="dxa"/>
            <w:vMerge/>
          </w:tcPr>
          <w:p w:rsidR="00D46AA6" w:rsidRPr="004D522B" w:rsidRDefault="00D46AA6" w:rsidP="009D5584">
            <w:pPr>
              <w:spacing w:after="0" w:line="240" w:lineRule="auto"/>
              <w:rPr>
                <w:rFonts w:ascii="Calibri" w:eastAsia="Times New Roman" w:hAnsi="Calibri" w:cs="Times New Roman"/>
                <w:sz w:val="20"/>
                <w:szCs w:val="20"/>
              </w:rPr>
            </w:pPr>
          </w:p>
        </w:tc>
        <w:tc>
          <w:tcPr>
            <w:tcW w:w="810" w:type="dxa"/>
            <w:vMerge/>
            <w:shd w:val="clear" w:color="auto" w:fill="D9D9D9" w:themeFill="background1" w:themeFillShade="D9"/>
            <w:vAlign w:val="center"/>
          </w:tcPr>
          <w:p w:rsidR="00D46AA6" w:rsidRPr="004D522B" w:rsidRDefault="00D46AA6" w:rsidP="009D5584">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D46AA6" w:rsidRPr="004D522B" w:rsidRDefault="00D46AA6" w:rsidP="009D5584">
            <w:pPr>
              <w:spacing w:after="0" w:line="240" w:lineRule="auto"/>
              <w:rPr>
                <w:rFonts w:ascii="Calibri" w:eastAsia="Times New Roman" w:hAnsi="Calibri" w:cs="Times New Roman"/>
                <w:sz w:val="20"/>
                <w:szCs w:val="20"/>
              </w:rPr>
            </w:pPr>
            <w:r w:rsidRPr="004D522B">
              <w:rPr>
                <w:rFonts w:ascii="Calibri" w:eastAsia="Times New Roman" w:hAnsi="Calibri" w:cs="Times New Roman"/>
                <w:sz w:val="20"/>
                <w:szCs w:val="20"/>
              </w:rPr>
              <w:t>P+</w:t>
            </w:r>
          </w:p>
        </w:tc>
        <w:tc>
          <w:tcPr>
            <w:tcW w:w="990"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5,053</w:t>
            </w:r>
          </w:p>
        </w:tc>
        <w:tc>
          <w:tcPr>
            <w:tcW w:w="810"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32%</w:t>
            </w:r>
          </w:p>
        </w:tc>
        <w:tc>
          <w:tcPr>
            <w:tcW w:w="810"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34%</w:t>
            </w:r>
          </w:p>
        </w:tc>
        <w:tc>
          <w:tcPr>
            <w:tcW w:w="810"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33%</w:t>
            </w:r>
          </w:p>
        </w:tc>
        <w:tc>
          <w:tcPr>
            <w:tcW w:w="810"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33%</w:t>
            </w:r>
          </w:p>
        </w:tc>
        <w:tc>
          <w:tcPr>
            <w:tcW w:w="936"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1</w:t>
            </w:r>
          </w:p>
        </w:tc>
        <w:tc>
          <w:tcPr>
            <w:tcW w:w="882" w:type="dxa"/>
            <w:shd w:val="clear" w:color="auto" w:fill="D9D9D9" w:themeFill="background1" w:themeFillShade="D9"/>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0</w:t>
            </w:r>
          </w:p>
        </w:tc>
      </w:tr>
      <w:tr w:rsidR="00D46AA6" w:rsidRPr="004D522B" w:rsidTr="009D5584">
        <w:tc>
          <w:tcPr>
            <w:tcW w:w="1278" w:type="dxa"/>
            <w:vMerge/>
          </w:tcPr>
          <w:p w:rsidR="00D46AA6" w:rsidRPr="004D522B" w:rsidRDefault="00D46AA6" w:rsidP="009D5584">
            <w:pPr>
              <w:spacing w:after="0" w:line="240" w:lineRule="auto"/>
              <w:rPr>
                <w:rFonts w:ascii="Calibri" w:eastAsia="Times New Roman" w:hAnsi="Calibri" w:cs="Times New Roman"/>
                <w:sz w:val="20"/>
                <w:szCs w:val="20"/>
              </w:rPr>
            </w:pPr>
          </w:p>
        </w:tc>
        <w:tc>
          <w:tcPr>
            <w:tcW w:w="810" w:type="dxa"/>
            <w:vMerge w:val="restart"/>
            <w:vAlign w:val="center"/>
          </w:tcPr>
          <w:p w:rsidR="00D46AA6" w:rsidRPr="004D522B" w:rsidRDefault="00D46AA6" w:rsidP="009D5584">
            <w:pPr>
              <w:spacing w:after="0" w:line="240" w:lineRule="auto"/>
              <w:jc w:val="center"/>
              <w:rPr>
                <w:rFonts w:ascii="Calibri" w:eastAsia="Times New Roman" w:hAnsi="Calibri" w:cs="Times New Roman"/>
                <w:sz w:val="20"/>
                <w:szCs w:val="20"/>
              </w:rPr>
            </w:pPr>
            <w:r w:rsidRPr="004D522B">
              <w:rPr>
                <w:rFonts w:ascii="Calibri" w:eastAsia="Times New Roman" w:hAnsi="Calibri" w:cs="Times New Roman"/>
                <w:sz w:val="20"/>
                <w:szCs w:val="20"/>
              </w:rPr>
              <w:t>State</w:t>
            </w:r>
          </w:p>
        </w:tc>
        <w:tc>
          <w:tcPr>
            <w:tcW w:w="720" w:type="dxa"/>
          </w:tcPr>
          <w:p w:rsidR="00D46AA6" w:rsidRPr="004D522B" w:rsidRDefault="00D46AA6" w:rsidP="009D5584">
            <w:pPr>
              <w:spacing w:after="0" w:line="240" w:lineRule="auto"/>
              <w:rPr>
                <w:rFonts w:ascii="Calibri" w:eastAsia="Times New Roman" w:hAnsi="Calibri" w:cs="Times New Roman"/>
                <w:sz w:val="20"/>
                <w:szCs w:val="20"/>
              </w:rPr>
            </w:pPr>
            <w:r w:rsidRPr="004D522B">
              <w:rPr>
                <w:rFonts w:ascii="Calibri" w:eastAsia="Times New Roman" w:hAnsi="Calibri" w:cs="Times New Roman"/>
                <w:sz w:val="20"/>
                <w:szCs w:val="20"/>
              </w:rPr>
              <w:t>CPI</w:t>
            </w:r>
          </w:p>
        </w:tc>
        <w:tc>
          <w:tcPr>
            <w:tcW w:w="990" w:type="dxa"/>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208,262</w:t>
            </w:r>
          </w:p>
        </w:tc>
        <w:tc>
          <w:tcPr>
            <w:tcW w:w="810" w:type="dxa"/>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79</w:t>
            </w:r>
          </w:p>
        </w:tc>
        <w:tc>
          <w:tcPr>
            <w:tcW w:w="810" w:type="dxa"/>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79.6</w:t>
            </w:r>
          </w:p>
        </w:tc>
        <w:tc>
          <w:tcPr>
            <w:tcW w:w="810" w:type="dxa"/>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79.4</w:t>
            </w:r>
          </w:p>
        </w:tc>
        <w:tc>
          <w:tcPr>
            <w:tcW w:w="810" w:type="dxa"/>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78.7</w:t>
            </w:r>
          </w:p>
        </w:tc>
        <w:tc>
          <w:tcPr>
            <w:tcW w:w="936" w:type="dxa"/>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-0.3</w:t>
            </w:r>
          </w:p>
        </w:tc>
        <w:tc>
          <w:tcPr>
            <w:tcW w:w="882" w:type="dxa"/>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-0.7</w:t>
            </w:r>
          </w:p>
        </w:tc>
      </w:tr>
      <w:tr w:rsidR="00D46AA6" w:rsidRPr="004D522B" w:rsidTr="009D5584">
        <w:tc>
          <w:tcPr>
            <w:tcW w:w="1278" w:type="dxa"/>
            <w:vMerge/>
            <w:tcBorders>
              <w:bottom w:val="single" w:sz="4" w:space="0" w:color="auto"/>
            </w:tcBorders>
          </w:tcPr>
          <w:p w:rsidR="00D46AA6" w:rsidRPr="004D522B" w:rsidRDefault="00D46AA6" w:rsidP="009D5584">
            <w:pPr>
              <w:spacing w:after="0" w:line="240" w:lineRule="auto"/>
              <w:rPr>
                <w:rFonts w:ascii="Calibri" w:eastAsia="Times New Roman" w:hAnsi="Calibri" w:cs="Times New Roman"/>
                <w:sz w:val="20"/>
                <w:szCs w:val="20"/>
              </w:rPr>
            </w:pPr>
          </w:p>
        </w:tc>
        <w:tc>
          <w:tcPr>
            <w:tcW w:w="810" w:type="dxa"/>
            <w:vMerge/>
            <w:tcBorders>
              <w:bottom w:val="single" w:sz="4" w:space="0" w:color="auto"/>
            </w:tcBorders>
          </w:tcPr>
          <w:p w:rsidR="00D46AA6" w:rsidRPr="004D522B" w:rsidRDefault="00D46AA6" w:rsidP="009D5584">
            <w:pPr>
              <w:spacing w:after="0" w:line="240" w:lineRule="auto"/>
              <w:rPr>
                <w:rFonts w:ascii="Calibri" w:eastAsia="Times New Roman" w:hAnsi="Calibri" w:cs="Times New Roman"/>
                <w:sz w:val="20"/>
                <w:szCs w:val="20"/>
              </w:rPr>
            </w:pPr>
          </w:p>
        </w:tc>
        <w:tc>
          <w:tcPr>
            <w:tcW w:w="720" w:type="dxa"/>
            <w:tcBorders>
              <w:bottom w:val="single" w:sz="4" w:space="0" w:color="auto"/>
            </w:tcBorders>
          </w:tcPr>
          <w:p w:rsidR="00D46AA6" w:rsidRPr="004D522B" w:rsidRDefault="00D46AA6" w:rsidP="009D5584">
            <w:pPr>
              <w:spacing w:after="0" w:line="240" w:lineRule="auto"/>
              <w:rPr>
                <w:rFonts w:ascii="Calibri" w:eastAsia="Times New Roman" w:hAnsi="Calibri" w:cs="Times New Roman"/>
                <w:sz w:val="20"/>
                <w:szCs w:val="20"/>
              </w:rPr>
            </w:pPr>
            <w:r w:rsidRPr="004D522B">
              <w:rPr>
                <w:rFonts w:ascii="Calibri" w:eastAsia="Times New Roman" w:hAnsi="Calibri" w:cs="Times New Roman"/>
                <w:sz w:val="20"/>
                <w:szCs w:val="20"/>
              </w:rPr>
              <w:t>P+</w:t>
            </w:r>
          </w:p>
        </w:tc>
        <w:tc>
          <w:tcPr>
            <w:tcW w:w="990" w:type="dxa"/>
            <w:tcBorders>
              <w:bottom w:val="single" w:sz="4" w:space="0" w:color="auto"/>
            </w:tcBorders>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208,262</w:t>
            </w:r>
          </w:p>
        </w:tc>
        <w:tc>
          <w:tcPr>
            <w:tcW w:w="810" w:type="dxa"/>
            <w:tcBorders>
              <w:bottom w:val="single" w:sz="4" w:space="0" w:color="auto"/>
            </w:tcBorders>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53%</w:t>
            </w:r>
          </w:p>
        </w:tc>
        <w:tc>
          <w:tcPr>
            <w:tcW w:w="810" w:type="dxa"/>
            <w:tcBorders>
              <w:bottom w:val="single" w:sz="4" w:space="0" w:color="auto"/>
            </w:tcBorders>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55%</w:t>
            </w:r>
          </w:p>
        </w:tc>
        <w:tc>
          <w:tcPr>
            <w:tcW w:w="810" w:type="dxa"/>
            <w:tcBorders>
              <w:bottom w:val="single" w:sz="4" w:space="0" w:color="auto"/>
            </w:tcBorders>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54%</w:t>
            </w:r>
          </w:p>
        </w:tc>
        <w:tc>
          <w:tcPr>
            <w:tcW w:w="810" w:type="dxa"/>
            <w:tcBorders>
              <w:bottom w:val="single" w:sz="4" w:space="0" w:color="auto"/>
            </w:tcBorders>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54%</w:t>
            </w:r>
          </w:p>
        </w:tc>
        <w:tc>
          <w:tcPr>
            <w:tcW w:w="936" w:type="dxa"/>
            <w:tcBorders>
              <w:bottom w:val="single" w:sz="4" w:space="0" w:color="auto"/>
            </w:tcBorders>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1</w:t>
            </w:r>
          </w:p>
        </w:tc>
        <w:tc>
          <w:tcPr>
            <w:tcW w:w="882" w:type="dxa"/>
            <w:tcBorders>
              <w:bottom w:val="single" w:sz="4" w:space="0" w:color="auto"/>
            </w:tcBorders>
            <w:vAlign w:val="bottom"/>
          </w:tcPr>
          <w:p w:rsidR="00D46AA6" w:rsidRPr="004D522B" w:rsidRDefault="00D46AA6" w:rsidP="009D5584">
            <w:pPr>
              <w:spacing w:after="0" w:line="240" w:lineRule="auto"/>
              <w:jc w:val="center"/>
              <w:rPr>
                <w:rFonts w:ascii="Calibri" w:hAnsi="Calibri"/>
                <w:sz w:val="20"/>
                <w:szCs w:val="20"/>
              </w:rPr>
            </w:pPr>
            <w:r w:rsidRPr="004D522B">
              <w:rPr>
                <w:rFonts w:ascii="Calibri" w:hAnsi="Calibri"/>
                <w:sz w:val="20"/>
                <w:szCs w:val="20"/>
              </w:rPr>
              <w:t>0</w:t>
            </w:r>
          </w:p>
        </w:tc>
      </w:tr>
      <w:tr w:rsidR="00D46AA6" w:rsidRPr="004D522B" w:rsidTr="009D5584">
        <w:tc>
          <w:tcPr>
            <w:tcW w:w="8856" w:type="dxa"/>
            <w:gridSpan w:val="10"/>
            <w:tcBorders>
              <w:left w:val="nil"/>
              <w:bottom w:val="nil"/>
              <w:right w:val="nil"/>
            </w:tcBorders>
          </w:tcPr>
          <w:p w:rsidR="00D46AA6" w:rsidRPr="004D522B" w:rsidRDefault="00D46AA6" w:rsidP="009D5584">
            <w:pPr>
              <w:spacing w:after="0" w:line="240" w:lineRule="auto"/>
              <w:rPr>
                <w:rFonts w:ascii="Calibri" w:eastAsia="Times New Roman" w:hAnsi="Calibri" w:cs="Times New Roman"/>
                <w:sz w:val="20"/>
                <w:szCs w:val="20"/>
              </w:rPr>
            </w:pPr>
            <w:r w:rsidRPr="004D522B">
              <w:rPr>
                <w:rFonts w:ascii="Calibri" w:eastAsia="Times New Roman" w:hAnsi="Calibri" w:cs="Times New Roman"/>
                <w:bCs/>
                <w:kern w:val="28"/>
                <w:sz w:val="20"/>
                <w:szCs w:val="20"/>
              </w:rPr>
              <w:t>Notes: Median SGPs are not calculated for Science and Technology/ Engineering (STE). State figures are provided for comparison purposes only and do not represent the standard that a particular group is expected to meet.</w:t>
            </w:r>
          </w:p>
        </w:tc>
      </w:tr>
    </w:tbl>
    <w:p w:rsidR="002F1EBE" w:rsidRPr="00F04EDB" w:rsidRDefault="002F1EBE" w:rsidP="002F1EBE">
      <w:pPr>
        <w:spacing w:after="0" w:line="240" w:lineRule="auto"/>
        <w:rPr>
          <w:rFonts w:eastAsia="Times New Roman" w:cs="Times New Roman"/>
        </w:rPr>
      </w:pPr>
      <w:r w:rsidRPr="00F04EDB">
        <w:rPr>
          <w:rFonts w:eastAsia="Times New Roman" w:cs="Times New Roman"/>
        </w:rPr>
        <w:br w:type="page"/>
      </w:r>
    </w:p>
    <w:p w:rsidR="007454C4" w:rsidRPr="00330665" w:rsidRDefault="007454C4" w:rsidP="007454C4">
      <w:pPr>
        <w:spacing w:after="0"/>
        <w:jc w:val="center"/>
        <w:rPr>
          <w:rFonts w:ascii="Calibri" w:eastAsia="Calibri" w:hAnsi="Calibri" w:cs="Times New Roman"/>
          <w:b/>
          <w:sz w:val="20"/>
        </w:rPr>
      </w:pPr>
      <w:r w:rsidRPr="00330665">
        <w:rPr>
          <w:rFonts w:ascii="Calibri" w:eastAsia="Calibri" w:hAnsi="Calibri" w:cs="Times New Roman"/>
          <w:b/>
          <w:sz w:val="20"/>
        </w:rPr>
        <w:t xml:space="preserve">Table </w:t>
      </w:r>
      <w:r w:rsidR="002F368B" w:rsidRPr="00330665">
        <w:rPr>
          <w:rFonts w:ascii="Calibri" w:eastAsia="Calibri" w:hAnsi="Calibri" w:cs="Times New Roman"/>
          <w:b/>
          <w:sz w:val="20"/>
        </w:rPr>
        <w:t>B</w:t>
      </w:r>
      <w:r w:rsidR="00923109">
        <w:rPr>
          <w:rFonts w:ascii="Calibri" w:eastAsia="Calibri" w:hAnsi="Calibri" w:cs="Times New Roman"/>
          <w:b/>
          <w:sz w:val="20"/>
        </w:rPr>
        <w:t>8</w:t>
      </w:r>
      <w:r w:rsidRPr="00330665">
        <w:rPr>
          <w:rFonts w:ascii="Calibri" w:eastAsia="Calibri" w:hAnsi="Calibri" w:cs="Times New Roman"/>
          <w:b/>
          <w:sz w:val="20"/>
        </w:rPr>
        <w:t>: Worcester Public Schools</w:t>
      </w:r>
    </w:p>
    <w:p w:rsidR="007454C4" w:rsidRPr="00330665" w:rsidRDefault="007454C4" w:rsidP="007454C4">
      <w:pPr>
        <w:spacing w:after="0" w:line="240" w:lineRule="auto"/>
        <w:jc w:val="center"/>
        <w:rPr>
          <w:rFonts w:ascii="Times New Roman" w:eastAsia="Times New Roman" w:hAnsi="Times New Roman" w:cs="Times New Roman"/>
          <w:kern w:val="28"/>
          <w:sz w:val="24"/>
          <w:szCs w:val="24"/>
        </w:rPr>
      </w:pPr>
      <w:r w:rsidRPr="00330665">
        <w:rPr>
          <w:rFonts w:ascii="Calibri" w:eastAsia="Calibri" w:hAnsi="Calibri" w:cs="Times New Roman"/>
          <w:b/>
          <w:sz w:val="20"/>
        </w:rPr>
        <w:t>Annual Grade 9-12 Drop-Out Rates, 2013–2016</w:t>
      </w:r>
    </w:p>
    <w:tbl>
      <w:tblPr>
        <w:tblStyle w:val="TableGrid"/>
        <w:tblW w:w="9180" w:type="dxa"/>
        <w:tblInd w:w="-162" w:type="dxa"/>
        <w:tblLayout w:type="fixed"/>
        <w:tblLook w:val="04A0"/>
      </w:tblPr>
      <w:tblGrid>
        <w:gridCol w:w="1260"/>
        <w:gridCol w:w="720"/>
        <w:gridCol w:w="720"/>
        <w:gridCol w:w="720"/>
        <w:gridCol w:w="720"/>
        <w:gridCol w:w="1170"/>
        <w:gridCol w:w="990"/>
        <w:gridCol w:w="1170"/>
        <w:gridCol w:w="900"/>
        <w:gridCol w:w="810"/>
      </w:tblGrid>
      <w:tr w:rsidR="007454C4" w:rsidRPr="00330665" w:rsidTr="009D5584">
        <w:tc>
          <w:tcPr>
            <w:tcW w:w="1260" w:type="dxa"/>
            <w:vMerge w:val="restart"/>
            <w:vAlign w:val="center"/>
          </w:tcPr>
          <w:p w:rsidR="007454C4" w:rsidRPr="00330665" w:rsidRDefault="007454C4" w:rsidP="009D5584">
            <w:pPr>
              <w:spacing w:after="0" w:line="240" w:lineRule="auto"/>
              <w:jc w:val="center"/>
              <w:rPr>
                <w:rFonts w:ascii="Calibri" w:eastAsia="Times New Roman" w:hAnsi="Calibri" w:cs="Times New Roman"/>
                <w:b/>
                <w:sz w:val="20"/>
                <w:szCs w:val="20"/>
              </w:rPr>
            </w:pPr>
            <w:r w:rsidRPr="00330665">
              <w:rPr>
                <w:rFonts w:ascii="Calibri" w:eastAsia="Times New Roman" w:hAnsi="Calibri" w:cs="Times New Roman"/>
                <w:b/>
                <w:sz w:val="20"/>
                <w:szCs w:val="20"/>
              </w:rPr>
              <w:t>Group</w:t>
            </w:r>
          </w:p>
        </w:tc>
        <w:tc>
          <w:tcPr>
            <w:tcW w:w="2880" w:type="dxa"/>
            <w:gridSpan w:val="4"/>
          </w:tcPr>
          <w:p w:rsidR="007454C4" w:rsidRPr="00330665" w:rsidRDefault="007454C4" w:rsidP="009D5584">
            <w:pPr>
              <w:spacing w:after="0" w:line="240" w:lineRule="auto"/>
              <w:jc w:val="center"/>
              <w:rPr>
                <w:rFonts w:ascii="Calibri" w:eastAsia="Times New Roman" w:hAnsi="Calibri" w:cs="Times New Roman"/>
                <w:b/>
                <w:sz w:val="20"/>
                <w:szCs w:val="20"/>
              </w:rPr>
            </w:pPr>
            <w:r w:rsidRPr="00330665">
              <w:rPr>
                <w:rFonts w:ascii="Calibri" w:eastAsia="Times New Roman" w:hAnsi="Calibri" w:cs="Times New Roman"/>
                <w:b/>
                <w:sz w:val="20"/>
                <w:szCs w:val="20"/>
              </w:rPr>
              <w:t>School Year Ending</w:t>
            </w:r>
          </w:p>
        </w:tc>
        <w:tc>
          <w:tcPr>
            <w:tcW w:w="2160" w:type="dxa"/>
            <w:gridSpan w:val="2"/>
          </w:tcPr>
          <w:p w:rsidR="007454C4" w:rsidRPr="00330665" w:rsidRDefault="007454C4" w:rsidP="009D5584">
            <w:pPr>
              <w:spacing w:after="0" w:line="240" w:lineRule="auto"/>
              <w:rPr>
                <w:rFonts w:ascii="Calibri" w:eastAsia="Times New Roman" w:hAnsi="Calibri" w:cs="Times New Roman"/>
                <w:b/>
                <w:sz w:val="20"/>
                <w:szCs w:val="20"/>
              </w:rPr>
            </w:pPr>
            <w:r w:rsidRPr="00330665">
              <w:rPr>
                <w:rFonts w:ascii="Calibri" w:eastAsia="Times New Roman" w:hAnsi="Calibri" w:cs="Times New Roman"/>
                <w:b/>
                <w:sz w:val="20"/>
                <w:szCs w:val="20"/>
              </w:rPr>
              <w:t>Change 2013–2016</w:t>
            </w:r>
          </w:p>
        </w:tc>
        <w:tc>
          <w:tcPr>
            <w:tcW w:w="2070" w:type="dxa"/>
            <w:gridSpan w:val="2"/>
          </w:tcPr>
          <w:p w:rsidR="007454C4" w:rsidRPr="00330665" w:rsidRDefault="007454C4" w:rsidP="009D5584">
            <w:pPr>
              <w:spacing w:after="0" w:line="240" w:lineRule="auto"/>
              <w:rPr>
                <w:rFonts w:ascii="Calibri" w:eastAsia="Times New Roman" w:hAnsi="Calibri" w:cs="Times New Roman"/>
                <w:b/>
                <w:sz w:val="20"/>
                <w:szCs w:val="20"/>
              </w:rPr>
            </w:pPr>
            <w:r w:rsidRPr="00330665">
              <w:rPr>
                <w:rFonts w:ascii="Calibri" w:eastAsia="Times New Roman" w:hAnsi="Calibri" w:cs="Times New Roman"/>
                <w:b/>
                <w:sz w:val="20"/>
                <w:szCs w:val="20"/>
              </w:rPr>
              <w:t>Change 2015–2016</w:t>
            </w:r>
          </w:p>
        </w:tc>
        <w:tc>
          <w:tcPr>
            <w:tcW w:w="810" w:type="dxa"/>
            <w:vMerge w:val="restart"/>
            <w:vAlign w:val="center"/>
          </w:tcPr>
          <w:p w:rsidR="007454C4" w:rsidRPr="00330665" w:rsidRDefault="007454C4" w:rsidP="009D5584">
            <w:pPr>
              <w:spacing w:after="0" w:line="240" w:lineRule="auto"/>
              <w:jc w:val="center"/>
              <w:rPr>
                <w:rFonts w:ascii="Calibri" w:eastAsia="Times New Roman" w:hAnsi="Calibri" w:cs="Times New Roman"/>
                <w:b/>
                <w:sz w:val="20"/>
                <w:szCs w:val="20"/>
              </w:rPr>
            </w:pPr>
            <w:r w:rsidRPr="00330665">
              <w:rPr>
                <w:rFonts w:ascii="Calibri" w:eastAsia="Times New Roman" w:hAnsi="Calibri" w:cs="Times New Roman"/>
                <w:b/>
                <w:sz w:val="20"/>
                <w:szCs w:val="20"/>
              </w:rPr>
              <w:t>State (2016)</w:t>
            </w:r>
          </w:p>
        </w:tc>
      </w:tr>
      <w:tr w:rsidR="007454C4" w:rsidRPr="00330665" w:rsidTr="009D5584">
        <w:tc>
          <w:tcPr>
            <w:tcW w:w="1260" w:type="dxa"/>
            <w:vMerge/>
          </w:tcPr>
          <w:p w:rsidR="007454C4" w:rsidRPr="00330665" w:rsidRDefault="007454C4" w:rsidP="009D5584">
            <w:pPr>
              <w:spacing w:after="0" w:line="240" w:lineRule="auto"/>
              <w:rPr>
                <w:rFonts w:ascii="Calibri" w:eastAsia="Times New Roman" w:hAnsi="Calibri" w:cs="Times New Roman"/>
                <w:sz w:val="20"/>
                <w:szCs w:val="20"/>
              </w:rPr>
            </w:pPr>
          </w:p>
        </w:tc>
        <w:tc>
          <w:tcPr>
            <w:tcW w:w="720" w:type="dxa"/>
            <w:vAlign w:val="center"/>
          </w:tcPr>
          <w:p w:rsidR="007454C4" w:rsidRPr="00330665" w:rsidRDefault="007454C4" w:rsidP="009D5584">
            <w:pPr>
              <w:spacing w:after="0" w:line="240" w:lineRule="auto"/>
              <w:jc w:val="center"/>
              <w:rPr>
                <w:rFonts w:ascii="Calibri" w:eastAsia="Times New Roman" w:hAnsi="Calibri" w:cs="Times New Roman"/>
                <w:b/>
                <w:sz w:val="20"/>
                <w:szCs w:val="20"/>
              </w:rPr>
            </w:pPr>
            <w:r w:rsidRPr="00330665">
              <w:rPr>
                <w:rFonts w:ascii="Calibri" w:eastAsia="Times New Roman" w:hAnsi="Calibri" w:cs="Times New Roman"/>
                <w:b/>
                <w:sz w:val="20"/>
                <w:szCs w:val="20"/>
              </w:rPr>
              <w:t>2013</w:t>
            </w:r>
          </w:p>
        </w:tc>
        <w:tc>
          <w:tcPr>
            <w:tcW w:w="720" w:type="dxa"/>
            <w:vAlign w:val="center"/>
          </w:tcPr>
          <w:p w:rsidR="007454C4" w:rsidRPr="00330665" w:rsidRDefault="007454C4" w:rsidP="009D5584">
            <w:pPr>
              <w:spacing w:after="0" w:line="240" w:lineRule="auto"/>
              <w:jc w:val="center"/>
              <w:rPr>
                <w:rFonts w:ascii="Calibri" w:eastAsia="Times New Roman" w:hAnsi="Calibri" w:cs="Times New Roman"/>
                <w:b/>
                <w:sz w:val="20"/>
                <w:szCs w:val="20"/>
              </w:rPr>
            </w:pPr>
            <w:r w:rsidRPr="00330665">
              <w:rPr>
                <w:rFonts w:ascii="Calibri" w:eastAsia="Times New Roman" w:hAnsi="Calibri" w:cs="Times New Roman"/>
                <w:b/>
                <w:sz w:val="20"/>
                <w:szCs w:val="20"/>
              </w:rPr>
              <w:t>2014</w:t>
            </w:r>
          </w:p>
        </w:tc>
        <w:tc>
          <w:tcPr>
            <w:tcW w:w="720" w:type="dxa"/>
            <w:vAlign w:val="center"/>
          </w:tcPr>
          <w:p w:rsidR="007454C4" w:rsidRPr="00330665" w:rsidRDefault="007454C4" w:rsidP="009D5584">
            <w:pPr>
              <w:spacing w:after="0" w:line="240" w:lineRule="auto"/>
              <w:jc w:val="center"/>
              <w:rPr>
                <w:rFonts w:ascii="Calibri" w:eastAsia="Times New Roman" w:hAnsi="Calibri" w:cs="Times New Roman"/>
                <w:b/>
                <w:sz w:val="20"/>
                <w:szCs w:val="20"/>
              </w:rPr>
            </w:pPr>
            <w:r w:rsidRPr="00330665">
              <w:rPr>
                <w:rFonts w:ascii="Calibri" w:eastAsia="Times New Roman" w:hAnsi="Calibri" w:cs="Times New Roman"/>
                <w:b/>
                <w:sz w:val="20"/>
                <w:szCs w:val="20"/>
              </w:rPr>
              <w:t>2015</w:t>
            </w:r>
          </w:p>
        </w:tc>
        <w:tc>
          <w:tcPr>
            <w:tcW w:w="720" w:type="dxa"/>
            <w:vAlign w:val="center"/>
          </w:tcPr>
          <w:p w:rsidR="007454C4" w:rsidRPr="00330665" w:rsidRDefault="007454C4" w:rsidP="009D5584">
            <w:pPr>
              <w:spacing w:after="0" w:line="240" w:lineRule="auto"/>
              <w:jc w:val="center"/>
              <w:rPr>
                <w:rFonts w:ascii="Calibri" w:eastAsia="Times New Roman" w:hAnsi="Calibri" w:cs="Times New Roman"/>
                <w:b/>
                <w:sz w:val="20"/>
                <w:szCs w:val="20"/>
              </w:rPr>
            </w:pPr>
            <w:r w:rsidRPr="00330665">
              <w:rPr>
                <w:rFonts w:ascii="Calibri" w:eastAsia="Times New Roman" w:hAnsi="Calibri" w:cs="Times New Roman"/>
                <w:b/>
                <w:sz w:val="20"/>
                <w:szCs w:val="20"/>
              </w:rPr>
              <w:t>2016</w:t>
            </w:r>
          </w:p>
        </w:tc>
        <w:tc>
          <w:tcPr>
            <w:tcW w:w="1170" w:type="dxa"/>
            <w:vAlign w:val="center"/>
          </w:tcPr>
          <w:p w:rsidR="007454C4" w:rsidRPr="00330665" w:rsidRDefault="007454C4" w:rsidP="009D5584">
            <w:pPr>
              <w:spacing w:after="0" w:line="240" w:lineRule="auto"/>
              <w:jc w:val="center"/>
              <w:rPr>
                <w:rFonts w:ascii="Calibri" w:eastAsia="Times New Roman" w:hAnsi="Calibri" w:cs="Times New Roman"/>
                <w:b/>
                <w:sz w:val="20"/>
                <w:szCs w:val="20"/>
              </w:rPr>
            </w:pPr>
            <w:r w:rsidRPr="00330665">
              <w:rPr>
                <w:rFonts w:ascii="Calibri" w:eastAsia="Times New Roman" w:hAnsi="Calibri" w:cs="Times New Roman"/>
                <w:b/>
                <w:sz w:val="20"/>
                <w:szCs w:val="20"/>
              </w:rPr>
              <w:t>Percentage Points</w:t>
            </w:r>
          </w:p>
        </w:tc>
        <w:tc>
          <w:tcPr>
            <w:tcW w:w="990" w:type="dxa"/>
            <w:tcBorders>
              <w:bottom w:val="single" w:sz="4" w:space="0" w:color="auto"/>
            </w:tcBorders>
            <w:vAlign w:val="center"/>
          </w:tcPr>
          <w:p w:rsidR="007454C4" w:rsidRPr="00330665" w:rsidRDefault="007454C4" w:rsidP="009D5584">
            <w:pPr>
              <w:spacing w:after="0" w:line="240" w:lineRule="auto"/>
              <w:jc w:val="center"/>
              <w:rPr>
                <w:rFonts w:ascii="Calibri" w:eastAsia="Times New Roman" w:hAnsi="Calibri" w:cs="Times New Roman"/>
                <w:b/>
                <w:sz w:val="20"/>
                <w:szCs w:val="20"/>
              </w:rPr>
            </w:pPr>
            <w:r w:rsidRPr="00330665">
              <w:rPr>
                <w:rFonts w:ascii="Calibri" w:eastAsia="Times New Roman" w:hAnsi="Calibri" w:cs="Times New Roman"/>
                <w:b/>
                <w:sz w:val="20"/>
                <w:szCs w:val="20"/>
              </w:rPr>
              <w:t>Percent Change</w:t>
            </w:r>
          </w:p>
        </w:tc>
        <w:tc>
          <w:tcPr>
            <w:tcW w:w="1170" w:type="dxa"/>
            <w:tcBorders>
              <w:bottom w:val="single" w:sz="4" w:space="0" w:color="auto"/>
            </w:tcBorders>
            <w:shd w:val="clear" w:color="auto" w:fill="FFFFFF" w:themeFill="background1"/>
            <w:vAlign w:val="center"/>
          </w:tcPr>
          <w:p w:rsidR="007454C4" w:rsidRPr="00330665" w:rsidRDefault="007454C4" w:rsidP="009D5584">
            <w:pPr>
              <w:spacing w:after="0" w:line="240" w:lineRule="auto"/>
              <w:jc w:val="center"/>
              <w:rPr>
                <w:rFonts w:ascii="Calibri" w:eastAsia="Times New Roman" w:hAnsi="Calibri" w:cs="Times New Roman"/>
                <w:b/>
                <w:sz w:val="20"/>
                <w:szCs w:val="20"/>
              </w:rPr>
            </w:pPr>
            <w:r w:rsidRPr="00330665">
              <w:rPr>
                <w:rFonts w:ascii="Calibri" w:eastAsia="Times New Roman" w:hAnsi="Calibri" w:cs="Times New Roman"/>
                <w:b/>
                <w:sz w:val="20"/>
                <w:szCs w:val="20"/>
              </w:rPr>
              <w:t>Percentage Points</w:t>
            </w:r>
          </w:p>
        </w:tc>
        <w:tc>
          <w:tcPr>
            <w:tcW w:w="900" w:type="dxa"/>
            <w:tcBorders>
              <w:bottom w:val="single" w:sz="4" w:space="0" w:color="auto"/>
            </w:tcBorders>
            <w:vAlign w:val="center"/>
          </w:tcPr>
          <w:p w:rsidR="007454C4" w:rsidRPr="00330665" w:rsidRDefault="007454C4" w:rsidP="009D5584">
            <w:pPr>
              <w:spacing w:after="0" w:line="240" w:lineRule="auto"/>
              <w:jc w:val="center"/>
              <w:rPr>
                <w:rFonts w:ascii="Calibri" w:eastAsia="Times New Roman" w:hAnsi="Calibri" w:cs="Times New Roman"/>
                <w:b/>
                <w:sz w:val="20"/>
                <w:szCs w:val="20"/>
              </w:rPr>
            </w:pPr>
            <w:r w:rsidRPr="00330665">
              <w:rPr>
                <w:rFonts w:ascii="Calibri" w:eastAsia="Times New Roman" w:hAnsi="Calibri" w:cs="Times New Roman"/>
                <w:b/>
                <w:sz w:val="20"/>
                <w:szCs w:val="20"/>
              </w:rPr>
              <w:t>Percent Change</w:t>
            </w:r>
          </w:p>
        </w:tc>
        <w:tc>
          <w:tcPr>
            <w:tcW w:w="810" w:type="dxa"/>
            <w:vMerge/>
          </w:tcPr>
          <w:p w:rsidR="007454C4" w:rsidRPr="00330665" w:rsidRDefault="007454C4" w:rsidP="009D5584">
            <w:pPr>
              <w:spacing w:after="0" w:line="240" w:lineRule="auto"/>
              <w:rPr>
                <w:rFonts w:ascii="Calibri" w:eastAsia="Times New Roman" w:hAnsi="Calibri" w:cs="Times New Roman"/>
                <w:sz w:val="20"/>
                <w:szCs w:val="20"/>
              </w:rPr>
            </w:pPr>
          </w:p>
        </w:tc>
      </w:tr>
      <w:tr w:rsidR="007454C4" w:rsidRPr="004B73B0" w:rsidTr="009D5584">
        <w:tc>
          <w:tcPr>
            <w:tcW w:w="1260" w:type="dxa"/>
            <w:tcBorders>
              <w:bottom w:val="single" w:sz="4" w:space="0" w:color="auto"/>
            </w:tcBorders>
            <w:shd w:val="clear" w:color="auto" w:fill="D9D9D9" w:themeFill="background1" w:themeFillShade="D9"/>
          </w:tcPr>
          <w:p w:rsidR="007454C4" w:rsidRPr="00330665" w:rsidRDefault="007454C4" w:rsidP="009D5584">
            <w:pPr>
              <w:spacing w:after="0" w:line="240" w:lineRule="auto"/>
              <w:rPr>
                <w:rFonts w:ascii="Calibri" w:eastAsia="Times New Roman" w:hAnsi="Calibri" w:cs="Times New Roman"/>
                <w:sz w:val="20"/>
                <w:szCs w:val="20"/>
              </w:rPr>
            </w:pPr>
            <w:r w:rsidRPr="00330665">
              <w:rPr>
                <w:rFonts w:ascii="Calibri" w:eastAsia="Times New Roman" w:hAnsi="Calibri" w:cs="Times New Roman"/>
                <w:sz w:val="20"/>
                <w:szCs w:val="20"/>
              </w:rPr>
              <w:t>High Needs</w:t>
            </w:r>
          </w:p>
        </w:tc>
        <w:tc>
          <w:tcPr>
            <w:tcW w:w="720" w:type="dxa"/>
            <w:tcBorders>
              <w:bottom w:val="single" w:sz="4" w:space="0" w:color="auto"/>
            </w:tcBorders>
            <w:shd w:val="clear" w:color="auto" w:fill="D9D9D9" w:themeFill="background1" w:themeFillShade="D9"/>
            <w:vAlign w:val="center"/>
          </w:tcPr>
          <w:p w:rsidR="007454C4" w:rsidRPr="00330665" w:rsidRDefault="007454C4" w:rsidP="009D5584">
            <w:pPr>
              <w:spacing w:after="0" w:line="240" w:lineRule="auto"/>
              <w:jc w:val="center"/>
              <w:rPr>
                <w:rFonts w:ascii="Calibri" w:hAnsi="Calibri"/>
                <w:sz w:val="20"/>
                <w:szCs w:val="20"/>
              </w:rPr>
            </w:pPr>
            <w:r w:rsidRPr="00330665">
              <w:rPr>
                <w:rFonts w:ascii="Calibri" w:hAnsi="Calibri"/>
                <w:sz w:val="20"/>
                <w:szCs w:val="20"/>
              </w:rPr>
              <w:t>3.4</w:t>
            </w:r>
            <w:r>
              <w:rPr>
                <w:rFonts w:ascii="Calibri" w:hAnsi="Calibri"/>
                <w:sz w:val="20"/>
                <w:szCs w:val="20"/>
              </w:rPr>
              <w:t>%</w:t>
            </w:r>
          </w:p>
        </w:tc>
        <w:tc>
          <w:tcPr>
            <w:tcW w:w="720" w:type="dxa"/>
            <w:tcBorders>
              <w:bottom w:val="single" w:sz="4" w:space="0" w:color="auto"/>
            </w:tcBorders>
            <w:shd w:val="clear" w:color="auto" w:fill="D9D9D9" w:themeFill="background1" w:themeFillShade="D9"/>
            <w:vAlign w:val="center"/>
          </w:tcPr>
          <w:p w:rsidR="007454C4" w:rsidRDefault="007454C4" w:rsidP="009D5584">
            <w:pPr>
              <w:spacing w:after="0" w:line="240" w:lineRule="auto"/>
              <w:jc w:val="center"/>
              <w:rPr>
                <w:rFonts w:ascii="Calibri" w:hAnsi="Calibri"/>
                <w:color w:val="000000"/>
                <w:sz w:val="20"/>
                <w:szCs w:val="20"/>
              </w:rPr>
            </w:pPr>
            <w:r>
              <w:rPr>
                <w:rFonts w:ascii="Calibri" w:hAnsi="Calibri"/>
                <w:color w:val="000000"/>
                <w:sz w:val="20"/>
                <w:szCs w:val="20"/>
              </w:rPr>
              <w:t>2.6%</w:t>
            </w:r>
          </w:p>
        </w:tc>
        <w:tc>
          <w:tcPr>
            <w:tcW w:w="720" w:type="dxa"/>
            <w:tcBorders>
              <w:bottom w:val="single" w:sz="4" w:space="0" w:color="auto"/>
            </w:tcBorders>
            <w:shd w:val="clear" w:color="auto" w:fill="D9D9D9" w:themeFill="background1" w:themeFillShade="D9"/>
            <w:vAlign w:val="center"/>
          </w:tcPr>
          <w:p w:rsidR="007454C4" w:rsidRDefault="007454C4" w:rsidP="009D5584">
            <w:pPr>
              <w:spacing w:after="0" w:line="240" w:lineRule="auto"/>
              <w:jc w:val="center"/>
              <w:rPr>
                <w:rFonts w:ascii="Calibri" w:hAnsi="Calibri"/>
                <w:color w:val="000000"/>
                <w:sz w:val="20"/>
                <w:szCs w:val="20"/>
              </w:rPr>
            </w:pPr>
            <w:r>
              <w:rPr>
                <w:rFonts w:ascii="Calibri" w:hAnsi="Calibri"/>
                <w:color w:val="000000"/>
                <w:sz w:val="20"/>
                <w:szCs w:val="20"/>
              </w:rPr>
              <w:t>1.8%</w:t>
            </w:r>
          </w:p>
        </w:tc>
        <w:tc>
          <w:tcPr>
            <w:tcW w:w="720" w:type="dxa"/>
            <w:tcBorders>
              <w:bottom w:val="single" w:sz="4" w:space="0" w:color="auto"/>
            </w:tcBorders>
            <w:shd w:val="clear" w:color="auto" w:fill="D9D9D9" w:themeFill="background1" w:themeFillShade="D9"/>
            <w:vAlign w:val="center"/>
          </w:tcPr>
          <w:p w:rsidR="007454C4" w:rsidRPr="000E708E" w:rsidRDefault="007454C4" w:rsidP="009D5584">
            <w:pPr>
              <w:spacing w:after="0" w:line="240" w:lineRule="auto"/>
              <w:jc w:val="center"/>
              <w:rPr>
                <w:rFonts w:ascii="Calibri" w:hAnsi="Calibri"/>
                <w:sz w:val="20"/>
                <w:szCs w:val="20"/>
              </w:rPr>
            </w:pPr>
            <w:r w:rsidRPr="000E708E">
              <w:rPr>
                <w:rFonts w:ascii="Calibri" w:hAnsi="Calibri"/>
                <w:sz w:val="20"/>
                <w:szCs w:val="20"/>
              </w:rPr>
              <w:t>2.4%</w:t>
            </w:r>
          </w:p>
        </w:tc>
        <w:tc>
          <w:tcPr>
            <w:tcW w:w="1170" w:type="dxa"/>
            <w:tcBorders>
              <w:bottom w:val="single" w:sz="4" w:space="0" w:color="auto"/>
            </w:tcBorders>
            <w:shd w:val="clear" w:color="auto" w:fill="D9D9D9" w:themeFill="background1" w:themeFillShade="D9"/>
            <w:vAlign w:val="center"/>
          </w:tcPr>
          <w:p w:rsidR="007454C4" w:rsidRPr="004B73B0" w:rsidRDefault="007454C4" w:rsidP="009D5584">
            <w:pPr>
              <w:spacing w:after="0" w:line="240" w:lineRule="auto"/>
              <w:jc w:val="center"/>
              <w:rPr>
                <w:rFonts w:ascii="Calibri" w:hAnsi="Calibri"/>
                <w:sz w:val="20"/>
                <w:szCs w:val="20"/>
              </w:rPr>
            </w:pPr>
            <w:r w:rsidRPr="004B73B0">
              <w:rPr>
                <w:rFonts w:ascii="Calibri" w:hAnsi="Calibri"/>
                <w:sz w:val="20"/>
                <w:szCs w:val="20"/>
              </w:rPr>
              <w:t>-1.0</w:t>
            </w:r>
          </w:p>
        </w:tc>
        <w:tc>
          <w:tcPr>
            <w:tcW w:w="990" w:type="dxa"/>
            <w:tcBorders>
              <w:bottom w:val="single" w:sz="4" w:space="0" w:color="auto"/>
            </w:tcBorders>
            <w:shd w:val="clear" w:color="auto" w:fill="D9D9D9" w:themeFill="background1" w:themeFillShade="D9"/>
            <w:vAlign w:val="center"/>
          </w:tcPr>
          <w:p w:rsidR="007454C4" w:rsidRPr="004B73B0" w:rsidRDefault="007454C4" w:rsidP="009D5584">
            <w:pPr>
              <w:spacing w:after="0" w:line="240" w:lineRule="auto"/>
              <w:jc w:val="center"/>
              <w:rPr>
                <w:rFonts w:ascii="Calibri" w:hAnsi="Calibri"/>
                <w:sz w:val="20"/>
                <w:szCs w:val="20"/>
              </w:rPr>
            </w:pPr>
            <w:r w:rsidRPr="004B73B0">
              <w:rPr>
                <w:rFonts w:ascii="Calibri" w:hAnsi="Calibri"/>
                <w:sz w:val="20"/>
                <w:szCs w:val="20"/>
              </w:rPr>
              <w:t>-29.4%</w:t>
            </w:r>
          </w:p>
        </w:tc>
        <w:tc>
          <w:tcPr>
            <w:tcW w:w="1170" w:type="dxa"/>
            <w:tcBorders>
              <w:bottom w:val="single" w:sz="4" w:space="0" w:color="auto"/>
            </w:tcBorders>
            <w:shd w:val="clear" w:color="auto" w:fill="D9D9D9" w:themeFill="background1" w:themeFillShade="D9"/>
            <w:vAlign w:val="center"/>
          </w:tcPr>
          <w:p w:rsidR="007454C4" w:rsidRPr="00B12FD8" w:rsidRDefault="007454C4" w:rsidP="009D5584">
            <w:pPr>
              <w:spacing w:after="0" w:line="240" w:lineRule="auto"/>
              <w:jc w:val="center"/>
              <w:rPr>
                <w:rFonts w:ascii="Calibri" w:hAnsi="Calibri"/>
                <w:sz w:val="20"/>
                <w:szCs w:val="20"/>
              </w:rPr>
            </w:pPr>
            <w:r w:rsidRPr="00B12FD8">
              <w:rPr>
                <w:rFonts w:ascii="Calibri" w:hAnsi="Calibri"/>
                <w:sz w:val="20"/>
                <w:szCs w:val="20"/>
              </w:rPr>
              <w:t>0.6</w:t>
            </w:r>
          </w:p>
        </w:tc>
        <w:tc>
          <w:tcPr>
            <w:tcW w:w="900" w:type="dxa"/>
            <w:tcBorders>
              <w:bottom w:val="single" w:sz="4" w:space="0" w:color="auto"/>
            </w:tcBorders>
            <w:shd w:val="clear" w:color="auto" w:fill="D9D9D9" w:themeFill="background1" w:themeFillShade="D9"/>
            <w:vAlign w:val="center"/>
          </w:tcPr>
          <w:p w:rsidR="007454C4" w:rsidRPr="00D41B06" w:rsidRDefault="007454C4" w:rsidP="009D5584">
            <w:pPr>
              <w:spacing w:after="0" w:line="240" w:lineRule="auto"/>
              <w:jc w:val="center"/>
              <w:rPr>
                <w:rFonts w:ascii="Calibri" w:hAnsi="Calibri"/>
                <w:sz w:val="20"/>
                <w:szCs w:val="20"/>
              </w:rPr>
            </w:pPr>
            <w:r w:rsidRPr="00D41B06">
              <w:rPr>
                <w:rFonts w:ascii="Calibri" w:hAnsi="Calibri"/>
                <w:sz w:val="20"/>
                <w:szCs w:val="20"/>
              </w:rPr>
              <w:t>33.3%</w:t>
            </w:r>
          </w:p>
        </w:tc>
        <w:tc>
          <w:tcPr>
            <w:tcW w:w="810" w:type="dxa"/>
            <w:tcBorders>
              <w:bottom w:val="single" w:sz="4" w:space="0" w:color="auto"/>
            </w:tcBorders>
            <w:shd w:val="clear" w:color="auto" w:fill="D9D9D9" w:themeFill="background1" w:themeFillShade="D9"/>
            <w:vAlign w:val="center"/>
          </w:tcPr>
          <w:p w:rsidR="007454C4" w:rsidRPr="004B73B0" w:rsidRDefault="007454C4" w:rsidP="009D5584">
            <w:pPr>
              <w:spacing w:after="0" w:line="240" w:lineRule="auto"/>
              <w:jc w:val="center"/>
              <w:rPr>
                <w:rFonts w:ascii="Calibri" w:hAnsi="Calibri"/>
                <w:sz w:val="20"/>
                <w:szCs w:val="20"/>
              </w:rPr>
            </w:pPr>
            <w:r w:rsidRPr="004B73B0">
              <w:rPr>
                <w:rFonts w:ascii="Calibri" w:hAnsi="Calibri"/>
                <w:sz w:val="20"/>
                <w:szCs w:val="20"/>
              </w:rPr>
              <w:t>3.7%</w:t>
            </w:r>
          </w:p>
        </w:tc>
      </w:tr>
      <w:tr w:rsidR="007454C4" w:rsidRPr="004B73B0" w:rsidTr="009D5584">
        <w:tc>
          <w:tcPr>
            <w:tcW w:w="1260" w:type="dxa"/>
            <w:tcBorders>
              <w:bottom w:val="single" w:sz="4" w:space="0" w:color="auto"/>
            </w:tcBorders>
          </w:tcPr>
          <w:p w:rsidR="007454C4" w:rsidRPr="00330665" w:rsidRDefault="007454C4" w:rsidP="004B192B">
            <w:pPr>
              <w:spacing w:after="0" w:line="240" w:lineRule="auto"/>
              <w:rPr>
                <w:rFonts w:ascii="Calibri" w:eastAsia="Times New Roman" w:hAnsi="Calibri" w:cs="Times New Roman"/>
                <w:sz w:val="20"/>
                <w:szCs w:val="20"/>
              </w:rPr>
            </w:pPr>
            <w:r w:rsidRPr="00330665">
              <w:rPr>
                <w:rFonts w:ascii="Calibri" w:eastAsia="Times New Roman" w:hAnsi="Calibri" w:cs="Times New Roman"/>
                <w:sz w:val="20"/>
                <w:szCs w:val="20"/>
              </w:rPr>
              <w:t>Econ</w:t>
            </w:r>
            <w:r w:rsidR="004B192B">
              <w:rPr>
                <w:rFonts w:ascii="Calibri" w:eastAsia="Times New Roman" w:hAnsi="Calibri" w:cs="Times New Roman"/>
                <w:sz w:val="20"/>
                <w:szCs w:val="20"/>
              </w:rPr>
              <w:t>.</w:t>
            </w:r>
            <w:r w:rsidRPr="00330665">
              <w:rPr>
                <w:rFonts w:ascii="Calibri" w:eastAsia="Times New Roman" w:hAnsi="Calibri" w:cs="Times New Roman"/>
                <w:sz w:val="20"/>
                <w:szCs w:val="20"/>
              </w:rPr>
              <w:t xml:space="preserve"> </w:t>
            </w:r>
            <w:r w:rsidR="004B192B" w:rsidRPr="00330665">
              <w:rPr>
                <w:rFonts w:ascii="Calibri" w:eastAsia="Times New Roman" w:hAnsi="Calibri" w:cs="Times New Roman"/>
                <w:sz w:val="20"/>
                <w:szCs w:val="20"/>
              </w:rPr>
              <w:t>Disad</w:t>
            </w:r>
            <w:r w:rsidR="004B192B">
              <w:rPr>
                <w:rFonts w:ascii="Calibri" w:eastAsia="Times New Roman" w:hAnsi="Calibri" w:cs="Times New Roman"/>
                <w:sz w:val="20"/>
                <w:szCs w:val="20"/>
              </w:rPr>
              <w:t>.</w:t>
            </w:r>
            <w:r w:rsidRPr="00330665">
              <w:rPr>
                <w:rStyle w:val="FootnoteReference"/>
                <w:rFonts w:ascii="Calibri" w:eastAsia="Times New Roman" w:hAnsi="Calibri" w:cs="Times New Roman"/>
                <w:sz w:val="20"/>
                <w:szCs w:val="20"/>
              </w:rPr>
              <w:footnoteReference w:id="29"/>
            </w:r>
          </w:p>
        </w:tc>
        <w:tc>
          <w:tcPr>
            <w:tcW w:w="720" w:type="dxa"/>
            <w:tcBorders>
              <w:bottom w:val="single" w:sz="4" w:space="0" w:color="auto"/>
            </w:tcBorders>
            <w:vAlign w:val="center"/>
          </w:tcPr>
          <w:p w:rsidR="007454C4" w:rsidRPr="00330665" w:rsidRDefault="007454C4" w:rsidP="009D5584">
            <w:pPr>
              <w:spacing w:after="0" w:line="240" w:lineRule="auto"/>
              <w:jc w:val="center"/>
              <w:rPr>
                <w:rFonts w:ascii="Calibri" w:hAnsi="Calibri"/>
                <w:sz w:val="20"/>
                <w:szCs w:val="20"/>
              </w:rPr>
            </w:pPr>
            <w:r w:rsidRPr="00330665">
              <w:rPr>
                <w:rFonts w:ascii="Calibri" w:hAnsi="Calibri"/>
                <w:sz w:val="20"/>
                <w:szCs w:val="20"/>
              </w:rPr>
              <w:t>3.3</w:t>
            </w:r>
            <w:r>
              <w:rPr>
                <w:rFonts w:ascii="Calibri" w:hAnsi="Calibri"/>
                <w:sz w:val="20"/>
                <w:szCs w:val="20"/>
              </w:rPr>
              <w:t>%</w:t>
            </w:r>
          </w:p>
        </w:tc>
        <w:tc>
          <w:tcPr>
            <w:tcW w:w="720" w:type="dxa"/>
            <w:tcBorders>
              <w:bottom w:val="single" w:sz="4" w:space="0" w:color="auto"/>
            </w:tcBorders>
            <w:vAlign w:val="center"/>
          </w:tcPr>
          <w:p w:rsidR="007454C4" w:rsidRDefault="007454C4" w:rsidP="009D5584">
            <w:pPr>
              <w:spacing w:after="0" w:line="240" w:lineRule="auto"/>
              <w:jc w:val="center"/>
              <w:rPr>
                <w:rFonts w:ascii="Calibri" w:hAnsi="Calibri"/>
                <w:color w:val="000000"/>
                <w:sz w:val="20"/>
                <w:szCs w:val="20"/>
              </w:rPr>
            </w:pPr>
            <w:r>
              <w:rPr>
                <w:rFonts w:ascii="Calibri" w:hAnsi="Calibri"/>
                <w:color w:val="000000"/>
                <w:sz w:val="20"/>
                <w:szCs w:val="20"/>
              </w:rPr>
              <w:t>2.5%</w:t>
            </w:r>
          </w:p>
        </w:tc>
        <w:tc>
          <w:tcPr>
            <w:tcW w:w="720" w:type="dxa"/>
            <w:tcBorders>
              <w:bottom w:val="single" w:sz="4" w:space="0" w:color="auto"/>
            </w:tcBorders>
            <w:vAlign w:val="center"/>
          </w:tcPr>
          <w:p w:rsidR="007454C4" w:rsidRDefault="007454C4" w:rsidP="009D5584">
            <w:pPr>
              <w:spacing w:after="0" w:line="240" w:lineRule="auto"/>
              <w:jc w:val="center"/>
              <w:rPr>
                <w:rFonts w:ascii="Calibri" w:hAnsi="Calibri"/>
                <w:color w:val="000000"/>
                <w:sz w:val="20"/>
                <w:szCs w:val="20"/>
              </w:rPr>
            </w:pPr>
            <w:r>
              <w:rPr>
                <w:rFonts w:ascii="Calibri" w:hAnsi="Calibri"/>
                <w:color w:val="000000"/>
                <w:sz w:val="20"/>
                <w:szCs w:val="20"/>
              </w:rPr>
              <w:t>1.8%</w:t>
            </w:r>
          </w:p>
        </w:tc>
        <w:tc>
          <w:tcPr>
            <w:tcW w:w="720" w:type="dxa"/>
            <w:tcBorders>
              <w:bottom w:val="single" w:sz="4" w:space="0" w:color="auto"/>
            </w:tcBorders>
            <w:vAlign w:val="center"/>
          </w:tcPr>
          <w:p w:rsidR="007454C4" w:rsidRPr="000E708E" w:rsidRDefault="007454C4" w:rsidP="009D5584">
            <w:pPr>
              <w:spacing w:after="0" w:line="240" w:lineRule="auto"/>
              <w:jc w:val="center"/>
              <w:rPr>
                <w:rFonts w:ascii="Calibri" w:hAnsi="Calibri"/>
                <w:sz w:val="20"/>
                <w:szCs w:val="20"/>
              </w:rPr>
            </w:pPr>
            <w:r w:rsidRPr="000E708E">
              <w:rPr>
                <w:rFonts w:ascii="Calibri" w:hAnsi="Calibri"/>
                <w:sz w:val="20"/>
                <w:szCs w:val="20"/>
              </w:rPr>
              <w:t>2.4%</w:t>
            </w:r>
          </w:p>
        </w:tc>
        <w:tc>
          <w:tcPr>
            <w:tcW w:w="1170" w:type="dxa"/>
            <w:tcBorders>
              <w:bottom w:val="single" w:sz="4" w:space="0" w:color="auto"/>
            </w:tcBorders>
            <w:vAlign w:val="center"/>
          </w:tcPr>
          <w:p w:rsidR="007454C4" w:rsidRPr="004B73B0" w:rsidRDefault="007454C4" w:rsidP="009D5584">
            <w:pPr>
              <w:spacing w:after="0" w:line="240" w:lineRule="auto"/>
              <w:jc w:val="center"/>
              <w:rPr>
                <w:rFonts w:ascii="Calibri" w:hAnsi="Calibri"/>
                <w:sz w:val="20"/>
                <w:szCs w:val="20"/>
              </w:rPr>
            </w:pPr>
            <w:r w:rsidRPr="004B73B0">
              <w:rPr>
                <w:rFonts w:ascii="Calibri" w:hAnsi="Calibri"/>
                <w:sz w:val="20"/>
                <w:szCs w:val="20"/>
              </w:rPr>
              <w:t>-0.9</w:t>
            </w:r>
          </w:p>
        </w:tc>
        <w:tc>
          <w:tcPr>
            <w:tcW w:w="990" w:type="dxa"/>
            <w:tcBorders>
              <w:bottom w:val="single" w:sz="4" w:space="0" w:color="auto"/>
            </w:tcBorders>
            <w:shd w:val="clear" w:color="auto" w:fill="auto"/>
            <w:vAlign w:val="center"/>
          </w:tcPr>
          <w:p w:rsidR="007454C4" w:rsidRPr="004B73B0" w:rsidRDefault="007454C4" w:rsidP="009D5584">
            <w:pPr>
              <w:spacing w:after="0" w:line="240" w:lineRule="auto"/>
              <w:jc w:val="center"/>
              <w:rPr>
                <w:rFonts w:ascii="Calibri" w:hAnsi="Calibri"/>
                <w:sz w:val="20"/>
                <w:szCs w:val="20"/>
              </w:rPr>
            </w:pPr>
            <w:r w:rsidRPr="004B73B0">
              <w:rPr>
                <w:rFonts w:ascii="Calibri" w:hAnsi="Calibri"/>
                <w:sz w:val="20"/>
                <w:szCs w:val="20"/>
              </w:rPr>
              <w:t>-27.2%</w:t>
            </w:r>
          </w:p>
        </w:tc>
        <w:tc>
          <w:tcPr>
            <w:tcW w:w="1170" w:type="dxa"/>
            <w:tcBorders>
              <w:bottom w:val="single" w:sz="4" w:space="0" w:color="auto"/>
            </w:tcBorders>
            <w:shd w:val="clear" w:color="auto" w:fill="FFFFFF" w:themeFill="background1"/>
            <w:vAlign w:val="center"/>
          </w:tcPr>
          <w:p w:rsidR="007454C4" w:rsidRPr="00B12FD8" w:rsidRDefault="007454C4" w:rsidP="009D5584">
            <w:pPr>
              <w:spacing w:after="0" w:line="240" w:lineRule="auto"/>
              <w:jc w:val="center"/>
              <w:rPr>
                <w:rFonts w:ascii="Calibri" w:hAnsi="Calibri"/>
                <w:sz w:val="20"/>
                <w:szCs w:val="20"/>
              </w:rPr>
            </w:pPr>
            <w:r w:rsidRPr="00B12FD8">
              <w:rPr>
                <w:rFonts w:ascii="Calibri" w:hAnsi="Calibri"/>
                <w:sz w:val="20"/>
                <w:szCs w:val="20"/>
              </w:rPr>
              <w:t>0.6</w:t>
            </w:r>
          </w:p>
        </w:tc>
        <w:tc>
          <w:tcPr>
            <w:tcW w:w="900" w:type="dxa"/>
            <w:tcBorders>
              <w:bottom w:val="single" w:sz="4" w:space="0" w:color="auto"/>
            </w:tcBorders>
            <w:shd w:val="clear" w:color="auto" w:fill="auto"/>
            <w:vAlign w:val="center"/>
          </w:tcPr>
          <w:p w:rsidR="007454C4" w:rsidRPr="00D41B06" w:rsidRDefault="007454C4" w:rsidP="009D5584">
            <w:pPr>
              <w:spacing w:after="0" w:line="240" w:lineRule="auto"/>
              <w:jc w:val="center"/>
              <w:rPr>
                <w:rFonts w:ascii="Calibri" w:hAnsi="Calibri"/>
                <w:sz w:val="20"/>
                <w:szCs w:val="20"/>
              </w:rPr>
            </w:pPr>
            <w:r w:rsidRPr="00D41B06">
              <w:rPr>
                <w:rFonts w:ascii="Calibri" w:hAnsi="Calibri"/>
                <w:sz w:val="20"/>
                <w:szCs w:val="20"/>
              </w:rPr>
              <w:t>33.3%</w:t>
            </w:r>
          </w:p>
        </w:tc>
        <w:tc>
          <w:tcPr>
            <w:tcW w:w="810" w:type="dxa"/>
            <w:tcBorders>
              <w:bottom w:val="single" w:sz="4" w:space="0" w:color="auto"/>
            </w:tcBorders>
            <w:vAlign w:val="center"/>
          </w:tcPr>
          <w:p w:rsidR="007454C4" w:rsidRPr="004B73B0" w:rsidRDefault="007454C4" w:rsidP="009D5584">
            <w:pPr>
              <w:spacing w:after="0" w:line="240" w:lineRule="auto"/>
              <w:jc w:val="center"/>
              <w:rPr>
                <w:rFonts w:ascii="Calibri" w:hAnsi="Calibri"/>
                <w:sz w:val="20"/>
                <w:szCs w:val="20"/>
              </w:rPr>
            </w:pPr>
            <w:r w:rsidRPr="004B73B0">
              <w:rPr>
                <w:rFonts w:ascii="Calibri" w:hAnsi="Calibri"/>
                <w:sz w:val="20"/>
                <w:szCs w:val="20"/>
              </w:rPr>
              <w:t>4.1%</w:t>
            </w:r>
          </w:p>
        </w:tc>
      </w:tr>
      <w:tr w:rsidR="007454C4" w:rsidRPr="009066CB" w:rsidTr="009D5584">
        <w:tc>
          <w:tcPr>
            <w:tcW w:w="1260" w:type="dxa"/>
            <w:tcBorders>
              <w:bottom w:val="single" w:sz="4" w:space="0" w:color="auto"/>
            </w:tcBorders>
            <w:shd w:val="clear" w:color="auto" w:fill="D9D9D9" w:themeFill="background1" w:themeFillShade="D9"/>
          </w:tcPr>
          <w:p w:rsidR="007454C4" w:rsidRPr="00330665" w:rsidRDefault="007454C4" w:rsidP="009D5584">
            <w:pPr>
              <w:spacing w:after="0" w:line="240" w:lineRule="auto"/>
              <w:rPr>
                <w:rFonts w:ascii="Calibri" w:eastAsia="Times New Roman" w:hAnsi="Calibri" w:cs="Times New Roman"/>
                <w:sz w:val="20"/>
                <w:szCs w:val="20"/>
              </w:rPr>
            </w:pPr>
            <w:r w:rsidRPr="00330665">
              <w:rPr>
                <w:rFonts w:ascii="Calibri" w:eastAsia="Times New Roman" w:hAnsi="Calibri" w:cs="Times New Roman"/>
                <w:sz w:val="20"/>
                <w:szCs w:val="20"/>
              </w:rPr>
              <w:t>Students w/ disabilities</w:t>
            </w:r>
          </w:p>
        </w:tc>
        <w:tc>
          <w:tcPr>
            <w:tcW w:w="720" w:type="dxa"/>
            <w:tcBorders>
              <w:bottom w:val="single" w:sz="4" w:space="0" w:color="auto"/>
            </w:tcBorders>
            <w:shd w:val="clear" w:color="auto" w:fill="D9D9D9" w:themeFill="background1" w:themeFillShade="D9"/>
            <w:vAlign w:val="center"/>
          </w:tcPr>
          <w:p w:rsidR="007454C4" w:rsidRPr="00330665" w:rsidRDefault="007454C4" w:rsidP="009D5584">
            <w:pPr>
              <w:spacing w:after="0" w:line="240" w:lineRule="auto"/>
              <w:jc w:val="center"/>
              <w:rPr>
                <w:rFonts w:ascii="Calibri" w:hAnsi="Calibri"/>
                <w:sz w:val="20"/>
                <w:szCs w:val="20"/>
              </w:rPr>
            </w:pPr>
            <w:r w:rsidRPr="00330665">
              <w:rPr>
                <w:rFonts w:ascii="Calibri" w:hAnsi="Calibri"/>
                <w:sz w:val="20"/>
                <w:szCs w:val="20"/>
              </w:rPr>
              <w:t>3.6</w:t>
            </w:r>
            <w:r>
              <w:rPr>
                <w:rFonts w:ascii="Calibri" w:hAnsi="Calibri"/>
                <w:sz w:val="20"/>
                <w:szCs w:val="20"/>
              </w:rPr>
              <w:t>%</w:t>
            </w:r>
          </w:p>
        </w:tc>
        <w:tc>
          <w:tcPr>
            <w:tcW w:w="720" w:type="dxa"/>
            <w:tcBorders>
              <w:bottom w:val="single" w:sz="4" w:space="0" w:color="auto"/>
            </w:tcBorders>
            <w:shd w:val="clear" w:color="auto" w:fill="D9D9D9" w:themeFill="background1" w:themeFillShade="D9"/>
            <w:vAlign w:val="center"/>
          </w:tcPr>
          <w:p w:rsidR="007454C4" w:rsidRDefault="007454C4" w:rsidP="009D5584">
            <w:pPr>
              <w:spacing w:after="0" w:line="240" w:lineRule="auto"/>
              <w:jc w:val="center"/>
              <w:rPr>
                <w:rFonts w:ascii="Calibri" w:hAnsi="Calibri"/>
                <w:color w:val="000000"/>
                <w:sz w:val="20"/>
                <w:szCs w:val="20"/>
              </w:rPr>
            </w:pPr>
            <w:r>
              <w:rPr>
                <w:rFonts w:ascii="Calibri" w:hAnsi="Calibri"/>
                <w:color w:val="000000"/>
                <w:sz w:val="20"/>
                <w:szCs w:val="20"/>
              </w:rPr>
              <w:t>2.7%</w:t>
            </w:r>
          </w:p>
        </w:tc>
        <w:tc>
          <w:tcPr>
            <w:tcW w:w="720" w:type="dxa"/>
            <w:tcBorders>
              <w:bottom w:val="single" w:sz="4" w:space="0" w:color="auto"/>
            </w:tcBorders>
            <w:shd w:val="clear" w:color="auto" w:fill="D9D9D9" w:themeFill="background1" w:themeFillShade="D9"/>
            <w:vAlign w:val="center"/>
          </w:tcPr>
          <w:p w:rsidR="007454C4" w:rsidRDefault="007454C4" w:rsidP="009D5584">
            <w:pPr>
              <w:spacing w:after="0" w:line="240" w:lineRule="auto"/>
              <w:jc w:val="center"/>
              <w:rPr>
                <w:rFonts w:ascii="Calibri" w:hAnsi="Calibri"/>
                <w:color w:val="000000"/>
                <w:sz w:val="20"/>
                <w:szCs w:val="20"/>
              </w:rPr>
            </w:pPr>
            <w:r>
              <w:rPr>
                <w:rFonts w:ascii="Calibri" w:hAnsi="Calibri"/>
                <w:color w:val="000000"/>
                <w:sz w:val="20"/>
                <w:szCs w:val="20"/>
              </w:rPr>
              <w:t>2.0%</w:t>
            </w:r>
          </w:p>
        </w:tc>
        <w:tc>
          <w:tcPr>
            <w:tcW w:w="720" w:type="dxa"/>
            <w:tcBorders>
              <w:bottom w:val="single" w:sz="4" w:space="0" w:color="auto"/>
            </w:tcBorders>
            <w:shd w:val="clear" w:color="auto" w:fill="D9D9D9" w:themeFill="background1" w:themeFillShade="D9"/>
            <w:vAlign w:val="center"/>
          </w:tcPr>
          <w:p w:rsidR="007454C4" w:rsidRPr="000E708E" w:rsidRDefault="007454C4" w:rsidP="009D5584">
            <w:pPr>
              <w:spacing w:after="0" w:line="240" w:lineRule="auto"/>
              <w:jc w:val="center"/>
              <w:rPr>
                <w:rFonts w:ascii="Calibri" w:hAnsi="Calibri"/>
                <w:sz w:val="20"/>
                <w:szCs w:val="20"/>
              </w:rPr>
            </w:pPr>
            <w:r w:rsidRPr="000E708E">
              <w:rPr>
                <w:rFonts w:ascii="Calibri" w:hAnsi="Calibri"/>
                <w:sz w:val="20"/>
                <w:szCs w:val="20"/>
              </w:rPr>
              <w:t>2.5%</w:t>
            </w:r>
          </w:p>
        </w:tc>
        <w:tc>
          <w:tcPr>
            <w:tcW w:w="1170" w:type="dxa"/>
            <w:tcBorders>
              <w:bottom w:val="single" w:sz="4" w:space="0" w:color="auto"/>
            </w:tcBorders>
            <w:shd w:val="clear" w:color="auto" w:fill="D9D9D9" w:themeFill="background1" w:themeFillShade="D9"/>
            <w:vAlign w:val="center"/>
          </w:tcPr>
          <w:p w:rsidR="007454C4" w:rsidRPr="004B73B0" w:rsidRDefault="007454C4" w:rsidP="009D5584">
            <w:pPr>
              <w:spacing w:after="0" w:line="240" w:lineRule="auto"/>
              <w:jc w:val="center"/>
              <w:rPr>
                <w:rFonts w:ascii="Calibri" w:hAnsi="Calibri"/>
                <w:sz w:val="20"/>
                <w:szCs w:val="20"/>
              </w:rPr>
            </w:pPr>
            <w:r w:rsidRPr="004B73B0">
              <w:rPr>
                <w:rFonts w:ascii="Calibri" w:hAnsi="Calibri"/>
                <w:sz w:val="20"/>
                <w:szCs w:val="20"/>
              </w:rPr>
              <w:t>-1.1</w:t>
            </w:r>
          </w:p>
        </w:tc>
        <w:tc>
          <w:tcPr>
            <w:tcW w:w="990" w:type="dxa"/>
            <w:tcBorders>
              <w:bottom w:val="single" w:sz="4" w:space="0" w:color="auto"/>
            </w:tcBorders>
            <w:shd w:val="clear" w:color="auto" w:fill="D9D9D9" w:themeFill="background1" w:themeFillShade="D9"/>
            <w:vAlign w:val="center"/>
          </w:tcPr>
          <w:p w:rsidR="007454C4" w:rsidRPr="004B73B0" w:rsidRDefault="007454C4" w:rsidP="009D5584">
            <w:pPr>
              <w:spacing w:after="0" w:line="240" w:lineRule="auto"/>
              <w:jc w:val="center"/>
              <w:rPr>
                <w:rFonts w:ascii="Calibri" w:hAnsi="Calibri"/>
                <w:sz w:val="20"/>
                <w:szCs w:val="20"/>
              </w:rPr>
            </w:pPr>
            <w:r w:rsidRPr="004B73B0">
              <w:rPr>
                <w:rFonts w:ascii="Calibri" w:hAnsi="Calibri"/>
                <w:sz w:val="20"/>
                <w:szCs w:val="20"/>
              </w:rPr>
              <w:t>-30.5%</w:t>
            </w:r>
          </w:p>
        </w:tc>
        <w:tc>
          <w:tcPr>
            <w:tcW w:w="1170" w:type="dxa"/>
            <w:tcBorders>
              <w:bottom w:val="single" w:sz="4" w:space="0" w:color="auto"/>
            </w:tcBorders>
            <w:shd w:val="clear" w:color="auto" w:fill="D9D9D9" w:themeFill="background1" w:themeFillShade="D9"/>
            <w:vAlign w:val="center"/>
          </w:tcPr>
          <w:p w:rsidR="007454C4" w:rsidRPr="00B12FD8" w:rsidRDefault="007454C4" w:rsidP="009D5584">
            <w:pPr>
              <w:spacing w:after="0" w:line="240" w:lineRule="auto"/>
              <w:jc w:val="center"/>
              <w:rPr>
                <w:rFonts w:ascii="Calibri" w:hAnsi="Calibri"/>
                <w:sz w:val="20"/>
                <w:szCs w:val="20"/>
              </w:rPr>
            </w:pPr>
            <w:r w:rsidRPr="00B12FD8">
              <w:rPr>
                <w:rFonts w:ascii="Calibri" w:hAnsi="Calibri"/>
                <w:sz w:val="20"/>
                <w:szCs w:val="20"/>
              </w:rPr>
              <w:t>0.5</w:t>
            </w:r>
          </w:p>
        </w:tc>
        <w:tc>
          <w:tcPr>
            <w:tcW w:w="900" w:type="dxa"/>
            <w:tcBorders>
              <w:bottom w:val="single" w:sz="4" w:space="0" w:color="auto"/>
            </w:tcBorders>
            <w:shd w:val="clear" w:color="auto" w:fill="D9D9D9" w:themeFill="background1" w:themeFillShade="D9"/>
            <w:vAlign w:val="center"/>
          </w:tcPr>
          <w:p w:rsidR="007454C4" w:rsidRPr="00D41B06" w:rsidRDefault="007454C4" w:rsidP="009D5584">
            <w:pPr>
              <w:spacing w:after="0" w:line="240" w:lineRule="auto"/>
              <w:jc w:val="center"/>
              <w:rPr>
                <w:rFonts w:ascii="Calibri" w:hAnsi="Calibri"/>
                <w:sz w:val="20"/>
                <w:szCs w:val="20"/>
              </w:rPr>
            </w:pPr>
            <w:r w:rsidRPr="00D41B06">
              <w:rPr>
                <w:rFonts w:ascii="Calibri" w:hAnsi="Calibri"/>
                <w:sz w:val="20"/>
                <w:szCs w:val="20"/>
              </w:rPr>
              <w:t>25.0%</w:t>
            </w:r>
          </w:p>
        </w:tc>
        <w:tc>
          <w:tcPr>
            <w:tcW w:w="810" w:type="dxa"/>
            <w:tcBorders>
              <w:bottom w:val="single" w:sz="4" w:space="0" w:color="auto"/>
            </w:tcBorders>
            <w:shd w:val="clear" w:color="auto" w:fill="D9D9D9" w:themeFill="background1" w:themeFillShade="D9"/>
            <w:vAlign w:val="center"/>
          </w:tcPr>
          <w:p w:rsidR="007454C4" w:rsidRPr="004B73B0" w:rsidRDefault="007454C4" w:rsidP="009D5584">
            <w:pPr>
              <w:spacing w:after="0" w:line="240" w:lineRule="auto"/>
              <w:jc w:val="center"/>
              <w:rPr>
                <w:rFonts w:ascii="Calibri" w:hAnsi="Calibri"/>
                <w:sz w:val="20"/>
                <w:szCs w:val="20"/>
              </w:rPr>
            </w:pPr>
            <w:r w:rsidRPr="004B73B0">
              <w:rPr>
                <w:rFonts w:ascii="Calibri" w:hAnsi="Calibri"/>
                <w:sz w:val="20"/>
                <w:szCs w:val="20"/>
              </w:rPr>
              <w:t>3.1%</w:t>
            </w:r>
          </w:p>
        </w:tc>
      </w:tr>
      <w:tr w:rsidR="007454C4" w:rsidRPr="009066CB" w:rsidTr="009D5584">
        <w:tc>
          <w:tcPr>
            <w:tcW w:w="1260" w:type="dxa"/>
            <w:tcBorders>
              <w:bottom w:val="single" w:sz="4" w:space="0" w:color="auto"/>
            </w:tcBorders>
          </w:tcPr>
          <w:p w:rsidR="007454C4" w:rsidRPr="00330665" w:rsidRDefault="007454C4" w:rsidP="009D5584">
            <w:pPr>
              <w:spacing w:after="0" w:line="240" w:lineRule="auto"/>
              <w:rPr>
                <w:rFonts w:ascii="Calibri" w:eastAsia="Times New Roman" w:hAnsi="Calibri" w:cs="Times New Roman"/>
                <w:sz w:val="20"/>
                <w:szCs w:val="20"/>
              </w:rPr>
            </w:pPr>
            <w:r w:rsidRPr="00330665">
              <w:rPr>
                <w:rFonts w:ascii="Calibri" w:eastAsia="Times New Roman" w:hAnsi="Calibri" w:cs="Times New Roman"/>
                <w:sz w:val="20"/>
                <w:szCs w:val="20"/>
              </w:rPr>
              <w:t>ELL</w:t>
            </w:r>
          </w:p>
        </w:tc>
        <w:tc>
          <w:tcPr>
            <w:tcW w:w="720" w:type="dxa"/>
            <w:tcBorders>
              <w:bottom w:val="single" w:sz="4" w:space="0" w:color="auto"/>
            </w:tcBorders>
            <w:vAlign w:val="center"/>
          </w:tcPr>
          <w:p w:rsidR="007454C4" w:rsidRPr="00330665" w:rsidRDefault="007454C4" w:rsidP="009D5584">
            <w:pPr>
              <w:spacing w:after="0" w:line="240" w:lineRule="auto"/>
              <w:jc w:val="center"/>
              <w:rPr>
                <w:rFonts w:ascii="Calibri" w:hAnsi="Calibri"/>
                <w:sz w:val="20"/>
                <w:szCs w:val="20"/>
              </w:rPr>
            </w:pPr>
            <w:r w:rsidRPr="00330665">
              <w:rPr>
                <w:rFonts w:ascii="Calibri" w:hAnsi="Calibri"/>
                <w:sz w:val="20"/>
                <w:szCs w:val="20"/>
              </w:rPr>
              <w:t>4.3</w:t>
            </w:r>
            <w:r>
              <w:rPr>
                <w:rFonts w:ascii="Calibri" w:hAnsi="Calibri"/>
                <w:sz w:val="20"/>
                <w:szCs w:val="20"/>
              </w:rPr>
              <w:t>%</w:t>
            </w:r>
          </w:p>
        </w:tc>
        <w:tc>
          <w:tcPr>
            <w:tcW w:w="720" w:type="dxa"/>
            <w:tcBorders>
              <w:bottom w:val="single" w:sz="4" w:space="0" w:color="auto"/>
            </w:tcBorders>
            <w:vAlign w:val="center"/>
          </w:tcPr>
          <w:p w:rsidR="007454C4" w:rsidRDefault="007454C4" w:rsidP="009D5584">
            <w:pPr>
              <w:spacing w:after="0" w:line="240" w:lineRule="auto"/>
              <w:jc w:val="center"/>
              <w:rPr>
                <w:rFonts w:ascii="Calibri" w:hAnsi="Calibri"/>
                <w:color w:val="000000"/>
                <w:sz w:val="20"/>
                <w:szCs w:val="20"/>
              </w:rPr>
            </w:pPr>
            <w:r>
              <w:rPr>
                <w:rFonts w:ascii="Calibri" w:hAnsi="Calibri"/>
                <w:color w:val="000000"/>
                <w:sz w:val="20"/>
                <w:szCs w:val="20"/>
              </w:rPr>
              <w:t>3.3%</w:t>
            </w:r>
          </w:p>
        </w:tc>
        <w:tc>
          <w:tcPr>
            <w:tcW w:w="720" w:type="dxa"/>
            <w:tcBorders>
              <w:bottom w:val="single" w:sz="4" w:space="0" w:color="auto"/>
            </w:tcBorders>
            <w:vAlign w:val="center"/>
          </w:tcPr>
          <w:p w:rsidR="007454C4" w:rsidRDefault="007454C4" w:rsidP="009D5584">
            <w:pPr>
              <w:spacing w:after="0" w:line="240" w:lineRule="auto"/>
              <w:jc w:val="center"/>
              <w:rPr>
                <w:rFonts w:ascii="Calibri" w:hAnsi="Calibri"/>
                <w:color w:val="000000"/>
                <w:sz w:val="20"/>
                <w:szCs w:val="20"/>
              </w:rPr>
            </w:pPr>
            <w:r>
              <w:rPr>
                <w:rFonts w:ascii="Calibri" w:hAnsi="Calibri"/>
                <w:color w:val="000000"/>
                <w:sz w:val="20"/>
                <w:szCs w:val="20"/>
              </w:rPr>
              <w:t>1.9%</w:t>
            </w:r>
          </w:p>
        </w:tc>
        <w:tc>
          <w:tcPr>
            <w:tcW w:w="720" w:type="dxa"/>
            <w:tcBorders>
              <w:bottom w:val="single" w:sz="4" w:space="0" w:color="auto"/>
            </w:tcBorders>
            <w:vAlign w:val="center"/>
          </w:tcPr>
          <w:p w:rsidR="007454C4" w:rsidRPr="000E708E" w:rsidRDefault="007454C4" w:rsidP="009D5584">
            <w:pPr>
              <w:spacing w:after="0" w:line="240" w:lineRule="auto"/>
              <w:jc w:val="center"/>
              <w:rPr>
                <w:rFonts w:ascii="Calibri" w:hAnsi="Calibri"/>
                <w:sz w:val="20"/>
                <w:szCs w:val="20"/>
              </w:rPr>
            </w:pPr>
            <w:r w:rsidRPr="000E708E">
              <w:rPr>
                <w:rFonts w:ascii="Calibri" w:hAnsi="Calibri"/>
                <w:sz w:val="20"/>
                <w:szCs w:val="20"/>
              </w:rPr>
              <w:t>2.7%</w:t>
            </w:r>
          </w:p>
        </w:tc>
        <w:tc>
          <w:tcPr>
            <w:tcW w:w="1170" w:type="dxa"/>
            <w:tcBorders>
              <w:bottom w:val="single" w:sz="4" w:space="0" w:color="auto"/>
            </w:tcBorders>
            <w:vAlign w:val="center"/>
          </w:tcPr>
          <w:p w:rsidR="007454C4" w:rsidRPr="004B73B0" w:rsidRDefault="007454C4" w:rsidP="009D5584">
            <w:pPr>
              <w:spacing w:after="0" w:line="240" w:lineRule="auto"/>
              <w:jc w:val="center"/>
              <w:rPr>
                <w:rFonts w:ascii="Calibri" w:hAnsi="Calibri"/>
                <w:sz w:val="20"/>
                <w:szCs w:val="20"/>
              </w:rPr>
            </w:pPr>
            <w:r w:rsidRPr="004B73B0">
              <w:rPr>
                <w:rFonts w:ascii="Calibri" w:hAnsi="Calibri"/>
                <w:sz w:val="20"/>
                <w:szCs w:val="20"/>
              </w:rPr>
              <w:t>-1.6</w:t>
            </w:r>
          </w:p>
        </w:tc>
        <w:tc>
          <w:tcPr>
            <w:tcW w:w="990" w:type="dxa"/>
            <w:tcBorders>
              <w:bottom w:val="single" w:sz="4" w:space="0" w:color="auto"/>
            </w:tcBorders>
            <w:shd w:val="clear" w:color="auto" w:fill="auto"/>
            <w:vAlign w:val="center"/>
          </w:tcPr>
          <w:p w:rsidR="007454C4" w:rsidRPr="004B73B0" w:rsidRDefault="007454C4" w:rsidP="009D5584">
            <w:pPr>
              <w:spacing w:after="0" w:line="240" w:lineRule="auto"/>
              <w:jc w:val="center"/>
              <w:rPr>
                <w:rFonts w:ascii="Calibri" w:hAnsi="Calibri"/>
                <w:sz w:val="20"/>
                <w:szCs w:val="20"/>
              </w:rPr>
            </w:pPr>
            <w:r w:rsidRPr="004B73B0">
              <w:rPr>
                <w:rFonts w:ascii="Calibri" w:hAnsi="Calibri"/>
                <w:sz w:val="20"/>
                <w:szCs w:val="20"/>
              </w:rPr>
              <w:t>-37.2</w:t>
            </w:r>
          </w:p>
        </w:tc>
        <w:tc>
          <w:tcPr>
            <w:tcW w:w="1170" w:type="dxa"/>
            <w:tcBorders>
              <w:bottom w:val="single" w:sz="4" w:space="0" w:color="auto"/>
            </w:tcBorders>
            <w:shd w:val="clear" w:color="auto" w:fill="FFFFFF" w:themeFill="background1"/>
            <w:vAlign w:val="center"/>
          </w:tcPr>
          <w:p w:rsidR="007454C4" w:rsidRPr="00B12FD8" w:rsidRDefault="007454C4" w:rsidP="009D5584">
            <w:pPr>
              <w:spacing w:after="0" w:line="240" w:lineRule="auto"/>
              <w:jc w:val="center"/>
              <w:rPr>
                <w:rFonts w:ascii="Calibri" w:hAnsi="Calibri"/>
                <w:sz w:val="20"/>
                <w:szCs w:val="20"/>
              </w:rPr>
            </w:pPr>
            <w:r w:rsidRPr="00B12FD8">
              <w:rPr>
                <w:rFonts w:ascii="Calibri" w:hAnsi="Calibri"/>
                <w:sz w:val="20"/>
                <w:szCs w:val="20"/>
              </w:rPr>
              <w:t>0.8</w:t>
            </w:r>
          </w:p>
        </w:tc>
        <w:tc>
          <w:tcPr>
            <w:tcW w:w="900" w:type="dxa"/>
            <w:tcBorders>
              <w:bottom w:val="single" w:sz="4" w:space="0" w:color="auto"/>
            </w:tcBorders>
            <w:shd w:val="clear" w:color="auto" w:fill="auto"/>
            <w:vAlign w:val="center"/>
          </w:tcPr>
          <w:p w:rsidR="007454C4" w:rsidRPr="00D41B06" w:rsidRDefault="007454C4" w:rsidP="009D5584">
            <w:pPr>
              <w:spacing w:after="0" w:line="240" w:lineRule="auto"/>
              <w:jc w:val="center"/>
              <w:rPr>
                <w:rFonts w:ascii="Calibri" w:hAnsi="Calibri"/>
                <w:sz w:val="20"/>
                <w:szCs w:val="20"/>
              </w:rPr>
            </w:pPr>
            <w:r w:rsidRPr="00D41B06">
              <w:rPr>
                <w:rFonts w:ascii="Calibri" w:hAnsi="Calibri"/>
                <w:sz w:val="20"/>
                <w:szCs w:val="20"/>
              </w:rPr>
              <w:t>42.1%</w:t>
            </w:r>
          </w:p>
        </w:tc>
        <w:tc>
          <w:tcPr>
            <w:tcW w:w="810" w:type="dxa"/>
            <w:tcBorders>
              <w:bottom w:val="single" w:sz="4" w:space="0" w:color="auto"/>
            </w:tcBorders>
            <w:vAlign w:val="center"/>
          </w:tcPr>
          <w:p w:rsidR="007454C4" w:rsidRPr="004B73B0" w:rsidRDefault="007454C4" w:rsidP="009D5584">
            <w:pPr>
              <w:spacing w:after="0" w:line="240" w:lineRule="auto"/>
              <w:jc w:val="center"/>
              <w:rPr>
                <w:rFonts w:ascii="Calibri" w:hAnsi="Calibri"/>
                <w:sz w:val="20"/>
                <w:szCs w:val="20"/>
              </w:rPr>
            </w:pPr>
            <w:r w:rsidRPr="004B73B0">
              <w:rPr>
                <w:rFonts w:ascii="Calibri" w:hAnsi="Calibri"/>
                <w:sz w:val="20"/>
                <w:szCs w:val="20"/>
              </w:rPr>
              <w:t>6.6%</w:t>
            </w:r>
          </w:p>
        </w:tc>
      </w:tr>
      <w:tr w:rsidR="007454C4" w:rsidRPr="004B73B0" w:rsidTr="009D5584">
        <w:tc>
          <w:tcPr>
            <w:tcW w:w="1260" w:type="dxa"/>
            <w:tcBorders>
              <w:bottom w:val="single" w:sz="4" w:space="0" w:color="auto"/>
            </w:tcBorders>
            <w:shd w:val="clear" w:color="auto" w:fill="D9D9D9" w:themeFill="background1" w:themeFillShade="D9"/>
          </w:tcPr>
          <w:p w:rsidR="007454C4" w:rsidRPr="00330665" w:rsidRDefault="007454C4" w:rsidP="009D5584">
            <w:pPr>
              <w:spacing w:after="0" w:line="240" w:lineRule="auto"/>
              <w:rPr>
                <w:rFonts w:ascii="Calibri" w:eastAsia="Times New Roman" w:hAnsi="Calibri" w:cs="Times New Roman"/>
                <w:sz w:val="20"/>
                <w:szCs w:val="20"/>
              </w:rPr>
            </w:pPr>
            <w:r w:rsidRPr="00330665">
              <w:rPr>
                <w:rFonts w:ascii="Calibri" w:eastAsia="Times New Roman" w:hAnsi="Calibri" w:cs="Times New Roman"/>
                <w:sz w:val="20"/>
                <w:szCs w:val="20"/>
              </w:rPr>
              <w:t>All students</w:t>
            </w:r>
          </w:p>
        </w:tc>
        <w:tc>
          <w:tcPr>
            <w:tcW w:w="720" w:type="dxa"/>
            <w:tcBorders>
              <w:bottom w:val="single" w:sz="4" w:space="0" w:color="auto"/>
            </w:tcBorders>
            <w:shd w:val="clear" w:color="auto" w:fill="D9D9D9" w:themeFill="background1" w:themeFillShade="D9"/>
            <w:vAlign w:val="center"/>
          </w:tcPr>
          <w:p w:rsidR="007454C4" w:rsidRPr="00330665" w:rsidRDefault="007454C4" w:rsidP="009D5584">
            <w:pPr>
              <w:spacing w:after="0" w:line="240" w:lineRule="auto"/>
              <w:jc w:val="center"/>
              <w:rPr>
                <w:rFonts w:ascii="Calibri" w:hAnsi="Calibri"/>
                <w:sz w:val="20"/>
                <w:szCs w:val="20"/>
              </w:rPr>
            </w:pPr>
            <w:r w:rsidRPr="00330665">
              <w:rPr>
                <w:rFonts w:ascii="Calibri" w:hAnsi="Calibri"/>
                <w:sz w:val="20"/>
                <w:szCs w:val="20"/>
              </w:rPr>
              <w:t>3.4</w:t>
            </w:r>
            <w:r>
              <w:rPr>
                <w:rFonts w:ascii="Calibri" w:hAnsi="Calibri"/>
                <w:sz w:val="20"/>
                <w:szCs w:val="20"/>
              </w:rPr>
              <w:t>%</w:t>
            </w:r>
          </w:p>
        </w:tc>
        <w:tc>
          <w:tcPr>
            <w:tcW w:w="720" w:type="dxa"/>
            <w:tcBorders>
              <w:bottom w:val="single" w:sz="4" w:space="0" w:color="auto"/>
            </w:tcBorders>
            <w:shd w:val="clear" w:color="auto" w:fill="D9D9D9" w:themeFill="background1" w:themeFillShade="D9"/>
            <w:vAlign w:val="center"/>
          </w:tcPr>
          <w:p w:rsidR="007454C4" w:rsidRDefault="007454C4" w:rsidP="009D5584">
            <w:pPr>
              <w:spacing w:after="0" w:line="240" w:lineRule="auto"/>
              <w:jc w:val="center"/>
              <w:rPr>
                <w:rFonts w:ascii="Calibri" w:hAnsi="Calibri"/>
                <w:color w:val="000000"/>
                <w:sz w:val="20"/>
                <w:szCs w:val="20"/>
              </w:rPr>
            </w:pPr>
            <w:r>
              <w:rPr>
                <w:rFonts w:ascii="Calibri" w:hAnsi="Calibri"/>
                <w:color w:val="000000"/>
                <w:sz w:val="20"/>
                <w:szCs w:val="20"/>
              </w:rPr>
              <w:t>2.4%</w:t>
            </w:r>
          </w:p>
        </w:tc>
        <w:tc>
          <w:tcPr>
            <w:tcW w:w="720" w:type="dxa"/>
            <w:tcBorders>
              <w:bottom w:val="single" w:sz="4" w:space="0" w:color="auto"/>
            </w:tcBorders>
            <w:shd w:val="clear" w:color="auto" w:fill="D9D9D9" w:themeFill="background1" w:themeFillShade="D9"/>
            <w:vAlign w:val="center"/>
          </w:tcPr>
          <w:p w:rsidR="007454C4" w:rsidRDefault="007454C4" w:rsidP="009D5584">
            <w:pPr>
              <w:spacing w:after="0" w:line="240" w:lineRule="auto"/>
              <w:jc w:val="center"/>
              <w:rPr>
                <w:rFonts w:ascii="Calibri" w:hAnsi="Calibri"/>
                <w:color w:val="000000"/>
                <w:sz w:val="20"/>
                <w:szCs w:val="20"/>
              </w:rPr>
            </w:pPr>
            <w:r>
              <w:rPr>
                <w:rFonts w:ascii="Calibri" w:hAnsi="Calibri"/>
                <w:color w:val="000000"/>
                <w:sz w:val="20"/>
                <w:szCs w:val="20"/>
              </w:rPr>
              <w:t>1.7%</w:t>
            </w:r>
          </w:p>
        </w:tc>
        <w:tc>
          <w:tcPr>
            <w:tcW w:w="720" w:type="dxa"/>
            <w:tcBorders>
              <w:bottom w:val="single" w:sz="4" w:space="0" w:color="auto"/>
            </w:tcBorders>
            <w:shd w:val="clear" w:color="auto" w:fill="D9D9D9" w:themeFill="background1" w:themeFillShade="D9"/>
            <w:vAlign w:val="center"/>
          </w:tcPr>
          <w:p w:rsidR="007454C4" w:rsidRPr="000E708E" w:rsidRDefault="007454C4" w:rsidP="009D5584">
            <w:pPr>
              <w:spacing w:after="0" w:line="240" w:lineRule="auto"/>
              <w:jc w:val="center"/>
              <w:rPr>
                <w:rFonts w:ascii="Calibri" w:hAnsi="Calibri"/>
                <w:sz w:val="20"/>
                <w:szCs w:val="20"/>
              </w:rPr>
            </w:pPr>
            <w:r w:rsidRPr="000E708E">
              <w:rPr>
                <w:rFonts w:ascii="Calibri" w:hAnsi="Calibri"/>
                <w:sz w:val="20"/>
                <w:szCs w:val="20"/>
              </w:rPr>
              <w:t>1.9%</w:t>
            </w:r>
          </w:p>
        </w:tc>
        <w:tc>
          <w:tcPr>
            <w:tcW w:w="1170" w:type="dxa"/>
            <w:tcBorders>
              <w:bottom w:val="single" w:sz="4" w:space="0" w:color="auto"/>
            </w:tcBorders>
            <w:shd w:val="clear" w:color="auto" w:fill="D9D9D9" w:themeFill="background1" w:themeFillShade="D9"/>
            <w:vAlign w:val="center"/>
          </w:tcPr>
          <w:p w:rsidR="007454C4" w:rsidRPr="004B73B0" w:rsidRDefault="007454C4" w:rsidP="009D5584">
            <w:pPr>
              <w:spacing w:after="0" w:line="240" w:lineRule="auto"/>
              <w:jc w:val="center"/>
              <w:rPr>
                <w:rFonts w:ascii="Calibri" w:hAnsi="Calibri"/>
                <w:sz w:val="20"/>
                <w:szCs w:val="20"/>
              </w:rPr>
            </w:pPr>
            <w:r w:rsidRPr="004B73B0">
              <w:rPr>
                <w:rFonts w:ascii="Calibri" w:hAnsi="Calibri"/>
                <w:sz w:val="20"/>
                <w:szCs w:val="20"/>
              </w:rPr>
              <w:t>-1.5</w:t>
            </w:r>
          </w:p>
        </w:tc>
        <w:tc>
          <w:tcPr>
            <w:tcW w:w="990" w:type="dxa"/>
            <w:tcBorders>
              <w:bottom w:val="single" w:sz="4" w:space="0" w:color="auto"/>
            </w:tcBorders>
            <w:shd w:val="clear" w:color="auto" w:fill="D9D9D9" w:themeFill="background1" w:themeFillShade="D9"/>
            <w:vAlign w:val="center"/>
          </w:tcPr>
          <w:p w:rsidR="007454C4" w:rsidRPr="004B73B0" w:rsidRDefault="007454C4" w:rsidP="009D5584">
            <w:pPr>
              <w:spacing w:after="0" w:line="240" w:lineRule="auto"/>
              <w:jc w:val="center"/>
              <w:rPr>
                <w:rFonts w:ascii="Calibri" w:hAnsi="Calibri"/>
                <w:sz w:val="20"/>
                <w:szCs w:val="20"/>
              </w:rPr>
            </w:pPr>
            <w:r w:rsidRPr="004B73B0">
              <w:rPr>
                <w:rFonts w:ascii="Calibri" w:hAnsi="Calibri"/>
                <w:sz w:val="20"/>
                <w:szCs w:val="20"/>
              </w:rPr>
              <w:t>-44.1%</w:t>
            </w:r>
          </w:p>
        </w:tc>
        <w:tc>
          <w:tcPr>
            <w:tcW w:w="1170" w:type="dxa"/>
            <w:tcBorders>
              <w:bottom w:val="single" w:sz="4" w:space="0" w:color="auto"/>
            </w:tcBorders>
            <w:shd w:val="clear" w:color="auto" w:fill="D9D9D9" w:themeFill="background1" w:themeFillShade="D9"/>
            <w:vAlign w:val="center"/>
          </w:tcPr>
          <w:p w:rsidR="007454C4" w:rsidRPr="00B12FD8" w:rsidRDefault="007454C4" w:rsidP="009D5584">
            <w:pPr>
              <w:spacing w:after="0" w:line="240" w:lineRule="auto"/>
              <w:jc w:val="center"/>
              <w:rPr>
                <w:rFonts w:ascii="Calibri" w:hAnsi="Calibri"/>
                <w:sz w:val="20"/>
                <w:szCs w:val="20"/>
              </w:rPr>
            </w:pPr>
            <w:r w:rsidRPr="00B12FD8">
              <w:rPr>
                <w:rFonts w:ascii="Calibri" w:hAnsi="Calibri"/>
                <w:sz w:val="20"/>
                <w:szCs w:val="20"/>
              </w:rPr>
              <w:t>0.2</w:t>
            </w:r>
          </w:p>
        </w:tc>
        <w:tc>
          <w:tcPr>
            <w:tcW w:w="900" w:type="dxa"/>
            <w:tcBorders>
              <w:bottom w:val="single" w:sz="4" w:space="0" w:color="auto"/>
            </w:tcBorders>
            <w:shd w:val="clear" w:color="auto" w:fill="D9D9D9" w:themeFill="background1" w:themeFillShade="D9"/>
            <w:vAlign w:val="center"/>
          </w:tcPr>
          <w:p w:rsidR="007454C4" w:rsidRPr="00D41B06" w:rsidRDefault="007454C4" w:rsidP="009D5584">
            <w:pPr>
              <w:spacing w:after="0" w:line="240" w:lineRule="auto"/>
              <w:jc w:val="center"/>
              <w:rPr>
                <w:rFonts w:ascii="Calibri" w:hAnsi="Calibri"/>
                <w:sz w:val="20"/>
                <w:szCs w:val="20"/>
              </w:rPr>
            </w:pPr>
            <w:r w:rsidRPr="00D41B06">
              <w:rPr>
                <w:rFonts w:ascii="Calibri" w:hAnsi="Calibri"/>
                <w:sz w:val="20"/>
                <w:szCs w:val="20"/>
              </w:rPr>
              <w:t>11.8%</w:t>
            </w:r>
          </w:p>
        </w:tc>
        <w:tc>
          <w:tcPr>
            <w:tcW w:w="810" w:type="dxa"/>
            <w:tcBorders>
              <w:bottom w:val="single" w:sz="4" w:space="0" w:color="auto"/>
            </w:tcBorders>
            <w:shd w:val="clear" w:color="auto" w:fill="D9D9D9" w:themeFill="background1" w:themeFillShade="D9"/>
            <w:vAlign w:val="center"/>
          </w:tcPr>
          <w:p w:rsidR="007454C4" w:rsidRPr="004B73B0" w:rsidRDefault="007454C4" w:rsidP="009D5584">
            <w:pPr>
              <w:spacing w:after="0" w:line="240" w:lineRule="auto"/>
              <w:jc w:val="center"/>
              <w:rPr>
                <w:rFonts w:ascii="Calibri" w:hAnsi="Calibri"/>
                <w:sz w:val="20"/>
                <w:szCs w:val="20"/>
              </w:rPr>
            </w:pPr>
            <w:r w:rsidRPr="004B73B0">
              <w:rPr>
                <w:rFonts w:ascii="Calibri" w:hAnsi="Calibri"/>
                <w:sz w:val="20"/>
                <w:szCs w:val="20"/>
              </w:rPr>
              <w:t>1.9%</w:t>
            </w:r>
          </w:p>
        </w:tc>
      </w:tr>
      <w:tr w:rsidR="007454C4" w:rsidRPr="00330665" w:rsidTr="009D5584">
        <w:trPr>
          <w:trHeight w:val="1232"/>
        </w:trPr>
        <w:tc>
          <w:tcPr>
            <w:tcW w:w="9180" w:type="dxa"/>
            <w:gridSpan w:val="10"/>
            <w:tcBorders>
              <w:left w:val="nil"/>
              <w:bottom w:val="nil"/>
              <w:right w:val="nil"/>
            </w:tcBorders>
          </w:tcPr>
          <w:p w:rsidR="007454C4" w:rsidRPr="00330665" w:rsidRDefault="007454C4" w:rsidP="009D5584">
            <w:pPr>
              <w:spacing w:after="0" w:line="240" w:lineRule="auto"/>
              <w:rPr>
                <w:rFonts w:ascii="Calibri" w:eastAsia="Times New Roman" w:hAnsi="Calibri" w:cs="Times New Roman"/>
                <w:sz w:val="20"/>
                <w:szCs w:val="20"/>
              </w:rPr>
            </w:pPr>
            <w:r w:rsidRPr="00330665">
              <w:rPr>
                <w:rFonts w:ascii="Calibri" w:eastAsia="Times New Roman" w:hAnsi="Calibri" w:cs="Times New Roman"/>
                <w:kern w:val="28"/>
                <w:sz w:val="20"/>
                <w:szCs w:val="20"/>
              </w:rPr>
              <w:t xml:space="preserve">Notes: </w:t>
            </w:r>
            <w:r w:rsidRPr="00330665">
              <w:rPr>
                <w:rFonts w:ascii="Calibri" w:eastAsia="Times New Roman" w:hAnsi="Calibri" w:cs="Times New Roman"/>
                <w:bCs/>
                <w:kern w:val="28"/>
                <w:sz w:val="20"/>
                <w:szCs w:val="20"/>
              </w:rPr>
              <w:t>The annual drop-out rate is calculated by dividing the number of students who drop out over a one-year period by the October 1 grade 9–12 enrollment, multiplied by 100. Drop outs are those students who dropped out of school between July 1 and June 30 of a given year and who did not return to school, graduate, or receive a high school equivalency by the following October 1. Drop-out rates have been rounded; percent change is based on unrounded numbers</w:t>
            </w:r>
            <w:r w:rsidRPr="00330665">
              <w:rPr>
                <w:rFonts w:ascii="Calibri" w:eastAsia="Times New Roman" w:hAnsi="Calibri" w:cs="Times New Roman"/>
                <w:bCs/>
                <w:sz w:val="20"/>
                <w:szCs w:val="20"/>
              </w:rPr>
              <w:t>.</w:t>
            </w:r>
          </w:p>
        </w:tc>
      </w:tr>
    </w:tbl>
    <w:p w:rsidR="007454C4" w:rsidRPr="00D41B06" w:rsidRDefault="007454C4" w:rsidP="007454C4">
      <w:pPr>
        <w:spacing w:after="0" w:line="240" w:lineRule="auto"/>
        <w:rPr>
          <w:rFonts w:ascii="Calibri" w:eastAsia="Times New Roman" w:hAnsi="Calibri" w:cs="Times New Roman"/>
          <w:sz w:val="20"/>
          <w:szCs w:val="20"/>
        </w:rPr>
      </w:pPr>
    </w:p>
    <w:p w:rsidR="007454C4" w:rsidRPr="00D41B06" w:rsidRDefault="007454C4" w:rsidP="007454C4">
      <w:pPr>
        <w:spacing w:after="0" w:line="240" w:lineRule="auto"/>
        <w:rPr>
          <w:rFonts w:ascii="Calibri" w:eastAsia="Times New Roman" w:hAnsi="Calibri" w:cs="Times New Roman"/>
          <w:sz w:val="20"/>
          <w:szCs w:val="20"/>
        </w:rPr>
      </w:pPr>
    </w:p>
    <w:p w:rsidR="007454C4" w:rsidRPr="00D41B06" w:rsidRDefault="007454C4" w:rsidP="007454C4">
      <w:pPr>
        <w:spacing w:after="0" w:line="240" w:lineRule="auto"/>
        <w:rPr>
          <w:rFonts w:ascii="Calibri" w:eastAsia="Times New Roman" w:hAnsi="Calibri" w:cs="Times New Roman"/>
          <w:sz w:val="20"/>
          <w:szCs w:val="20"/>
        </w:rPr>
      </w:pPr>
    </w:p>
    <w:p w:rsidR="007454C4" w:rsidRPr="00D41B06" w:rsidRDefault="007454C4" w:rsidP="007454C4">
      <w:pPr>
        <w:spacing w:after="0" w:line="240" w:lineRule="auto"/>
        <w:rPr>
          <w:rFonts w:ascii="Calibri" w:eastAsia="Times New Roman" w:hAnsi="Calibri" w:cs="Times New Roman"/>
          <w:sz w:val="20"/>
          <w:szCs w:val="20"/>
        </w:rPr>
      </w:pPr>
    </w:p>
    <w:p w:rsidR="007454C4" w:rsidRPr="00D41B06" w:rsidRDefault="007454C4" w:rsidP="007454C4">
      <w:pPr>
        <w:spacing w:after="0" w:line="240" w:lineRule="auto"/>
        <w:rPr>
          <w:rFonts w:ascii="Calibri" w:eastAsia="Times New Roman" w:hAnsi="Calibri" w:cs="Times New Roman"/>
          <w:sz w:val="20"/>
          <w:szCs w:val="20"/>
        </w:rPr>
      </w:pPr>
    </w:p>
    <w:p w:rsidR="007454C4" w:rsidRPr="00D41B06" w:rsidRDefault="007454C4" w:rsidP="007454C4">
      <w:pPr>
        <w:spacing w:after="0" w:line="240" w:lineRule="auto"/>
        <w:rPr>
          <w:rFonts w:ascii="Calibri" w:eastAsia="Times New Roman" w:hAnsi="Calibri" w:cs="Times New Roman"/>
          <w:sz w:val="20"/>
          <w:szCs w:val="20"/>
        </w:rPr>
      </w:pPr>
    </w:p>
    <w:p w:rsidR="007454C4" w:rsidRPr="00D41B06" w:rsidRDefault="007454C4" w:rsidP="007454C4">
      <w:pPr>
        <w:spacing w:after="0" w:line="240" w:lineRule="auto"/>
        <w:rPr>
          <w:rFonts w:ascii="Calibri" w:eastAsia="Times New Roman" w:hAnsi="Calibri" w:cs="Times New Roman"/>
          <w:sz w:val="20"/>
          <w:szCs w:val="20"/>
        </w:rPr>
      </w:pPr>
    </w:p>
    <w:p w:rsidR="007454C4" w:rsidRPr="00D41B06" w:rsidRDefault="007454C4" w:rsidP="007454C4">
      <w:pPr>
        <w:spacing w:after="0"/>
        <w:jc w:val="center"/>
        <w:rPr>
          <w:rFonts w:ascii="Calibri" w:eastAsia="Calibri" w:hAnsi="Calibri" w:cs="Times New Roman"/>
          <w:sz w:val="20"/>
        </w:rPr>
      </w:pPr>
    </w:p>
    <w:p w:rsidR="007454C4" w:rsidRPr="00D41B06" w:rsidRDefault="007454C4" w:rsidP="007454C4">
      <w:pPr>
        <w:spacing w:after="0"/>
        <w:jc w:val="center"/>
        <w:rPr>
          <w:rFonts w:ascii="Calibri" w:eastAsia="Calibri" w:hAnsi="Calibri" w:cs="Times New Roman"/>
          <w:b/>
          <w:sz w:val="20"/>
        </w:rPr>
      </w:pPr>
      <w:r w:rsidRPr="00D41B06">
        <w:rPr>
          <w:rFonts w:ascii="Calibri" w:eastAsia="Calibri" w:hAnsi="Calibri" w:cs="Times New Roman"/>
          <w:b/>
          <w:sz w:val="20"/>
        </w:rPr>
        <w:t xml:space="preserve">Table </w:t>
      </w:r>
      <w:r w:rsidR="002F368B" w:rsidRPr="00D41B06">
        <w:rPr>
          <w:rFonts w:ascii="Calibri" w:eastAsia="Calibri" w:hAnsi="Calibri" w:cs="Times New Roman"/>
          <w:b/>
          <w:sz w:val="20"/>
        </w:rPr>
        <w:t>B</w:t>
      </w:r>
      <w:r w:rsidR="00923109">
        <w:rPr>
          <w:rFonts w:ascii="Calibri" w:eastAsia="Calibri" w:hAnsi="Calibri" w:cs="Times New Roman"/>
          <w:b/>
          <w:sz w:val="20"/>
        </w:rPr>
        <w:t>9</w:t>
      </w:r>
      <w:r w:rsidRPr="00D41B06">
        <w:rPr>
          <w:rFonts w:ascii="Calibri" w:eastAsia="Calibri" w:hAnsi="Calibri" w:cs="Times New Roman"/>
          <w:b/>
          <w:sz w:val="20"/>
        </w:rPr>
        <w:t>: Worcester Public Schools</w:t>
      </w:r>
    </w:p>
    <w:p w:rsidR="007454C4" w:rsidRPr="00D41B06" w:rsidRDefault="007454C4" w:rsidP="007454C4">
      <w:pPr>
        <w:spacing w:after="0" w:line="240" w:lineRule="auto"/>
        <w:jc w:val="center"/>
        <w:rPr>
          <w:rFonts w:ascii="Times New Roman" w:eastAsia="Times New Roman" w:hAnsi="Times New Roman" w:cs="Times New Roman"/>
          <w:kern w:val="28"/>
          <w:sz w:val="24"/>
          <w:szCs w:val="24"/>
        </w:rPr>
      </w:pPr>
      <w:r w:rsidRPr="00D41B06">
        <w:rPr>
          <w:rFonts w:ascii="Calibri" w:eastAsia="Calibri" w:hAnsi="Calibri" w:cs="Times New Roman"/>
          <w:b/>
          <w:sz w:val="20"/>
        </w:rPr>
        <w:t>Attendance Rates, 2013–2016</w:t>
      </w:r>
    </w:p>
    <w:tbl>
      <w:tblPr>
        <w:tblStyle w:val="TableGrid"/>
        <w:tblW w:w="9180" w:type="dxa"/>
        <w:tblInd w:w="-162" w:type="dxa"/>
        <w:tblLayout w:type="fixed"/>
        <w:tblLook w:val="04A0"/>
      </w:tblPr>
      <w:tblGrid>
        <w:gridCol w:w="1260"/>
        <w:gridCol w:w="720"/>
        <w:gridCol w:w="720"/>
        <w:gridCol w:w="720"/>
        <w:gridCol w:w="720"/>
        <w:gridCol w:w="1170"/>
        <w:gridCol w:w="990"/>
        <w:gridCol w:w="1170"/>
        <w:gridCol w:w="900"/>
        <w:gridCol w:w="810"/>
      </w:tblGrid>
      <w:tr w:rsidR="007454C4" w:rsidRPr="00D41B06" w:rsidTr="009D5584">
        <w:tc>
          <w:tcPr>
            <w:tcW w:w="1260" w:type="dxa"/>
            <w:vMerge w:val="restart"/>
            <w:vAlign w:val="center"/>
          </w:tcPr>
          <w:p w:rsidR="007454C4" w:rsidRPr="00D41B06" w:rsidRDefault="007454C4" w:rsidP="009D5584">
            <w:pPr>
              <w:spacing w:after="0" w:line="240" w:lineRule="auto"/>
              <w:jc w:val="center"/>
              <w:rPr>
                <w:rFonts w:ascii="Calibri" w:eastAsia="Times New Roman" w:hAnsi="Calibri" w:cs="Times New Roman"/>
                <w:b/>
                <w:sz w:val="20"/>
                <w:szCs w:val="20"/>
              </w:rPr>
            </w:pPr>
            <w:r w:rsidRPr="00D41B06">
              <w:rPr>
                <w:rFonts w:ascii="Calibri" w:eastAsia="Times New Roman" w:hAnsi="Calibri" w:cs="Times New Roman"/>
                <w:b/>
                <w:sz w:val="20"/>
                <w:szCs w:val="20"/>
              </w:rPr>
              <w:t>Group</w:t>
            </w:r>
          </w:p>
        </w:tc>
        <w:tc>
          <w:tcPr>
            <w:tcW w:w="2880" w:type="dxa"/>
            <w:gridSpan w:val="4"/>
          </w:tcPr>
          <w:p w:rsidR="007454C4" w:rsidRPr="00D41B06" w:rsidRDefault="007454C4" w:rsidP="009D5584">
            <w:pPr>
              <w:spacing w:after="0" w:line="240" w:lineRule="auto"/>
              <w:jc w:val="center"/>
              <w:rPr>
                <w:rFonts w:ascii="Calibri" w:eastAsia="Times New Roman" w:hAnsi="Calibri" w:cs="Times New Roman"/>
                <w:b/>
                <w:sz w:val="20"/>
                <w:szCs w:val="20"/>
              </w:rPr>
            </w:pPr>
            <w:r w:rsidRPr="00D41B06">
              <w:rPr>
                <w:rFonts w:ascii="Calibri" w:eastAsia="Times New Roman" w:hAnsi="Calibri" w:cs="Times New Roman"/>
                <w:b/>
                <w:sz w:val="20"/>
                <w:szCs w:val="20"/>
              </w:rPr>
              <w:t>School Year Ending</w:t>
            </w:r>
          </w:p>
        </w:tc>
        <w:tc>
          <w:tcPr>
            <w:tcW w:w="2160" w:type="dxa"/>
            <w:gridSpan w:val="2"/>
          </w:tcPr>
          <w:p w:rsidR="007454C4" w:rsidRPr="00D41B06" w:rsidRDefault="007454C4" w:rsidP="009D5584">
            <w:pPr>
              <w:spacing w:after="0" w:line="240" w:lineRule="auto"/>
              <w:rPr>
                <w:rFonts w:ascii="Calibri" w:eastAsia="Times New Roman" w:hAnsi="Calibri" w:cs="Times New Roman"/>
                <w:b/>
                <w:sz w:val="20"/>
                <w:szCs w:val="20"/>
              </w:rPr>
            </w:pPr>
            <w:r w:rsidRPr="00D41B06">
              <w:rPr>
                <w:rFonts w:ascii="Calibri" w:eastAsia="Times New Roman" w:hAnsi="Calibri" w:cs="Times New Roman"/>
                <w:b/>
                <w:sz w:val="20"/>
                <w:szCs w:val="20"/>
              </w:rPr>
              <w:t>Change 2013–2016</w:t>
            </w:r>
          </w:p>
        </w:tc>
        <w:tc>
          <w:tcPr>
            <w:tcW w:w="2070" w:type="dxa"/>
            <w:gridSpan w:val="2"/>
          </w:tcPr>
          <w:p w:rsidR="007454C4" w:rsidRPr="00D41B06" w:rsidRDefault="007454C4" w:rsidP="009D5584">
            <w:pPr>
              <w:spacing w:after="0" w:line="240" w:lineRule="auto"/>
              <w:rPr>
                <w:rFonts w:ascii="Calibri" w:eastAsia="Times New Roman" w:hAnsi="Calibri" w:cs="Times New Roman"/>
                <w:b/>
                <w:sz w:val="20"/>
                <w:szCs w:val="20"/>
              </w:rPr>
            </w:pPr>
            <w:r w:rsidRPr="00D41B06">
              <w:rPr>
                <w:rFonts w:ascii="Calibri" w:eastAsia="Times New Roman" w:hAnsi="Calibri" w:cs="Times New Roman"/>
                <w:b/>
                <w:sz w:val="20"/>
                <w:szCs w:val="20"/>
              </w:rPr>
              <w:t>Change 2015–2016</w:t>
            </w:r>
          </w:p>
        </w:tc>
        <w:tc>
          <w:tcPr>
            <w:tcW w:w="810" w:type="dxa"/>
            <w:vMerge w:val="restart"/>
            <w:vAlign w:val="center"/>
          </w:tcPr>
          <w:p w:rsidR="007454C4" w:rsidRPr="00D41B06" w:rsidRDefault="007454C4" w:rsidP="009D5584">
            <w:pPr>
              <w:spacing w:after="0" w:line="240" w:lineRule="auto"/>
              <w:jc w:val="center"/>
              <w:rPr>
                <w:rFonts w:ascii="Calibri" w:eastAsia="Times New Roman" w:hAnsi="Calibri" w:cs="Times New Roman"/>
                <w:b/>
                <w:sz w:val="20"/>
                <w:szCs w:val="20"/>
              </w:rPr>
            </w:pPr>
            <w:r w:rsidRPr="00D41B06">
              <w:rPr>
                <w:rFonts w:ascii="Calibri" w:eastAsia="Times New Roman" w:hAnsi="Calibri" w:cs="Times New Roman"/>
                <w:b/>
                <w:sz w:val="20"/>
                <w:szCs w:val="20"/>
              </w:rPr>
              <w:t>State (2016)</w:t>
            </w:r>
          </w:p>
        </w:tc>
      </w:tr>
      <w:tr w:rsidR="007454C4" w:rsidRPr="00D41B06" w:rsidTr="009D5584">
        <w:tc>
          <w:tcPr>
            <w:tcW w:w="1260" w:type="dxa"/>
            <w:vMerge/>
          </w:tcPr>
          <w:p w:rsidR="007454C4" w:rsidRPr="00D41B06" w:rsidRDefault="007454C4" w:rsidP="009D5584">
            <w:pPr>
              <w:spacing w:after="0" w:line="240" w:lineRule="auto"/>
              <w:rPr>
                <w:rFonts w:ascii="Calibri" w:eastAsia="Times New Roman" w:hAnsi="Calibri" w:cs="Times New Roman"/>
                <w:sz w:val="20"/>
                <w:szCs w:val="20"/>
              </w:rPr>
            </w:pPr>
          </w:p>
        </w:tc>
        <w:tc>
          <w:tcPr>
            <w:tcW w:w="720" w:type="dxa"/>
            <w:vAlign w:val="center"/>
          </w:tcPr>
          <w:p w:rsidR="007454C4" w:rsidRPr="00D41B06" w:rsidRDefault="007454C4" w:rsidP="009D5584">
            <w:pPr>
              <w:spacing w:after="0" w:line="240" w:lineRule="auto"/>
              <w:jc w:val="center"/>
              <w:rPr>
                <w:rFonts w:ascii="Calibri" w:eastAsia="Times New Roman" w:hAnsi="Calibri" w:cs="Times New Roman"/>
                <w:b/>
                <w:sz w:val="20"/>
                <w:szCs w:val="20"/>
              </w:rPr>
            </w:pPr>
            <w:r w:rsidRPr="00D41B06">
              <w:rPr>
                <w:rFonts w:ascii="Calibri" w:eastAsia="Times New Roman" w:hAnsi="Calibri" w:cs="Times New Roman"/>
                <w:b/>
                <w:sz w:val="20"/>
                <w:szCs w:val="20"/>
              </w:rPr>
              <w:t>2013</w:t>
            </w:r>
          </w:p>
        </w:tc>
        <w:tc>
          <w:tcPr>
            <w:tcW w:w="720" w:type="dxa"/>
            <w:vAlign w:val="center"/>
          </w:tcPr>
          <w:p w:rsidR="007454C4" w:rsidRPr="00D41B06" w:rsidRDefault="007454C4" w:rsidP="009D5584">
            <w:pPr>
              <w:spacing w:after="0" w:line="240" w:lineRule="auto"/>
              <w:jc w:val="center"/>
              <w:rPr>
                <w:rFonts w:ascii="Calibri" w:eastAsia="Times New Roman" w:hAnsi="Calibri" w:cs="Times New Roman"/>
                <w:b/>
                <w:sz w:val="20"/>
                <w:szCs w:val="20"/>
              </w:rPr>
            </w:pPr>
            <w:r w:rsidRPr="00D41B06">
              <w:rPr>
                <w:rFonts w:ascii="Calibri" w:eastAsia="Times New Roman" w:hAnsi="Calibri" w:cs="Times New Roman"/>
                <w:b/>
                <w:sz w:val="20"/>
                <w:szCs w:val="20"/>
              </w:rPr>
              <w:t>2014</w:t>
            </w:r>
          </w:p>
        </w:tc>
        <w:tc>
          <w:tcPr>
            <w:tcW w:w="720" w:type="dxa"/>
            <w:vAlign w:val="center"/>
          </w:tcPr>
          <w:p w:rsidR="007454C4" w:rsidRPr="00D41B06" w:rsidRDefault="007454C4" w:rsidP="009D5584">
            <w:pPr>
              <w:spacing w:after="0" w:line="240" w:lineRule="auto"/>
              <w:jc w:val="center"/>
              <w:rPr>
                <w:rFonts w:ascii="Calibri" w:eastAsia="Times New Roman" w:hAnsi="Calibri" w:cs="Times New Roman"/>
                <w:b/>
                <w:sz w:val="20"/>
                <w:szCs w:val="20"/>
              </w:rPr>
            </w:pPr>
            <w:r w:rsidRPr="00D41B06">
              <w:rPr>
                <w:rFonts w:ascii="Calibri" w:eastAsia="Times New Roman" w:hAnsi="Calibri" w:cs="Times New Roman"/>
                <w:b/>
                <w:sz w:val="20"/>
                <w:szCs w:val="20"/>
              </w:rPr>
              <w:t>2015</w:t>
            </w:r>
          </w:p>
        </w:tc>
        <w:tc>
          <w:tcPr>
            <w:tcW w:w="720" w:type="dxa"/>
            <w:vAlign w:val="center"/>
          </w:tcPr>
          <w:p w:rsidR="007454C4" w:rsidRPr="00D41B06" w:rsidRDefault="007454C4" w:rsidP="009D5584">
            <w:pPr>
              <w:spacing w:after="0" w:line="240" w:lineRule="auto"/>
              <w:jc w:val="center"/>
              <w:rPr>
                <w:rFonts w:ascii="Calibri" w:eastAsia="Times New Roman" w:hAnsi="Calibri" w:cs="Times New Roman"/>
                <w:b/>
                <w:sz w:val="20"/>
                <w:szCs w:val="20"/>
              </w:rPr>
            </w:pPr>
            <w:r w:rsidRPr="00D41B06">
              <w:rPr>
                <w:rFonts w:ascii="Calibri" w:eastAsia="Times New Roman" w:hAnsi="Calibri" w:cs="Times New Roman"/>
                <w:b/>
                <w:sz w:val="20"/>
                <w:szCs w:val="20"/>
              </w:rPr>
              <w:t>2016</w:t>
            </w:r>
          </w:p>
        </w:tc>
        <w:tc>
          <w:tcPr>
            <w:tcW w:w="1170" w:type="dxa"/>
            <w:vAlign w:val="center"/>
          </w:tcPr>
          <w:p w:rsidR="007454C4" w:rsidRPr="00D41B06" w:rsidRDefault="007454C4" w:rsidP="009D5584">
            <w:pPr>
              <w:spacing w:after="0" w:line="240" w:lineRule="auto"/>
              <w:jc w:val="center"/>
              <w:rPr>
                <w:rFonts w:ascii="Calibri" w:eastAsia="Times New Roman" w:hAnsi="Calibri" w:cs="Times New Roman"/>
                <w:b/>
                <w:sz w:val="20"/>
                <w:szCs w:val="20"/>
              </w:rPr>
            </w:pPr>
            <w:r w:rsidRPr="00D41B06">
              <w:rPr>
                <w:rFonts w:ascii="Calibri" w:eastAsia="Times New Roman" w:hAnsi="Calibri" w:cs="Times New Roman"/>
                <w:b/>
                <w:sz w:val="20"/>
                <w:szCs w:val="20"/>
              </w:rPr>
              <w:t>Percentage Points</w:t>
            </w:r>
          </w:p>
        </w:tc>
        <w:tc>
          <w:tcPr>
            <w:tcW w:w="990" w:type="dxa"/>
            <w:tcBorders>
              <w:bottom w:val="single" w:sz="4" w:space="0" w:color="auto"/>
            </w:tcBorders>
            <w:vAlign w:val="center"/>
          </w:tcPr>
          <w:p w:rsidR="007454C4" w:rsidRPr="00D41B06" w:rsidRDefault="007454C4" w:rsidP="009D5584">
            <w:pPr>
              <w:spacing w:after="0" w:line="240" w:lineRule="auto"/>
              <w:jc w:val="center"/>
              <w:rPr>
                <w:rFonts w:ascii="Calibri" w:eastAsia="Times New Roman" w:hAnsi="Calibri" w:cs="Times New Roman"/>
                <w:b/>
                <w:sz w:val="20"/>
                <w:szCs w:val="20"/>
              </w:rPr>
            </w:pPr>
            <w:r w:rsidRPr="00D41B06">
              <w:rPr>
                <w:rFonts w:ascii="Calibri" w:eastAsia="Times New Roman" w:hAnsi="Calibri" w:cs="Times New Roman"/>
                <w:b/>
                <w:sz w:val="20"/>
                <w:szCs w:val="20"/>
              </w:rPr>
              <w:t>Percent Change</w:t>
            </w:r>
          </w:p>
        </w:tc>
        <w:tc>
          <w:tcPr>
            <w:tcW w:w="1170" w:type="dxa"/>
            <w:tcBorders>
              <w:bottom w:val="single" w:sz="4" w:space="0" w:color="auto"/>
            </w:tcBorders>
            <w:shd w:val="clear" w:color="auto" w:fill="FFFFFF" w:themeFill="background1"/>
            <w:vAlign w:val="center"/>
          </w:tcPr>
          <w:p w:rsidR="007454C4" w:rsidRPr="00D41B06" w:rsidRDefault="007454C4" w:rsidP="009D5584">
            <w:pPr>
              <w:spacing w:after="0" w:line="240" w:lineRule="auto"/>
              <w:jc w:val="center"/>
              <w:rPr>
                <w:rFonts w:ascii="Calibri" w:eastAsia="Times New Roman" w:hAnsi="Calibri" w:cs="Times New Roman"/>
                <w:b/>
                <w:sz w:val="20"/>
                <w:szCs w:val="20"/>
              </w:rPr>
            </w:pPr>
            <w:r w:rsidRPr="00D41B06">
              <w:rPr>
                <w:rFonts w:ascii="Calibri" w:eastAsia="Times New Roman" w:hAnsi="Calibri" w:cs="Times New Roman"/>
                <w:b/>
                <w:sz w:val="20"/>
                <w:szCs w:val="20"/>
              </w:rPr>
              <w:t>Percentage Points</w:t>
            </w:r>
          </w:p>
        </w:tc>
        <w:tc>
          <w:tcPr>
            <w:tcW w:w="900" w:type="dxa"/>
            <w:tcBorders>
              <w:bottom w:val="single" w:sz="4" w:space="0" w:color="auto"/>
            </w:tcBorders>
            <w:vAlign w:val="center"/>
          </w:tcPr>
          <w:p w:rsidR="007454C4" w:rsidRPr="00D41B06" w:rsidRDefault="007454C4" w:rsidP="009D5584">
            <w:pPr>
              <w:spacing w:after="0" w:line="240" w:lineRule="auto"/>
              <w:jc w:val="center"/>
              <w:rPr>
                <w:rFonts w:ascii="Calibri" w:eastAsia="Times New Roman" w:hAnsi="Calibri" w:cs="Times New Roman"/>
                <w:b/>
                <w:sz w:val="20"/>
                <w:szCs w:val="20"/>
              </w:rPr>
            </w:pPr>
            <w:r w:rsidRPr="00D41B06">
              <w:rPr>
                <w:rFonts w:ascii="Calibri" w:eastAsia="Times New Roman" w:hAnsi="Calibri" w:cs="Times New Roman"/>
                <w:b/>
                <w:sz w:val="20"/>
                <w:szCs w:val="20"/>
              </w:rPr>
              <w:t>Percent Change</w:t>
            </w:r>
          </w:p>
        </w:tc>
        <w:tc>
          <w:tcPr>
            <w:tcW w:w="810" w:type="dxa"/>
            <w:vMerge/>
          </w:tcPr>
          <w:p w:rsidR="007454C4" w:rsidRPr="00D41B06" w:rsidRDefault="007454C4" w:rsidP="009D5584">
            <w:pPr>
              <w:spacing w:after="0" w:line="240" w:lineRule="auto"/>
              <w:rPr>
                <w:rFonts w:ascii="Calibri" w:eastAsia="Times New Roman" w:hAnsi="Calibri" w:cs="Times New Roman"/>
                <w:sz w:val="20"/>
                <w:szCs w:val="20"/>
              </w:rPr>
            </w:pPr>
          </w:p>
        </w:tc>
      </w:tr>
      <w:tr w:rsidR="007454C4" w:rsidRPr="00D41B06" w:rsidTr="009D5584">
        <w:tc>
          <w:tcPr>
            <w:tcW w:w="1260" w:type="dxa"/>
            <w:tcBorders>
              <w:bottom w:val="single" w:sz="4" w:space="0" w:color="auto"/>
            </w:tcBorders>
            <w:shd w:val="clear" w:color="auto" w:fill="D9D9D9" w:themeFill="background1" w:themeFillShade="D9"/>
          </w:tcPr>
          <w:p w:rsidR="007454C4" w:rsidRPr="00D41B06" w:rsidRDefault="007454C4" w:rsidP="009D5584">
            <w:pPr>
              <w:spacing w:after="0" w:line="240" w:lineRule="auto"/>
              <w:rPr>
                <w:rFonts w:ascii="Calibri" w:eastAsia="Times New Roman" w:hAnsi="Calibri" w:cs="Times New Roman"/>
                <w:sz w:val="20"/>
                <w:szCs w:val="20"/>
              </w:rPr>
            </w:pPr>
            <w:r w:rsidRPr="00D41B06">
              <w:rPr>
                <w:rFonts w:ascii="Calibri" w:eastAsia="Times New Roman" w:hAnsi="Calibri" w:cs="Times New Roman"/>
                <w:sz w:val="20"/>
                <w:szCs w:val="20"/>
              </w:rPr>
              <w:t>All students</w:t>
            </w:r>
          </w:p>
        </w:tc>
        <w:tc>
          <w:tcPr>
            <w:tcW w:w="720" w:type="dxa"/>
            <w:tcBorders>
              <w:bottom w:val="single" w:sz="4" w:space="0" w:color="auto"/>
            </w:tcBorders>
            <w:shd w:val="clear" w:color="auto" w:fill="D9D9D9" w:themeFill="background1" w:themeFillShade="D9"/>
            <w:vAlign w:val="bottom"/>
          </w:tcPr>
          <w:p w:rsidR="007454C4" w:rsidRPr="00D41B06" w:rsidRDefault="007454C4" w:rsidP="009D5584">
            <w:pPr>
              <w:spacing w:after="0" w:line="240" w:lineRule="auto"/>
              <w:jc w:val="center"/>
              <w:rPr>
                <w:rFonts w:ascii="Calibri" w:eastAsia="Times New Roman" w:hAnsi="Calibri" w:cs="Times New Roman"/>
                <w:sz w:val="20"/>
                <w:szCs w:val="20"/>
              </w:rPr>
            </w:pPr>
            <w:r w:rsidRPr="00D41B06">
              <w:rPr>
                <w:rFonts w:ascii="Calibri" w:eastAsia="Times New Roman" w:hAnsi="Calibri" w:cs="Times New Roman"/>
                <w:sz w:val="20"/>
                <w:szCs w:val="20"/>
              </w:rPr>
              <w:t>95.1%</w:t>
            </w:r>
          </w:p>
        </w:tc>
        <w:tc>
          <w:tcPr>
            <w:tcW w:w="720" w:type="dxa"/>
            <w:tcBorders>
              <w:bottom w:val="single" w:sz="4" w:space="0" w:color="auto"/>
            </w:tcBorders>
            <w:shd w:val="clear" w:color="auto" w:fill="D9D9D9" w:themeFill="background1" w:themeFillShade="D9"/>
            <w:vAlign w:val="bottom"/>
          </w:tcPr>
          <w:p w:rsidR="007454C4" w:rsidRPr="00D41B06" w:rsidRDefault="007454C4" w:rsidP="009D5584">
            <w:pPr>
              <w:spacing w:after="0" w:line="240" w:lineRule="auto"/>
              <w:jc w:val="center"/>
              <w:rPr>
                <w:rFonts w:ascii="Calibri" w:eastAsia="Times New Roman" w:hAnsi="Calibri" w:cs="Times New Roman"/>
                <w:sz w:val="20"/>
                <w:szCs w:val="20"/>
              </w:rPr>
            </w:pPr>
            <w:r w:rsidRPr="00D41B06">
              <w:rPr>
                <w:rFonts w:ascii="Calibri" w:eastAsia="Times New Roman" w:hAnsi="Calibri" w:cs="Times New Roman"/>
                <w:sz w:val="20"/>
                <w:szCs w:val="20"/>
              </w:rPr>
              <w:t>94.5%</w:t>
            </w:r>
          </w:p>
        </w:tc>
        <w:tc>
          <w:tcPr>
            <w:tcW w:w="720" w:type="dxa"/>
            <w:tcBorders>
              <w:bottom w:val="single" w:sz="4" w:space="0" w:color="auto"/>
            </w:tcBorders>
            <w:shd w:val="clear" w:color="auto" w:fill="D9D9D9" w:themeFill="background1" w:themeFillShade="D9"/>
            <w:vAlign w:val="bottom"/>
          </w:tcPr>
          <w:p w:rsidR="007454C4" w:rsidRPr="00D41B06" w:rsidRDefault="007454C4" w:rsidP="009D5584">
            <w:pPr>
              <w:spacing w:after="0" w:line="240" w:lineRule="auto"/>
              <w:jc w:val="center"/>
              <w:rPr>
                <w:rFonts w:ascii="Calibri" w:eastAsia="Times New Roman" w:hAnsi="Calibri" w:cs="Times New Roman"/>
                <w:sz w:val="20"/>
                <w:szCs w:val="20"/>
              </w:rPr>
            </w:pPr>
            <w:r w:rsidRPr="00D41B06">
              <w:rPr>
                <w:rFonts w:ascii="Calibri" w:eastAsia="Times New Roman" w:hAnsi="Calibri" w:cs="Times New Roman"/>
                <w:sz w:val="20"/>
                <w:szCs w:val="20"/>
              </w:rPr>
              <w:t>94.7%</w:t>
            </w:r>
          </w:p>
        </w:tc>
        <w:tc>
          <w:tcPr>
            <w:tcW w:w="720" w:type="dxa"/>
            <w:tcBorders>
              <w:bottom w:val="single" w:sz="4" w:space="0" w:color="auto"/>
            </w:tcBorders>
            <w:shd w:val="clear" w:color="auto" w:fill="D9D9D9" w:themeFill="background1" w:themeFillShade="D9"/>
            <w:vAlign w:val="bottom"/>
          </w:tcPr>
          <w:p w:rsidR="007454C4" w:rsidRPr="00D41B06" w:rsidRDefault="007454C4" w:rsidP="009D5584">
            <w:pPr>
              <w:spacing w:after="0" w:line="240" w:lineRule="auto"/>
              <w:jc w:val="center"/>
              <w:rPr>
                <w:rFonts w:ascii="Calibri" w:eastAsia="Times New Roman" w:hAnsi="Calibri" w:cs="Times New Roman"/>
                <w:sz w:val="20"/>
                <w:szCs w:val="20"/>
              </w:rPr>
            </w:pPr>
            <w:r w:rsidRPr="00D41B06">
              <w:rPr>
                <w:rFonts w:ascii="Calibri" w:eastAsia="Times New Roman" w:hAnsi="Calibri" w:cs="Times New Roman"/>
                <w:sz w:val="20"/>
                <w:szCs w:val="20"/>
              </w:rPr>
              <w:t>94.6%</w:t>
            </w:r>
          </w:p>
        </w:tc>
        <w:tc>
          <w:tcPr>
            <w:tcW w:w="1170" w:type="dxa"/>
            <w:tcBorders>
              <w:bottom w:val="single" w:sz="4" w:space="0" w:color="auto"/>
            </w:tcBorders>
            <w:shd w:val="clear" w:color="auto" w:fill="D9D9D9" w:themeFill="background1" w:themeFillShade="D9"/>
            <w:vAlign w:val="bottom"/>
          </w:tcPr>
          <w:p w:rsidR="007454C4" w:rsidRPr="00D41B06" w:rsidRDefault="007454C4" w:rsidP="009D5584">
            <w:pPr>
              <w:spacing w:after="0" w:line="240" w:lineRule="auto"/>
              <w:jc w:val="center"/>
              <w:rPr>
                <w:rFonts w:ascii="Calibri" w:eastAsia="Times New Roman" w:hAnsi="Calibri" w:cs="Times New Roman"/>
                <w:sz w:val="20"/>
                <w:szCs w:val="20"/>
              </w:rPr>
            </w:pPr>
            <w:r w:rsidRPr="00D41B06">
              <w:rPr>
                <w:rFonts w:ascii="Calibri" w:eastAsia="Times New Roman" w:hAnsi="Calibri" w:cs="Times New Roman"/>
                <w:sz w:val="20"/>
                <w:szCs w:val="20"/>
              </w:rPr>
              <w:t>0.5</w:t>
            </w:r>
          </w:p>
        </w:tc>
        <w:tc>
          <w:tcPr>
            <w:tcW w:w="990" w:type="dxa"/>
            <w:tcBorders>
              <w:bottom w:val="single" w:sz="4" w:space="0" w:color="auto"/>
            </w:tcBorders>
            <w:shd w:val="clear" w:color="auto" w:fill="D9D9D9" w:themeFill="background1" w:themeFillShade="D9"/>
            <w:vAlign w:val="bottom"/>
          </w:tcPr>
          <w:p w:rsidR="007454C4" w:rsidRPr="00D41B06" w:rsidRDefault="007454C4" w:rsidP="009D5584">
            <w:pPr>
              <w:spacing w:after="0" w:line="240" w:lineRule="auto"/>
              <w:jc w:val="center"/>
              <w:rPr>
                <w:rFonts w:ascii="Calibri" w:eastAsia="Times New Roman" w:hAnsi="Calibri" w:cs="Times New Roman"/>
                <w:sz w:val="20"/>
                <w:szCs w:val="20"/>
              </w:rPr>
            </w:pPr>
            <w:r w:rsidRPr="00D41B06">
              <w:rPr>
                <w:rFonts w:ascii="Calibri" w:eastAsia="Times New Roman" w:hAnsi="Calibri" w:cs="Times New Roman"/>
                <w:sz w:val="20"/>
                <w:szCs w:val="20"/>
              </w:rPr>
              <w:t>0.5%</w:t>
            </w:r>
          </w:p>
        </w:tc>
        <w:tc>
          <w:tcPr>
            <w:tcW w:w="1170" w:type="dxa"/>
            <w:tcBorders>
              <w:bottom w:val="single" w:sz="4" w:space="0" w:color="auto"/>
            </w:tcBorders>
            <w:shd w:val="clear" w:color="auto" w:fill="D9D9D9" w:themeFill="background1" w:themeFillShade="D9"/>
            <w:vAlign w:val="bottom"/>
          </w:tcPr>
          <w:p w:rsidR="007454C4" w:rsidRPr="00D41B06" w:rsidRDefault="007454C4" w:rsidP="009D5584">
            <w:pPr>
              <w:spacing w:after="0" w:line="240" w:lineRule="auto"/>
              <w:jc w:val="center"/>
              <w:rPr>
                <w:rFonts w:ascii="Calibri" w:eastAsia="Times New Roman" w:hAnsi="Calibri" w:cs="Times New Roman"/>
                <w:sz w:val="20"/>
                <w:szCs w:val="20"/>
              </w:rPr>
            </w:pPr>
            <w:r w:rsidRPr="00D41B06">
              <w:rPr>
                <w:rFonts w:ascii="Calibri" w:eastAsia="Times New Roman" w:hAnsi="Calibri" w:cs="Times New Roman"/>
                <w:sz w:val="20"/>
                <w:szCs w:val="20"/>
              </w:rPr>
              <w:t>0.4</w:t>
            </w:r>
          </w:p>
        </w:tc>
        <w:tc>
          <w:tcPr>
            <w:tcW w:w="900" w:type="dxa"/>
            <w:tcBorders>
              <w:bottom w:val="single" w:sz="4" w:space="0" w:color="auto"/>
            </w:tcBorders>
            <w:shd w:val="clear" w:color="auto" w:fill="D9D9D9" w:themeFill="background1" w:themeFillShade="D9"/>
            <w:vAlign w:val="bottom"/>
          </w:tcPr>
          <w:p w:rsidR="007454C4" w:rsidRPr="00D41B06" w:rsidRDefault="007454C4" w:rsidP="009D5584">
            <w:pPr>
              <w:spacing w:after="0" w:line="240" w:lineRule="auto"/>
              <w:jc w:val="center"/>
              <w:rPr>
                <w:rFonts w:ascii="Calibri" w:eastAsia="Times New Roman" w:hAnsi="Calibri" w:cs="Times New Roman"/>
                <w:sz w:val="20"/>
                <w:szCs w:val="20"/>
              </w:rPr>
            </w:pPr>
            <w:r w:rsidRPr="00D41B06">
              <w:rPr>
                <w:rFonts w:ascii="Calibri" w:eastAsia="Times New Roman" w:hAnsi="Calibri" w:cs="Times New Roman"/>
                <w:sz w:val="20"/>
                <w:szCs w:val="20"/>
              </w:rPr>
              <w:t>0.4%</w:t>
            </w:r>
          </w:p>
        </w:tc>
        <w:tc>
          <w:tcPr>
            <w:tcW w:w="810" w:type="dxa"/>
            <w:tcBorders>
              <w:bottom w:val="single" w:sz="4" w:space="0" w:color="auto"/>
            </w:tcBorders>
            <w:shd w:val="clear" w:color="auto" w:fill="D9D9D9" w:themeFill="background1" w:themeFillShade="D9"/>
            <w:vAlign w:val="bottom"/>
          </w:tcPr>
          <w:p w:rsidR="007454C4" w:rsidRPr="00D41B06" w:rsidRDefault="007454C4" w:rsidP="009D5584">
            <w:pPr>
              <w:spacing w:after="0" w:line="240" w:lineRule="auto"/>
              <w:jc w:val="center"/>
              <w:rPr>
                <w:rFonts w:ascii="Calibri" w:eastAsia="Times New Roman" w:hAnsi="Calibri" w:cs="Times New Roman"/>
                <w:sz w:val="20"/>
                <w:szCs w:val="20"/>
              </w:rPr>
            </w:pPr>
            <w:r w:rsidRPr="00D41B06">
              <w:rPr>
                <w:rFonts w:ascii="Calibri" w:eastAsia="Times New Roman" w:hAnsi="Calibri" w:cs="Times New Roman"/>
                <w:sz w:val="20"/>
                <w:szCs w:val="20"/>
              </w:rPr>
              <w:t>94.9%</w:t>
            </w:r>
          </w:p>
        </w:tc>
      </w:tr>
      <w:tr w:rsidR="007454C4" w:rsidRPr="00D41B06" w:rsidTr="009D5584">
        <w:tc>
          <w:tcPr>
            <w:tcW w:w="9180" w:type="dxa"/>
            <w:gridSpan w:val="10"/>
            <w:tcBorders>
              <w:left w:val="nil"/>
              <w:bottom w:val="nil"/>
              <w:right w:val="nil"/>
            </w:tcBorders>
          </w:tcPr>
          <w:p w:rsidR="007454C4" w:rsidRPr="00D41B06" w:rsidRDefault="007454C4" w:rsidP="009D5584">
            <w:pPr>
              <w:spacing w:after="0" w:line="240" w:lineRule="auto"/>
              <w:rPr>
                <w:rFonts w:ascii="Calibri" w:eastAsia="Times New Roman" w:hAnsi="Calibri" w:cs="Times New Roman"/>
                <w:sz w:val="20"/>
                <w:szCs w:val="20"/>
              </w:rPr>
            </w:pPr>
            <w:r w:rsidRPr="00D41B06">
              <w:rPr>
                <w:rFonts w:ascii="Calibri" w:eastAsia="Times New Roman" w:hAnsi="Calibri" w:cs="Times New Roman"/>
                <w:sz w:val="20"/>
                <w:szCs w:val="20"/>
              </w:rPr>
              <w:t xml:space="preserve">Notes: </w:t>
            </w:r>
            <w:r w:rsidRPr="00D41B06">
              <w:rPr>
                <w:rFonts w:ascii="Calibri" w:eastAsia="Times New Roman" w:hAnsi="Calibri" w:cs="Times New Roman"/>
                <w:bCs/>
                <w:sz w:val="20"/>
                <w:szCs w:val="20"/>
              </w:rPr>
              <w:t>The attendance rate is calculated by dividing the total number of days students attended school by the total number of days students were enrolled in a particular school year. A student’s attendance rate is counted toward any district the student attended. In addition, district attendance rates included students who were out placed in public collaborative or private alternative schools/programs at public expense. Attendance rates have been rounded; percent change is based on unrounded numbers.</w:t>
            </w:r>
          </w:p>
        </w:tc>
      </w:tr>
    </w:tbl>
    <w:p w:rsidR="002F1EBE" w:rsidRPr="00F04EDB" w:rsidRDefault="002F1EBE" w:rsidP="002F1EBE">
      <w:pPr>
        <w:spacing w:after="0" w:line="240" w:lineRule="auto"/>
        <w:rPr>
          <w:rFonts w:eastAsia="Times New Roman" w:cs="Times New Roman"/>
        </w:rPr>
      </w:pPr>
    </w:p>
    <w:p w:rsidR="002F1EBE" w:rsidRPr="00F04EDB" w:rsidRDefault="002F1EBE" w:rsidP="002F1EBE">
      <w:pPr>
        <w:spacing w:after="0" w:line="240" w:lineRule="auto"/>
        <w:rPr>
          <w:rFonts w:eastAsia="Times New Roman" w:cs="Times New Roman"/>
        </w:rPr>
      </w:pPr>
    </w:p>
    <w:p w:rsidR="00023C84" w:rsidRDefault="00023C84" w:rsidP="002F1EBE">
      <w:pPr>
        <w:spacing w:after="0"/>
        <w:jc w:val="center"/>
        <w:rPr>
          <w:rFonts w:eastAsia="Calibri" w:cs="Times New Roman"/>
          <w:color w:val="FF0000"/>
        </w:rPr>
        <w:sectPr w:rsidR="00023C84" w:rsidSect="004F40CF">
          <w:footerReference w:type="default" r:id="rId45"/>
          <w:pgSz w:w="12240" w:h="15840"/>
          <w:pgMar w:top="1440" w:right="1440" w:bottom="1440" w:left="1440" w:header="720" w:footer="720" w:gutter="0"/>
          <w:pgNumType w:start="1"/>
          <w:cols w:space="720"/>
          <w:docGrid w:linePitch="360"/>
        </w:sectPr>
      </w:pPr>
    </w:p>
    <w:p w:rsidR="00D47C8F" w:rsidRPr="00D41B06" w:rsidRDefault="00D47C8F" w:rsidP="00D47C8F">
      <w:pPr>
        <w:spacing w:after="0"/>
        <w:jc w:val="center"/>
        <w:rPr>
          <w:rFonts w:ascii="Calibri" w:eastAsia="Calibri" w:hAnsi="Calibri" w:cs="Times New Roman"/>
          <w:b/>
          <w:sz w:val="20"/>
        </w:rPr>
      </w:pPr>
      <w:r w:rsidRPr="00D41B06">
        <w:rPr>
          <w:rFonts w:ascii="Calibri" w:eastAsia="Calibri" w:hAnsi="Calibri" w:cs="Times New Roman"/>
          <w:b/>
          <w:sz w:val="20"/>
        </w:rPr>
        <w:t xml:space="preserve">Table </w:t>
      </w:r>
      <w:r w:rsidR="00555949" w:rsidRPr="00D41B06">
        <w:rPr>
          <w:rFonts w:ascii="Calibri" w:eastAsia="Calibri" w:hAnsi="Calibri" w:cs="Times New Roman"/>
          <w:b/>
          <w:sz w:val="20"/>
        </w:rPr>
        <w:t>B</w:t>
      </w:r>
      <w:r w:rsidR="00923109">
        <w:rPr>
          <w:rFonts w:ascii="Calibri" w:eastAsia="Calibri" w:hAnsi="Calibri" w:cs="Times New Roman"/>
          <w:b/>
          <w:sz w:val="20"/>
        </w:rPr>
        <w:t>10</w:t>
      </w:r>
      <w:r w:rsidRPr="00D41B06">
        <w:rPr>
          <w:rFonts w:ascii="Calibri" w:eastAsia="Calibri" w:hAnsi="Calibri" w:cs="Times New Roman"/>
          <w:b/>
          <w:sz w:val="20"/>
        </w:rPr>
        <w:t>: Worcester Public Schools</w:t>
      </w:r>
    </w:p>
    <w:p w:rsidR="00D47C8F" w:rsidRPr="00D41B06" w:rsidRDefault="00D47C8F" w:rsidP="00D47C8F">
      <w:pPr>
        <w:spacing w:after="0"/>
        <w:jc w:val="center"/>
        <w:rPr>
          <w:rFonts w:ascii="Calibri" w:eastAsia="Calibri" w:hAnsi="Calibri" w:cs="Times New Roman"/>
          <w:b/>
          <w:sz w:val="20"/>
        </w:rPr>
      </w:pPr>
      <w:r w:rsidRPr="00D41B06">
        <w:rPr>
          <w:rFonts w:ascii="Calibri" w:eastAsia="Calibri" w:hAnsi="Calibri" w:cs="Times New Roman"/>
          <w:b/>
          <w:sz w:val="20"/>
        </w:rPr>
        <w:t>Expenditures, Chapter 70 State Aid, and Net School Spending Fiscal Years 2014–2016</w:t>
      </w:r>
    </w:p>
    <w:tbl>
      <w:tblPr>
        <w:tblW w:w="11700"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
      <w:tblGrid>
        <w:gridCol w:w="3420"/>
        <w:gridCol w:w="1350"/>
        <w:gridCol w:w="70"/>
        <w:gridCol w:w="1290"/>
        <w:gridCol w:w="1287"/>
        <w:gridCol w:w="143"/>
        <w:gridCol w:w="1260"/>
        <w:gridCol w:w="90"/>
        <w:gridCol w:w="1260"/>
        <w:gridCol w:w="180"/>
        <w:gridCol w:w="1350"/>
      </w:tblGrid>
      <w:tr w:rsidR="00D47C8F" w:rsidRPr="00D41B06" w:rsidTr="0087052B">
        <w:trPr>
          <w:trHeight w:val="300"/>
        </w:trPr>
        <w:tc>
          <w:tcPr>
            <w:tcW w:w="3420" w:type="dxa"/>
            <w:tcBorders>
              <w:left w:val="single" w:sz="4" w:space="0" w:color="auto"/>
              <w:bottom w:val="single" w:sz="12" w:space="0" w:color="auto"/>
              <w:right w:val="single" w:sz="12" w:space="0" w:color="auto"/>
            </w:tcBorders>
            <w:noWrap/>
            <w:vAlign w:val="center"/>
          </w:tcPr>
          <w:p w:rsidR="00D47C8F" w:rsidRPr="00D41B06" w:rsidRDefault="00D47C8F" w:rsidP="0087052B">
            <w:pPr>
              <w:widowControl w:val="0"/>
              <w:overflowPunct w:val="0"/>
              <w:adjustRightInd w:val="0"/>
              <w:spacing w:after="0" w:line="240" w:lineRule="auto"/>
              <w:rPr>
                <w:rFonts w:ascii="Calibri" w:eastAsia="Times New Roman" w:hAnsi="Calibri" w:cs="Times New Roman"/>
                <w:kern w:val="28"/>
                <w:sz w:val="20"/>
                <w:szCs w:val="20"/>
              </w:rPr>
            </w:pPr>
            <w:r w:rsidRPr="00D41B06">
              <w:rPr>
                <w:rFonts w:ascii="Calibri" w:eastAsia="Times New Roman" w:hAnsi="Calibri" w:cs="Times New Roman"/>
                <w:kern w:val="28"/>
                <w:sz w:val="20"/>
                <w:szCs w:val="20"/>
              </w:rPr>
              <w:t> </w:t>
            </w:r>
          </w:p>
        </w:tc>
        <w:tc>
          <w:tcPr>
            <w:tcW w:w="2710" w:type="dxa"/>
            <w:gridSpan w:val="3"/>
            <w:tcBorders>
              <w:left w:val="single" w:sz="12" w:space="0" w:color="auto"/>
              <w:bottom w:val="single" w:sz="12" w:space="0" w:color="auto"/>
              <w:right w:val="single" w:sz="12" w:space="0" w:color="auto"/>
            </w:tcBorders>
            <w:noWrap/>
            <w:vAlign w:val="center"/>
          </w:tcPr>
          <w:p w:rsidR="00D47C8F" w:rsidRPr="00D41B06" w:rsidRDefault="00D47C8F" w:rsidP="0087052B">
            <w:pPr>
              <w:widowControl w:val="0"/>
              <w:overflowPunct w:val="0"/>
              <w:adjustRightInd w:val="0"/>
              <w:spacing w:after="0" w:line="240" w:lineRule="auto"/>
              <w:jc w:val="center"/>
              <w:rPr>
                <w:rFonts w:ascii="Calibri" w:eastAsia="Times New Roman" w:hAnsi="Calibri" w:cs="Times New Roman"/>
                <w:b/>
                <w:kern w:val="28"/>
                <w:sz w:val="20"/>
                <w:szCs w:val="20"/>
              </w:rPr>
            </w:pPr>
            <w:r w:rsidRPr="00D41B06">
              <w:rPr>
                <w:rFonts w:ascii="Calibri" w:eastAsia="Times New Roman" w:hAnsi="Calibri" w:cs="Times New Roman"/>
                <w:b/>
                <w:kern w:val="28"/>
                <w:sz w:val="20"/>
                <w:szCs w:val="20"/>
              </w:rPr>
              <w:t>FY14</w:t>
            </w:r>
          </w:p>
        </w:tc>
        <w:tc>
          <w:tcPr>
            <w:tcW w:w="2690" w:type="dxa"/>
            <w:gridSpan w:val="3"/>
            <w:tcBorders>
              <w:left w:val="single" w:sz="12" w:space="0" w:color="auto"/>
              <w:bottom w:val="single" w:sz="12" w:space="0" w:color="auto"/>
              <w:right w:val="single" w:sz="12" w:space="0" w:color="auto"/>
            </w:tcBorders>
            <w:noWrap/>
            <w:vAlign w:val="center"/>
          </w:tcPr>
          <w:p w:rsidR="00D47C8F" w:rsidRPr="00D41B06" w:rsidRDefault="00D47C8F" w:rsidP="0087052B">
            <w:pPr>
              <w:widowControl w:val="0"/>
              <w:overflowPunct w:val="0"/>
              <w:adjustRightInd w:val="0"/>
              <w:spacing w:after="0" w:line="240" w:lineRule="auto"/>
              <w:jc w:val="center"/>
              <w:rPr>
                <w:rFonts w:ascii="Calibri" w:eastAsia="Times New Roman" w:hAnsi="Calibri" w:cs="Times New Roman"/>
                <w:b/>
                <w:kern w:val="28"/>
                <w:sz w:val="20"/>
                <w:szCs w:val="20"/>
              </w:rPr>
            </w:pPr>
            <w:r w:rsidRPr="00D41B06">
              <w:rPr>
                <w:rFonts w:ascii="Calibri" w:eastAsia="Times New Roman" w:hAnsi="Calibri" w:cs="Times New Roman"/>
                <w:b/>
                <w:kern w:val="28"/>
                <w:sz w:val="20"/>
                <w:szCs w:val="20"/>
              </w:rPr>
              <w:t>FY15</w:t>
            </w:r>
          </w:p>
        </w:tc>
        <w:tc>
          <w:tcPr>
            <w:tcW w:w="2880" w:type="dxa"/>
            <w:gridSpan w:val="4"/>
            <w:tcBorders>
              <w:left w:val="single" w:sz="12" w:space="0" w:color="auto"/>
              <w:bottom w:val="single" w:sz="12" w:space="0" w:color="auto"/>
              <w:right w:val="single" w:sz="4" w:space="0" w:color="auto"/>
            </w:tcBorders>
            <w:noWrap/>
            <w:vAlign w:val="center"/>
          </w:tcPr>
          <w:p w:rsidR="00D47C8F" w:rsidRPr="00D41B06" w:rsidRDefault="00D47C8F" w:rsidP="0087052B">
            <w:pPr>
              <w:widowControl w:val="0"/>
              <w:overflowPunct w:val="0"/>
              <w:adjustRightInd w:val="0"/>
              <w:spacing w:after="0" w:line="240" w:lineRule="auto"/>
              <w:jc w:val="center"/>
              <w:rPr>
                <w:rFonts w:ascii="Calibri" w:eastAsia="Times New Roman" w:hAnsi="Calibri" w:cs="Times New Roman"/>
                <w:b/>
                <w:kern w:val="28"/>
                <w:sz w:val="20"/>
                <w:szCs w:val="20"/>
              </w:rPr>
            </w:pPr>
            <w:r w:rsidRPr="00D41B06">
              <w:rPr>
                <w:rFonts w:ascii="Calibri" w:eastAsia="Times New Roman" w:hAnsi="Calibri" w:cs="Times New Roman"/>
                <w:b/>
                <w:kern w:val="28"/>
                <w:sz w:val="20"/>
                <w:szCs w:val="20"/>
              </w:rPr>
              <w:t>FY16</w:t>
            </w:r>
          </w:p>
        </w:tc>
      </w:tr>
      <w:tr w:rsidR="00D47C8F" w:rsidRPr="00D41B06" w:rsidTr="0087052B">
        <w:trPr>
          <w:trHeight w:val="315"/>
        </w:trPr>
        <w:tc>
          <w:tcPr>
            <w:tcW w:w="3420" w:type="dxa"/>
            <w:tcBorders>
              <w:top w:val="single" w:sz="12" w:space="0" w:color="auto"/>
              <w:left w:val="single" w:sz="4" w:space="0" w:color="auto"/>
              <w:bottom w:val="single" w:sz="12" w:space="0" w:color="auto"/>
              <w:right w:val="single" w:sz="12" w:space="0" w:color="auto"/>
            </w:tcBorders>
            <w:noWrap/>
            <w:vAlign w:val="center"/>
          </w:tcPr>
          <w:p w:rsidR="00D47C8F" w:rsidRPr="00D41B06" w:rsidRDefault="00D47C8F" w:rsidP="0087052B">
            <w:pPr>
              <w:widowControl w:val="0"/>
              <w:overflowPunct w:val="0"/>
              <w:adjustRightInd w:val="0"/>
              <w:spacing w:after="0" w:line="240" w:lineRule="auto"/>
              <w:rPr>
                <w:rFonts w:ascii="Calibri" w:eastAsia="Times New Roman" w:hAnsi="Calibri" w:cs="Times New Roman"/>
                <w:kern w:val="28"/>
                <w:sz w:val="20"/>
                <w:szCs w:val="20"/>
              </w:rPr>
            </w:pPr>
            <w:r w:rsidRPr="00D41B06">
              <w:rPr>
                <w:rFonts w:ascii="Calibri" w:eastAsia="Times New Roman" w:hAnsi="Calibri" w:cs="Times New Roman"/>
                <w:kern w:val="28"/>
                <w:sz w:val="20"/>
                <w:szCs w:val="20"/>
              </w:rPr>
              <w:t> </w:t>
            </w:r>
          </w:p>
        </w:tc>
        <w:tc>
          <w:tcPr>
            <w:tcW w:w="1420" w:type="dxa"/>
            <w:gridSpan w:val="2"/>
            <w:tcBorders>
              <w:top w:val="single" w:sz="12" w:space="0" w:color="auto"/>
              <w:left w:val="single" w:sz="12" w:space="0" w:color="auto"/>
              <w:bottom w:val="single" w:sz="12" w:space="0" w:color="auto"/>
              <w:right w:val="single" w:sz="4" w:space="0" w:color="auto"/>
            </w:tcBorders>
            <w:noWrap/>
            <w:vAlign w:val="center"/>
          </w:tcPr>
          <w:p w:rsidR="00D47C8F" w:rsidRPr="00D41B06" w:rsidRDefault="00D47C8F" w:rsidP="0087052B">
            <w:pPr>
              <w:widowControl w:val="0"/>
              <w:overflowPunct w:val="0"/>
              <w:adjustRightInd w:val="0"/>
              <w:spacing w:after="0" w:line="240" w:lineRule="auto"/>
              <w:jc w:val="center"/>
              <w:rPr>
                <w:rFonts w:ascii="Calibri" w:eastAsia="Times New Roman" w:hAnsi="Calibri" w:cs="Times New Roman"/>
                <w:b/>
                <w:kern w:val="28"/>
                <w:sz w:val="20"/>
                <w:szCs w:val="20"/>
              </w:rPr>
            </w:pPr>
            <w:r w:rsidRPr="00D41B06">
              <w:rPr>
                <w:rFonts w:ascii="Calibri" w:eastAsia="Times New Roman" w:hAnsi="Calibri" w:cs="Times New Roman"/>
                <w:b/>
                <w:kern w:val="28"/>
                <w:sz w:val="20"/>
                <w:szCs w:val="20"/>
              </w:rPr>
              <w:t>Estimated</w:t>
            </w:r>
          </w:p>
        </w:tc>
        <w:tc>
          <w:tcPr>
            <w:tcW w:w="1290" w:type="dxa"/>
            <w:tcBorders>
              <w:top w:val="single" w:sz="12" w:space="0" w:color="auto"/>
              <w:left w:val="single" w:sz="4" w:space="0" w:color="auto"/>
              <w:bottom w:val="single" w:sz="12" w:space="0" w:color="auto"/>
              <w:right w:val="single" w:sz="12" w:space="0" w:color="auto"/>
            </w:tcBorders>
            <w:noWrap/>
            <w:vAlign w:val="center"/>
          </w:tcPr>
          <w:p w:rsidR="00D47C8F" w:rsidRPr="00D41B06" w:rsidRDefault="00D47C8F" w:rsidP="0087052B">
            <w:pPr>
              <w:widowControl w:val="0"/>
              <w:overflowPunct w:val="0"/>
              <w:adjustRightInd w:val="0"/>
              <w:spacing w:after="0" w:line="240" w:lineRule="auto"/>
              <w:jc w:val="center"/>
              <w:rPr>
                <w:rFonts w:ascii="Calibri" w:eastAsia="Times New Roman" w:hAnsi="Calibri" w:cs="Times New Roman"/>
                <w:b/>
                <w:kern w:val="28"/>
                <w:sz w:val="20"/>
                <w:szCs w:val="20"/>
              </w:rPr>
            </w:pPr>
            <w:r w:rsidRPr="00D41B06">
              <w:rPr>
                <w:rFonts w:ascii="Calibri" w:eastAsia="Times New Roman" w:hAnsi="Calibri" w:cs="Times New Roman"/>
                <w:b/>
                <w:kern w:val="28"/>
                <w:sz w:val="20"/>
                <w:szCs w:val="20"/>
              </w:rPr>
              <w:t>Actual</w:t>
            </w:r>
          </w:p>
        </w:tc>
        <w:tc>
          <w:tcPr>
            <w:tcW w:w="1287" w:type="dxa"/>
            <w:tcBorders>
              <w:top w:val="single" w:sz="12" w:space="0" w:color="auto"/>
              <w:left w:val="single" w:sz="12" w:space="0" w:color="auto"/>
              <w:bottom w:val="single" w:sz="12" w:space="0" w:color="auto"/>
              <w:right w:val="single" w:sz="4" w:space="0" w:color="auto"/>
            </w:tcBorders>
            <w:noWrap/>
            <w:vAlign w:val="center"/>
          </w:tcPr>
          <w:p w:rsidR="00D47C8F" w:rsidRPr="00D41B06" w:rsidRDefault="00D47C8F" w:rsidP="0087052B">
            <w:pPr>
              <w:widowControl w:val="0"/>
              <w:overflowPunct w:val="0"/>
              <w:adjustRightInd w:val="0"/>
              <w:spacing w:after="0" w:line="240" w:lineRule="auto"/>
              <w:jc w:val="center"/>
              <w:rPr>
                <w:rFonts w:ascii="Calibri" w:eastAsia="Times New Roman" w:hAnsi="Calibri" w:cs="Times New Roman"/>
                <w:b/>
                <w:kern w:val="28"/>
                <w:sz w:val="20"/>
                <w:szCs w:val="20"/>
              </w:rPr>
            </w:pPr>
            <w:r w:rsidRPr="00D41B06">
              <w:rPr>
                <w:rFonts w:ascii="Calibri" w:eastAsia="Times New Roman" w:hAnsi="Calibri" w:cs="Times New Roman"/>
                <w:b/>
                <w:kern w:val="28"/>
                <w:sz w:val="20"/>
                <w:szCs w:val="20"/>
              </w:rPr>
              <w:t>Estimated</w:t>
            </w:r>
          </w:p>
        </w:tc>
        <w:tc>
          <w:tcPr>
            <w:tcW w:w="1403" w:type="dxa"/>
            <w:gridSpan w:val="2"/>
            <w:tcBorders>
              <w:top w:val="single" w:sz="12" w:space="0" w:color="auto"/>
              <w:left w:val="single" w:sz="4" w:space="0" w:color="auto"/>
              <w:bottom w:val="single" w:sz="12" w:space="0" w:color="auto"/>
              <w:right w:val="single" w:sz="12" w:space="0" w:color="auto"/>
            </w:tcBorders>
            <w:noWrap/>
            <w:vAlign w:val="center"/>
          </w:tcPr>
          <w:p w:rsidR="00D47C8F" w:rsidRPr="00D41B06" w:rsidRDefault="00D47C8F" w:rsidP="0087052B">
            <w:pPr>
              <w:widowControl w:val="0"/>
              <w:overflowPunct w:val="0"/>
              <w:adjustRightInd w:val="0"/>
              <w:spacing w:after="0" w:line="240" w:lineRule="auto"/>
              <w:jc w:val="center"/>
              <w:rPr>
                <w:rFonts w:ascii="Calibri" w:eastAsia="Times New Roman" w:hAnsi="Calibri" w:cs="Times New Roman"/>
                <w:b/>
                <w:kern w:val="28"/>
                <w:sz w:val="20"/>
                <w:szCs w:val="20"/>
              </w:rPr>
            </w:pPr>
            <w:r w:rsidRPr="00D41B06">
              <w:rPr>
                <w:rFonts w:ascii="Calibri" w:eastAsia="Times New Roman" w:hAnsi="Calibri" w:cs="Times New Roman"/>
                <w:b/>
                <w:kern w:val="28"/>
                <w:sz w:val="20"/>
                <w:szCs w:val="20"/>
              </w:rPr>
              <w:t>Actual</w:t>
            </w:r>
          </w:p>
        </w:tc>
        <w:tc>
          <w:tcPr>
            <w:tcW w:w="1350" w:type="dxa"/>
            <w:gridSpan w:val="2"/>
            <w:tcBorders>
              <w:top w:val="single" w:sz="12" w:space="0" w:color="auto"/>
              <w:left w:val="single" w:sz="12" w:space="0" w:color="auto"/>
              <w:bottom w:val="single" w:sz="12" w:space="0" w:color="auto"/>
              <w:right w:val="single" w:sz="4" w:space="0" w:color="auto"/>
            </w:tcBorders>
            <w:noWrap/>
            <w:vAlign w:val="center"/>
          </w:tcPr>
          <w:p w:rsidR="00D47C8F" w:rsidRPr="00D41B06" w:rsidRDefault="00D47C8F" w:rsidP="0087052B">
            <w:pPr>
              <w:widowControl w:val="0"/>
              <w:overflowPunct w:val="0"/>
              <w:adjustRightInd w:val="0"/>
              <w:spacing w:after="0" w:line="240" w:lineRule="auto"/>
              <w:jc w:val="center"/>
              <w:rPr>
                <w:rFonts w:ascii="Calibri" w:eastAsia="Times New Roman" w:hAnsi="Calibri" w:cs="Times New Roman"/>
                <w:b/>
                <w:kern w:val="28"/>
                <w:sz w:val="20"/>
                <w:szCs w:val="20"/>
              </w:rPr>
            </w:pPr>
            <w:r w:rsidRPr="00D41B06">
              <w:rPr>
                <w:rFonts w:ascii="Calibri" w:eastAsia="Times New Roman" w:hAnsi="Calibri" w:cs="Times New Roman"/>
                <w:b/>
                <w:kern w:val="28"/>
                <w:sz w:val="20"/>
                <w:szCs w:val="20"/>
              </w:rPr>
              <w:t>Estimated</w:t>
            </w:r>
          </w:p>
        </w:tc>
        <w:tc>
          <w:tcPr>
            <w:tcW w:w="1530" w:type="dxa"/>
            <w:gridSpan w:val="2"/>
            <w:tcBorders>
              <w:top w:val="single" w:sz="12" w:space="0" w:color="auto"/>
              <w:left w:val="single" w:sz="12" w:space="0" w:color="auto"/>
              <w:bottom w:val="single" w:sz="12" w:space="0" w:color="auto"/>
              <w:right w:val="single" w:sz="4" w:space="0" w:color="auto"/>
            </w:tcBorders>
          </w:tcPr>
          <w:p w:rsidR="00D47C8F" w:rsidRPr="00D41B06" w:rsidRDefault="00D47C8F" w:rsidP="0087052B">
            <w:pPr>
              <w:widowControl w:val="0"/>
              <w:overflowPunct w:val="0"/>
              <w:adjustRightInd w:val="0"/>
              <w:spacing w:after="0" w:line="240" w:lineRule="auto"/>
              <w:jc w:val="center"/>
              <w:rPr>
                <w:rFonts w:ascii="Calibri" w:eastAsia="Times New Roman" w:hAnsi="Calibri" w:cs="Times New Roman"/>
                <w:b/>
                <w:kern w:val="28"/>
                <w:sz w:val="20"/>
                <w:szCs w:val="20"/>
              </w:rPr>
            </w:pPr>
            <w:r w:rsidRPr="00D41B06">
              <w:rPr>
                <w:rFonts w:ascii="Calibri" w:eastAsia="Times New Roman" w:hAnsi="Calibri" w:cs="Times New Roman"/>
                <w:b/>
                <w:kern w:val="28"/>
                <w:sz w:val="20"/>
                <w:szCs w:val="20"/>
              </w:rPr>
              <w:t>Actual</w:t>
            </w:r>
          </w:p>
        </w:tc>
      </w:tr>
      <w:tr w:rsidR="00D47C8F" w:rsidRPr="00D41B06" w:rsidTr="0087052B">
        <w:trPr>
          <w:trHeight w:val="315"/>
        </w:trPr>
        <w:tc>
          <w:tcPr>
            <w:tcW w:w="11700" w:type="dxa"/>
            <w:gridSpan w:val="11"/>
            <w:tcBorders>
              <w:top w:val="single" w:sz="12" w:space="0" w:color="auto"/>
            </w:tcBorders>
            <w:shd w:val="pct10" w:color="auto" w:fill="auto"/>
            <w:vAlign w:val="center"/>
          </w:tcPr>
          <w:p w:rsidR="00D47C8F" w:rsidRPr="00D41B06" w:rsidRDefault="00D47C8F" w:rsidP="0087052B">
            <w:pPr>
              <w:widowControl w:val="0"/>
              <w:overflowPunct w:val="0"/>
              <w:adjustRightInd w:val="0"/>
              <w:spacing w:after="0" w:line="240" w:lineRule="auto"/>
              <w:rPr>
                <w:rFonts w:ascii="Calibri" w:eastAsia="Times New Roman" w:hAnsi="Calibri" w:cs="Times New Roman"/>
                <w:kern w:val="28"/>
                <w:sz w:val="20"/>
                <w:szCs w:val="20"/>
              </w:rPr>
            </w:pPr>
            <w:r w:rsidRPr="00D41B06">
              <w:rPr>
                <w:rFonts w:ascii="Calibri" w:eastAsia="Times New Roman" w:hAnsi="Calibri" w:cs="Times New Roman"/>
                <w:kern w:val="28"/>
                <w:sz w:val="20"/>
                <w:szCs w:val="20"/>
              </w:rPr>
              <w:t>Expenditures</w:t>
            </w:r>
          </w:p>
        </w:tc>
      </w:tr>
      <w:tr w:rsidR="00D47C8F" w:rsidRPr="00D41B06" w:rsidTr="006F40C4">
        <w:trPr>
          <w:trHeight w:val="245"/>
        </w:trPr>
        <w:tc>
          <w:tcPr>
            <w:tcW w:w="3420" w:type="dxa"/>
            <w:tcBorders>
              <w:right w:val="single" w:sz="12" w:space="0" w:color="auto"/>
            </w:tcBorders>
            <w:vAlign w:val="center"/>
          </w:tcPr>
          <w:p w:rsidR="00D47C8F" w:rsidRPr="00D41B06" w:rsidRDefault="00D47C8F" w:rsidP="0087052B">
            <w:pPr>
              <w:widowControl w:val="0"/>
              <w:overflowPunct w:val="0"/>
              <w:adjustRightInd w:val="0"/>
              <w:spacing w:after="0" w:line="240" w:lineRule="auto"/>
              <w:rPr>
                <w:rFonts w:ascii="Calibri" w:eastAsia="Times New Roman" w:hAnsi="Calibri" w:cs="Times New Roman"/>
                <w:kern w:val="28"/>
                <w:sz w:val="20"/>
                <w:szCs w:val="20"/>
              </w:rPr>
            </w:pPr>
            <w:r w:rsidRPr="00D41B06">
              <w:rPr>
                <w:rFonts w:ascii="Calibri" w:eastAsia="Times New Roman" w:hAnsi="Calibri" w:cs="Times New Roman"/>
                <w:kern w:val="28"/>
                <w:sz w:val="20"/>
                <w:szCs w:val="20"/>
              </w:rPr>
              <w:t>From local appropriations for schools:</w:t>
            </w:r>
          </w:p>
        </w:tc>
        <w:tc>
          <w:tcPr>
            <w:tcW w:w="8280" w:type="dxa"/>
            <w:gridSpan w:val="10"/>
            <w:tcBorders>
              <w:left w:val="single" w:sz="12" w:space="0" w:color="auto"/>
            </w:tcBorders>
            <w:shd w:val="clear" w:color="auto" w:fill="D9D9D9" w:themeFill="background1" w:themeFillShade="D9"/>
          </w:tcPr>
          <w:p w:rsidR="00D47C8F" w:rsidRPr="00D41B06" w:rsidRDefault="00D47C8F" w:rsidP="0087052B">
            <w:pPr>
              <w:widowControl w:val="0"/>
              <w:overflowPunct w:val="0"/>
              <w:adjustRightInd w:val="0"/>
              <w:spacing w:after="0" w:line="240" w:lineRule="auto"/>
              <w:jc w:val="right"/>
              <w:rPr>
                <w:rFonts w:ascii="Calibri" w:eastAsia="Times New Roman" w:hAnsi="Calibri" w:cs="Times New Roman"/>
                <w:kern w:val="28"/>
                <w:sz w:val="20"/>
                <w:szCs w:val="20"/>
              </w:rPr>
            </w:pPr>
          </w:p>
        </w:tc>
      </w:tr>
      <w:tr w:rsidR="00D47C8F" w:rsidRPr="00D41B06" w:rsidTr="006F40C4">
        <w:trPr>
          <w:trHeight w:val="245"/>
        </w:trPr>
        <w:tc>
          <w:tcPr>
            <w:tcW w:w="3420" w:type="dxa"/>
            <w:tcBorders>
              <w:right w:val="single" w:sz="12" w:space="0" w:color="auto"/>
            </w:tcBorders>
            <w:noWrap/>
            <w:vAlign w:val="center"/>
          </w:tcPr>
          <w:p w:rsidR="00D47C8F" w:rsidRPr="00D41B06" w:rsidRDefault="00D47C8F" w:rsidP="0087052B">
            <w:pPr>
              <w:widowControl w:val="0"/>
              <w:overflowPunct w:val="0"/>
              <w:adjustRightInd w:val="0"/>
              <w:spacing w:after="0" w:line="240" w:lineRule="auto"/>
              <w:rPr>
                <w:rFonts w:ascii="Calibri" w:eastAsia="Times New Roman" w:hAnsi="Calibri" w:cs="Times New Roman"/>
                <w:kern w:val="28"/>
                <w:sz w:val="20"/>
                <w:szCs w:val="20"/>
              </w:rPr>
            </w:pPr>
            <w:r w:rsidRPr="00D41B06">
              <w:rPr>
                <w:rFonts w:ascii="Calibri" w:eastAsia="Times New Roman" w:hAnsi="Calibri" w:cs="Times New Roman"/>
                <w:kern w:val="28"/>
                <w:sz w:val="20"/>
                <w:szCs w:val="20"/>
              </w:rPr>
              <w:t>By school committee</w:t>
            </w:r>
          </w:p>
        </w:tc>
        <w:tc>
          <w:tcPr>
            <w:tcW w:w="1350" w:type="dxa"/>
            <w:tcBorders>
              <w:left w:val="single" w:sz="12" w:space="0" w:color="auto"/>
            </w:tcBorders>
            <w:noWrap/>
            <w:vAlign w:val="bottom"/>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$273,087,211</w:t>
            </w:r>
          </w:p>
        </w:tc>
        <w:tc>
          <w:tcPr>
            <w:tcW w:w="1360" w:type="dxa"/>
            <w:gridSpan w:val="2"/>
            <w:tcBorders>
              <w:right w:val="single" w:sz="12" w:space="0" w:color="auto"/>
            </w:tcBorders>
            <w:noWrap/>
            <w:vAlign w:val="bottom"/>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$299,045,850</w:t>
            </w:r>
          </w:p>
        </w:tc>
        <w:tc>
          <w:tcPr>
            <w:tcW w:w="1430" w:type="dxa"/>
            <w:gridSpan w:val="2"/>
            <w:tcBorders>
              <w:left w:val="single" w:sz="12" w:space="0" w:color="auto"/>
            </w:tcBorders>
            <w:noWrap/>
            <w:vAlign w:val="bottom"/>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$304,751,850</w:t>
            </w:r>
          </w:p>
        </w:tc>
        <w:tc>
          <w:tcPr>
            <w:tcW w:w="1350" w:type="dxa"/>
            <w:gridSpan w:val="2"/>
            <w:tcBorders>
              <w:right w:val="single" w:sz="12" w:space="0" w:color="auto"/>
            </w:tcBorders>
            <w:noWrap/>
            <w:vAlign w:val="bottom"/>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$304,751,784</w:t>
            </w:r>
          </w:p>
        </w:tc>
        <w:tc>
          <w:tcPr>
            <w:tcW w:w="1440" w:type="dxa"/>
            <w:gridSpan w:val="2"/>
            <w:tcBorders>
              <w:left w:val="single" w:sz="12" w:space="0" w:color="auto"/>
            </w:tcBorders>
            <w:noWrap/>
            <w:vAlign w:val="bottom"/>
          </w:tcPr>
          <w:p w:rsidR="00D47C8F" w:rsidRPr="0056742E" w:rsidRDefault="0056742E" w:rsidP="0087052B">
            <w:pPr>
              <w:spacing w:after="0" w:line="240" w:lineRule="auto"/>
              <w:jc w:val="center"/>
              <w:rPr>
                <w:rFonts w:ascii="Calibri" w:hAnsi="Calibri"/>
                <w:sz w:val="20"/>
                <w:szCs w:val="20"/>
              </w:rPr>
            </w:pPr>
            <w:r>
              <w:rPr>
                <w:rFonts w:ascii="Calibri" w:hAnsi="Calibri"/>
                <w:sz w:val="20"/>
                <w:szCs w:val="20"/>
              </w:rPr>
              <w:t>$322,895,803</w:t>
            </w:r>
          </w:p>
        </w:tc>
        <w:tc>
          <w:tcPr>
            <w:tcW w:w="1350" w:type="dxa"/>
            <w:tcBorders>
              <w:left w:val="single" w:sz="12" w:space="0" w:color="auto"/>
            </w:tcBorders>
            <w:vAlign w:val="bottom"/>
          </w:tcPr>
          <w:p w:rsidR="00D47C8F" w:rsidRPr="0056742E" w:rsidRDefault="0056742E" w:rsidP="0087052B">
            <w:pPr>
              <w:spacing w:after="0" w:line="240" w:lineRule="auto"/>
              <w:jc w:val="center"/>
              <w:rPr>
                <w:rFonts w:ascii="Calibri" w:hAnsi="Calibri"/>
                <w:sz w:val="20"/>
                <w:szCs w:val="20"/>
              </w:rPr>
            </w:pPr>
            <w:r>
              <w:rPr>
                <w:rFonts w:ascii="Calibri" w:hAnsi="Calibri"/>
                <w:sz w:val="20"/>
                <w:szCs w:val="20"/>
              </w:rPr>
              <w:t>$318,291,991</w:t>
            </w:r>
          </w:p>
        </w:tc>
      </w:tr>
      <w:tr w:rsidR="00D47C8F" w:rsidRPr="00D41B06" w:rsidTr="006F40C4">
        <w:trPr>
          <w:trHeight w:val="245"/>
        </w:trPr>
        <w:tc>
          <w:tcPr>
            <w:tcW w:w="3420" w:type="dxa"/>
            <w:tcBorders>
              <w:right w:val="single" w:sz="12" w:space="0" w:color="auto"/>
            </w:tcBorders>
            <w:noWrap/>
            <w:vAlign w:val="center"/>
          </w:tcPr>
          <w:p w:rsidR="00D47C8F" w:rsidRPr="00D41B06" w:rsidRDefault="00D47C8F" w:rsidP="0087052B">
            <w:pPr>
              <w:widowControl w:val="0"/>
              <w:overflowPunct w:val="0"/>
              <w:adjustRightInd w:val="0"/>
              <w:spacing w:after="0" w:line="240" w:lineRule="auto"/>
              <w:rPr>
                <w:rFonts w:ascii="Calibri" w:eastAsia="Times New Roman" w:hAnsi="Calibri" w:cs="Times New Roman"/>
                <w:kern w:val="28"/>
                <w:sz w:val="20"/>
                <w:szCs w:val="20"/>
              </w:rPr>
            </w:pPr>
            <w:r w:rsidRPr="00D41B06">
              <w:rPr>
                <w:rFonts w:ascii="Calibri" w:eastAsia="Times New Roman" w:hAnsi="Calibri" w:cs="Times New Roman"/>
                <w:kern w:val="28"/>
                <w:sz w:val="20"/>
                <w:szCs w:val="20"/>
              </w:rPr>
              <w:t>By municipality</w:t>
            </w:r>
          </w:p>
        </w:tc>
        <w:tc>
          <w:tcPr>
            <w:tcW w:w="1350" w:type="dxa"/>
            <w:tcBorders>
              <w:left w:val="single" w:sz="12" w:space="0" w:color="auto"/>
            </w:tcBorders>
            <w:noWrap/>
            <w:vAlign w:val="bottom"/>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$52,945,077</w:t>
            </w:r>
          </w:p>
        </w:tc>
        <w:tc>
          <w:tcPr>
            <w:tcW w:w="1360" w:type="dxa"/>
            <w:gridSpan w:val="2"/>
            <w:tcBorders>
              <w:right w:val="single" w:sz="12" w:space="0" w:color="auto"/>
            </w:tcBorders>
            <w:noWrap/>
            <w:vAlign w:val="bottom"/>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$53,942,167</w:t>
            </w:r>
          </w:p>
        </w:tc>
        <w:tc>
          <w:tcPr>
            <w:tcW w:w="1430" w:type="dxa"/>
            <w:gridSpan w:val="2"/>
            <w:tcBorders>
              <w:left w:val="single" w:sz="12" w:space="0" w:color="auto"/>
            </w:tcBorders>
            <w:noWrap/>
            <w:vAlign w:val="bottom"/>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$53,898,238</w:t>
            </w:r>
          </w:p>
        </w:tc>
        <w:tc>
          <w:tcPr>
            <w:tcW w:w="1350" w:type="dxa"/>
            <w:gridSpan w:val="2"/>
            <w:tcBorders>
              <w:right w:val="single" w:sz="12" w:space="0" w:color="auto"/>
            </w:tcBorders>
            <w:noWrap/>
            <w:vAlign w:val="bottom"/>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$32,342,533</w:t>
            </w:r>
          </w:p>
        </w:tc>
        <w:tc>
          <w:tcPr>
            <w:tcW w:w="1440" w:type="dxa"/>
            <w:gridSpan w:val="2"/>
            <w:tcBorders>
              <w:left w:val="single" w:sz="12" w:space="0" w:color="auto"/>
            </w:tcBorders>
            <w:noWrap/>
            <w:vAlign w:val="bottom"/>
          </w:tcPr>
          <w:p w:rsidR="00D47C8F" w:rsidRPr="0056742E" w:rsidRDefault="0056742E" w:rsidP="0087052B">
            <w:pPr>
              <w:spacing w:after="0" w:line="240" w:lineRule="auto"/>
              <w:jc w:val="center"/>
              <w:rPr>
                <w:rFonts w:ascii="Calibri" w:hAnsi="Calibri"/>
                <w:sz w:val="20"/>
                <w:szCs w:val="20"/>
              </w:rPr>
            </w:pPr>
            <w:r>
              <w:rPr>
                <w:rFonts w:ascii="Calibri" w:hAnsi="Calibri"/>
                <w:sz w:val="20"/>
                <w:szCs w:val="20"/>
              </w:rPr>
              <w:t>$52,331,432</w:t>
            </w:r>
          </w:p>
        </w:tc>
        <w:tc>
          <w:tcPr>
            <w:tcW w:w="1350" w:type="dxa"/>
            <w:tcBorders>
              <w:left w:val="single" w:sz="12" w:space="0" w:color="auto"/>
            </w:tcBorders>
            <w:vAlign w:val="bottom"/>
          </w:tcPr>
          <w:p w:rsidR="00D47C8F" w:rsidRPr="0056742E" w:rsidRDefault="0056742E" w:rsidP="0087052B">
            <w:pPr>
              <w:spacing w:after="0" w:line="240" w:lineRule="auto"/>
              <w:jc w:val="center"/>
              <w:rPr>
                <w:rFonts w:ascii="Calibri" w:hAnsi="Calibri"/>
                <w:sz w:val="20"/>
                <w:szCs w:val="20"/>
              </w:rPr>
            </w:pPr>
            <w:r>
              <w:rPr>
                <w:rFonts w:ascii="Calibri" w:hAnsi="Calibri"/>
                <w:sz w:val="20"/>
                <w:szCs w:val="20"/>
              </w:rPr>
              <w:t>$53,958,808</w:t>
            </w:r>
          </w:p>
        </w:tc>
      </w:tr>
      <w:tr w:rsidR="00D47C8F" w:rsidRPr="00D41B06" w:rsidTr="006F40C4">
        <w:trPr>
          <w:trHeight w:val="245"/>
        </w:trPr>
        <w:tc>
          <w:tcPr>
            <w:tcW w:w="3420" w:type="dxa"/>
            <w:tcBorders>
              <w:right w:val="single" w:sz="12" w:space="0" w:color="auto"/>
            </w:tcBorders>
            <w:noWrap/>
            <w:vAlign w:val="center"/>
          </w:tcPr>
          <w:p w:rsidR="00D47C8F" w:rsidRPr="00D41B06" w:rsidRDefault="00D47C8F" w:rsidP="0087052B">
            <w:pPr>
              <w:widowControl w:val="0"/>
              <w:overflowPunct w:val="0"/>
              <w:adjustRightInd w:val="0"/>
              <w:spacing w:after="0" w:line="240" w:lineRule="auto"/>
              <w:rPr>
                <w:rFonts w:ascii="Calibri" w:eastAsia="Times New Roman" w:hAnsi="Calibri" w:cs="Times New Roman"/>
                <w:kern w:val="28"/>
                <w:sz w:val="20"/>
                <w:szCs w:val="20"/>
              </w:rPr>
            </w:pPr>
            <w:r w:rsidRPr="00D41B06">
              <w:rPr>
                <w:rFonts w:ascii="Calibri" w:eastAsia="Times New Roman" w:hAnsi="Calibri" w:cs="Times New Roman"/>
                <w:kern w:val="28"/>
                <w:sz w:val="20"/>
                <w:szCs w:val="20"/>
              </w:rPr>
              <w:t>Total from local appropriations</w:t>
            </w:r>
          </w:p>
        </w:tc>
        <w:tc>
          <w:tcPr>
            <w:tcW w:w="1350" w:type="dxa"/>
            <w:tcBorders>
              <w:left w:val="single" w:sz="12" w:space="0" w:color="auto"/>
            </w:tcBorders>
            <w:noWrap/>
            <w:vAlign w:val="bottom"/>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$326,032,288</w:t>
            </w:r>
          </w:p>
        </w:tc>
        <w:tc>
          <w:tcPr>
            <w:tcW w:w="1360" w:type="dxa"/>
            <w:gridSpan w:val="2"/>
            <w:tcBorders>
              <w:right w:val="single" w:sz="12" w:space="0" w:color="auto"/>
            </w:tcBorders>
            <w:noWrap/>
            <w:vAlign w:val="bottom"/>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$352,988,018</w:t>
            </w:r>
          </w:p>
        </w:tc>
        <w:tc>
          <w:tcPr>
            <w:tcW w:w="1430" w:type="dxa"/>
            <w:gridSpan w:val="2"/>
            <w:tcBorders>
              <w:left w:val="single" w:sz="12" w:space="0" w:color="auto"/>
            </w:tcBorders>
            <w:noWrap/>
            <w:vAlign w:val="bottom"/>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$358,650,088</w:t>
            </w:r>
          </w:p>
        </w:tc>
        <w:tc>
          <w:tcPr>
            <w:tcW w:w="1350" w:type="dxa"/>
            <w:gridSpan w:val="2"/>
            <w:tcBorders>
              <w:right w:val="single" w:sz="12" w:space="0" w:color="auto"/>
            </w:tcBorders>
            <w:noWrap/>
            <w:vAlign w:val="bottom"/>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$337,094,317</w:t>
            </w:r>
          </w:p>
        </w:tc>
        <w:tc>
          <w:tcPr>
            <w:tcW w:w="1440" w:type="dxa"/>
            <w:gridSpan w:val="2"/>
            <w:tcBorders>
              <w:left w:val="single" w:sz="12" w:space="0" w:color="auto"/>
            </w:tcBorders>
            <w:noWrap/>
            <w:vAlign w:val="bottom"/>
          </w:tcPr>
          <w:p w:rsidR="00D47C8F" w:rsidRPr="0056742E" w:rsidRDefault="0056742E" w:rsidP="0087052B">
            <w:pPr>
              <w:spacing w:after="0" w:line="240" w:lineRule="auto"/>
              <w:jc w:val="center"/>
              <w:rPr>
                <w:rFonts w:ascii="Calibri" w:hAnsi="Calibri"/>
                <w:sz w:val="20"/>
                <w:szCs w:val="20"/>
              </w:rPr>
            </w:pPr>
            <w:r>
              <w:rPr>
                <w:rFonts w:ascii="Calibri" w:hAnsi="Calibri"/>
                <w:sz w:val="20"/>
                <w:szCs w:val="20"/>
              </w:rPr>
              <w:t>$375,227,235</w:t>
            </w:r>
          </w:p>
        </w:tc>
        <w:tc>
          <w:tcPr>
            <w:tcW w:w="1350" w:type="dxa"/>
            <w:tcBorders>
              <w:left w:val="single" w:sz="12" w:space="0" w:color="auto"/>
            </w:tcBorders>
            <w:vAlign w:val="bottom"/>
          </w:tcPr>
          <w:p w:rsidR="00D47C8F" w:rsidRPr="0056742E" w:rsidRDefault="0056742E" w:rsidP="0087052B">
            <w:pPr>
              <w:spacing w:after="0" w:line="240" w:lineRule="auto"/>
              <w:jc w:val="center"/>
              <w:rPr>
                <w:rFonts w:ascii="Calibri" w:hAnsi="Calibri"/>
                <w:sz w:val="20"/>
                <w:szCs w:val="20"/>
              </w:rPr>
            </w:pPr>
            <w:r>
              <w:rPr>
                <w:rFonts w:ascii="Calibri" w:hAnsi="Calibri"/>
                <w:sz w:val="20"/>
                <w:szCs w:val="20"/>
              </w:rPr>
              <w:t>$372,250,799</w:t>
            </w:r>
          </w:p>
        </w:tc>
      </w:tr>
      <w:tr w:rsidR="00D47C8F" w:rsidRPr="00D41B06" w:rsidTr="006F40C4">
        <w:trPr>
          <w:trHeight w:val="245"/>
        </w:trPr>
        <w:tc>
          <w:tcPr>
            <w:tcW w:w="3420" w:type="dxa"/>
            <w:tcBorders>
              <w:right w:val="single" w:sz="12" w:space="0" w:color="auto"/>
            </w:tcBorders>
            <w:vAlign w:val="center"/>
          </w:tcPr>
          <w:p w:rsidR="00D47C8F" w:rsidRPr="00D41B06" w:rsidRDefault="00D47C8F" w:rsidP="0087052B">
            <w:pPr>
              <w:widowControl w:val="0"/>
              <w:overflowPunct w:val="0"/>
              <w:adjustRightInd w:val="0"/>
              <w:spacing w:after="0" w:line="240" w:lineRule="auto"/>
              <w:rPr>
                <w:rFonts w:ascii="Calibri" w:eastAsia="Times New Roman" w:hAnsi="Calibri" w:cs="Times New Roman"/>
                <w:kern w:val="28"/>
                <w:sz w:val="20"/>
                <w:szCs w:val="20"/>
              </w:rPr>
            </w:pPr>
            <w:r w:rsidRPr="00D41B06">
              <w:rPr>
                <w:rFonts w:ascii="Calibri" w:eastAsia="Times New Roman" w:hAnsi="Calibri" w:cs="Times New Roman"/>
                <w:kern w:val="28"/>
                <w:sz w:val="20"/>
                <w:szCs w:val="20"/>
              </w:rPr>
              <w:t>From revolving funds and grants</w:t>
            </w:r>
          </w:p>
        </w:tc>
        <w:tc>
          <w:tcPr>
            <w:tcW w:w="1350" w:type="dxa"/>
            <w:tcBorders>
              <w:left w:val="single" w:sz="12" w:space="0" w:color="auto"/>
            </w:tcBorders>
            <w:noWrap/>
            <w:vAlign w:val="bottom"/>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w:t>
            </w:r>
          </w:p>
        </w:tc>
        <w:tc>
          <w:tcPr>
            <w:tcW w:w="1360" w:type="dxa"/>
            <w:gridSpan w:val="2"/>
            <w:tcBorders>
              <w:right w:val="single" w:sz="12" w:space="0" w:color="auto"/>
            </w:tcBorders>
            <w:noWrap/>
            <w:vAlign w:val="bottom"/>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$55,500,558</w:t>
            </w:r>
          </w:p>
        </w:tc>
        <w:tc>
          <w:tcPr>
            <w:tcW w:w="1430" w:type="dxa"/>
            <w:gridSpan w:val="2"/>
            <w:tcBorders>
              <w:left w:val="single" w:sz="12" w:space="0" w:color="auto"/>
            </w:tcBorders>
            <w:noWrap/>
            <w:vAlign w:val="bottom"/>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w:t>
            </w:r>
          </w:p>
        </w:tc>
        <w:tc>
          <w:tcPr>
            <w:tcW w:w="1350" w:type="dxa"/>
            <w:gridSpan w:val="2"/>
            <w:tcBorders>
              <w:right w:val="single" w:sz="12" w:space="0" w:color="auto"/>
            </w:tcBorders>
            <w:noWrap/>
            <w:vAlign w:val="bottom"/>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$53,686,842</w:t>
            </w:r>
          </w:p>
        </w:tc>
        <w:tc>
          <w:tcPr>
            <w:tcW w:w="1440" w:type="dxa"/>
            <w:gridSpan w:val="2"/>
            <w:tcBorders>
              <w:left w:val="single" w:sz="12" w:space="0" w:color="auto"/>
            </w:tcBorders>
            <w:noWrap/>
            <w:vAlign w:val="bottom"/>
          </w:tcPr>
          <w:p w:rsidR="00D47C8F" w:rsidRPr="0056742E" w:rsidRDefault="00D47C8F" w:rsidP="0087052B">
            <w:pPr>
              <w:spacing w:after="0" w:line="240" w:lineRule="auto"/>
              <w:jc w:val="center"/>
              <w:rPr>
                <w:rFonts w:ascii="Calibri" w:hAnsi="Calibri"/>
                <w:sz w:val="20"/>
                <w:szCs w:val="20"/>
              </w:rPr>
            </w:pPr>
            <w:r w:rsidRPr="0056742E">
              <w:rPr>
                <w:rFonts w:ascii="Calibri" w:hAnsi="Calibri"/>
                <w:sz w:val="20"/>
                <w:szCs w:val="20"/>
              </w:rPr>
              <w:t>--</w:t>
            </w:r>
          </w:p>
        </w:tc>
        <w:tc>
          <w:tcPr>
            <w:tcW w:w="1350" w:type="dxa"/>
            <w:tcBorders>
              <w:left w:val="single" w:sz="12" w:space="0" w:color="auto"/>
            </w:tcBorders>
            <w:vAlign w:val="bottom"/>
          </w:tcPr>
          <w:p w:rsidR="00D47C8F" w:rsidRPr="0056742E" w:rsidRDefault="0056742E" w:rsidP="0087052B">
            <w:pPr>
              <w:spacing w:after="0" w:line="240" w:lineRule="auto"/>
              <w:jc w:val="center"/>
              <w:rPr>
                <w:rFonts w:ascii="Calibri" w:hAnsi="Calibri"/>
                <w:sz w:val="20"/>
                <w:szCs w:val="20"/>
              </w:rPr>
            </w:pPr>
            <w:r>
              <w:rPr>
                <w:rFonts w:ascii="Calibri" w:hAnsi="Calibri"/>
                <w:sz w:val="20"/>
                <w:szCs w:val="20"/>
              </w:rPr>
              <w:t>$54,922,384</w:t>
            </w:r>
          </w:p>
        </w:tc>
      </w:tr>
      <w:tr w:rsidR="00D47C8F" w:rsidRPr="00D41B06" w:rsidTr="006F40C4">
        <w:trPr>
          <w:trHeight w:val="245"/>
        </w:trPr>
        <w:tc>
          <w:tcPr>
            <w:tcW w:w="3420" w:type="dxa"/>
            <w:tcBorders>
              <w:right w:val="single" w:sz="12" w:space="0" w:color="auto"/>
            </w:tcBorders>
            <w:vAlign w:val="center"/>
          </w:tcPr>
          <w:p w:rsidR="00D47C8F" w:rsidRPr="00D41B06" w:rsidRDefault="00D47C8F" w:rsidP="0087052B">
            <w:pPr>
              <w:widowControl w:val="0"/>
              <w:overflowPunct w:val="0"/>
              <w:adjustRightInd w:val="0"/>
              <w:spacing w:after="0" w:line="240" w:lineRule="auto"/>
              <w:rPr>
                <w:rFonts w:ascii="Calibri" w:eastAsia="Times New Roman" w:hAnsi="Calibri" w:cs="Times New Roman"/>
                <w:kern w:val="28"/>
                <w:sz w:val="20"/>
                <w:szCs w:val="20"/>
              </w:rPr>
            </w:pPr>
            <w:r w:rsidRPr="00D41B06">
              <w:rPr>
                <w:rFonts w:ascii="Calibri" w:eastAsia="Times New Roman" w:hAnsi="Calibri" w:cs="Times New Roman"/>
                <w:kern w:val="28"/>
                <w:sz w:val="20"/>
                <w:szCs w:val="20"/>
              </w:rPr>
              <w:t>Total expenditures</w:t>
            </w:r>
          </w:p>
        </w:tc>
        <w:tc>
          <w:tcPr>
            <w:tcW w:w="1350" w:type="dxa"/>
            <w:tcBorders>
              <w:left w:val="single" w:sz="12" w:space="0" w:color="auto"/>
            </w:tcBorders>
            <w:noWrap/>
            <w:vAlign w:val="bottom"/>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w:t>
            </w:r>
          </w:p>
        </w:tc>
        <w:tc>
          <w:tcPr>
            <w:tcW w:w="1360" w:type="dxa"/>
            <w:gridSpan w:val="2"/>
            <w:tcBorders>
              <w:right w:val="single" w:sz="12" w:space="0" w:color="auto"/>
            </w:tcBorders>
            <w:noWrap/>
            <w:vAlign w:val="bottom"/>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$408,488,576</w:t>
            </w:r>
          </w:p>
        </w:tc>
        <w:tc>
          <w:tcPr>
            <w:tcW w:w="1430" w:type="dxa"/>
            <w:gridSpan w:val="2"/>
            <w:tcBorders>
              <w:left w:val="single" w:sz="12" w:space="0" w:color="auto"/>
            </w:tcBorders>
            <w:noWrap/>
            <w:vAlign w:val="bottom"/>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w:t>
            </w:r>
          </w:p>
        </w:tc>
        <w:tc>
          <w:tcPr>
            <w:tcW w:w="1350" w:type="dxa"/>
            <w:gridSpan w:val="2"/>
            <w:tcBorders>
              <w:right w:val="single" w:sz="12" w:space="0" w:color="auto"/>
            </w:tcBorders>
            <w:noWrap/>
            <w:vAlign w:val="bottom"/>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$390,781,159</w:t>
            </w:r>
          </w:p>
        </w:tc>
        <w:tc>
          <w:tcPr>
            <w:tcW w:w="1440" w:type="dxa"/>
            <w:gridSpan w:val="2"/>
            <w:tcBorders>
              <w:left w:val="single" w:sz="12" w:space="0" w:color="auto"/>
            </w:tcBorders>
            <w:noWrap/>
            <w:vAlign w:val="bottom"/>
          </w:tcPr>
          <w:p w:rsidR="00D47C8F" w:rsidRPr="0056742E" w:rsidRDefault="00D47C8F" w:rsidP="0087052B">
            <w:pPr>
              <w:spacing w:after="0" w:line="240" w:lineRule="auto"/>
              <w:jc w:val="center"/>
              <w:rPr>
                <w:rFonts w:ascii="Calibri" w:hAnsi="Calibri"/>
                <w:sz w:val="20"/>
                <w:szCs w:val="20"/>
              </w:rPr>
            </w:pPr>
            <w:r w:rsidRPr="0056742E">
              <w:rPr>
                <w:rFonts w:ascii="Calibri" w:hAnsi="Calibri"/>
                <w:sz w:val="20"/>
                <w:szCs w:val="20"/>
              </w:rPr>
              <w:t>--</w:t>
            </w:r>
          </w:p>
        </w:tc>
        <w:tc>
          <w:tcPr>
            <w:tcW w:w="1350" w:type="dxa"/>
            <w:tcBorders>
              <w:left w:val="single" w:sz="12" w:space="0" w:color="auto"/>
            </w:tcBorders>
            <w:vAlign w:val="bottom"/>
          </w:tcPr>
          <w:p w:rsidR="00D47C8F" w:rsidRPr="0056742E" w:rsidRDefault="0056742E" w:rsidP="0087052B">
            <w:pPr>
              <w:spacing w:after="0" w:line="240" w:lineRule="auto"/>
              <w:jc w:val="center"/>
              <w:rPr>
                <w:rFonts w:ascii="Calibri" w:hAnsi="Calibri"/>
                <w:sz w:val="20"/>
                <w:szCs w:val="20"/>
              </w:rPr>
            </w:pPr>
            <w:r>
              <w:rPr>
                <w:rFonts w:ascii="Calibri" w:hAnsi="Calibri"/>
                <w:sz w:val="20"/>
                <w:szCs w:val="20"/>
              </w:rPr>
              <w:t>$427,173,183</w:t>
            </w:r>
          </w:p>
        </w:tc>
      </w:tr>
      <w:tr w:rsidR="00D47C8F" w:rsidRPr="00D41B06" w:rsidTr="006F40C4">
        <w:trPr>
          <w:trHeight w:val="245"/>
        </w:trPr>
        <w:tc>
          <w:tcPr>
            <w:tcW w:w="11700" w:type="dxa"/>
            <w:gridSpan w:val="11"/>
            <w:shd w:val="clear" w:color="auto" w:fill="E6E6E6"/>
            <w:vAlign w:val="center"/>
          </w:tcPr>
          <w:p w:rsidR="00D47C8F" w:rsidRPr="00D41B06" w:rsidRDefault="00D47C8F" w:rsidP="0087052B">
            <w:pPr>
              <w:widowControl w:val="0"/>
              <w:overflowPunct w:val="0"/>
              <w:adjustRightInd w:val="0"/>
              <w:spacing w:after="0" w:line="240" w:lineRule="auto"/>
              <w:rPr>
                <w:rFonts w:ascii="Calibri" w:eastAsia="Times New Roman" w:hAnsi="Calibri" w:cs="Times New Roman"/>
                <w:kern w:val="28"/>
                <w:sz w:val="20"/>
                <w:szCs w:val="20"/>
              </w:rPr>
            </w:pPr>
            <w:r w:rsidRPr="00D41B06">
              <w:rPr>
                <w:rFonts w:ascii="Calibri" w:eastAsia="Times New Roman" w:hAnsi="Calibri" w:cs="Times New Roman"/>
                <w:kern w:val="28"/>
                <w:sz w:val="20"/>
                <w:szCs w:val="20"/>
              </w:rPr>
              <w:t>Chapter 70 aid to education program</w:t>
            </w:r>
          </w:p>
        </w:tc>
      </w:tr>
      <w:tr w:rsidR="00D47C8F" w:rsidRPr="00D41B06" w:rsidTr="006F40C4">
        <w:trPr>
          <w:trHeight w:val="245"/>
        </w:trPr>
        <w:tc>
          <w:tcPr>
            <w:tcW w:w="3420" w:type="dxa"/>
            <w:tcBorders>
              <w:right w:val="single" w:sz="12" w:space="0" w:color="auto"/>
            </w:tcBorders>
            <w:noWrap/>
            <w:vAlign w:val="center"/>
          </w:tcPr>
          <w:p w:rsidR="00D47C8F" w:rsidRPr="00D41B06" w:rsidRDefault="00D47C8F" w:rsidP="0087052B">
            <w:pPr>
              <w:widowControl w:val="0"/>
              <w:overflowPunct w:val="0"/>
              <w:adjustRightInd w:val="0"/>
              <w:spacing w:after="0" w:line="240" w:lineRule="auto"/>
              <w:rPr>
                <w:rFonts w:ascii="Calibri" w:eastAsia="Times New Roman" w:hAnsi="Calibri" w:cs="Times New Roman"/>
                <w:kern w:val="28"/>
                <w:sz w:val="20"/>
                <w:szCs w:val="20"/>
              </w:rPr>
            </w:pPr>
            <w:r w:rsidRPr="00D41B06">
              <w:rPr>
                <w:rFonts w:ascii="Calibri" w:eastAsia="Times New Roman" w:hAnsi="Calibri" w:cs="Times New Roman"/>
                <w:kern w:val="28"/>
                <w:sz w:val="20"/>
                <w:szCs w:val="20"/>
              </w:rPr>
              <w:t>Chapter 70 state aid*</w:t>
            </w:r>
          </w:p>
        </w:tc>
        <w:tc>
          <w:tcPr>
            <w:tcW w:w="1350" w:type="dxa"/>
            <w:tcBorders>
              <w:left w:val="single" w:sz="12" w:space="0" w:color="auto"/>
            </w:tcBorders>
            <w:noWrap/>
            <w:vAlign w:val="bottom"/>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w:t>
            </w:r>
          </w:p>
        </w:tc>
        <w:tc>
          <w:tcPr>
            <w:tcW w:w="1360" w:type="dxa"/>
            <w:gridSpan w:val="2"/>
            <w:tcBorders>
              <w:right w:val="single" w:sz="12" w:space="0" w:color="auto"/>
            </w:tcBorders>
            <w:noWrap/>
            <w:vAlign w:val="bottom"/>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$219,897,733</w:t>
            </w:r>
          </w:p>
        </w:tc>
        <w:tc>
          <w:tcPr>
            <w:tcW w:w="1430" w:type="dxa"/>
            <w:gridSpan w:val="2"/>
            <w:tcBorders>
              <w:left w:val="single" w:sz="12" w:space="0" w:color="auto"/>
            </w:tcBorders>
            <w:noWrap/>
            <w:vAlign w:val="bottom"/>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w:t>
            </w:r>
          </w:p>
        </w:tc>
        <w:tc>
          <w:tcPr>
            <w:tcW w:w="1350" w:type="dxa"/>
            <w:gridSpan w:val="2"/>
            <w:tcBorders>
              <w:right w:val="single" w:sz="12" w:space="0" w:color="auto"/>
            </w:tcBorders>
            <w:noWrap/>
            <w:vAlign w:val="bottom"/>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$220,569,583</w:t>
            </w:r>
          </w:p>
        </w:tc>
        <w:tc>
          <w:tcPr>
            <w:tcW w:w="1440" w:type="dxa"/>
            <w:gridSpan w:val="2"/>
            <w:tcBorders>
              <w:left w:val="single" w:sz="12" w:space="0" w:color="auto"/>
            </w:tcBorders>
            <w:noWrap/>
            <w:vAlign w:val="bottom"/>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w:t>
            </w:r>
          </w:p>
        </w:tc>
        <w:tc>
          <w:tcPr>
            <w:tcW w:w="1350" w:type="dxa"/>
            <w:tcBorders>
              <w:left w:val="single" w:sz="12" w:space="0" w:color="auto"/>
            </w:tcBorders>
            <w:vAlign w:val="bottom"/>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$231,540,738</w:t>
            </w:r>
          </w:p>
        </w:tc>
      </w:tr>
      <w:tr w:rsidR="00D47C8F" w:rsidRPr="00D41B06" w:rsidTr="006F40C4">
        <w:trPr>
          <w:trHeight w:val="245"/>
        </w:trPr>
        <w:tc>
          <w:tcPr>
            <w:tcW w:w="3420" w:type="dxa"/>
            <w:tcBorders>
              <w:right w:val="single" w:sz="12" w:space="0" w:color="auto"/>
            </w:tcBorders>
            <w:noWrap/>
            <w:vAlign w:val="center"/>
          </w:tcPr>
          <w:p w:rsidR="00D47C8F" w:rsidRPr="00D41B06" w:rsidRDefault="00D47C8F" w:rsidP="0087052B">
            <w:pPr>
              <w:widowControl w:val="0"/>
              <w:overflowPunct w:val="0"/>
              <w:adjustRightInd w:val="0"/>
              <w:spacing w:after="0" w:line="240" w:lineRule="auto"/>
              <w:rPr>
                <w:rFonts w:ascii="Calibri" w:eastAsia="Times New Roman" w:hAnsi="Calibri" w:cs="Times New Roman"/>
                <w:kern w:val="28"/>
                <w:sz w:val="20"/>
                <w:szCs w:val="20"/>
              </w:rPr>
            </w:pPr>
            <w:r w:rsidRPr="00D41B06">
              <w:rPr>
                <w:rFonts w:ascii="Calibri" w:eastAsia="Times New Roman" w:hAnsi="Calibri" w:cs="Times New Roman"/>
                <w:kern w:val="28"/>
                <w:sz w:val="20"/>
                <w:szCs w:val="20"/>
              </w:rPr>
              <w:t>Required local contribution</w:t>
            </w:r>
          </w:p>
        </w:tc>
        <w:tc>
          <w:tcPr>
            <w:tcW w:w="1350" w:type="dxa"/>
            <w:tcBorders>
              <w:left w:val="single" w:sz="12" w:space="0" w:color="auto"/>
            </w:tcBorders>
            <w:noWrap/>
            <w:vAlign w:val="bottom"/>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w:t>
            </w:r>
          </w:p>
        </w:tc>
        <w:tc>
          <w:tcPr>
            <w:tcW w:w="1360" w:type="dxa"/>
            <w:gridSpan w:val="2"/>
            <w:tcBorders>
              <w:right w:val="single" w:sz="12" w:space="0" w:color="auto"/>
            </w:tcBorders>
            <w:noWrap/>
            <w:vAlign w:val="bottom"/>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$94,178,235</w:t>
            </w:r>
          </w:p>
        </w:tc>
        <w:tc>
          <w:tcPr>
            <w:tcW w:w="1430" w:type="dxa"/>
            <w:gridSpan w:val="2"/>
            <w:tcBorders>
              <w:left w:val="single" w:sz="12" w:space="0" w:color="auto"/>
            </w:tcBorders>
            <w:noWrap/>
            <w:vAlign w:val="bottom"/>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w:t>
            </w:r>
          </w:p>
        </w:tc>
        <w:tc>
          <w:tcPr>
            <w:tcW w:w="1350" w:type="dxa"/>
            <w:gridSpan w:val="2"/>
            <w:tcBorders>
              <w:right w:val="single" w:sz="12" w:space="0" w:color="auto"/>
            </w:tcBorders>
            <w:noWrap/>
            <w:vAlign w:val="bottom"/>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$99,280,899</w:t>
            </w:r>
          </w:p>
        </w:tc>
        <w:tc>
          <w:tcPr>
            <w:tcW w:w="1440" w:type="dxa"/>
            <w:gridSpan w:val="2"/>
            <w:tcBorders>
              <w:left w:val="single" w:sz="12" w:space="0" w:color="auto"/>
            </w:tcBorders>
            <w:noWrap/>
            <w:vAlign w:val="bottom"/>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w:t>
            </w:r>
          </w:p>
        </w:tc>
        <w:tc>
          <w:tcPr>
            <w:tcW w:w="1350" w:type="dxa"/>
            <w:tcBorders>
              <w:left w:val="single" w:sz="12" w:space="0" w:color="auto"/>
            </w:tcBorders>
            <w:vAlign w:val="bottom"/>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$100,229,277</w:t>
            </w:r>
          </w:p>
        </w:tc>
      </w:tr>
      <w:tr w:rsidR="00D47C8F" w:rsidRPr="00D41B06" w:rsidTr="006F40C4">
        <w:trPr>
          <w:trHeight w:val="245"/>
        </w:trPr>
        <w:tc>
          <w:tcPr>
            <w:tcW w:w="3420" w:type="dxa"/>
            <w:tcBorders>
              <w:right w:val="single" w:sz="12" w:space="0" w:color="auto"/>
            </w:tcBorders>
            <w:noWrap/>
            <w:vAlign w:val="center"/>
          </w:tcPr>
          <w:p w:rsidR="00D47C8F" w:rsidRPr="00D41B06" w:rsidRDefault="00D47C8F" w:rsidP="0087052B">
            <w:pPr>
              <w:widowControl w:val="0"/>
              <w:overflowPunct w:val="0"/>
              <w:adjustRightInd w:val="0"/>
              <w:spacing w:after="0" w:line="240" w:lineRule="auto"/>
              <w:rPr>
                <w:rFonts w:ascii="Calibri" w:eastAsia="Times New Roman" w:hAnsi="Calibri" w:cs="Times New Roman"/>
                <w:kern w:val="28"/>
                <w:sz w:val="20"/>
                <w:szCs w:val="20"/>
              </w:rPr>
            </w:pPr>
            <w:r w:rsidRPr="00D41B06">
              <w:rPr>
                <w:rFonts w:ascii="Calibri" w:eastAsia="Times New Roman" w:hAnsi="Calibri" w:cs="Times New Roman"/>
                <w:kern w:val="28"/>
                <w:sz w:val="20"/>
                <w:szCs w:val="20"/>
              </w:rPr>
              <w:t>Required net school spending**</w:t>
            </w:r>
          </w:p>
        </w:tc>
        <w:tc>
          <w:tcPr>
            <w:tcW w:w="1350" w:type="dxa"/>
            <w:tcBorders>
              <w:left w:val="single" w:sz="12" w:space="0" w:color="auto"/>
            </w:tcBorders>
            <w:noWrap/>
            <w:vAlign w:val="bottom"/>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w:t>
            </w:r>
          </w:p>
        </w:tc>
        <w:tc>
          <w:tcPr>
            <w:tcW w:w="1360" w:type="dxa"/>
            <w:gridSpan w:val="2"/>
            <w:tcBorders>
              <w:right w:val="single" w:sz="12" w:space="0" w:color="auto"/>
            </w:tcBorders>
            <w:noWrap/>
            <w:vAlign w:val="bottom"/>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$314,075,968</w:t>
            </w:r>
          </w:p>
        </w:tc>
        <w:tc>
          <w:tcPr>
            <w:tcW w:w="1430" w:type="dxa"/>
            <w:gridSpan w:val="2"/>
            <w:tcBorders>
              <w:left w:val="single" w:sz="12" w:space="0" w:color="auto"/>
            </w:tcBorders>
            <w:noWrap/>
            <w:vAlign w:val="bottom"/>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w:t>
            </w:r>
          </w:p>
        </w:tc>
        <w:tc>
          <w:tcPr>
            <w:tcW w:w="1350" w:type="dxa"/>
            <w:gridSpan w:val="2"/>
            <w:tcBorders>
              <w:right w:val="single" w:sz="12" w:space="0" w:color="auto"/>
            </w:tcBorders>
            <w:noWrap/>
            <w:vAlign w:val="bottom"/>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$319,850,482</w:t>
            </w:r>
          </w:p>
        </w:tc>
        <w:tc>
          <w:tcPr>
            <w:tcW w:w="1440" w:type="dxa"/>
            <w:gridSpan w:val="2"/>
            <w:tcBorders>
              <w:left w:val="single" w:sz="12" w:space="0" w:color="auto"/>
            </w:tcBorders>
            <w:noWrap/>
            <w:vAlign w:val="bottom"/>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w:t>
            </w:r>
          </w:p>
        </w:tc>
        <w:tc>
          <w:tcPr>
            <w:tcW w:w="1350" w:type="dxa"/>
            <w:tcBorders>
              <w:left w:val="single" w:sz="12" w:space="0" w:color="auto"/>
            </w:tcBorders>
            <w:vAlign w:val="bottom"/>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$331,770,015</w:t>
            </w:r>
          </w:p>
        </w:tc>
      </w:tr>
      <w:tr w:rsidR="00D47C8F" w:rsidRPr="00D41B06" w:rsidTr="006F40C4">
        <w:trPr>
          <w:trHeight w:val="245"/>
        </w:trPr>
        <w:tc>
          <w:tcPr>
            <w:tcW w:w="3420" w:type="dxa"/>
            <w:tcBorders>
              <w:right w:val="single" w:sz="12" w:space="0" w:color="auto"/>
            </w:tcBorders>
            <w:noWrap/>
            <w:vAlign w:val="center"/>
          </w:tcPr>
          <w:p w:rsidR="00D47C8F" w:rsidRPr="00D41B06" w:rsidRDefault="00D47C8F" w:rsidP="0087052B">
            <w:pPr>
              <w:widowControl w:val="0"/>
              <w:overflowPunct w:val="0"/>
              <w:adjustRightInd w:val="0"/>
              <w:spacing w:after="0" w:line="240" w:lineRule="auto"/>
              <w:rPr>
                <w:rFonts w:ascii="Calibri" w:eastAsia="Times New Roman" w:hAnsi="Calibri" w:cs="Times New Roman"/>
                <w:kern w:val="28"/>
                <w:sz w:val="20"/>
                <w:szCs w:val="20"/>
              </w:rPr>
            </w:pPr>
            <w:r w:rsidRPr="00D41B06">
              <w:rPr>
                <w:rFonts w:ascii="Calibri" w:eastAsia="Times New Roman" w:hAnsi="Calibri" w:cs="Times New Roman"/>
                <w:kern w:val="28"/>
                <w:sz w:val="20"/>
                <w:szCs w:val="20"/>
              </w:rPr>
              <w:t>Actual net school spending</w:t>
            </w:r>
          </w:p>
        </w:tc>
        <w:tc>
          <w:tcPr>
            <w:tcW w:w="1350" w:type="dxa"/>
            <w:tcBorders>
              <w:left w:val="single" w:sz="12" w:space="0" w:color="auto"/>
            </w:tcBorders>
            <w:noWrap/>
            <w:vAlign w:val="bottom"/>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w:t>
            </w:r>
          </w:p>
        </w:tc>
        <w:tc>
          <w:tcPr>
            <w:tcW w:w="1360" w:type="dxa"/>
            <w:gridSpan w:val="2"/>
            <w:tcBorders>
              <w:right w:val="single" w:sz="12" w:space="0" w:color="auto"/>
            </w:tcBorders>
            <w:noWrap/>
            <w:vAlign w:val="bottom"/>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$311,169,768</w:t>
            </w:r>
          </w:p>
        </w:tc>
        <w:tc>
          <w:tcPr>
            <w:tcW w:w="1430" w:type="dxa"/>
            <w:gridSpan w:val="2"/>
            <w:tcBorders>
              <w:left w:val="single" w:sz="12" w:space="0" w:color="auto"/>
            </w:tcBorders>
            <w:noWrap/>
            <w:vAlign w:val="bottom"/>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w:t>
            </w:r>
          </w:p>
        </w:tc>
        <w:tc>
          <w:tcPr>
            <w:tcW w:w="1350" w:type="dxa"/>
            <w:gridSpan w:val="2"/>
            <w:tcBorders>
              <w:right w:val="single" w:sz="12" w:space="0" w:color="auto"/>
            </w:tcBorders>
            <w:noWrap/>
            <w:vAlign w:val="bottom"/>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$317,548,974</w:t>
            </w:r>
          </w:p>
        </w:tc>
        <w:tc>
          <w:tcPr>
            <w:tcW w:w="1440" w:type="dxa"/>
            <w:gridSpan w:val="2"/>
            <w:tcBorders>
              <w:left w:val="single" w:sz="12" w:space="0" w:color="auto"/>
            </w:tcBorders>
            <w:noWrap/>
            <w:vAlign w:val="bottom"/>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w:t>
            </w:r>
          </w:p>
        </w:tc>
        <w:tc>
          <w:tcPr>
            <w:tcW w:w="1350" w:type="dxa"/>
            <w:tcBorders>
              <w:left w:val="single" w:sz="12" w:space="0" w:color="auto"/>
            </w:tcBorders>
            <w:vAlign w:val="bottom"/>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$329,949,578</w:t>
            </w:r>
          </w:p>
        </w:tc>
      </w:tr>
      <w:tr w:rsidR="00D47C8F" w:rsidRPr="00D41B06" w:rsidTr="006F40C4">
        <w:trPr>
          <w:trHeight w:val="245"/>
        </w:trPr>
        <w:tc>
          <w:tcPr>
            <w:tcW w:w="3420" w:type="dxa"/>
            <w:tcBorders>
              <w:right w:val="single" w:sz="12" w:space="0" w:color="auto"/>
            </w:tcBorders>
            <w:noWrap/>
            <w:vAlign w:val="center"/>
          </w:tcPr>
          <w:p w:rsidR="00D47C8F" w:rsidRPr="00D41B06" w:rsidRDefault="00D47C8F" w:rsidP="0087052B">
            <w:pPr>
              <w:widowControl w:val="0"/>
              <w:overflowPunct w:val="0"/>
              <w:adjustRightInd w:val="0"/>
              <w:spacing w:after="0" w:line="240" w:lineRule="auto"/>
              <w:rPr>
                <w:rFonts w:ascii="Calibri" w:eastAsia="Times New Roman" w:hAnsi="Calibri" w:cs="Times New Roman"/>
                <w:kern w:val="28"/>
                <w:sz w:val="20"/>
                <w:szCs w:val="20"/>
              </w:rPr>
            </w:pPr>
            <w:r w:rsidRPr="00D41B06">
              <w:rPr>
                <w:rFonts w:ascii="Calibri" w:eastAsia="Times New Roman" w:hAnsi="Calibri" w:cs="Times New Roman"/>
                <w:kern w:val="28"/>
                <w:sz w:val="20"/>
                <w:szCs w:val="20"/>
              </w:rPr>
              <w:t>Over/under required ($)</w:t>
            </w:r>
          </w:p>
        </w:tc>
        <w:tc>
          <w:tcPr>
            <w:tcW w:w="1350" w:type="dxa"/>
            <w:tcBorders>
              <w:left w:val="single" w:sz="12" w:space="0" w:color="auto"/>
            </w:tcBorders>
            <w:noWrap/>
            <w:vAlign w:val="bottom"/>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w:t>
            </w:r>
          </w:p>
        </w:tc>
        <w:tc>
          <w:tcPr>
            <w:tcW w:w="1360" w:type="dxa"/>
            <w:gridSpan w:val="2"/>
            <w:tcBorders>
              <w:right w:val="single" w:sz="12" w:space="0" w:color="auto"/>
            </w:tcBorders>
            <w:noWrap/>
            <w:vAlign w:val="bottom"/>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-$2,906,199</w:t>
            </w:r>
          </w:p>
        </w:tc>
        <w:tc>
          <w:tcPr>
            <w:tcW w:w="1430" w:type="dxa"/>
            <w:gridSpan w:val="2"/>
            <w:tcBorders>
              <w:left w:val="single" w:sz="12" w:space="0" w:color="auto"/>
            </w:tcBorders>
            <w:noWrap/>
            <w:vAlign w:val="bottom"/>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w:t>
            </w:r>
          </w:p>
        </w:tc>
        <w:tc>
          <w:tcPr>
            <w:tcW w:w="1350" w:type="dxa"/>
            <w:gridSpan w:val="2"/>
            <w:tcBorders>
              <w:right w:val="single" w:sz="12" w:space="0" w:color="auto"/>
            </w:tcBorders>
            <w:noWrap/>
            <w:vAlign w:val="bottom"/>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-$2,301,508</w:t>
            </w:r>
          </w:p>
        </w:tc>
        <w:tc>
          <w:tcPr>
            <w:tcW w:w="1440" w:type="dxa"/>
            <w:gridSpan w:val="2"/>
            <w:tcBorders>
              <w:left w:val="single" w:sz="12" w:space="0" w:color="auto"/>
            </w:tcBorders>
            <w:noWrap/>
            <w:vAlign w:val="bottom"/>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w:t>
            </w:r>
          </w:p>
        </w:tc>
        <w:tc>
          <w:tcPr>
            <w:tcW w:w="1350" w:type="dxa"/>
            <w:tcBorders>
              <w:left w:val="single" w:sz="12" w:space="0" w:color="auto"/>
            </w:tcBorders>
            <w:vAlign w:val="bottom"/>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-$1,820,437</w:t>
            </w:r>
          </w:p>
        </w:tc>
      </w:tr>
      <w:tr w:rsidR="00D47C8F" w:rsidRPr="00D41B06" w:rsidTr="006F40C4">
        <w:trPr>
          <w:trHeight w:val="245"/>
        </w:trPr>
        <w:tc>
          <w:tcPr>
            <w:tcW w:w="3420" w:type="dxa"/>
            <w:tcBorders>
              <w:bottom w:val="single" w:sz="4" w:space="0" w:color="auto"/>
              <w:right w:val="single" w:sz="12" w:space="0" w:color="auto"/>
            </w:tcBorders>
            <w:noWrap/>
            <w:vAlign w:val="center"/>
          </w:tcPr>
          <w:p w:rsidR="00D47C8F" w:rsidRPr="00D41B06" w:rsidRDefault="00D47C8F" w:rsidP="0087052B">
            <w:pPr>
              <w:widowControl w:val="0"/>
              <w:overflowPunct w:val="0"/>
              <w:adjustRightInd w:val="0"/>
              <w:spacing w:after="0" w:line="240" w:lineRule="auto"/>
              <w:rPr>
                <w:rFonts w:ascii="Calibri" w:eastAsia="Times New Roman" w:hAnsi="Calibri" w:cs="Times New Roman"/>
                <w:kern w:val="28"/>
                <w:sz w:val="20"/>
                <w:szCs w:val="20"/>
              </w:rPr>
            </w:pPr>
            <w:r w:rsidRPr="00D41B06">
              <w:rPr>
                <w:rFonts w:ascii="Calibri" w:eastAsia="Times New Roman" w:hAnsi="Calibri" w:cs="Times New Roman"/>
                <w:kern w:val="28"/>
                <w:sz w:val="20"/>
                <w:szCs w:val="20"/>
              </w:rPr>
              <w:t>Over/under required (%)</w:t>
            </w:r>
          </w:p>
        </w:tc>
        <w:tc>
          <w:tcPr>
            <w:tcW w:w="1350" w:type="dxa"/>
            <w:tcBorders>
              <w:left w:val="single" w:sz="12" w:space="0" w:color="auto"/>
              <w:bottom w:val="single" w:sz="4" w:space="0" w:color="auto"/>
            </w:tcBorders>
            <w:noWrap/>
            <w:vAlign w:val="bottom"/>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w:t>
            </w:r>
          </w:p>
        </w:tc>
        <w:tc>
          <w:tcPr>
            <w:tcW w:w="1360" w:type="dxa"/>
            <w:gridSpan w:val="2"/>
            <w:tcBorders>
              <w:bottom w:val="single" w:sz="4" w:space="0" w:color="auto"/>
              <w:right w:val="single" w:sz="12" w:space="0" w:color="auto"/>
            </w:tcBorders>
            <w:noWrap/>
            <w:vAlign w:val="bottom"/>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-0.9%</w:t>
            </w:r>
          </w:p>
        </w:tc>
        <w:tc>
          <w:tcPr>
            <w:tcW w:w="1430" w:type="dxa"/>
            <w:gridSpan w:val="2"/>
            <w:tcBorders>
              <w:left w:val="single" w:sz="12" w:space="0" w:color="auto"/>
              <w:bottom w:val="single" w:sz="4" w:space="0" w:color="auto"/>
            </w:tcBorders>
            <w:noWrap/>
            <w:vAlign w:val="bottom"/>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w:t>
            </w:r>
          </w:p>
        </w:tc>
        <w:tc>
          <w:tcPr>
            <w:tcW w:w="1350" w:type="dxa"/>
            <w:gridSpan w:val="2"/>
            <w:tcBorders>
              <w:bottom w:val="single" w:sz="4" w:space="0" w:color="auto"/>
              <w:right w:val="single" w:sz="12" w:space="0" w:color="auto"/>
            </w:tcBorders>
            <w:noWrap/>
            <w:vAlign w:val="bottom"/>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-0.7%</w:t>
            </w:r>
          </w:p>
        </w:tc>
        <w:tc>
          <w:tcPr>
            <w:tcW w:w="1440" w:type="dxa"/>
            <w:gridSpan w:val="2"/>
            <w:tcBorders>
              <w:left w:val="single" w:sz="12" w:space="0" w:color="auto"/>
              <w:bottom w:val="single" w:sz="4" w:space="0" w:color="auto"/>
            </w:tcBorders>
            <w:noWrap/>
            <w:vAlign w:val="bottom"/>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w:t>
            </w:r>
          </w:p>
        </w:tc>
        <w:tc>
          <w:tcPr>
            <w:tcW w:w="1350" w:type="dxa"/>
            <w:tcBorders>
              <w:left w:val="single" w:sz="12" w:space="0" w:color="auto"/>
              <w:bottom w:val="single" w:sz="4" w:space="0" w:color="auto"/>
            </w:tcBorders>
            <w:vAlign w:val="bottom"/>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-0.5%</w:t>
            </w:r>
          </w:p>
        </w:tc>
      </w:tr>
      <w:tr w:rsidR="00D47C8F" w:rsidRPr="00D41B06" w:rsidTr="0087052B">
        <w:trPr>
          <w:trHeight w:val="300"/>
        </w:trPr>
        <w:tc>
          <w:tcPr>
            <w:tcW w:w="11700" w:type="dxa"/>
            <w:gridSpan w:val="11"/>
            <w:tcBorders>
              <w:left w:val="nil"/>
              <w:bottom w:val="nil"/>
              <w:right w:val="nil"/>
            </w:tcBorders>
            <w:noWrap/>
            <w:vAlign w:val="center"/>
          </w:tcPr>
          <w:p w:rsidR="00D47C8F" w:rsidRPr="00D41B06" w:rsidRDefault="00D47C8F" w:rsidP="0087052B">
            <w:pPr>
              <w:widowControl w:val="0"/>
              <w:overflowPunct w:val="0"/>
              <w:adjustRightInd w:val="0"/>
              <w:spacing w:before="40" w:after="40" w:line="240" w:lineRule="auto"/>
              <w:rPr>
                <w:rFonts w:ascii="Calibri" w:eastAsia="Times New Roman" w:hAnsi="Calibri" w:cs="Times New Roman"/>
                <w:kern w:val="28"/>
                <w:sz w:val="16"/>
                <w:szCs w:val="16"/>
              </w:rPr>
            </w:pPr>
            <w:r w:rsidRPr="00D41B06">
              <w:rPr>
                <w:rFonts w:ascii="Calibri" w:eastAsia="Times New Roman" w:hAnsi="Calibri" w:cs="Times New Roman"/>
                <w:kern w:val="28"/>
                <w:sz w:val="20"/>
                <w:szCs w:val="20"/>
              </w:rPr>
              <w:t>*</w:t>
            </w:r>
            <w:r w:rsidRPr="00D41B06">
              <w:rPr>
                <w:rFonts w:ascii="Calibri" w:eastAsia="Times New Roman" w:hAnsi="Calibri" w:cs="Times New Roman"/>
                <w:kern w:val="28"/>
                <w:sz w:val="16"/>
                <w:szCs w:val="16"/>
              </w:rPr>
              <w:t>Chapter 70 state aid funds are deposited in the local general fund and spent as local appropriations.</w:t>
            </w:r>
          </w:p>
          <w:p w:rsidR="00D47C8F" w:rsidRPr="00D41B06" w:rsidRDefault="00D47C8F" w:rsidP="0087052B">
            <w:pPr>
              <w:widowControl w:val="0"/>
              <w:overflowPunct w:val="0"/>
              <w:adjustRightInd w:val="0"/>
              <w:spacing w:before="40" w:after="40" w:line="240" w:lineRule="auto"/>
              <w:rPr>
                <w:rFonts w:ascii="Calibri" w:eastAsia="Times New Roman" w:hAnsi="Calibri" w:cs="Times New Roman"/>
                <w:kern w:val="28"/>
                <w:sz w:val="16"/>
                <w:szCs w:val="16"/>
              </w:rPr>
            </w:pPr>
            <w:r w:rsidRPr="00D41B06">
              <w:rPr>
                <w:rFonts w:ascii="Calibri" w:eastAsia="Times New Roman" w:hAnsi="Calibri" w:cs="Times New Roman"/>
                <w:kern w:val="28"/>
                <w:sz w:val="16"/>
                <w:szCs w:val="16"/>
              </w:rPr>
              <w:t>**Required net school spending is the total of Chapter 70 aid and required local contribution. Net school spending includes only expenditures from local appropriations, not revolving funds and grants. It includes expenditures for most administration, instruction, operations, and out-of-district tuitions. It does not include transportation, school lunches, debt, or capital.</w:t>
            </w:r>
          </w:p>
          <w:p w:rsidR="00D47C8F" w:rsidRPr="00D41B06" w:rsidRDefault="00D47C8F" w:rsidP="000B5367">
            <w:pPr>
              <w:widowControl w:val="0"/>
              <w:overflowPunct w:val="0"/>
              <w:adjustRightInd w:val="0"/>
              <w:spacing w:before="40" w:after="40" w:line="240" w:lineRule="auto"/>
              <w:rPr>
                <w:rFonts w:ascii="Calibri" w:eastAsia="Times New Roman" w:hAnsi="Calibri" w:cs="Times New Roman"/>
                <w:kern w:val="28"/>
                <w:sz w:val="20"/>
                <w:szCs w:val="20"/>
              </w:rPr>
            </w:pPr>
            <w:r w:rsidRPr="00D41B06">
              <w:rPr>
                <w:rFonts w:ascii="Calibri" w:eastAsia="Times New Roman" w:hAnsi="Calibri" w:cs="Times New Roman"/>
                <w:kern w:val="28"/>
                <w:sz w:val="16"/>
                <w:szCs w:val="16"/>
              </w:rPr>
              <w:t>Sources: FY14, FY15, and FY16 District End-of-Year Reports, Chapter 70 Program information on ESE website</w:t>
            </w:r>
            <w:r w:rsidR="000B5367">
              <w:rPr>
                <w:rFonts w:ascii="Calibri" w:eastAsia="Times New Roman" w:hAnsi="Calibri" w:cs="Times New Roman"/>
                <w:kern w:val="28"/>
                <w:sz w:val="16"/>
                <w:szCs w:val="16"/>
              </w:rPr>
              <w:t xml:space="preserve"> </w:t>
            </w:r>
            <w:r w:rsidRPr="00D41B06">
              <w:rPr>
                <w:rFonts w:ascii="Calibri" w:eastAsia="Times New Roman" w:hAnsi="Calibri" w:cs="Times New Roman"/>
                <w:kern w:val="28"/>
                <w:sz w:val="16"/>
                <w:szCs w:val="16"/>
              </w:rPr>
              <w:t>Data retrieved 12/13/16</w:t>
            </w:r>
          </w:p>
        </w:tc>
      </w:tr>
    </w:tbl>
    <w:p w:rsidR="002F1EBE" w:rsidRPr="00F04EDB" w:rsidRDefault="002F1EBE" w:rsidP="002F1EBE">
      <w:pPr>
        <w:spacing w:after="0" w:line="240" w:lineRule="auto"/>
        <w:rPr>
          <w:rFonts w:eastAsia="Times New Roman" w:cs="Times New Roman"/>
        </w:rPr>
        <w:sectPr w:rsidR="002F1EBE" w:rsidRPr="00F04EDB" w:rsidSect="00A36847">
          <w:pgSz w:w="15840" w:h="12240" w:orient="landscape"/>
          <w:pgMar w:top="1440" w:right="1440" w:bottom="1440" w:left="1440" w:header="720" w:footer="720" w:gutter="0"/>
          <w:cols w:space="720"/>
          <w:docGrid w:linePitch="360"/>
        </w:sectPr>
      </w:pPr>
    </w:p>
    <w:p w:rsidR="00D47C8F" w:rsidRPr="00D41B06" w:rsidRDefault="00D47C8F" w:rsidP="00D47C8F">
      <w:pPr>
        <w:spacing w:after="0"/>
        <w:jc w:val="center"/>
        <w:rPr>
          <w:b/>
          <w:sz w:val="20"/>
        </w:rPr>
      </w:pPr>
      <w:r w:rsidRPr="00D41B06">
        <w:rPr>
          <w:b/>
          <w:sz w:val="20"/>
        </w:rPr>
        <w:t xml:space="preserve">Table </w:t>
      </w:r>
      <w:r w:rsidR="00555949" w:rsidRPr="00D41B06">
        <w:rPr>
          <w:b/>
          <w:sz w:val="20"/>
        </w:rPr>
        <w:t>B</w:t>
      </w:r>
      <w:r w:rsidR="00555949">
        <w:rPr>
          <w:b/>
          <w:sz w:val="20"/>
        </w:rPr>
        <w:t>1</w:t>
      </w:r>
      <w:r w:rsidR="00923109">
        <w:rPr>
          <w:b/>
          <w:sz w:val="20"/>
        </w:rPr>
        <w:t>1</w:t>
      </w:r>
      <w:r w:rsidRPr="00D41B06">
        <w:rPr>
          <w:b/>
          <w:sz w:val="20"/>
        </w:rPr>
        <w:t xml:space="preserve">: </w:t>
      </w:r>
      <w:r w:rsidRPr="00D41B06">
        <w:rPr>
          <w:rFonts w:ascii="Calibri" w:eastAsia="Calibri" w:hAnsi="Calibri" w:cs="Times New Roman"/>
          <w:b/>
          <w:sz w:val="20"/>
        </w:rPr>
        <w:t>Worcester Public Schools</w:t>
      </w:r>
    </w:p>
    <w:p w:rsidR="00D47C8F" w:rsidRPr="00D41B06" w:rsidRDefault="00D47C8F" w:rsidP="00D47C8F">
      <w:pPr>
        <w:spacing w:after="0"/>
        <w:jc w:val="center"/>
        <w:rPr>
          <w:b/>
          <w:sz w:val="20"/>
        </w:rPr>
      </w:pPr>
      <w:r w:rsidRPr="00D41B06">
        <w:rPr>
          <w:b/>
          <w:sz w:val="20"/>
        </w:rPr>
        <w:t>Expenditures Per In-District Pupil</w:t>
      </w:r>
    </w:p>
    <w:p w:rsidR="00D47C8F" w:rsidRPr="00D41B06" w:rsidRDefault="00D47C8F" w:rsidP="00D47C8F">
      <w:pPr>
        <w:spacing w:after="0"/>
        <w:jc w:val="center"/>
        <w:rPr>
          <w:b/>
          <w:sz w:val="20"/>
        </w:rPr>
      </w:pPr>
      <w:r w:rsidRPr="00D41B06">
        <w:rPr>
          <w:b/>
          <w:sz w:val="20"/>
        </w:rPr>
        <w:t>Fiscal Years 2013–2015</w:t>
      </w:r>
    </w:p>
    <w:tbl>
      <w:tblPr>
        <w:tblW w:w="42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3"/>
        <w:gridCol w:w="1375"/>
        <w:gridCol w:w="1375"/>
        <w:gridCol w:w="1374"/>
      </w:tblGrid>
      <w:tr w:rsidR="00D47C8F" w:rsidRPr="00D41B06" w:rsidTr="0087052B">
        <w:trPr>
          <w:trHeight w:val="432"/>
          <w:jc w:val="center"/>
        </w:trPr>
        <w:tc>
          <w:tcPr>
            <w:tcW w:w="2484" w:type="pct"/>
            <w:tcBorders>
              <w:bottom w:val="single" w:sz="12" w:space="0" w:color="auto"/>
            </w:tcBorders>
            <w:vAlign w:val="center"/>
          </w:tcPr>
          <w:p w:rsidR="00D47C8F" w:rsidRPr="00D41B06" w:rsidRDefault="00D47C8F" w:rsidP="0087052B">
            <w:pPr>
              <w:widowControl w:val="0"/>
              <w:overflowPunct w:val="0"/>
              <w:adjustRightInd w:val="0"/>
              <w:spacing w:before="40" w:after="40" w:line="240" w:lineRule="auto"/>
              <w:rPr>
                <w:rFonts w:ascii="Calibri" w:eastAsia="Times New Roman" w:hAnsi="Calibri" w:cs="Times New Roman"/>
                <w:b/>
                <w:kern w:val="28"/>
                <w:sz w:val="20"/>
                <w:szCs w:val="20"/>
              </w:rPr>
            </w:pPr>
            <w:r w:rsidRPr="00D41B06">
              <w:rPr>
                <w:rFonts w:ascii="Calibri" w:eastAsia="Times New Roman" w:hAnsi="Calibri" w:cs="Times New Roman"/>
                <w:b/>
                <w:kern w:val="28"/>
                <w:sz w:val="20"/>
                <w:szCs w:val="20"/>
              </w:rPr>
              <w:t>Expenditure Category</w:t>
            </w:r>
          </w:p>
        </w:tc>
        <w:tc>
          <w:tcPr>
            <w:tcW w:w="839" w:type="pct"/>
            <w:tcBorders>
              <w:bottom w:val="single" w:sz="12" w:space="0" w:color="auto"/>
            </w:tcBorders>
            <w:vAlign w:val="center"/>
          </w:tcPr>
          <w:p w:rsidR="00D47C8F" w:rsidRPr="00D41B06" w:rsidRDefault="00D47C8F" w:rsidP="0087052B">
            <w:pPr>
              <w:widowControl w:val="0"/>
              <w:overflowPunct w:val="0"/>
              <w:adjustRightInd w:val="0"/>
              <w:spacing w:before="40" w:after="40" w:line="240" w:lineRule="auto"/>
              <w:jc w:val="center"/>
              <w:rPr>
                <w:rFonts w:ascii="Calibri" w:eastAsia="Times New Roman" w:hAnsi="Calibri" w:cs="Times New Roman"/>
                <w:b/>
                <w:kern w:val="28"/>
                <w:sz w:val="20"/>
                <w:szCs w:val="20"/>
              </w:rPr>
            </w:pPr>
            <w:r w:rsidRPr="00D41B06">
              <w:rPr>
                <w:rFonts w:ascii="Calibri" w:eastAsia="Times New Roman" w:hAnsi="Calibri" w:cs="Times New Roman"/>
                <w:b/>
                <w:kern w:val="28"/>
                <w:sz w:val="20"/>
                <w:szCs w:val="20"/>
              </w:rPr>
              <w:t>2013</w:t>
            </w:r>
          </w:p>
        </w:tc>
        <w:tc>
          <w:tcPr>
            <w:tcW w:w="839" w:type="pct"/>
            <w:tcBorders>
              <w:bottom w:val="single" w:sz="12" w:space="0" w:color="auto"/>
            </w:tcBorders>
            <w:vAlign w:val="center"/>
          </w:tcPr>
          <w:p w:rsidR="00D47C8F" w:rsidRPr="00D41B06" w:rsidRDefault="00D47C8F" w:rsidP="0087052B">
            <w:pPr>
              <w:widowControl w:val="0"/>
              <w:overflowPunct w:val="0"/>
              <w:adjustRightInd w:val="0"/>
              <w:spacing w:before="40" w:after="40" w:line="240" w:lineRule="auto"/>
              <w:jc w:val="center"/>
              <w:rPr>
                <w:rFonts w:ascii="Calibri" w:eastAsia="Times New Roman" w:hAnsi="Calibri" w:cs="Times New Roman"/>
                <w:b/>
                <w:kern w:val="28"/>
                <w:sz w:val="20"/>
                <w:szCs w:val="20"/>
              </w:rPr>
            </w:pPr>
            <w:r w:rsidRPr="00D41B06">
              <w:rPr>
                <w:rFonts w:ascii="Calibri" w:eastAsia="Times New Roman" w:hAnsi="Calibri" w:cs="Times New Roman"/>
                <w:b/>
                <w:kern w:val="28"/>
                <w:sz w:val="20"/>
                <w:szCs w:val="20"/>
              </w:rPr>
              <w:t>2014</w:t>
            </w:r>
          </w:p>
        </w:tc>
        <w:tc>
          <w:tcPr>
            <w:tcW w:w="838" w:type="pct"/>
            <w:tcBorders>
              <w:bottom w:val="single" w:sz="12" w:space="0" w:color="auto"/>
            </w:tcBorders>
            <w:shd w:val="clear" w:color="auto" w:fill="auto"/>
            <w:vAlign w:val="center"/>
          </w:tcPr>
          <w:p w:rsidR="00D47C8F" w:rsidRPr="00D41B06" w:rsidRDefault="00D47C8F" w:rsidP="0087052B">
            <w:pPr>
              <w:widowControl w:val="0"/>
              <w:overflowPunct w:val="0"/>
              <w:adjustRightInd w:val="0"/>
              <w:spacing w:before="40" w:after="40" w:line="240" w:lineRule="auto"/>
              <w:jc w:val="center"/>
              <w:rPr>
                <w:rFonts w:ascii="Calibri" w:eastAsia="Times New Roman" w:hAnsi="Calibri" w:cs="Times New Roman"/>
                <w:b/>
                <w:kern w:val="28"/>
                <w:sz w:val="20"/>
                <w:szCs w:val="20"/>
              </w:rPr>
            </w:pPr>
            <w:r w:rsidRPr="00D41B06">
              <w:rPr>
                <w:rFonts w:ascii="Calibri" w:eastAsia="Times New Roman" w:hAnsi="Calibri" w:cs="Times New Roman"/>
                <w:b/>
                <w:kern w:val="28"/>
                <w:sz w:val="20"/>
                <w:szCs w:val="20"/>
              </w:rPr>
              <w:t>2015</w:t>
            </w:r>
          </w:p>
        </w:tc>
      </w:tr>
      <w:tr w:rsidR="00D47C8F" w:rsidRPr="00D41B06" w:rsidTr="006F40C4">
        <w:trPr>
          <w:trHeight w:val="245"/>
          <w:jc w:val="center"/>
        </w:trPr>
        <w:tc>
          <w:tcPr>
            <w:tcW w:w="2484" w:type="pct"/>
            <w:tcBorders>
              <w:top w:val="single" w:sz="12" w:space="0" w:color="auto"/>
            </w:tcBorders>
            <w:vAlign w:val="center"/>
          </w:tcPr>
          <w:p w:rsidR="00D47C8F" w:rsidRPr="00D41B06" w:rsidRDefault="00D47C8F" w:rsidP="0087052B">
            <w:pPr>
              <w:widowControl w:val="0"/>
              <w:overflowPunct w:val="0"/>
              <w:adjustRightInd w:val="0"/>
              <w:spacing w:before="40" w:after="40" w:line="240" w:lineRule="auto"/>
              <w:rPr>
                <w:rFonts w:ascii="Calibri" w:eastAsia="Times New Roman" w:hAnsi="Calibri" w:cs="Times New Roman"/>
                <w:kern w:val="28"/>
                <w:sz w:val="20"/>
                <w:szCs w:val="20"/>
              </w:rPr>
            </w:pPr>
            <w:r w:rsidRPr="00D41B06">
              <w:rPr>
                <w:rFonts w:ascii="Calibri" w:eastAsia="Times New Roman" w:hAnsi="Calibri" w:cs="Times New Roman"/>
                <w:kern w:val="28"/>
                <w:sz w:val="20"/>
                <w:szCs w:val="20"/>
              </w:rPr>
              <w:t>Administration</w:t>
            </w:r>
          </w:p>
        </w:tc>
        <w:tc>
          <w:tcPr>
            <w:tcW w:w="839" w:type="pct"/>
            <w:tcBorders>
              <w:top w:val="single" w:sz="12" w:space="0" w:color="auto"/>
            </w:tcBorders>
            <w:vAlign w:val="center"/>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$356</w:t>
            </w:r>
          </w:p>
        </w:tc>
        <w:tc>
          <w:tcPr>
            <w:tcW w:w="839" w:type="pct"/>
            <w:tcBorders>
              <w:top w:val="single" w:sz="12" w:space="0" w:color="auto"/>
            </w:tcBorders>
            <w:vAlign w:val="center"/>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$354</w:t>
            </w:r>
          </w:p>
        </w:tc>
        <w:tc>
          <w:tcPr>
            <w:tcW w:w="838" w:type="pct"/>
            <w:tcBorders>
              <w:top w:val="single" w:sz="12" w:space="0" w:color="auto"/>
            </w:tcBorders>
            <w:shd w:val="clear" w:color="auto" w:fill="auto"/>
            <w:vAlign w:val="center"/>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$346</w:t>
            </w:r>
          </w:p>
        </w:tc>
      </w:tr>
      <w:tr w:rsidR="00D47C8F" w:rsidRPr="00D41B06" w:rsidTr="006F40C4">
        <w:trPr>
          <w:trHeight w:val="245"/>
          <w:jc w:val="center"/>
        </w:trPr>
        <w:tc>
          <w:tcPr>
            <w:tcW w:w="2484" w:type="pct"/>
            <w:vAlign w:val="center"/>
          </w:tcPr>
          <w:p w:rsidR="00D47C8F" w:rsidRPr="00D41B06" w:rsidRDefault="00D47C8F" w:rsidP="0087052B">
            <w:pPr>
              <w:widowControl w:val="0"/>
              <w:overflowPunct w:val="0"/>
              <w:adjustRightInd w:val="0"/>
              <w:spacing w:before="40" w:after="40" w:line="240" w:lineRule="auto"/>
              <w:rPr>
                <w:rFonts w:ascii="Calibri" w:eastAsia="Times New Roman" w:hAnsi="Calibri" w:cs="Times New Roman"/>
                <w:kern w:val="28"/>
                <w:sz w:val="20"/>
                <w:szCs w:val="20"/>
              </w:rPr>
            </w:pPr>
            <w:r w:rsidRPr="00D41B06">
              <w:rPr>
                <w:rFonts w:ascii="Calibri" w:eastAsia="Times New Roman" w:hAnsi="Calibri" w:cs="Times New Roman"/>
                <w:kern w:val="28"/>
                <w:sz w:val="20"/>
                <w:szCs w:val="20"/>
              </w:rPr>
              <w:t>Instructional leadership (district and school)</w:t>
            </w:r>
          </w:p>
        </w:tc>
        <w:tc>
          <w:tcPr>
            <w:tcW w:w="839" w:type="pct"/>
            <w:vAlign w:val="center"/>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$614</w:t>
            </w:r>
          </w:p>
        </w:tc>
        <w:tc>
          <w:tcPr>
            <w:tcW w:w="839" w:type="pct"/>
            <w:vAlign w:val="center"/>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$983</w:t>
            </w:r>
          </w:p>
        </w:tc>
        <w:tc>
          <w:tcPr>
            <w:tcW w:w="838" w:type="pct"/>
            <w:shd w:val="clear" w:color="auto" w:fill="auto"/>
            <w:vAlign w:val="center"/>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$709</w:t>
            </w:r>
          </w:p>
        </w:tc>
      </w:tr>
      <w:tr w:rsidR="00D47C8F" w:rsidRPr="00D41B06" w:rsidTr="006F40C4">
        <w:trPr>
          <w:trHeight w:val="245"/>
          <w:jc w:val="center"/>
        </w:trPr>
        <w:tc>
          <w:tcPr>
            <w:tcW w:w="2484" w:type="pct"/>
            <w:vAlign w:val="center"/>
          </w:tcPr>
          <w:p w:rsidR="00D47C8F" w:rsidRPr="00D41B06" w:rsidRDefault="00D47C8F" w:rsidP="0087052B">
            <w:pPr>
              <w:widowControl w:val="0"/>
              <w:overflowPunct w:val="0"/>
              <w:adjustRightInd w:val="0"/>
              <w:spacing w:before="40" w:after="40" w:line="240" w:lineRule="auto"/>
              <w:rPr>
                <w:rFonts w:ascii="Calibri" w:eastAsia="Times New Roman" w:hAnsi="Calibri" w:cs="Times New Roman"/>
                <w:kern w:val="28"/>
                <w:sz w:val="20"/>
                <w:szCs w:val="20"/>
              </w:rPr>
            </w:pPr>
            <w:r w:rsidRPr="00D41B06">
              <w:rPr>
                <w:rFonts w:ascii="Calibri" w:eastAsia="Times New Roman" w:hAnsi="Calibri" w:cs="Times New Roman"/>
                <w:kern w:val="28"/>
                <w:sz w:val="20"/>
                <w:szCs w:val="20"/>
              </w:rPr>
              <w:t>Teachers</w:t>
            </w:r>
          </w:p>
        </w:tc>
        <w:tc>
          <w:tcPr>
            <w:tcW w:w="839" w:type="pct"/>
            <w:vAlign w:val="center"/>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$5,772</w:t>
            </w:r>
          </w:p>
        </w:tc>
        <w:tc>
          <w:tcPr>
            <w:tcW w:w="839" w:type="pct"/>
            <w:vAlign w:val="center"/>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$5,521</w:t>
            </w:r>
          </w:p>
        </w:tc>
        <w:tc>
          <w:tcPr>
            <w:tcW w:w="838" w:type="pct"/>
            <w:shd w:val="clear" w:color="auto" w:fill="auto"/>
            <w:vAlign w:val="center"/>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$5,628</w:t>
            </w:r>
          </w:p>
        </w:tc>
      </w:tr>
      <w:tr w:rsidR="00D47C8F" w:rsidRPr="00D41B06" w:rsidTr="006F40C4">
        <w:trPr>
          <w:trHeight w:val="245"/>
          <w:jc w:val="center"/>
        </w:trPr>
        <w:tc>
          <w:tcPr>
            <w:tcW w:w="2484" w:type="pct"/>
            <w:vAlign w:val="center"/>
          </w:tcPr>
          <w:p w:rsidR="00D47C8F" w:rsidRPr="00D41B06" w:rsidDel="00DB21D5" w:rsidRDefault="00D47C8F" w:rsidP="0087052B">
            <w:pPr>
              <w:widowControl w:val="0"/>
              <w:overflowPunct w:val="0"/>
              <w:adjustRightInd w:val="0"/>
              <w:spacing w:before="40" w:after="40" w:line="240" w:lineRule="auto"/>
              <w:rPr>
                <w:rFonts w:ascii="Calibri" w:eastAsia="Times New Roman" w:hAnsi="Calibri" w:cs="Times New Roman"/>
                <w:kern w:val="28"/>
                <w:sz w:val="20"/>
                <w:szCs w:val="20"/>
              </w:rPr>
            </w:pPr>
            <w:r w:rsidRPr="00D41B06">
              <w:rPr>
                <w:rFonts w:ascii="Calibri" w:eastAsia="Times New Roman" w:hAnsi="Calibri" w:cs="Times New Roman"/>
                <w:kern w:val="28"/>
                <w:sz w:val="20"/>
                <w:szCs w:val="20"/>
              </w:rPr>
              <w:t>Other teaching services</w:t>
            </w:r>
          </w:p>
        </w:tc>
        <w:tc>
          <w:tcPr>
            <w:tcW w:w="839" w:type="pct"/>
            <w:vAlign w:val="center"/>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$842</w:t>
            </w:r>
          </w:p>
        </w:tc>
        <w:tc>
          <w:tcPr>
            <w:tcW w:w="839" w:type="pct"/>
            <w:vAlign w:val="center"/>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$986</w:t>
            </w:r>
          </w:p>
        </w:tc>
        <w:tc>
          <w:tcPr>
            <w:tcW w:w="838" w:type="pct"/>
            <w:shd w:val="clear" w:color="auto" w:fill="auto"/>
            <w:vAlign w:val="center"/>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$1,046</w:t>
            </w:r>
          </w:p>
        </w:tc>
      </w:tr>
      <w:tr w:rsidR="00D47C8F" w:rsidRPr="00D41B06" w:rsidTr="006F40C4">
        <w:trPr>
          <w:trHeight w:val="245"/>
          <w:jc w:val="center"/>
        </w:trPr>
        <w:tc>
          <w:tcPr>
            <w:tcW w:w="2484" w:type="pct"/>
            <w:vAlign w:val="center"/>
          </w:tcPr>
          <w:p w:rsidR="00D47C8F" w:rsidRPr="00D41B06" w:rsidRDefault="00D47C8F" w:rsidP="0087052B">
            <w:pPr>
              <w:widowControl w:val="0"/>
              <w:overflowPunct w:val="0"/>
              <w:adjustRightInd w:val="0"/>
              <w:spacing w:before="40" w:after="40" w:line="240" w:lineRule="auto"/>
              <w:rPr>
                <w:rFonts w:ascii="Calibri" w:eastAsia="Times New Roman" w:hAnsi="Calibri" w:cs="Times New Roman"/>
                <w:kern w:val="28"/>
                <w:sz w:val="20"/>
                <w:szCs w:val="20"/>
              </w:rPr>
            </w:pPr>
            <w:r w:rsidRPr="00D41B06">
              <w:rPr>
                <w:rFonts w:ascii="Calibri" w:eastAsia="Times New Roman" w:hAnsi="Calibri" w:cs="Times New Roman"/>
                <w:kern w:val="28"/>
                <w:sz w:val="20"/>
                <w:szCs w:val="20"/>
              </w:rPr>
              <w:t>Professional development</w:t>
            </w:r>
          </w:p>
        </w:tc>
        <w:tc>
          <w:tcPr>
            <w:tcW w:w="839" w:type="pct"/>
            <w:vAlign w:val="center"/>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$167</w:t>
            </w:r>
          </w:p>
        </w:tc>
        <w:tc>
          <w:tcPr>
            <w:tcW w:w="839" w:type="pct"/>
            <w:vAlign w:val="center"/>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$160</w:t>
            </w:r>
          </w:p>
        </w:tc>
        <w:tc>
          <w:tcPr>
            <w:tcW w:w="838" w:type="pct"/>
            <w:shd w:val="clear" w:color="auto" w:fill="auto"/>
            <w:vAlign w:val="center"/>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$149</w:t>
            </w:r>
          </w:p>
        </w:tc>
      </w:tr>
      <w:tr w:rsidR="00D47C8F" w:rsidRPr="00D41B06" w:rsidTr="006F40C4">
        <w:trPr>
          <w:trHeight w:val="245"/>
          <w:jc w:val="center"/>
        </w:trPr>
        <w:tc>
          <w:tcPr>
            <w:tcW w:w="2484" w:type="pct"/>
            <w:vAlign w:val="center"/>
          </w:tcPr>
          <w:p w:rsidR="00D47C8F" w:rsidRPr="00D41B06" w:rsidRDefault="00D47C8F" w:rsidP="0087052B">
            <w:pPr>
              <w:widowControl w:val="0"/>
              <w:overflowPunct w:val="0"/>
              <w:adjustRightInd w:val="0"/>
              <w:spacing w:before="40" w:after="40" w:line="240" w:lineRule="auto"/>
              <w:rPr>
                <w:rFonts w:ascii="Calibri" w:eastAsia="Times New Roman" w:hAnsi="Calibri" w:cs="Times New Roman"/>
                <w:kern w:val="28"/>
                <w:sz w:val="20"/>
                <w:szCs w:val="20"/>
              </w:rPr>
            </w:pPr>
            <w:r w:rsidRPr="00D41B06">
              <w:rPr>
                <w:rFonts w:ascii="Calibri" w:eastAsia="Times New Roman" w:hAnsi="Calibri" w:cs="Times New Roman"/>
                <w:kern w:val="28"/>
                <w:sz w:val="20"/>
                <w:szCs w:val="20"/>
              </w:rPr>
              <w:t>Instructional materials, equipment and technology</w:t>
            </w:r>
          </w:p>
        </w:tc>
        <w:tc>
          <w:tcPr>
            <w:tcW w:w="839" w:type="pct"/>
            <w:vAlign w:val="center"/>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$510</w:t>
            </w:r>
          </w:p>
        </w:tc>
        <w:tc>
          <w:tcPr>
            <w:tcW w:w="839" w:type="pct"/>
            <w:vAlign w:val="center"/>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$571</w:t>
            </w:r>
          </w:p>
        </w:tc>
        <w:tc>
          <w:tcPr>
            <w:tcW w:w="838" w:type="pct"/>
            <w:shd w:val="clear" w:color="auto" w:fill="auto"/>
            <w:vAlign w:val="center"/>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$600</w:t>
            </w:r>
          </w:p>
        </w:tc>
      </w:tr>
      <w:tr w:rsidR="00D47C8F" w:rsidRPr="00D41B06" w:rsidTr="006F40C4">
        <w:trPr>
          <w:trHeight w:val="245"/>
          <w:jc w:val="center"/>
        </w:trPr>
        <w:tc>
          <w:tcPr>
            <w:tcW w:w="2484" w:type="pct"/>
            <w:vAlign w:val="center"/>
          </w:tcPr>
          <w:p w:rsidR="00D47C8F" w:rsidRPr="00D41B06" w:rsidRDefault="00D47C8F" w:rsidP="0087052B">
            <w:pPr>
              <w:widowControl w:val="0"/>
              <w:overflowPunct w:val="0"/>
              <w:adjustRightInd w:val="0"/>
              <w:spacing w:before="40" w:after="40" w:line="240" w:lineRule="auto"/>
              <w:rPr>
                <w:rFonts w:ascii="Calibri" w:eastAsia="Times New Roman" w:hAnsi="Calibri" w:cs="Times New Roman"/>
                <w:kern w:val="28"/>
                <w:sz w:val="20"/>
                <w:szCs w:val="20"/>
              </w:rPr>
            </w:pPr>
            <w:r w:rsidRPr="00D41B06">
              <w:rPr>
                <w:rFonts w:ascii="Calibri" w:eastAsia="Times New Roman" w:hAnsi="Calibri" w:cs="Times New Roman"/>
                <w:kern w:val="28"/>
                <w:sz w:val="20"/>
                <w:szCs w:val="20"/>
              </w:rPr>
              <w:t>Guidance, counseling and testing services</w:t>
            </w:r>
          </w:p>
        </w:tc>
        <w:tc>
          <w:tcPr>
            <w:tcW w:w="839" w:type="pct"/>
            <w:vAlign w:val="center"/>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$329</w:t>
            </w:r>
          </w:p>
        </w:tc>
        <w:tc>
          <w:tcPr>
            <w:tcW w:w="839" w:type="pct"/>
            <w:vAlign w:val="center"/>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$349</w:t>
            </w:r>
          </w:p>
        </w:tc>
        <w:tc>
          <w:tcPr>
            <w:tcW w:w="838" w:type="pct"/>
            <w:shd w:val="clear" w:color="auto" w:fill="auto"/>
            <w:vAlign w:val="center"/>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$365</w:t>
            </w:r>
          </w:p>
        </w:tc>
      </w:tr>
      <w:tr w:rsidR="00D47C8F" w:rsidRPr="00D41B06" w:rsidTr="006F40C4">
        <w:trPr>
          <w:trHeight w:val="245"/>
          <w:jc w:val="center"/>
        </w:trPr>
        <w:tc>
          <w:tcPr>
            <w:tcW w:w="2484" w:type="pct"/>
            <w:vAlign w:val="center"/>
          </w:tcPr>
          <w:p w:rsidR="00D47C8F" w:rsidRPr="00D41B06" w:rsidRDefault="00D47C8F" w:rsidP="0087052B">
            <w:pPr>
              <w:widowControl w:val="0"/>
              <w:overflowPunct w:val="0"/>
              <w:adjustRightInd w:val="0"/>
              <w:spacing w:before="40" w:after="40" w:line="240" w:lineRule="auto"/>
              <w:rPr>
                <w:rFonts w:ascii="Calibri" w:eastAsia="Times New Roman" w:hAnsi="Calibri" w:cs="Times New Roman"/>
                <w:kern w:val="28"/>
                <w:sz w:val="20"/>
                <w:szCs w:val="20"/>
              </w:rPr>
            </w:pPr>
            <w:r w:rsidRPr="00D41B06">
              <w:rPr>
                <w:rFonts w:ascii="Calibri" w:eastAsia="Times New Roman" w:hAnsi="Calibri" w:cs="Times New Roman"/>
                <w:kern w:val="28"/>
                <w:sz w:val="20"/>
                <w:szCs w:val="20"/>
              </w:rPr>
              <w:t>Pupil services</w:t>
            </w:r>
          </w:p>
        </w:tc>
        <w:tc>
          <w:tcPr>
            <w:tcW w:w="839" w:type="pct"/>
            <w:vAlign w:val="center"/>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$1,276</w:t>
            </w:r>
          </w:p>
        </w:tc>
        <w:tc>
          <w:tcPr>
            <w:tcW w:w="839" w:type="pct"/>
            <w:vAlign w:val="center"/>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$1,339</w:t>
            </w:r>
          </w:p>
        </w:tc>
        <w:tc>
          <w:tcPr>
            <w:tcW w:w="838" w:type="pct"/>
            <w:shd w:val="clear" w:color="auto" w:fill="auto"/>
            <w:vAlign w:val="center"/>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$1,357</w:t>
            </w:r>
          </w:p>
        </w:tc>
      </w:tr>
      <w:tr w:rsidR="00D47C8F" w:rsidRPr="00D41B06" w:rsidTr="006F40C4">
        <w:trPr>
          <w:trHeight w:val="245"/>
          <w:jc w:val="center"/>
        </w:trPr>
        <w:tc>
          <w:tcPr>
            <w:tcW w:w="2484" w:type="pct"/>
            <w:vAlign w:val="center"/>
          </w:tcPr>
          <w:p w:rsidR="00D47C8F" w:rsidRPr="00D41B06" w:rsidRDefault="00D47C8F" w:rsidP="0087052B">
            <w:pPr>
              <w:widowControl w:val="0"/>
              <w:overflowPunct w:val="0"/>
              <w:adjustRightInd w:val="0"/>
              <w:spacing w:before="40" w:after="40" w:line="240" w:lineRule="auto"/>
              <w:rPr>
                <w:rFonts w:ascii="Calibri" w:eastAsia="Times New Roman" w:hAnsi="Calibri" w:cs="Times New Roman"/>
                <w:kern w:val="28"/>
                <w:sz w:val="20"/>
                <w:szCs w:val="20"/>
              </w:rPr>
            </w:pPr>
            <w:r w:rsidRPr="00D41B06">
              <w:rPr>
                <w:rFonts w:ascii="Calibri" w:eastAsia="Times New Roman" w:hAnsi="Calibri" w:cs="Times New Roman"/>
                <w:kern w:val="28"/>
                <w:sz w:val="20"/>
                <w:szCs w:val="20"/>
              </w:rPr>
              <w:t>Operations and maintenance</w:t>
            </w:r>
          </w:p>
        </w:tc>
        <w:tc>
          <w:tcPr>
            <w:tcW w:w="839" w:type="pct"/>
            <w:vAlign w:val="center"/>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$820</w:t>
            </w:r>
          </w:p>
        </w:tc>
        <w:tc>
          <w:tcPr>
            <w:tcW w:w="839" w:type="pct"/>
            <w:vAlign w:val="center"/>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$851</w:t>
            </w:r>
          </w:p>
        </w:tc>
        <w:tc>
          <w:tcPr>
            <w:tcW w:w="838" w:type="pct"/>
            <w:shd w:val="clear" w:color="auto" w:fill="auto"/>
            <w:vAlign w:val="center"/>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$831</w:t>
            </w:r>
          </w:p>
        </w:tc>
      </w:tr>
      <w:tr w:rsidR="00D47C8F" w:rsidRPr="00D41B06" w:rsidTr="006F40C4">
        <w:trPr>
          <w:trHeight w:val="245"/>
          <w:jc w:val="center"/>
        </w:trPr>
        <w:tc>
          <w:tcPr>
            <w:tcW w:w="2484" w:type="pct"/>
            <w:tcBorders>
              <w:bottom w:val="single" w:sz="12" w:space="0" w:color="auto"/>
            </w:tcBorders>
            <w:vAlign w:val="center"/>
          </w:tcPr>
          <w:p w:rsidR="00D47C8F" w:rsidRPr="00D41B06" w:rsidRDefault="00D47C8F" w:rsidP="0087052B">
            <w:pPr>
              <w:widowControl w:val="0"/>
              <w:overflowPunct w:val="0"/>
              <w:adjustRightInd w:val="0"/>
              <w:spacing w:before="40" w:after="40" w:line="240" w:lineRule="auto"/>
              <w:rPr>
                <w:rFonts w:ascii="Calibri" w:eastAsia="Times New Roman" w:hAnsi="Calibri" w:cs="Times New Roman"/>
                <w:kern w:val="28"/>
                <w:sz w:val="20"/>
                <w:szCs w:val="20"/>
              </w:rPr>
            </w:pPr>
            <w:r w:rsidRPr="00D41B06">
              <w:rPr>
                <w:rFonts w:ascii="Calibri" w:eastAsia="Times New Roman" w:hAnsi="Calibri" w:cs="Times New Roman"/>
                <w:kern w:val="28"/>
                <w:sz w:val="20"/>
                <w:szCs w:val="20"/>
              </w:rPr>
              <w:t>Insurance, retirement and other fixed costs</w:t>
            </w:r>
          </w:p>
        </w:tc>
        <w:tc>
          <w:tcPr>
            <w:tcW w:w="839" w:type="pct"/>
            <w:tcBorders>
              <w:bottom w:val="single" w:sz="12" w:space="0" w:color="auto"/>
            </w:tcBorders>
            <w:vAlign w:val="center"/>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$2,294</w:t>
            </w:r>
          </w:p>
        </w:tc>
        <w:tc>
          <w:tcPr>
            <w:tcW w:w="839" w:type="pct"/>
            <w:tcBorders>
              <w:bottom w:val="single" w:sz="12" w:space="0" w:color="auto"/>
            </w:tcBorders>
            <w:vAlign w:val="center"/>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$2,430</w:t>
            </w:r>
          </w:p>
        </w:tc>
        <w:tc>
          <w:tcPr>
            <w:tcW w:w="838" w:type="pct"/>
            <w:tcBorders>
              <w:bottom w:val="single" w:sz="12" w:space="0" w:color="auto"/>
            </w:tcBorders>
            <w:shd w:val="clear" w:color="auto" w:fill="auto"/>
            <w:vAlign w:val="center"/>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$2,557</w:t>
            </w:r>
          </w:p>
        </w:tc>
      </w:tr>
      <w:tr w:rsidR="00D47C8F" w:rsidRPr="00D41B06" w:rsidTr="006F40C4">
        <w:trPr>
          <w:trHeight w:val="245"/>
          <w:jc w:val="center"/>
        </w:trPr>
        <w:tc>
          <w:tcPr>
            <w:tcW w:w="2484" w:type="pct"/>
            <w:tcBorders>
              <w:top w:val="single" w:sz="12" w:space="0" w:color="auto"/>
              <w:bottom w:val="single" w:sz="12" w:space="0" w:color="auto"/>
            </w:tcBorders>
            <w:vAlign w:val="center"/>
          </w:tcPr>
          <w:p w:rsidR="00D47C8F" w:rsidRPr="00D41B06" w:rsidRDefault="00D47C8F" w:rsidP="0087052B">
            <w:pPr>
              <w:widowControl w:val="0"/>
              <w:overflowPunct w:val="0"/>
              <w:adjustRightInd w:val="0"/>
              <w:spacing w:before="40" w:after="40" w:line="240" w:lineRule="auto"/>
              <w:rPr>
                <w:rFonts w:ascii="Calibri" w:eastAsia="Times New Roman" w:hAnsi="Calibri" w:cs="Times New Roman"/>
                <w:kern w:val="28"/>
                <w:sz w:val="20"/>
                <w:szCs w:val="20"/>
              </w:rPr>
            </w:pPr>
            <w:r w:rsidRPr="00D41B06">
              <w:rPr>
                <w:rFonts w:ascii="Calibri" w:eastAsia="Times New Roman" w:hAnsi="Calibri" w:cs="Times New Roman"/>
                <w:kern w:val="28"/>
                <w:sz w:val="20"/>
                <w:szCs w:val="20"/>
              </w:rPr>
              <w:t>Total expenditures per in-district pupil</w:t>
            </w:r>
          </w:p>
        </w:tc>
        <w:tc>
          <w:tcPr>
            <w:tcW w:w="839" w:type="pct"/>
            <w:tcBorders>
              <w:top w:val="single" w:sz="12" w:space="0" w:color="auto"/>
              <w:bottom w:val="single" w:sz="12" w:space="0" w:color="auto"/>
            </w:tcBorders>
            <w:vAlign w:val="center"/>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$12,980</w:t>
            </w:r>
          </w:p>
        </w:tc>
        <w:tc>
          <w:tcPr>
            <w:tcW w:w="839" w:type="pct"/>
            <w:tcBorders>
              <w:top w:val="single" w:sz="12" w:space="0" w:color="auto"/>
              <w:bottom w:val="single" w:sz="12" w:space="0" w:color="auto"/>
            </w:tcBorders>
            <w:vAlign w:val="center"/>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$13,545</w:t>
            </w:r>
          </w:p>
        </w:tc>
        <w:tc>
          <w:tcPr>
            <w:tcW w:w="838" w:type="pct"/>
            <w:tcBorders>
              <w:top w:val="single" w:sz="12" w:space="0" w:color="auto"/>
              <w:bottom w:val="single" w:sz="12" w:space="0" w:color="auto"/>
            </w:tcBorders>
            <w:shd w:val="clear" w:color="auto" w:fill="auto"/>
            <w:vAlign w:val="center"/>
          </w:tcPr>
          <w:p w:rsidR="00D47C8F" w:rsidRPr="00D41B06" w:rsidRDefault="00D47C8F" w:rsidP="0087052B">
            <w:pPr>
              <w:spacing w:after="0" w:line="240" w:lineRule="auto"/>
              <w:jc w:val="center"/>
              <w:rPr>
                <w:rFonts w:ascii="Calibri" w:hAnsi="Calibri"/>
                <w:sz w:val="20"/>
                <w:szCs w:val="20"/>
              </w:rPr>
            </w:pPr>
            <w:r w:rsidRPr="00D41B06">
              <w:rPr>
                <w:rFonts w:ascii="Calibri" w:hAnsi="Calibri"/>
                <w:sz w:val="20"/>
                <w:szCs w:val="20"/>
              </w:rPr>
              <w:t>$13,588</w:t>
            </w:r>
          </w:p>
        </w:tc>
      </w:tr>
      <w:tr w:rsidR="00D47C8F" w:rsidRPr="00D41B06" w:rsidTr="0087052B">
        <w:trPr>
          <w:trHeight w:val="107"/>
          <w:jc w:val="center"/>
        </w:trPr>
        <w:tc>
          <w:tcPr>
            <w:tcW w:w="5000" w:type="pct"/>
            <w:gridSpan w:val="4"/>
            <w:tcBorders>
              <w:top w:val="single" w:sz="12" w:space="0" w:color="auto"/>
              <w:left w:val="nil"/>
              <w:bottom w:val="nil"/>
              <w:right w:val="nil"/>
            </w:tcBorders>
            <w:vAlign w:val="center"/>
          </w:tcPr>
          <w:p w:rsidR="00D47C8F" w:rsidRPr="00D41B06" w:rsidRDefault="00D47C8F" w:rsidP="0087052B">
            <w:pPr>
              <w:widowControl w:val="0"/>
              <w:overflowPunct w:val="0"/>
              <w:adjustRightInd w:val="0"/>
              <w:spacing w:after="0" w:line="240" w:lineRule="auto"/>
              <w:rPr>
                <w:rFonts w:ascii="Calibri" w:eastAsia="Times New Roman" w:hAnsi="Calibri" w:cs="Times New Roman"/>
                <w:kern w:val="28"/>
                <w:sz w:val="20"/>
                <w:szCs w:val="20"/>
              </w:rPr>
            </w:pPr>
            <w:r w:rsidRPr="00D41B06">
              <w:rPr>
                <w:rFonts w:ascii="Calibri" w:eastAsia="Times New Roman" w:hAnsi="Calibri" w:cs="Times New Roman"/>
                <w:bCs/>
                <w:kern w:val="28"/>
                <w:sz w:val="20"/>
                <w:szCs w:val="20"/>
              </w:rPr>
              <w:t xml:space="preserve">Sources: </w:t>
            </w:r>
            <w:hyperlink r:id="rId46" w:history="1">
              <w:r w:rsidRPr="00D41B06">
                <w:rPr>
                  <w:rFonts w:ascii="Calibri" w:eastAsia="Times New Roman" w:hAnsi="Calibri" w:cs="Times New Roman"/>
                  <w:bCs/>
                  <w:kern w:val="28"/>
                  <w:sz w:val="20"/>
                  <w:szCs w:val="24"/>
                  <w:u w:val="single"/>
                </w:rPr>
                <w:t>Per-pupil expenditure reports on ESE website</w:t>
              </w:r>
            </w:hyperlink>
          </w:p>
          <w:p w:rsidR="00D47C8F" w:rsidRPr="00D41B06" w:rsidRDefault="00D47C8F" w:rsidP="0087052B">
            <w:pPr>
              <w:widowControl w:val="0"/>
              <w:overflowPunct w:val="0"/>
              <w:adjustRightInd w:val="0"/>
              <w:spacing w:after="0" w:line="240" w:lineRule="auto"/>
              <w:rPr>
                <w:rFonts w:ascii="Calibri" w:eastAsia="Times New Roman" w:hAnsi="Calibri" w:cs="Times New Roman"/>
                <w:kern w:val="28"/>
                <w:sz w:val="20"/>
                <w:szCs w:val="20"/>
              </w:rPr>
            </w:pPr>
            <w:r w:rsidRPr="00D41B06">
              <w:rPr>
                <w:rFonts w:ascii="Calibri" w:eastAsia="Times New Roman" w:hAnsi="Calibri" w:cs="Times New Roman"/>
                <w:kern w:val="28"/>
                <w:sz w:val="20"/>
                <w:szCs w:val="20"/>
              </w:rPr>
              <w:t>Note: Any discrepancy between expenditures and total is because of rounding.</w:t>
            </w:r>
          </w:p>
        </w:tc>
      </w:tr>
    </w:tbl>
    <w:p w:rsidR="00D47C8F" w:rsidRPr="00D41B06" w:rsidRDefault="00D47C8F" w:rsidP="00D47C8F">
      <w:pPr>
        <w:spacing w:after="0" w:line="240" w:lineRule="auto"/>
        <w:rPr>
          <w:rFonts w:ascii="Calibri" w:eastAsia="Times New Roman" w:hAnsi="Calibri" w:cs="Arial"/>
          <w:b/>
          <w:kern w:val="28"/>
          <w:sz w:val="20"/>
          <w:szCs w:val="20"/>
        </w:rPr>
      </w:pPr>
    </w:p>
    <w:p w:rsidR="002F1EBE" w:rsidRPr="00F04EDB" w:rsidRDefault="002F1EBE" w:rsidP="008E26DB">
      <w:pPr>
        <w:rPr>
          <w:rFonts w:eastAsia="Times New Roman" w:cs="Arial"/>
          <w:b/>
          <w:kern w:val="28"/>
        </w:rPr>
        <w:sectPr w:rsidR="002F1EBE" w:rsidRPr="00F04EDB" w:rsidSect="00023C84">
          <w:footerReference w:type="default" r:id="rId47"/>
          <w:pgSz w:w="12240" w:h="15840"/>
          <w:pgMar w:top="1440" w:right="1440" w:bottom="1440" w:left="1440" w:header="720" w:footer="720" w:gutter="0"/>
          <w:cols w:space="720"/>
          <w:docGrid w:linePitch="360"/>
        </w:sectPr>
      </w:pPr>
      <w:r w:rsidRPr="00F04EDB">
        <w:rPr>
          <w:rFonts w:eastAsia="Times New Roman" w:cs="Arial"/>
          <w:b/>
          <w:kern w:val="28"/>
        </w:rPr>
        <w:br w:type="page"/>
      </w:r>
    </w:p>
    <w:p w:rsidR="00D549BC" w:rsidRPr="001E004F" w:rsidRDefault="00350132" w:rsidP="002B2DA4">
      <w:pPr>
        <w:pStyle w:val="Section"/>
      </w:pPr>
      <w:bookmarkStart w:id="22" w:name="_Toc484611580"/>
      <w:r w:rsidRPr="001E004F">
        <w:t xml:space="preserve">Appendix C: </w:t>
      </w:r>
      <w:r w:rsidRPr="002B2DA4">
        <w:t>Instructional</w:t>
      </w:r>
      <w:r w:rsidRPr="001E004F">
        <w:t xml:space="preserve"> Inventory</w:t>
      </w:r>
      <w:bookmarkEnd w:id="20"/>
      <w:bookmarkEnd w:id="22"/>
    </w:p>
    <w:tbl>
      <w:tblPr>
        <w:tblStyle w:val="TableGrid2"/>
        <w:tblW w:w="0" w:type="auto"/>
        <w:tblInd w:w="-162" w:type="dxa"/>
        <w:tblLayout w:type="fixed"/>
        <w:tblLook w:val="04A0"/>
      </w:tblPr>
      <w:tblGrid>
        <w:gridCol w:w="2970"/>
        <w:gridCol w:w="900"/>
        <w:gridCol w:w="1260"/>
        <w:gridCol w:w="1080"/>
        <w:gridCol w:w="1170"/>
        <w:gridCol w:w="990"/>
        <w:gridCol w:w="1368"/>
      </w:tblGrid>
      <w:tr w:rsidR="003F0BCE" w:rsidRPr="00F04EDB" w:rsidTr="00E4631D">
        <w:tc>
          <w:tcPr>
            <w:tcW w:w="2970" w:type="dxa"/>
          </w:tcPr>
          <w:p w:rsidR="003F0BCE" w:rsidRPr="00F04EDB" w:rsidRDefault="003F0BCE" w:rsidP="003F0BCE">
            <w:pPr>
              <w:spacing w:after="0" w:line="240" w:lineRule="auto"/>
            </w:pPr>
          </w:p>
        </w:tc>
        <w:tc>
          <w:tcPr>
            <w:tcW w:w="900" w:type="dxa"/>
          </w:tcPr>
          <w:p w:rsidR="003F0BCE" w:rsidRPr="00F04EDB" w:rsidRDefault="003F0BCE" w:rsidP="003F0BCE">
            <w:pPr>
              <w:spacing w:after="0" w:line="240" w:lineRule="auto"/>
            </w:pPr>
          </w:p>
        </w:tc>
        <w:tc>
          <w:tcPr>
            <w:tcW w:w="1260" w:type="dxa"/>
          </w:tcPr>
          <w:p w:rsidR="003F0BCE" w:rsidRPr="00F04EDB" w:rsidRDefault="003F0BCE" w:rsidP="003F0BCE">
            <w:pPr>
              <w:spacing w:after="0" w:line="240" w:lineRule="auto"/>
            </w:pPr>
          </w:p>
        </w:tc>
        <w:tc>
          <w:tcPr>
            <w:tcW w:w="1080" w:type="dxa"/>
          </w:tcPr>
          <w:p w:rsidR="003F0BCE" w:rsidRPr="00F04EDB" w:rsidRDefault="003F0BCE" w:rsidP="003F0BCE">
            <w:pPr>
              <w:spacing w:after="0" w:line="240" w:lineRule="auto"/>
            </w:pPr>
          </w:p>
        </w:tc>
        <w:tc>
          <w:tcPr>
            <w:tcW w:w="1170" w:type="dxa"/>
          </w:tcPr>
          <w:p w:rsidR="003F0BCE" w:rsidRPr="00F04EDB" w:rsidRDefault="003F0BCE" w:rsidP="003F0BCE">
            <w:pPr>
              <w:spacing w:after="0" w:line="240" w:lineRule="auto"/>
            </w:pPr>
          </w:p>
        </w:tc>
        <w:tc>
          <w:tcPr>
            <w:tcW w:w="990" w:type="dxa"/>
          </w:tcPr>
          <w:p w:rsidR="003F0BCE" w:rsidRPr="00F04EDB" w:rsidRDefault="003F0BCE" w:rsidP="003F0BCE">
            <w:pPr>
              <w:spacing w:after="0" w:line="240" w:lineRule="auto"/>
            </w:pPr>
          </w:p>
        </w:tc>
        <w:tc>
          <w:tcPr>
            <w:tcW w:w="1368" w:type="dxa"/>
          </w:tcPr>
          <w:p w:rsidR="003F0BCE" w:rsidRPr="00F04EDB" w:rsidRDefault="003F0BCE" w:rsidP="003F0BCE">
            <w:pPr>
              <w:spacing w:after="0" w:line="240" w:lineRule="auto"/>
            </w:pPr>
          </w:p>
        </w:tc>
      </w:tr>
      <w:tr w:rsidR="003F0BCE" w:rsidRPr="00F04EDB" w:rsidTr="00E4631D">
        <w:tc>
          <w:tcPr>
            <w:tcW w:w="2970" w:type="dxa"/>
            <w:vMerge w:val="restart"/>
          </w:tcPr>
          <w:p w:rsidR="003F0BCE" w:rsidRPr="00F04EDB" w:rsidRDefault="003F0BCE" w:rsidP="003F0BCE">
            <w:pPr>
              <w:spacing w:after="0" w:line="240" w:lineRule="auto"/>
              <w:rPr>
                <w:b/>
              </w:rPr>
            </w:pPr>
            <w:r w:rsidRPr="00F04EDB">
              <w:rPr>
                <w:b/>
              </w:rPr>
              <w:t>Focus Area #1: Learning Objectives &amp; Instruction</w:t>
            </w:r>
          </w:p>
        </w:tc>
        <w:tc>
          <w:tcPr>
            <w:tcW w:w="900" w:type="dxa"/>
          </w:tcPr>
          <w:p w:rsidR="003F0BCE" w:rsidRPr="00F04EDB" w:rsidRDefault="003F0BCE" w:rsidP="003F0BCE">
            <w:pPr>
              <w:spacing w:after="0" w:line="240" w:lineRule="auto"/>
            </w:pPr>
          </w:p>
        </w:tc>
        <w:tc>
          <w:tcPr>
            <w:tcW w:w="1260" w:type="dxa"/>
          </w:tcPr>
          <w:p w:rsidR="003F0BCE" w:rsidRPr="00F04EDB" w:rsidRDefault="003F0BCE" w:rsidP="003F0BCE">
            <w:pPr>
              <w:spacing w:after="0" w:line="240" w:lineRule="auto"/>
            </w:pPr>
            <w:r w:rsidRPr="00F04EDB">
              <w:t>Insufficient</w:t>
            </w:r>
          </w:p>
        </w:tc>
        <w:tc>
          <w:tcPr>
            <w:tcW w:w="1080" w:type="dxa"/>
          </w:tcPr>
          <w:p w:rsidR="003F0BCE" w:rsidRPr="00F04EDB" w:rsidRDefault="003F0BCE" w:rsidP="003F0BCE">
            <w:pPr>
              <w:spacing w:after="0" w:line="240" w:lineRule="auto"/>
            </w:pPr>
            <w:r w:rsidRPr="00F04EDB">
              <w:t>Minimal</w:t>
            </w:r>
          </w:p>
        </w:tc>
        <w:tc>
          <w:tcPr>
            <w:tcW w:w="1170" w:type="dxa"/>
          </w:tcPr>
          <w:p w:rsidR="003F0BCE" w:rsidRPr="00F04EDB" w:rsidRDefault="003F0BCE" w:rsidP="003F0BCE">
            <w:pPr>
              <w:spacing w:after="0" w:line="240" w:lineRule="auto"/>
            </w:pPr>
            <w:r w:rsidRPr="00F04EDB">
              <w:t>Moderate</w:t>
            </w:r>
          </w:p>
        </w:tc>
        <w:tc>
          <w:tcPr>
            <w:tcW w:w="990" w:type="dxa"/>
          </w:tcPr>
          <w:p w:rsidR="003F0BCE" w:rsidRPr="00F04EDB" w:rsidRDefault="003F0BCE" w:rsidP="003F0BCE">
            <w:pPr>
              <w:spacing w:after="0" w:line="240" w:lineRule="auto"/>
            </w:pPr>
            <w:r w:rsidRPr="00F04EDB">
              <w:t>Strong</w:t>
            </w:r>
          </w:p>
        </w:tc>
        <w:tc>
          <w:tcPr>
            <w:tcW w:w="1368" w:type="dxa"/>
          </w:tcPr>
          <w:p w:rsidR="003F0BCE" w:rsidRPr="00F04EDB" w:rsidRDefault="003F0BCE" w:rsidP="003F0BCE">
            <w:pPr>
              <w:spacing w:after="0" w:line="240" w:lineRule="auto"/>
            </w:pPr>
            <w:r w:rsidRPr="00F04EDB">
              <w:t>Avg Number of points</w:t>
            </w:r>
          </w:p>
        </w:tc>
      </w:tr>
      <w:tr w:rsidR="003F0BCE" w:rsidRPr="00F04EDB" w:rsidTr="00E4631D">
        <w:tc>
          <w:tcPr>
            <w:tcW w:w="2970" w:type="dxa"/>
            <w:vMerge/>
          </w:tcPr>
          <w:p w:rsidR="003F0BCE" w:rsidRPr="00F04EDB" w:rsidRDefault="003F0BCE" w:rsidP="003F0BCE">
            <w:pPr>
              <w:spacing w:after="0" w:line="240" w:lineRule="auto"/>
            </w:pPr>
          </w:p>
        </w:tc>
        <w:tc>
          <w:tcPr>
            <w:tcW w:w="900" w:type="dxa"/>
          </w:tcPr>
          <w:p w:rsidR="003F0BCE" w:rsidRPr="00F04EDB" w:rsidRDefault="003F0BCE" w:rsidP="003F0BCE">
            <w:pPr>
              <w:spacing w:after="0" w:line="240" w:lineRule="auto"/>
            </w:pPr>
          </w:p>
        </w:tc>
        <w:tc>
          <w:tcPr>
            <w:tcW w:w="1260" w:type="dxa"/>
          </w:tcPr>
          <w:p w:rsidR="003F0BCE" w:rsidRPr="00F04EDB" w:rsidRDefault="003F0BCE" w:rsidP="001E004F">
            <w:pPr>
              <w:spacing w:after="0" w:line="240" w:lineRule="auto"/>
              <w:jc w:val="center"/>
            </w:pPr>
            <w:r w:rsidRPr="00F04EDB">
              <w:t>(0)</w:t>
            </w:r>
          </w:p>
        </w:tc>
        <w:tc>
          <w:tcPr>
            <w:tcW w:w="1080" w:type="dxa"/>
          </w:tcPr>
          <w:p w:rsidR="003F0BCE" w:rsidRPr="00F04EDB" w:rsidRDefault="003F0BCE" w:rsidP="001E004F">
            <w:pPr>
              <w:spacing w:after="0" w:line="240" w:lineRule="auto"/>
              <w:jc w:val="center"/>
            </w:pPr>
            <w:r w:rsidRPr="00F04EDB">
              <w:t>(1)</w:t>
            </w:r>
          </w:p>
        </w:tc>
        <w:tc>
          <w:tcPr>
            <w:tcW w:w="1170" w:type="dxa"/>
          </w:tcPr>
          <w:p w:rsidR="003F0BCE" w:rsidRPr="00F04EDB" w:rsidRDefault="003F0BCE" w:rsidP="001E004F">
            <w:pPr>
              <w:spacing w:after="0" w:line="240" w:lineRule="auto"/>
              <w:jc w:val="center"/>
            </w:pPr>
            <w:r w:rsidRPr="00F04EDB">
              <w:t>(2)</w:t>
            </w:r>
          </w:p>
        </w:tc>
        <w:tc>
          <w:tcPr>
            <w:tcW w:w="990" w:type="dxa"/>
          </w:tcPr>
          <w:p w:rsidR="003F0BCE" w:rsidRPr="00F04EDB" w:rsidRDefault="003F0BCE" w:rsidP="001E004F">
            <w:pPr>
              <w:spacing w:after="0" w:line="240" w:lineRule="auto"/>
              <w:jc w:val="center"/>
            </w:pPr>
            <w:r w:rsidRPr="00F04EDB">
              <w:t>(3)</w:t>
            </w:r>
          </w:p>
        </w:tc>
        <w:tc>
          <w:tcPr>
            <w:tcW w:w="1368" w:type="dxa"/>
          </w:tcPr>
          <w:p w:rsidR="003F0BCE" w:rsidRPr="00F04EDB" w:rsidRDefault="003F0BCE" w:rsidP="001E004F">
            <w:pPr>
              <w:spacing w:after="0" w:line="240" w:lineRule="auto"/>
              <w:jc w:val="center"/>
            </w:pPr>
            <w:r w:rsidRPr="00F04EDB">
              <w:t>(0 to 3)</w:t>
            </w:r>
          </w:p>
        </w:tc>
      </w:tr>
      <w:tr w:rsidR="003F0BCE" w:rsidRPr="00F04EDB" w:rsidTr="00E4631D">
        <w:tc>
          <w:tcPr>
            <w:tcW w:w="2970" w:type="dxa"/>
            <w:vMerge w:val="restart"/>
            <w:shd w:val="clear" w:color="auto" w:fill="BFBFBF" w:themeFill="background1" w:themeFillShade="BF"/>
          </w:tcPr>
          <w:p w:rsidR="003F0BCE" w:rsidRPr="00F04EDB" w:rsidRDefault="003F0BCE" w:rsidP="003F0BCE">
            <w:pPr>
              <w:spacing w:after="0" w:line="240" w:lineRule="auto"/>
              <w:rPr>
                <w:color w:val="000000"/>
              </w:rPr>
            </w:pPr>
            <w:r w:rsidRPr="00F04EDB">
              <w:rPr>
                <w:color w:val="000000"/>
              </w:rPr>
              <w:t>1. The teacher demonstrates knowledge of subject matter and content.</w:t>
            </w:r>
          </w:p>
        </w:tc>
        <w:tc>
          <w:tcPr>
            <w:tcW w:w="900" w:type="dxa"/>
            <w:shd w:val="clear" w:color="auto" w:fill="BFBFBF" w:themeFill="background1" w:themeFillShade="BF"/>
          </w:tcPr>
          <w:p w:rsidR="003F0BCE" w:rsidRPr="00F04EDB" w:rsidRDefault="003F0BCE" w:rsidP="003F0BCE">
            <w:pPr>
              <w:spacing w:after="0" w:line="240" w:lineRule="auto"/>
              <w:rPr>
                <w:b/>
                <w:bCs/>
                <w:color w:val="000000"/>
              </w:rPr>
            </w:pPr>
            <w:r w:rsidRPr="00F04EDB">
              <w:rPr>
                <w:b/>
                <w:bCs/>
                <w:color w:val="000000"/>
              </w:rPr>
              <w:t>ES</w:t>
            </w:r>
          </w:p>
        </w:tc>
        <w:tc>
          <w:tcPr>
            <w:tcW w:w="1260" w:type="dxa"/>
            <w:shd w:val="clear" w:color="auto" w:fill="BFBFBF" w:themeFill="background1" w:themeFillShade="BF"/>
          </w:tcPr>
          <w:p w:rsidR="003F0BCE" w:rsidRPr="00F04EDB" w:rsidRDefault="001E004F" w:rsidP="001E004F">
            <w:pPr>
              <w:spacing w:after="0" w:line="240" w:lineRule="auto"/>
              <w:jc w:val="center"/>
            </w:pPr>
            <w:r>
              <w:t>5%</w:t>
            </w:r>
          </w:p>
        </w:tc>
        <w:tc>
          <w:tcPr>
            <w:tcW w:w="1080" w:type="dxa"/>
            <w:shd w:val="clear" w:color="auto" w:fill="BFBFBF" w:themeFill="background1" w:themeFillShade="BF"/>
          </w:tcPr>
          <w:p w:rsidR="003F0BCE" w:rsidRPr="00F04EDB" w:rsidRDefault="001E004F" w:rsidP="001E004F">
            <w:pPr>
              <w:spacing w:after="0" w:line="240" w:lineRule="auto"/>
              <w:jc w:val="center"/>
            </w:pPr>
            <w:r>
              <w:t>15%</w:t>
            </w:r>
          </w:p>
        </w:tc>
        <w:tc>
          <w:tcPr>
            <w:tcW w:w="1170" w:type="dxa"/>
            <w:shd w:val="clear" w:color="auto" w:fill="BFBFBF" w:themeFill="background1" w:themeFillShade="BF"/>
          </w:tcPr>
          <w:p w:rsidR="003F0BCE" w:rsidRPr="00F04EDB" w:rsidRDefault="001E004F" w:rsidP="001E004F">
            <w:pPr>
              <w:spacing w:after="0" w:line="240" w:lineRule="auto"/>
              <w:jc w:val="center"/>
            </w:pPr>
            <w:r>
              <w:t>44%</w:t>
            </w:r>
          </w:p>
        </w:tc>
        <w:tc>
          <w:tcPr>
            <w:tcW w:w="990" w:type="dxa"/>
            <w:shd w:val="clear" w:color="auto" w:fill="BFBFBF" w:themeFill="background1" w:themeFillShade="BF"/>
          </w:tcPr>
          <w:p w:rsidR="003F0BCE" w:rsidRPr="00F04EDB" w:rsidRDefault="00044A0A" w:rsidP="00044A0A">
            <w:pPr>
              <w:spacing w:after="0" w:line="240" w:lineRule="auto"/>
              <w:jc w:val="center"/>
            </w:pPr>
            <w:r>
              <w:t>36%</w:t>
            </w:r>
          </w:p>
        </w:tc>
        <w:tc>
          <w:tcPr>
            <w:tcW w:w="1368" w:type="dxa"/>
            <w:shd w:val="clear" w:color="auto" w:fill="BFBFBF" w:themeFill="background1" w:themeFillShade="BF"/>
          </w:tcPr>
          <w:p w:rsidR="003F0BCE" w:rsidRPr="00F04EDB" w:rsidRDefault="00044A0A" w:rsidP="00044A0A">
            <w:pPr>
              <w:spacing w:after="0" w:line="240" w:lineRule="auto"/>
              <w:jc w:val="center"/>
            </w:pPr>
            <w:r>
              <w:t>2.1</w:t>
            </w:r>
          </w:p>
        </w:tc>
      </w:tr>
      <w:tr w:rsidR="003F0BCE" w:rsidRPr="00F04EDB" w:rsidTr="00E4631D">
        <w:tc>
          <w:tcPr>
            <w:tcW w:w="2970" w:type="dxa"/>
            <w:vMerge/>
            <w:shd w:val="clear" w:color="auto" w:fill="BFBFBF" w:themeFill="background1" w:themeFillShade="BF"/>
            <w:vAlign w:val="center"/>
          </w:tcPr>
          <w:p w:rsidR="003F0BCE" w:rsidRPr="00F04EDB" w:rsidRDefault="003F0BCE" w:rsidP="003F0BCE">
            <w:pPr>
              <w:spacing w:after="0" w:line="240" w:lineRule="auto"/>
            </w:pPr>
          </w:p>
        </w:tc>
        <w:tc>
          <w:tcPr>
            <w:tcW w:w="900" w:type="dxa"/>
            <w:shd w:val="clear" w:color="auto" w:fill="BFBFBF" w:themeFill="background1" w:themeFillShade="BF"/>
          </w:tcPr>
          <w:p w:rsidR="003F0BCE" w:rsidRPr="00F04EDB" w:rsidRDefault="003F0BCE" w:rsidP="003F0BCE">
            <w:pPr>
              <w:spacing w:after="0" w:line="240" w:lineRule="auto"/>
              <w:rPr>
                <w:b/>
                <w:bCs/>
                <w:color w:val="000000"/>
              </w:rPr>
            </w:pPr>
            <w:r w:rsidRPr="00F04EDB">
              <w:rPr>
                <w:b/>
                <w:bCs/>
                <w:color w:val="000000"/>
              </w:rPr>
              <w:t>MS</w:t>
            </w:r>
          </w:p>
        </w:tc>
        <w:tc>
          <w:tcPr>
            <w:tcW w:w="1260" w:type="dxa"/>
            <w:shd w:val="clear" w:color="auto" w:fill="BFBFBF" w:themeFill="background1" w:themeFillShade="BF"/>
          </w:tcPr>
          <w:p w:rsidR="003F0BCE" w:rsidRPr="00F04EDB" w:rsidRDefault="001E004F" w:rsidP="001E004F">
            <w:pPr>
              <w:spacing w:after="0" w:line="240" w:lineRule="auto"/>
              <w:jc w:val="center"/>
            </w:pPr>
            <w:r>
              <w:t>3%</w:t>
            </w:r>
          </w:p>
        </w:tc>
        <w:tc>
          <w:tcPr>
            <w:tcW w:w="1080" w:type="dxa"/>
            <w:shd w:val="clear" w:color="auto" w:fill="BFBFBF" w:themeFill="background1" w:themeFillShade="BF"/>
          </w:tcPr>
          <w:p w:rsidR="003F0BCE" w:rsidRPr="00F04EDB" w:rsidRDefault="001E004F" w:rsidP="001E004F">
            <w:pPr>
              <w:spacing w:after="0" w:line="240" w:lineRule="auto"/>
              <w:jc w:val="center"/>
            </w:pPr>
            <w:r>
              <w:t>3%</w:t>
            </w:r>
          </w:p>
        </w:tc>
        <w:tc>
          <w:tcPr>
            <w:tcW w:w="1170" w:type="dxa"/>
            <w:shd w:val="clear" w:color="auto" w:fill="BFBFBF" w:themeFill="background1" w:themeFillShade="BF"/>
          </w:tcPr>
          <w:p w:rsidR="003F0BCE" w:rsidRPr="00F04EDB" w:rsidRDefault="001E004F" w:rsidP="001E004F">
            <w:pPr>
              <w:spacing w:after="0" w:line="240" w:lineRule="auto"/>
              <w:jc w:val="center"/>
            </w:pPr>
            <w:r>
              <w:t>29%</w:t>
            </w:r>
          </w:p>
        </w:tc>
        <w:tc>
          <w:tcPr>
            <w:tcW w:w="990" w:type="dxa"/>
            <w:shd w:val="clear" w:color="auto" w:fill="BFBFBF" w:themeFill="background1" w:themeFillShade="BF"/>
          </w:tcPr>
          <w:p w:rsidR="003F0BCE" w:rsidRPr="00F04EDB" w:rsidRDefault="00044A0A" w:rsidP="00044A0A">
            <w:pPr>
              <w:spacing w:after="0" w:line="240" w:lineRule="auto"/>
              <w:jc w:val="center"/>
            </w:pPr>
            <w:r>
              <w:t>65%</w:t>
            </w:r>
          </w:p>
        </w:tc>
        <w:tc>
          <w:tcPr>
            <w:tcW w:w="1368" w:type="dxa"/>
            <w:shd w:val="clear" w:color="auto" w:fill="BFBFBF" w:themeFill="background1" w:themeFillShade="BF"/>
          </w:tcPr>
          <w:p w:rsidR="003F0BCE" w:rsidRPr="00F04EDB" w:rsidRDefault="00044A0A" w:rsidP="00044A0A">
            <w:pPr>
              <w:spacing w:after="0" w:line="240" w:lineRule="auto"/>
              <w:jc w:val="center"/>
            </w:pPr>
            <w:r>
              <w:t>2.5</w:t>
            </w:r>
          </w:p>
        </w:tc>
      </w:tr>
      <w:tr w:rsidR="003F0BCE" w:rsidRPr="00F04EDB" w:rsidTr="00E4631D">
        <w:tc>
          <w:tcPr>
            <w:tcW w:w="2970" w:type="dxa"/>
            <w:vMerge/>
            <w:shd w:val="clear" w:color="auto" w:fill="BFBFBF" w:themeFill="background1" w:themeFillShade="BF"/>
            <w:vAlign w:val="center"/>
          </w:tcPr>
          <w:p w:rsidR="003F0BCE" w:rsidRPr="00F04EDB" w:rsidRDefault="003F0BCE" w:rsidP="003F0BCE">
            <w:pPr>
              <w:spacing w:after="0" w:line="240" w:lineRule="auto"/>
            </w:pPr>
          </w:p>
        </w:tc>
        <w:tc>
          <w:tcPr>
            <w:tcW w:w="900" w:type="dxa"/>
            <w:shd w:val="clear" w:color="auto" w:fill="BFBFBF" w:themeFill="background1" w:themeFillShade="BF"/>
          </w:tcPr>
          <w:p w:rsidR="003F0BCE" w:rsidRPr="00F04EDB" w:rsidRDefault="003F0BCE" w:rsidP="003F0BCE">
            <w:pPr>
              <w:spacing w:after="0" w:line="240" w:lineRule="auto"/>
              <w:rPr>
                <w:b/>
                <w:bCs/>
                <w:color w:val="000000"/>
              </w:rPr>
            </w:pPr>
            <w:r w:rsidRPr="00F04EDB">
              <w:rPr>
                <w:b/>
                <w:bCs/>
                <w:color w:val="000000"/>
              </w:rPr>
              <w:t>HS</w:t>
            </w:r>
          </w:p>
        </w:tc>
        <w:tc>
          <w:tcPr>
            <w:tcW w:w="1260" w:type="dxa"/>
            <w:shd w:val="clear" w:color="auto" w:fill="BFBFBF" w:themeFill="background1" w:themeFillShade="BF"/>
          </w:tcPr>
          <w:p w:rsidR="003F0BCE" w:rsidRPr="00F04EDB" w:rsidRDefault="001E004F" w:rsidP="001E004F">
            <w:pPr>
              <w:spacing w:after="0" w:line="240" w:lineRule="auto"/>
              <w:jc w:val="center"/>
            </w:pPr>
            <w:r>
              <w:t>10%</w:t>
            </w:r>
          </w:p>
        </w:tc>
        <w:tc>
          <w:tcPr>
            <w:tcW w:w="1080" w:type="dxa"/>
            <w:shd w:val="clear" w:color="auto" w:fill="BFBFBF" w:themeFill="background1" w:themeFillShade="BF"/>
          </w:tcPr>
          <w:p w:rsidR="003F0BCE" w:rsidRPr="00F04EDB" w:rsidRDefault="001E004F" w:rsidP="001E004F">
            <w:pPr>
              <w:spacing w:after="0" w:line="240" w:lineRule="auto"/>
              <w:jc w:val="center"/>
            </w:pPr>
            <w:r>
              <w:t>25%</w:t>
            </w:r>
          </w:p>
        </w:tc>
        <w:tc>
          <w:tcPr>
            <w:tcW w:w="1170" w:type="dxa"/>
            <w:shd w:val="clear" w:color="auto" w:fill="BFBFBF" w:themeFill="background1" w:themeFillShade="BF"/>
          </w:tcPr>
          <w:p w:rsidR="003F0BCE" w:rsidRPr="00F04EDB" w:rsidRDefault="001E004F" w:rsidP="001E004F">
            <w:pPr>
              <w:spacing w:after="0" w:line="240" w:lineRule="auto"/>
              <w:jc w:val="center"/>
            </w:pPr>
            <w:r>
              <w:t>35%</w:t>
            </w:r>
          </w:p>
        </w:tc>
        <w:tc>
          <w:tcPr>
            <w:tcW w:w="990" w:type="dxa"/>
            <w:shd w:val="clear" w:color="auto" w:fill="BFBFBF" w:themeFill="background1" w:themeFillShade="BF"/>
          </w:tcPr>
          <w:p w:rsidR="003F0BCE" w:rsidRPr="00F04EDB" w:rsidRDefault="00044A0A" w:rsidP="00044A0A">
            <w:pPr>
              <w:spacing w:after="0" w:line="240" w:lineRule="auto"/>
              <w:jc w:val="center"/>
            </w:pPr>
            <w:r>
              <w:t>29%</w:t>
            </w:r>
          </w:p>
        </w:tc>
        <w:tc>
          <w:tcPr>
            <w:tcW w:w="1368" w:type="dxa"/>
            <w:shd w:val="clear" w:color="auto" w:fill="BFBFBF" w:themeFill="background1" w:themeFillShade="BF"/>
          </w:tcPr>
          <w:p w:rsidR="003F0BCE" w:rsidRPr="00F04EDB" w:rsidRDefault="00044A0A" w:rsidP="00044A0A">
            <w:pPr>
              <w:spacing w:after="0" w:line="240" w:lineRule="auto"/>
              <w:jc w:val="center"/>
            </w:pPr>
            <w:r>
              <w:t>1.8</w:t>
            </w:r>
          </w:p>
        </w:tc>
      </w:tr>
      <w:tr w:rsidR="003F0BCE" w:rsidRPr="00F04EDB" w:rsidTr="00E4631D">
        <w:tc>
          <w:tcPr>
            <w:tcW w:w="2970" w:type="dxa"/>
            <w:vMerge/>
            <w:shd w:val="clear" w:color="auto" w:fill="BFBFBF" w:themeFill="background1" w:themeFillShade="BF"/>
            <w:vAlign w:val="center"/>
          </w:tcPr>
          <w:p w:rsidR="003F0BCE" w:rsidRPr="00F04EDB" w:rsidRDefault="003F0BCE" w:rsidP="003F0BCE">
            <w:pPr>
              <w:spacing w:after="0" w:line="240" w:lineRule="auto"/>
            </w:pPr>
          </w:p>
        </w:tc>
        <w:tc>
          <w:tcPr>
            <w:tcW w:w="900" w:type="dxa"/>
            <w:shd w:val="clear" w:color="auto" w:fill="BFBFBF" w:themeFill="background1" w:themeFillShade="BF"/>
          </w:tcPr>
          <w:p w:rsidR="003F0BCE" w:rsidRPr="00F04EDB" w:rsidRDefault="003F0BCE" w:rsidP="003F0BCE">
            <w:pPr>
              <w:spacing w:after="0" w:line="240" w:lineRule="auto"/>
              <w:rPr>
                <w:b/>
                <w:bCs/>
                <w:color w:val="000000"/>
              </w:rPr>
            </w:pPr>
            <w:r w:rsidRPr="00F04EDB">
              <w:rPr>
                <w:b/>
                <w:bCs/>
                <w:color w:val="000000"/>
              </w:rPr>
              <w:t>Total  #</w:t>
            </w:r>
          </w:p>
        </w:tc>
        <w:tc>
          <w:tcPr>
            <w:tcW w:w="1260" w:type="dxa"/>
            <w:shd w:val="clear" w:color="auto" w:fill="BFBFBF" w:themeFill="background1" w:themeFillShade="BF"/>
          </w:tcPr>
          <w:p w:rsidR="003F0BCE" w:rsidRPr="00F04EDB" w:rsidRDefault="001E004F" w:rsidP="001E004F">
            <w:pPr>
              <w:spacing w:after="0" w:line="240" w:lineRule="auto"/>
              <w:jc w:val="center"/>
            </w:pPr>
            <w:r>
              <w:t>14</w:t>
            </w:r>
          </w:p>
        </w:tc>
        <w:tc>
          <w:tcPr>
            <w:tcW w:w="1080" w:type="dxa"/>
            <w:shd w:val="clear" w:color="auto" w:fill="BFBFBF" w:themeFill="background1" w:themeFillShade="BF"/>
          </w:tcPr>
          <w:p w:rsidR="003F0BCE" w:rsidRPr="00F04EDB" w:rsidRDefault="001E004F" w:rsidP="001E004F">
            <w:pPr>
              <w:spacing w:after="0" w:line="240" w:lineRule="auto"/>
              <w:jc w:val="center"/>
            </w:pPr>
            <w:r>
              <w:t>38</w:t>
            </w:r>
          </w:p>
        </w:tc>
        <w:tc>
          <w:tcPr>
            <w:tcW w:w="1170" w:type="dxa"/>
            <w:shd w:val="clear" w:color="auto" w:fill="BFBFBF" w:themeFill="background1" w:themeFillShade="BF"/>
          </w:tcPr>
          <w:p w:rsidR="003F0BCE" w:rsidRPr="00F04EDB" w:rsidRDefault="001E004F" w:rsidP="001E004F">
            <w:pPr>
              <w:spacing w:after="0" w:line="240" w:lineRule="auto"/>
              <w:jc w:val="center"/>
            </w:pPr>
            <w:r>
              <w:t>101</w:t>
            </w:r>
          </w:p>
        </w:tc>
        <w:tc>
          <w:tcPr>
            <w:tcW w:w="990" w:type="dxa"/>
            <w:shd w:val="clear" w:color="auto" w:fill="BFBFBF" w:themeFill="background1" w:themeFillShade="BF"/>
          </w:tcPr>
          <w:p w:rsidR="003F0BCE" w:rsidRPr="00F04EDB" w:rsidRDefault="00044A0A" w:rsidP="00044A0A">
            <w:pPr>
              <w:spacing w:after="0" w:line="240" w:lineRule="auto"/>
              <w:jc w:val="center"/>
            </w:pPr>
            <w:r>
              <w:t>96</w:t>
            </w:r>
          </w:p>
        </w:tc>
        <w:tc>
          <w:tcPr>
            <w:tcW w:w="1368" w:type="dxa"/>
            <w:shd w:val="clear" w:color="auto" w:fill="BFBFBF" w:themeFill="background1" w:themeFillShade="BF"/>
          </w:tcPr>
          <w:p w:rsidR="003F0BCE" w:rsidRPr="00F04EDB" w:rsidRDefault="00044A0A" w:rsidP="00044A0A">
            <w:pPr>
              <w:spacing w:after="0" w:line="240" w:lineRule="auto"/>
              <w:jc w:val="center"/>
            </w:pPr>
            <w:r>
              <w:t>2.1</w:t>
            </w:r>
          </w:p>
        </w:tc>
      </w:tr>
      <w:tr w:rsidR="003F0BCE" w:rsidRPr="00F04EDB" w:rsidTr="00E4631D">
        <w:tc>
          <w:tcPr>
            <w:tcW w:w="2970" w:type="dxa"/>
            <w:vMerge/>
            <w:shd w:val="clear" w:color="auto" w:fill="BFBFBF" w:themeFill="background1" w:themeFillShade="BF"/>
            <w:vAlign w:val="center"/>
          </w:tcPr>
          <w:p w:rsidR="003F0BCE" w:rsidRPr="00F04EDB" w:rsidRDefault="003F0BCE" w:rsidP="003F0BCE">
            <w:pPr>
              <w:spacing w:after="0" w:line="240" w:lineRule="auto"/>
            </w:pPr>
          </w:p>
        </w:tc>
        <w:tc>
          <w:tcPr>
            <w:tcW w:w="900" w:type="dxa"/>
            <w:shd w:val="clear" w:color="auto" w:fill="BFBFBF" w:themeFill="background1" w:themeFillShade="BF"/>
          </w:tcPr>
          <w:p w:rsidR="003F0BCE" w:rsidRPr="00F04EDB" w:rsidRDefault="003F0BCE" w:rsidP="003F0BCE">
            <w:pPr>
              <w:spacing w:after="0" w:line="240" w:lineRule="auto"/>
              <w:rPr>
                <w:b/>
                <w:bCs/>
                <w:color w:val="000000"/>
              </w:rPr>
            </w:pPr>
            <w:r w:rsidRPr="00F04EDB">
              <w:rPr>
                <w:b/>
                <w:bCs/>
                <w:color w:val="000000"/>
              </w:rPr>
              <w:t>Total %</w:t>
            </w:r>
          </w:p>
        </w:tc>
        <w:tc>
          <w:tcPr>
            <w:tcW w:w="1260" w:type="dxa"/>
            <w:shd w:val="clear" w:color="auto" w:fill="BFBFBF" w:themeFill="background1" w:themeFillShade="BF"/>
          </w:tcPr>
          <w:p w:rsidR="003F0BCE" w:rsidRPr="00F04EDB" w:rsidRDefault="001E004F" w:rsidP="001E004F">
            <w:pPr>
              <w:spacing w:after="0" w:line="240" w:lineRule="auto"/>
              <w:jc w:val="center"/>
            </w:pPr>
            <w:r>
              <w:t>6%</w:t>
            </w:r>
          </w:p>
        </w:tc>
        <w:tc>
          <w:tcPr>
            <w:tcW w:w="1080" w:type="dxa"/>
            <w:shd w:val="clear" w:color="auto" w:fill="BFBFBF" w:themeFill="background1" w:themeFillShade="BF"/>
          </w:tcPr>
          <w:p w:rsidR="003F0BCE" w:rsidRPr="00F04EDB" w:rsidRDefault="001E004F" w:rsidP="001E004F">
            <w:pPr>
              <w:spacing w:after="0" w:line="240" w:lineRule="auto"/>
              <w:jc w:val="center"/>
            </w:pPr>
            <w:r>
              <w:t>5%</w:t>
            </w:r>
          </w:p>
        </w:tc>
        <w:tc>
          <w:tcPr>
            <w:tcW w:w="1170" w:type="dxa"/>
            <w:shd w:val="clear" w:color="auto" w:fill="BFBFBF" w:themeFill="background1" w:themeFillShade="BF"/>
          </w:tcPr>
          <w:p w:rsidR="003F0BCE" w:rsidRPr="00F04EDB" w:rsidRDefault="001E004F" w:rsidP="001E004F">
            <w:pPr>
              <w:spacing w:after="0" w:line="240" w:lineRule="auto"/>
              <w:jc w:val="center"/>
            </w:pPr>
            <w:r>
              <w:t>41%</w:t>
            </w:r>
          </w:p>
        </w:tc>
        <w:tc>
          <w:tcPr>
            <w:tcW w:w="990" w:type="dxa"/>
            <w:shd w:val="clear" w:color="auto" w:fill="BFBFBF" w:themeFill="background1" w:themeFillShade="BF"/>
          </w:tcPr>
          <w:p w:rsidR="003F0BCE" w:rsidRPr="00F04EDB" w:rsidRDefault="00044A0A" w:rsidP="00044A0A">
            <w:pPr>
              <w:spacing w:after="0" w:line="240" w:lineRule="auto"/>
              <w:jc w:val="center"/>
            </w:pPr>
            <w:r>
              <w:t>39%</w:t>
            </w:r>
          </w:p>
        </w:tc>
        <w:tc>
          <w:tcPr>
            <w:tcW w:w="1368" w:type="dxa"/>
            <w:shd w:val="clear" w:color="auto" w:fill="BFBFBF" w:themeFill="background1" w:themeFillShade="BF"/>
          </w:tcPr>
          <w:p w:rsidR="003F0BCE" w:rsidRPr="00F04EDB" w:rsidRDefault="003F0BCE" w:rsidP="00044A0A">
            <w:pPr>
              <w:spacing w:after="0" w:line="240" w:lineRule="auto"/>
              <w:jc w:val="center"/>
            </w:pPr>
          </w:p>
        </w:tc>
      </w:tr>
      <w:tr w:rsidR="003F0BCE" w:rsidRPr="00F04EDB" w:rsidTr="00E4631D">
        <w:tc>
          <w:tcPr>
            <w:tcW w:w="2970" w:type="dxa"/>
            <w:vMerge w:val="restart"/>
          </w:tcPr>
          <w:p w:rsidR="003F0BCE" w:rsidRPr="00F04EDB" w:rsidRDefault="003F0BCE" w:rsidP="003F0BCE">
            <w:pPr>
              <w:spacing w:after="0" w:line="240" w:lineRule="auto"/>
              <w:rPr>
                <w:color w:val="000000"/>
              </w:rPr>
            </w:pPr>
            <w:r w:rsidRPr="00F04EDB">
              <w:rPr>
                <w:color w:val="000000"/>
              </w:rPr>
              <w:t>2. The teacher provides and refers to clear learning objective(s) in the lesson.</w:t>
            </w:r>
          </w:p>
        </w:tc>
        <w:tc>
          <w:tcPr>
            <w:tcW w:w="900" w:type="dxa"/>
          </w:tcPr>
          <w:p w:rsidR="003F0BCE" w:rsidRPr="00F04EDB" w:rsidRDefault="003F0BCE" w:rsidP="003F0BCE">
            <w:pPr>
              <w:spacing w:after="0" w:line="240" w:lineRule="auto"/>
              <w:rPr>
                <w:b/>
                <w:bCs/>
                <w:color w:val="000000"/>
              </w:rPr>
            </w:pPr>
            <w:r w:rsidRPr="00F04EDB">
              <w:rPr>
                <w:b/>
                <w:bCs/>
                <w:color w:val="000000"/>
              </w:rPr>
              <w:t>ES</w:t>
            </w:r>
          </w:p>
        </w:tc>
        <w:tc>
          <w:tcPr>
            <w:tcW w:w="1260" w:type="dxa"/>
          </w:tcPr>
          <w:p w:rsidR="003F0BCE" w:rsidRPr="00F04EDB" w:rsidRDefault="001E004F" w:rsidP="001E004F">
            <w:pPr>
              <w:spacing w:after="0" w:line="240" w:lineRule="auto"/>
              <w:jc w:val="center"/>
            </w:pPr>
            <w:r>
              <w:t>8%</w:t>
            </w:r>
          </w:p>
        </w:tc>
        <w:tc>
          <w:tcPr>
            <w:tcW w:w="1080" w:type="dxa"/>
          </w:tcPr>
          <w:p w:rsidR="003F0BCE" w:rsidRPr="00F04EDB" w:rsidRDefault="001E004F" w:rsidP="001E004F">
            <w:pPr>
              <w:spacing w:after="0" w:line="240" w:lineRule="auto"/>
              <w:jc w:val="center"/>
            </w:pPr>
            <w:r>
              <w:t>12%</w:t>
            </w:r>
          </w:p>
        </w:tc>
        <w:tc>
          <w:tcPr>
            <w:tcW w:w="1170" w:type="dxa"/>
          </w:tcPr>
          <w:p w:rsidR="003F0BCE" w:rsidRPr="00F04EDB" w:rsidRDefault="001E004F" w:rsidP="001E004F">
            <w:pPr>
              <w:spacing w:after="0" w:line="240" w:lineRule="auto"/>
              <w:jc w:val="center"/>
            </w:pPr>
            <w:r>
              <w:t>48%</w:t>
            </w:r>
          </w:p>
        </w:tc>
        <w:tc>
          <w:tcPr>
            <w:tcW w:w="990" w:type="dxa"/>
          </w:tcPr>
          <w:p w:rsidR="003F0BCE" w:rsidRPr="00F04EDB" w:rsidRDefault="00044A0A" w:rsidP="00044A0A">
            <w:pPr>
              <w:spacing w:after="0" w:line="240" w:lineRule="auto"/>
              <w:jc w:val="center"/>
            </w:pPr>
            <w:r>
              <w:t>32%</w:t>
            </w:r>
          </w:p>
        </w:tc>
        <w:tc>
          <w:tcPr>
            <w:tcW w:w="1368" w:type="dxa"/>
          </w:tcPr>
          <w:p w:rsidR="003F0BCE" w:rsidRPr="00F04EDB" w:rsidRDefault="00044A0A" w:rsidP="00044A0A">
            <w:pPr>
              <w:spacing w:after="0" w:line="240" w:lineRule="auto"/>
              <w:jc w:val="center"/>
            </w:pPr>
            <w:r>
              <w:t>2.0</w:t>
            </w:r>
          </w:p>
        </w:tc>
      </w:tr>
      <w:tr w:rsidR="003F0BCE" w:rsidRPr="00F04EDB" w:rsidTr="00E4631D">
        <w:tc>
          <w:tcPr>
            <w:tcW w:w="2970" w:type="dxa"/>
            <w:vMerge/>
            <w:vAlign w:val="center"/>
          </w:tcPr>
          <w:p w:rsidR="003F0BCE" w:rsidRPr="00F04EDB" w:rsidRDefault="003F0BCE" w:rsidP="003F0BCE">
            <w:pPr>
              <w:spacing w:after="0" w:line="240" w:lineRule="auto"/>
            </w:pPr>
          </w:p>
        </w:tc>
        <w:tc>
          <w:tcPr>
            <w:tcW w:w="900" w:type="dxa"/>
          </w:tcPr>
          <w:p w:rsidR="003F0BCE" w:rsidRPr="00F04EDB" w:rsidRDefault="003F0BCE" w:rsidP="003F0BCE">
            <w:pPr>
              <w:spacing w:after="0" w:line="240" w:lineRule="auto"/>
              <w:rPr>
                <w:b/>
                <w:bCs/>
                <w:color w:val="000000"/>
              </w:rPr>
            </w:pPr>
            <w:r w:rsidRPr="00F04EDB">
              <w:rPr>
                <w:b/>
                <w:bCs/>
                <w:color w:val="000000"/>
              </w:rPr>
              <w:t>MS</w:t>
            </w:r>
          </w:p>
        </w:tc>
        <w:tc>
          <w:tcPr>
            <w:tcW w:w="1260" w:type="dxa"/>
          </w:tcPr>
          <w:p w:rsidR="003F0BCE" w:rsidRPr="00F04EDB" w:rsidRDefault="001E004F" w:rsidP="001E004F">
            <w:pPr>
              <w:spacing w:after="0" w:line="240" w:lineRule="auto"/>
              <w:jc w:val="center"/>
            </w:pPr>
            <w:r>
              <w:t>6%</w:t>
            </w:r>
          </w:p>
        </w:tc>
        <w:tc>
          <w:tcPr>
            <w:tcW w:w="1080" w:type="dxa"/>
          </w:tcPr>
          <w:p w:rsidR="003F0BCE" w:rsidRPr="00F04EDB" w:rsidRDefault="001E004F" w:rsidP="001E004F">
            <w:pPr>
              <w:spacing w:after="0" w:line="240" w:lineRule="auto"/>
              <w:jc w:val="center"/>
            </w:pPr>
            <w:r>
              <w:t>13%</w:t>
            </w:r>
          </w:p>
        </w:tc>
        <w:tc>
          <w:tcPr>
            <w:tcW w:w="1170" w:type="dxa"/>
          </w:tcPr>
          <w:p w:rsidR="003F0BCE" w:rsidRPr="00F04EDB" w:rsidRDefault="001E004F" w:rsidP="001E004F">
            <w:pPr>
              <w:spacing w:after="0" w:line="240" w:lineRule="auto"/>
              <w:jc w:val="center"/>
            </w:pPr>
            <w:r>
              <w:t>19%</w:t>
            </w:r>
          </w:p>
        </w:tc>
        <w:tc>
          <w:tcPr>
            <w:tcW w:w="990" w:type="dxa"/>
          </w:tcPr>
          <w:p w:rsidR="003F0BCE" w:rsidRPr="00F04EDB" w:rsidRDefault="00044A0A" w:rsidP="00044A0A">
            <w:pPr>
              <w:spacing w:after="0" w:line="240" w:lineRule="auto"/>
              <w:jc w:val="center"/>
            </w:pPr>
            <w:r>
              <w:t>61%</w:t>
            </w:r>
          </w:p>
        </w:tc>
        <w:tc>
          <w:tcPr>
            <w:tcW w:w="1368" w:type="dxa"/>
          </w:tcPr>
          <w:p w:rsidR="003F0BCE" w:rsidRPr="00F04EDB" w:rsidRDefault="00044A0A" w:rsidP="00044A0A">
            <w:pPr>
              <w:spacing w:after="0" w:line="240" w:lineRule="auto"/>
              <w:jc w:val="center"/>
            </w:pPr>
            <w:r>
              <w:t>2.4</w:t>
            </w:r>
          </w:p>
        </w:tc>
      </w:tr>
      <w:tr w:rsidR="003F0BCE" w:rsidRPr="00F04EDB" w:rsidTr="00E4631D">
        <w:tc>
          <w:tcPr>
            <w:tcW w:w="2970" w:type="dxa"/>
            <w:vMerge/>
            <w:vAlign w:val="center"/>
          </w:tcPr>
          <w:p w:rsidR="003F0BCE" w:rsidRPr="00F04EDB" w:rsidRDefault="003F0BCE" w:rsidP="003F0BCE">
            <w:pPr>
              <w:spacing w:after="0" w:line="240" w:lineRule="auto"/>
            </w:pPr>
          </w:p>
        </w:tc>
        <w:tc>
          <w:tcPr>
            <w:tcW w:w="900" w:type="dxa"/>
          </w:tcPr>
          <w:p w:rsidR="003F0BCE" w:rsidRPr="00F04EDB" w:rsidRDefault="003F0BCE" w:rsidP="003F0BCE">
            <w:pPr>
              <w:spacing w:after="0" w:line="240" w:lineRule="auto"/>
              <w:rPr>
                <w:b/>
                <w:bCs/>
                <w:color w:val="000000"/>
              </w:rPr>
            </w:pPr>
            <w:r w:rsidRPr="00F04EDB">
              <w:rPr>
                <w:b/>
                <w:bCs/>
                <w:color w:val="000000"/>
              </w:rPr>
              <w:t>HS</w:t>
            </w:r>
          </w:p>
        </w:tc>
        <w:tc>
          <w:tcPr>
            <w:tcW w:w="1260" w:type="dxa"/>
          </w:tcPr>
          <w:p w:rsidR="003F0BCE" w:rsidRPr="00F04EDB" w:rsidRDefault="001E004F" w:rsidP="001E004F">
            <w:pPr>
              <w:spacing w:after="0" w:line="240" w:lineRule="auto"/>
              <w:jc w:val="center"/>
            </w:pPr>
            <w:r>
              <w:t>10%</w:t>
            </w:r>
          </w:p>
        </w:tc>
        <w:tc>
          <w:tcPr>
            <w:tcW w:w="1080" w:type="dxa"/>
          </w:tcPr>
          <w:p w:rsidR="003F0BCE" w:rsidRPr="00F04EDB" w:rsidRDefault="001E004F" w:rsidP="001E004F">
            <w:pPr>
              <w:spacing w:after="0" w:line="240" w:lineRule="auto"/>
              <w:jc w:val="center"/>
            </w:pPr>
            <w:r>
              <w:t>19%</w:t>
            </w:r>
          </w:p>
        </w:tc>
        <w:tc>
          <w:tcPr>
            <w:tcW w:w="1170" w:type="dxa"/>
          </w:tcPr>
          <w:p w:rsidR="003F0BCE" w:rsidRPr="00F04EDB" w:rsidRDefault="001E004F" w:rsidP="001E004F">
            <w:pPr>
              <w:spacing w:after="0" w:line="240" w:lineRule="auto"/>
              <w:jc w:val="center"/>
            </w:pPr>
            <w:r>
              <w:t>44%</w:t>
            </w:r>
          </w:p>
        </w:tc>
        <w:tc>
          <w:tcPr>
            <w:tcW w:w="990" w:type="dxa"/>
          </w:tcPr>
          <w:p w:rsidR="003F0BCE" w:rsidRPr="00F04EDB" w:rsidRDefault="00044A0A" w:rsidP="00044A0A">
            <w:pPr>
              <w:spacing w:after="0" w:line="240" w:lineRule="auto"/>
              <w:jc w:val="center"/>
            </w:pPr>
            <w:r>
              <w:t>27%</w:t>
            </w:r>
          </w:p>
        </w:tc>
        <w:tc>
          <w:tcPr>
            <w:tcW w:w="1368" w:type="dxa"/>
          </w:tcPr>
          <w:p w:rsidR="003F0BCE" w:rsidRPr="00F04EDB" w:rsidRDefault="00044A0A" w:rsidP="00044A0A">
            <w:pPr>
              <w:spacing w:after="0" w:line="240" w:lineRule="auto"/>
              <w:jc w:val="center"/>
            </w:pPr>
            <w:r>
              <w:t>1.9</w:t>
            </w:r>
          </w:p>
        </w:tc>
      </w:tr>
      <w:tr w:rsidR="003F0BCE" w:rsidRPr="00F04EDB" w:rsidTr="00E4631D">
        <w:tc>
          <w:tcPr>
            <w:tcW w:w="2970" w:type="dxa"/>
            <w:vMerge/>
            <w:vAlign w:val="center"/>
          </w:tcPr>
          <w:p w:rsidR="003F0BCE" w:rsidRPr="00F04EDB" w:rsidRDefault="003F0BCE" w:rsidP="003F0BCE">
            <w:pPr>
              <w:spacing w:after="0" w:line="240" w:lineRule="auto"/>
            </w:pPr>
          </w:p>
        </w:tc>
        <w:tc>
          <w:tcPr>
            <w:tcW w:w="900" w:type="dxa"/>
          </w:tcPr>
          <w:p w:rsidR="003F0BCE" w:rsidRPr="00F04EDB" w:rsidRDefault="003F0BCE" w:rsidP="003F0BCE">
            <w:pPr>
              <w:spacing w:after="0" w:line="240" w:lineRule="auto"/>
              <w:rPr>
                <w:b/>
                <w:bCs/>
                <w:color w:val="000000"/>
              </w:rPr>
            </w:pPr>
            <w:r w:rsidRPr="00F04EDB">
              <w:rPr>
                <w:b/>
                <w:bCs/>
                <w:color w:val="000000"/>
              </w:rPr>
              <w:t>Total  #</w:t>
            </w:r>
          </w:p>
        </w:tc>
        <w:tc>
          <w:tcPr>
            <w:tcW w:w="1260" w:type="dxa"/>
          </w:tcPr>
          <w:p w:rsidR="003F0BCE" w:rsidRPr="00F04EDB" w:rsidRDefault="001E004F" w:rsidP="001E004F">
            <w:pPr>
              <w:spacing w:after="0" w:line="240" w:lineRule="auto"/>
              <w:jc w:val="center"/>
            </w:pPr>
            <w:r>
              <w:t>21%</w:t>
            </w:r>
          </w:p>
        </w:tc>
        <w:tc>
          <w:tcPr>
            <w:tcW w:w="1080" w:type="dxa"/>
          </w:tcPr>
          <w:p w:rsidR="003F0BCE" w:rsidRPr="00F04EDB" w:rsidRDefault="001E004F" w:rsidP="001E004F">
            <w:pPr>
              <w:spacing w:after="0" w:line="240" w:lineRule="auto"/>
              <w:jc w:val="center"/>
            </w:pPr>
            <w:r>
              <w:t>33</w:t>
            </w:r>
          </w:p>
        </w:tc>
        <w:tc>
          <w:tcPr>
            <w:tcW w:w="1170" w:type="dxa"/>
          </w:tcPr>
          <w:p w:rsidR="003F0BCE" w:rsidRPr="00F04EDB" w:rsidRDefault="001E004F" w:rsidP="001E004F">
            <w:pPr>
              <w:spacing w:after="0" w:line="240" w:lineRule="auto"/>
              <w:jc w:val="center"/>
            </w:pPr>
            <w:r>
              <w:t>109</w:t>
            </w:r>
          </w:p>
        </w:tc>
        <w:tc>
          <w:tcPr>
            <w:tcW w:w="990" w:type="dxa"/>
          </w:tcPr>
          <w:p w:rsidR="003F0BCE" w:rsidRPr="00F04EDB" w:rsidRDefault="00044A0A" w:rsidP="00044A0A">
            <w:pPr>
              <w:spacing w:after="0" w:line="240" w:lineRule="auto"/>
              <w:jc w:val="center"/>
            </w:pPr>
            <w:r>
              <w:t>86</w:t>
            </w:r>
          </w:p>
        </w:tc>
        <w:tc>
          <w:tcPr>
            <w:tcW w:w="1368" w:type="dxa"/>
          </w:tcPr>
          <w:p w:rsidR="003F0BCE" w:rsidRPr="00F04EDB" w:rsidRDefault="00044A0A" w:rsidP="00044A0A">
            <w:pPr>
              <w:spacing w:after="0" w:line="240" w:lineRule="auto"/>
              <w:jc w:val="center"/>
            </w:pPr>
            <w:r>
              <w:t>2.0</w:t>
            </w:r>
          </w:p>
        </w:tc>
      </w:tr>
      <w:tr w:rsidR="003F0BCE" w:rsidRPr="00F04EDB" w:rsidTr="00E4631D">
        <w:tc>
          <w:tcPr>
            <w:tcW w:w="2970" w:type="dxa"/>
            <w:vMerge/>
            <w:vAlign w:val="center"/>
          </w:tcPr>
          <w:p w:rsidR="003F0BCE" w:rsidRPr="00F04EDB" w:rsidRDefault="003F0BCE" w:rsidP="003F0BCE">
            <w:pPr>
              <w:spacing w:after="0" w:line="240" w:lineRule="auto"/>
            </w:pPr>
          </w:p>
        </w:tc>
        <w:tc>
          <w:tcPr>
            <w:tcW w:w="900" w:type="dxa"/>
          </w:tcPr>
          <w:p w:rsidR="003F0BCE" w:rsidRPr="00F04EDB" w:rsidRDefault="003F0BCE" w:rsidP="003F0BCE">
            <w:pPr>
              <w:spacing w:after="0" w:line="240" w:lineRule="auto"/>
              <w:rPr>
                <w:b/>
                <w:bCs/>
                <w:color w:val="000000"/>
              </w:rPr>
            </w:pPr>
            <w:r w:rsidRPr="00F04EDB">
              <w:rPr>
                <w:b/>
                <w:bCs/>
                <w:color w:val="000000"/>
              </w:rPr>
              <w:t>Total %</w:t>
            </w:r>
          </w:p>
        </w:tc>
        <w:tc>
          <w:tcPr>
            <w:tcW w:w="1260" w:type="dxa"/>
          </w:tcPr>
          <w:p w:rsidR="003F0BCE" w:rsidRPr="00F04EDB" w:rsidRDefault="001E004F" w:rsidP="001E004F">
            <w:pPr>
              <w:spacing w:after="0" w:line="240" w:lineRule="auto"/>
              <w:jc w:val="center"/>
            </w:pPr>
            <w:r>
              <w:t>8%</w:t>
            </w:r>
          </w:p>
        </w:tc>
        <w:tc>
          <w:tcPr>
            <w:tcW w:w="1080" w:type="dxa"/>
          </w:tcPr>
          <w:p w:rsidR="003F0BCE" w:rsidRPr="00F04EDB" w:rsidRDefault="001E004F" w:rsidP="001E004F">
            <w:pPr>
              <w:spacing w:after="0" w:line="240" w:lineRule="auto"/>
              <w:jc w:val="center"/>
            </w:pPr>
            <w:r>
              <w:t>13%</w:t>
            </w:r>
          </w:p>
        </w:tc>
        <w:tc>
          <w:tcPr>
            <w:tcW w:w="1170" w:type="dxa"/>
          </w:tcPr>
          <w:p w:rsidR="003F0BCE" w:rsidRPr="00F04EDB" w:rsidRDefault="001E004F" w:rsidP="001E004F">
            <w:pPr>
              <w:spacing w:after="0" w:line="240" w:lineRule="auto"/>
              <w:jc w:val="center"/>
            </w:pPr>
            <w:r>
              <w:t>44%</w:t>
            </w:r>
          </w:p>
        </w:tc>
        <w:tc>
          <w:tcPr>
            <w:tcW w:w="990" w:type="dxa"/>
          </w:tcPr>
          <w:p w:rsidR="003F0BCE" w:rsidRPr="00F04EDB" w:rsidRDefault="00044A0A" w:rsidP="00044A0A">
            <w:pPr>
              <w:spacing w:after="0" w:line="240" w:lineRule="auto"/>
              <w:jc w:val="center"/>
            </w:pPr>
            <w:r>
              <w:t>35%</w:t>
            </w:r>
          </w:p>
        </w:tc>
        <w:tc>
          <w:tcPr>
            <w:tcW w:w="1368" w:type="dxa"/>
          </w:tcPr>
          <w:p w:rsidR="003F0BCE" w:rsidRPr="00F04EDB" w:rsidRDefault="003F0BCE" w:rsidP="00044A0A">
            <w:pPr>
              <w:spacing w:after="0" w:line="240" w:lineRule="auto"/>
              <w:jc w:val="center"/>
            </w:pPr>
          </w:p>
        </w:tc>
      </w:tr>
      <w:tr w:rsidR="003F0BCE" w:rsidRPr="00F04EDB" w:rsidTr="00E4631D">
        <w:tc>
          <w:tcPr>
            <w:tcW w:w="2970" w:type="dxa"/>
            <w:vMerge w:val="restart"/>
            <w:shd w:val="clear" w:color="auto" w:fill="BFBFBF" w:themeFill="background1" w:themeFillShade="BF"/>
          </w:tcPr>
          <w:p w:rsidR="003F0BCE" w:rsidRPr="00F04EDB" w:rsidRDefault="003F0BCE" w:rsidP="003F0BCE">
            <w:pPr>
              <w:spacing w:after="0" w:line="240" w:lineRule="auto"/>
              <w:rPr>
                <w:color w:val="000000"/>
              </w:rPr>
            </w:pPr>
            <w:r w:rsidRPr="00F04EDB">
              <w:rPr>
                <w:color w:val="000000"/>
              </w:rPr>
              <w:t>3. The teacher implements a lesson that reflects high expectations aligned to the learning objective (s).</w:t>
            </w:r>
          </w:p>
        </w:tc>
        <w:tc>
          <w:tcPr>
            <w:tcW w:w="900" w:type="dxa"/>
            <w:shd w:val="clear" w:color="auto" w:fill="BFBFBF" w:themeFill="background1" w:themeFillShade="BF"/>
          </w:tcPr>
          <w:p w:rsidR="003F0BCE" w:rsidRPr="00F04EDB" w:rsidRDefault="003F0BCE" w:rsidP="003F0BCE">
            <w:pPr>
              <w:spacing w:after="0" w:line="240" w:lineRule="auto"/>
              <w:rPr>
                <w:b/>
                <w:bCs/>
                <w:color w:val="000000"/>
              </w:rPr>
            </w:pPr>
            <w:r w:rsidRPr="00F04EDB">
              <w:rPr>
                <w:b/>
                <w:bCs/>
                <w:color w:val="000000"/>
              </w:rPr>
              <w:t>ES</w:t>
            </w:r>
          </w:p>
        </w:tc>
        <w:tc>
          <w:tcPr>
            <w:tcW w:w="1260" w:type="dxa"/>
            <w:shd w:val="clear" w:color="auto" w:fill="BFBFBF" w:themeFill="background1" w:themeFillShade="BF"/>
          </w:tcPr>
          <w:p w:rsidR="003F0BCE" w:rsidRPr="00F04EDB" w:rsidRDefault="001E004F" w:rsidP="001E004F">
            <w:pPr>
              <w:spacing w:after="0" w:line="240" w:lineRule="auto"/>
              <w:jc w:val="center"/>
            </w:pPr>
            <w:r>
              <w:t>7%</w:t>
            </w:r>
          </w:p>
        </w:tc>
        <w:tc>
          <w:tcPr>
            <w:tcW w:w="1080" w:type="dxa"/>
            <w:shd w:val="clear" w:color="auto" w:fill="BFBFBF" w:themeFill="background1" w:themeFillShade="BF"/>
          </w:tcPr>
          <w:p w:rsidR="003F0BCE" w:rsidRPr="00F04EDB" w:rsidRDefault="001E004F" w:rsidP="001E004F">
            <w:pPr>
              <w:spacing w:after="0" w:line="240" w:lineRule="auto"/>
              <w:jc w:val="center"/>
            </w:pPr>
            <w:r>
              <w:t>26%</w:t>
            </w:r>
          </w:p>
        </w:tc>
        <w:tc>
          <w:tcPr>
            <w:tcW w:w="1170" w:type="dxa"/>
            <w:shd w:val="clear" w:color="auto" w:fill="BFBFBF" w:themeFill="background1" w:themeFillShade="BF"/>
          </w:tcPr>
          <w:p w:rsidR="003F0BCE" w:rsidRPr="00F04EDB" w:rsidRDefault="001E004F" w:rsidP="001E004F">
            <w:pPr>
              <w:spacing w:after="0" w:line="240" w:lineRule="auto"/>
              <w:jc w:val="center"/>
            </w:pPr>
            <w:r>
              <w:t>43%</w:t>
            </w:r>
          </w:p>
        </w:tc>
        <w:tc>
          <w:tcPr>
            <w:tcW w:w="990" w:type="dxa"/>
            <w:shd w:val="clear" w:color="auto" w:fill="BFBFBF" w:themeFill="background1" w:themeFillShade="BF"/>
          </w:tcPr>
          <w:p w:rsidR="003F0BCE" w:rsidRPr="00F04EDB" w:rsidRDefault="00044A0A" w:rsidP="00044A0A">
            <w:pPr>
              <w:spacing w:after="0" w:line="240" w:lineRule="auto"/>
              <w:jc w:val="center"/>
            </w:pPr>
            <w:r>
              <w:t>24%</w:t>
            </w:r>
          </w:p>
        </w:tc>
        <w:tc>
          <w:tcPr>
            <w:tcW w:w="1368" w:type="dxa"/>
            <w:shd w:val="clear" w:color="auto" w:fill="BFBFBF" w:themeFill="background1" w:themeFillShade="BF"/>
          </w:tcPr>
          <w:p w:rsidR="003F0BCE" w:rsidRPr="00F04EDB" w:rsidRDefault="00044A0A" w:rsidP="00044A0A">
            <w:pPr>
              <w:spacing w:after="0" w:line="240" w:lineRule="auto"/>
              <w:jc w:val="center"/>
            </w:pPr>
            <w:r>
              <w:t>1.8</w:t>
            </w:r>
          </w:p>
        </w:tc>
      </w:tr>
      <w:tr w:rsidR="003F0BCE" w:rsidRPr="00F04EDB" w:rsidTr="00E4631D">
        <w:tc>
          <w:tcPr>
            <w:tcW w:w="2970" w:type="dxa"/>
            <w:vMerge/>
            <w:shd w:val="clear" w:color="auto" w:fill="BFBFBF" w:themeFill="background1" w:themeFillShade="BF"/>
            <w:vAlign w:val="center"/>
          </w:tcPr>
          <w:p w:rsidR="003F0BCE" w:rsidRPr="00F04EDB" w:rsidRDefault="003F0BCE" w:rsidP="003F0BCE">
            <w:pPr>
              <w:spacing w:after="0" w:line="240" w:lineRule="auto"/>
            </w:pPr>
          </w:p>
        </w:tc>
        <w:tc>
          <w:tcPr>
            <w:tcW w:w="900" w:type="dxa"/>
            <w:shd w:val="clear" w:color="auto" w:fill="BFBFBF" w:themeFill="background1" w:themeFillShade="BF"/>
          </w:tcPr>
          <w:p w:rsidR="003F0BCE" w:rsidRPr="00F04EDB" w:rsidRDefault="003F0BCE" w:rsidP="003F0BCE">
            <w:pPr>
              <w:spacing w:after="0" w:line="240" w:lineRule="auto"/>
              <w:rPr>
                <w:b/>
                <w:bCs/>
                <w:color w:val="000000"/>
              </w:rPr>
            </w:pPr>
            <w:r w:rsidRPr="00F04EDB">
              <w:rPr>
                <w:b/>
                <w:bCs/>
                <w:color w:val="000000"/>
              </w:rPr>
              <w:t>MS</w:t>
            </w:r>
          </w:p>
        </w:tc>
        <w:tc>
          <w:tcPr>
            <w:tcW w:w="1260" w:type="dxa"/>
            <w:shd w:val="clear" w:color="auto" w:fill="BFBFBF" w:themeFill="background1" w:themeFillShade="BF"/>
          </w:tcPr>
          <w:p w:rsidR="003F0BCE" w:rsidRPr="00F04EDB" w:rsidRDefault="001E004F" w:rsidP="001E004F">
            <w:pPr>
              <w:spacing w:after="0" w:line="240" w:lineRule="auto"/>
              <w:jc w:val="center"/>
            </w:pPr>
            <w:r>
              <w:t>6%</w:t>
            </w:r>
          </w:p>
        </w:tc>
        <w:tc>
          <w:tcPr>
            <w:tcW w:w="1080" w:type="dxa"/>
            <w:shd w:val="clear" w:color="auto" w:fill="BFBFBF" w:themeFill="background1" w:themeFillShade="BF"/>
          </w:tcPr>
          <w:p w:rsidR="003F0BCE" w:rsidRPr="00F04EDB" w:rsidRDefault="001E004F" w:rsidP="001E004F">
            <w:pPr>
              <w:spacing w:after="0" w:line="240" w:lineRule="auto"/>
              <w:jc w:val="center"/>
            </w:pPr>
            <w:r>
              <w:t>10%</w:t>
            </w:r>
          </w:p>
        </w:tc>
        <w:tc>
          <w:tcPr>
            <w:tcW w:w="1170" w:type="dxa"/>
            <w:shd w:val="clear" w:color="auto" w:fill="BFBFBF" w:themeFill="background1" w:themeFillShade="BF"/>
          </w:tcPr>
          <w:p w:rsidR="003F0BCE" w:rsidRPr="00F04EDB" w:rsidRDefault="001E004F" w:rsidP="001E004F">
            <w:pPr>
              <w:spacing w:after="0" w:line="240" w:lineRule="auto"/>
              <w:jc w:val="center"/>
            </w:pPr>
            <w:r>
              <w:t>42%</w:t>
            </w:r>
          </w:p>
        </w:tc>
        <w:tc>
          <w:tcPr>
            <w:tcW w:w="990" w:type="dxa"/>
            <w:shd w:val="clear" w:color="auto" w:fill="BFBFBF" w:themeFill="background1" w:themeFillShade="BF"/>
          </w:tcPr>
          <w:p w:rsidR="003F0BCE" w:rsidRPr="00F04EDB" w:rsidRDefault="00044A0A" w:rsidP="00044A0A">
            <w:pPr>
              <w:spacing w:after="0" w:line="240" w:lineRule="auto"/>
              <w:jc w:val="center"/>
            </w:pPr>
            <w:r>
              <w:t>42%</w:t>
            </w:r>
          </w:p>
        </w:tc>
        <w:tc>
          <w:tcPr>
            <w:tcW w:w="1368" w:type="dxa"/>
            <w:shd w:val="clear" w:color="auto" w:fill="BFBFBF" w:themeFill="background1" w:themeFillShade="BF"/>
          </w:tcPr>
          <w:p w:rsidR="003F0BCE" w:rsidRPr="00F04EDB" w:rsidRDefault="00044A0A" w:rsidP="00044A0A">
            <w:pPr>
              <w:spacing w:after="0" w:line="240" w:lineRule="auto"/>
              <w:jc w:val="center"/>
            </w:pPr>
            <w:r>
              <w:t>2.2</w:t>
            </w:r>
          </w:p>
        </w:tc>
      </w:tr>
      <w:tr w:rsidR="003F0BCE" w:rsidRPr="00F04EDB" w:rsidTr="00E4631D">
        <w:tc>
          <w:tcPr>
            <w:tcW w:w="2970" w:type="dxa"/>
            <w:vMerge/>
            <w:shd w:val="clear" w:color="auto" w:fill="BFBFBF" w:themeFill="background1" w:themeFillShade="BF"/>
            <w:vAlign w:val="center"/>
          </w:tcPr>
          <w:p w:rsidR="003F0BCE" w:rsidRPr="00F04EDB" w:rsidRDefault="003F0BCE" w:rsidP="003F0BCE">
            <w:pPr>
              <w:spacing w:after="0" w:line="240" w:lineRule="auto"/>
            </w:pPr>
          </w:p>
        </w:tc>
        <w:tc>
          <w:tcPr>
            <w:tcW w:w="900" w:type="dxa"/>
            <w:shd w:val="clear" w:color="auto" w:fill="BFBFBF" w:themeFill="background1" w:themeFillShade="BF"/>
          </w:tcPr>
          <w:p w:rsidR="003F0BCE" w:rsidRPr="00F04EDB" w:rsidRDefault="003F0BCE" w:rsidP="003F0BCE">
            <w:pPr>
              <w:spacing w:after="0" w:line="240" w:lineRule="auto"/>
              <w:rPr>
                <w:b/>
                <w:bCs/>
                <w:color w:val="000000"/>
              </w:rPr>
            </w:pPr>
            <w:r w:rsidRPr="00F04EDB">
              <w:rPr>
                <w:b/>
                <w:bCs/>
                <w:color w:val="000000"/>
              </w:rPr>
              <w:t>HS</w:t>
            </w:r>
          </w:p>
        </w:tc>
        <w:tc>
          <w:tcPr>
            <w:tcW w:w="1260" w:type="dxa"/>
            <w:shd w:val="clear" w:color="auto" w:fill="BFBFBF" w:themeFill="background1" w:themeFillShade="BF"/>
          </w:tcPr>
          <w:p w:rsidR="003F0BCE" w:rsidRPr="00F04EDB" w:rsidRDefault="001E004F" w:rsidP="001E004F">
            <w:pPr>
              <w:spacing w:after="0" w:line="240" w:lineRule="auto"/>
              <w:jc w:val="center"/>
            </w:pPr>
            <w:r>
              <w:t>15%</w:t>
            </w:r>
          </w:p>
        </w:tc>
        <w:tc>
          <w:tcPr>
            <w:tcW w:w="1080" w:type="dxa"/>
            <w:shd w:val="clear" w:color="auto" w:fill="BFBFBF" w:themeFill="background1" w:themeFillShade="BF"/>
          </w:tcPr>
          <w:p w:rsidR="003F0BCE" w:rsidRPr="00F04EDB" w:rsidRDefault="001E004F" w:rsidP="001E004F">
            <w:pPr>
              <w:spacing w:after="0" w:line="240" w:lineRule="auto"/>
              <w:jc w:val="center"/>
            </w:pPr>
            <w:r>
              <w:t>27%</w:t>
            </w:r>
          </w:p>
        </w:tc>
        <w:tc>
          <w:tcPr>
            <w:tcW w:w="1170" w:type="dxa"/>
            <w:shd w:val="clear" w:color="auto" w:fill="BFBFBF" w:themeFill="background1" w:themeFillShade="BF"/>
          </w:tcPr>
          <w:p w:rsidR="003F0BCE" w:rsidRPr="00F04EDB" w:rsidRDefault="001E004F" w:rsidP="001E004F">
            <w:pPr>
              <w:spacing w:after="0" w:line="240" w:lineRule="auto"/>
              <w:jc w:val="center"/>
            </w:pPr>
            <w:r>
              <w:t>33%</w:t>
            </w:r>
          </w:p>
        </w:tc>
        <w:tc>
          <w:tcPr>
            <w:tcW w:w="990" w:type="dxa"/>
            <w:shd w:val="clear" w:color="auto" w:fill="BFBFBF" w:themeFill="background1" w:themeFillShade="BF"/>
          </w:tcPr>
          <w:p w:rsidR="003F0BCE" w:rsidRPr="00F04EDB" w:rsidRDefault="00044A0A" w:rsidP="00044A0A">
            <w:pPr>
              <w:spacing w:after="0" w:line="240" w:lineRule="auto"/>
              <w:jc w:val="center"/>
            </w:pPr>
            <w:r>
              <w:t>25%</w:t>
            </w:r>
          </w:p>
        </w:tc>
        <w:tc>
          <w:tcPr>
            <w:tcW w:w="1368" w:type="dxa"/>
            <w:shd w:val="clear" w:color="auto" w:fill="BFBFBF" w:themeFill="background1" w:themeFillShade="BF"/>
          </w:tcPr>
          <w:p w:rsidR="003F0BCE" w:rsidRPr="00F04EDB" w:rsidRDefault="00044A0A" w:rsidP="00044A0A">
            <w:pPr>
              <w:spacing w:after="0" w:line="240" w:lineRule="auto"/>
              <w:jc w:val="center"/>
            </w:pPr>
            <w:r>
              <w:t>1.7</w:t>
            </w:r>
          </w:p>
        </w:tc>
      </w:tr>
      <w:tr w:rsidR="003F0BCE" w:rsidRPr="00F04EDB" w:rsidTr="00E4631D">
        <w:tc>
          <w:tcPr>
            <w:tcW w:w="2970" w:type="dxa"/>
            <w:vMerge/>
            <w:shd w:val="clear" w:color="auto" w:fill="BFBFBF" w:themeFill="background1" w:themeFillShade="BF"/>
            <w:vAlign w:val="center"/>
          </w:tcPr>
          <w:p w:rsidR="003F0BCE" w:rsidRPr="00F04EDB" w:rsidRDefault="003F0BCE" w:rsidP="003F0BCE">
            <w:pPr>
              <w:spacing w:after="0" w:line="240" w:lineRule="auto"/>
            </w:pPr>
          </w:p>
        </w:tc>
        <w:tc>
          <w:tcPr>
            <w:tcW w:w="900" w:type="dxa"/>
            <w:shd w:val="clear" w:color="auto" w:fill="BFBFBF" w:themeFill="background1" w:themeFillShade="BF"/>
          </w:tcPr>
          <w:p w:rsidR="003F0BCE" w:rsidRPr="00F04EDB" w:rsidRDefault="003F0BCE" w:rsidP="003F0BCE">
            <w:pPr>
              <w:spacing w:after="0" w:line="240" w:lineRule="auto"/>
              <w:rPr>
                <w:b/>
                <w:bCs/>
                <w:color w:val="000000"/>
              </w:rPr>
            </w:pPr>
            <w:r w:rsidRPr="00F04EDB">
              <w:rPr>
                <w:b/>
                <w:bCs/>
                <w:color w:val="000000"/>
              </w:rPr>
              <w:t>Total  #</w:t>
            </w:r>
          </w:p>
        </w:tc>
        <w:tc>
          <w:tcPr>
            <w:tcW w:w="1260" w:type="dxa"/>
            <w:shd w:val="clear" w:color="auto" w:fill="BFBFBF" w:themeFill="background1" w:themeFillShade="BF"/>
          </w:tcPr>
          <w:p w:rsidR="003F0BCE" w:rsidRPr="00F04EDB" w:rsidRDefault="001E004F" w:rsidP="001E004F">
            <w:pPr>
              <w:spacing w:after="0" w:line="240" w:lineRule="auto"/>
              <w:jc w:val="center"/>
            </w:pPr>
            <w:r>
              <w:t>21</w:t>
            </w:r>
          </w:p>
        </w:tc>
        <w:tc>
          <w:tcPr>
            <w:tcW w:w="1080" w:type="dxa"/>
            <w:shd w:val="clear" w:color="auto" w:fill="BFBFBF" w:themeFill="background1" w:themeFillShade="BF"/>
          </w:tcPr>
          <w:p w:rsidR="003F0BCE" w:rsidRPr="00F04EDB" w:rsidRDefault="001E004F" w:rsidP="001E004F">
            <w:pPr>
              <w:spacing w:after="0" w:line="240" w:lineRule="auto"/>
              <w:jc w:val="center"/>
            </w:pPr>
            <w:r>
              <w:t>60</w:t>
            </w:r>
          </w:p>
        </w:tc>
        <w:tc>
          <w:tcPr>
            <w:tcW w:w="1170" w:type="dxa"/>
            <w:shd w:val="clear" w:color="auto" w:fill="BFBFBF" w:themeFill="background1" w:themeFillShade="BF"/>
          </w:tcPr>
          <w:p w:rsidR="003F0BCE" w:rsidRPr="00F04EDB" w:rsidRDefault="001E004F" w:rsidP="001E004F">
            <w:pPr>
              <w:spacing w:after="0" w:line="240" w:lineRule="auto"/>
              <w:jc w:val="center"/>
            </w:pPr>
            <w:r>
              <w:t>102</w:t>
            </w:r>
          </w:p>
        </w:tc>
        <w:tc>
          <w:tcPr>
            <w:tcW w:w="990" w:type="dxa"/>
            <w:shd w:val="clear" w:color="auto" w:fill="BFBFBF" w:themeFill="background1" w:themeFillShade="BF"/>
          </w:tcPr>
          <w:p w:rsidR="003F0BCE" w:rsidRPr="00F04EDB" w:rsidRDefault="00044A0A" w:rsidP="00044A0A">
            <w:pPr>
              <w:spacing w:after="0" w:line="240" w:lineRule="auto"/>
              <w:jc w:val="center"/>
            </w:pPr>
            <w:r>
              <w:t>66</w:t>
            </w:r>
          </w:p>
        </w:tc>
        <w:tc>
          <w:tcPr>
            <w:tcW w:w="1368" w:type="dxa"/>
            <w:shd w:val="clear" w:color="auto" w:fill="BFBFBF" w:themeFill="background1" w:themeFillShade="BF"/>
          </w:tcPr>
          <w:p w:rsidR="003F0BCE" w:rsidRPr="00F04EDB" w:rsidRDefault="00044A0A" w:rsidP="00044A0A">
            <w:pPr>
              <w:spacing w:after="0" w:line="240" w:lineRule="auto"/>
              <w:jc w:val="center"/>
            </w:pPr>
            <w:r>
              <w:t>1.9</w:t>
            </w:r>
          </w:p>
        </w:tc>
      </w:tr>
      <w:tr w:rsidR="003F0BCE" w:rsidRPr="00F04EDB" w:rsidTr="00E4631D">
        <w:tc>
          <w:tcPr>
            <w:tcW w:w="2970" w:type="dxa"/>
            <w:vMerge/>
            <w:shd w:val="clear" w:color="auto" w:fill="BFBFBF" w:themeFill="background1" w:themeFillShade="BF"/>
            <w:vAlign w:val="center"/>
          </w:tcPr>
          <w:p w:rsidR="003F0BCE" w:rsidRPr="00F04EDB" w:rsidRDefault="003F0BCE" w:rsidP="003F0BCE">
            <w:pPr>
              <w:spacing w:after="0" w:line="240" w:lineRule="auto"/>
            </w:pPr>
          </w:p>
        </w:tc>
        <w:tc>
          <w:tcPr>
            <w:tcW w:w="900" w:type="dxa"/>
            <w:shd w:val="clear" w:color="auto" w:fill="BFBFBF" w:themeFill="background1" w:themeFillShade="BF"/>
          </w:tcPr>
          <w:p w:rsidR="003F0BCE" w:rsidRPr="00F04EDB" w:rsidRDefault="003F0BCE" w:rsidP="003F0BCE">
            <w:pPr>
              <w:spacing w:after="0" w:line="240" w:lineRule="auto"/>
              <w:rPr>
                <w:b/>
                <w:bCs/>
                <w:color w:val="000000"/>
              </w:rPr>
            </w:pPr>
            <w:r w:rsidRPr="00F04EDB">
              <w:rPr>
                <w:b/>
                <w:bCs/>
                <w:color w:val="000000"/>
              </w:rPr>
              <w:t>Total %</w:t>
            </w:r>
          </w:p>
        </w:tc>
        <w:tc>
          <w:tcPr>
            <w:tcW w:w="1260" w:type="dxa"/>
            <w:shd w:val="clear" w:color="auto" w:fill="BFBFBF" w:themeFill="background1" w:themeFillShade="BF"/>
          </w:tcPr>
          <w:p w:rsidR="003F0BCE" w:rsidRPr="00F04EDB" w:rsidRDefault="001E004F" w:rsidP="001E004F">
            <w:pPr>
              <w:spacing w:after="0" w:line="240" w:lineRule="auto"/>
              <w:jc w:val="center"/>
            </w:pPr>
            <w:r>
              <w:t>8%</w:t>
            </w:r>
          </w:p>
        </w:tc>
        <w:tc>
          <w:tcPr>
            <w:tcW w:w="1080" w:type="dxa"/>
            <w:shd w:val="clear" w:color="auto" w:fill="BFBFBF" w:themeFill="background1" w:themeFillShade="BF"/>
          </w:tcPr>
          <w:p w:rsidR="003F0BCE" w:rsidRPr="00F04EDB" w:rsidRDefault="001E004F" w:rsidP="001E004F">
            <w:pPr>
              <w:spacing w:after="0" w:line="240" w:lineRule="auto"/>
              <w:jc w:val="center"/>
            </w:pPr>
            <w:r>
              <w:t>24%</w:t>
            </w:r>
          </w:p>
        </w:tc>
        <w:tc>
          <w:tcPr>
            <w:tcW w:w="1170" w:type="dxa"/>
            <w:shd w:val="clear" w:color="auto" w:fill="BFBFBF" w:themeFill="background1" w:themeFillShade="BF"/>
          </w:tcPr>
          <w:p w:rsidR="003F0BCE" w:rsidRPr="00F04EDB" w:rsidRDefault="001E004F" w:rsidP="001E004F">
            <w:pPr>
              <w:spacing w:after="0" w:line="240" w:lineRule="auto"/>
              <w:jc w:val="center"/>
            </w:pPr>
            <w:r>
              <w:t>41%</w:t>
            </w:r>
          </w:p>
        </w:tc>
        <w:tc>
          <w:tcPr>
            <w:tcW w:w="990" w:type="dxa"/>
            <w:shd w:val="clear" w:color="auto" w:fill="BFBFBF" w:themeFill="background1" w:themeFillShade="BF"/>
          </w:tcPr>
          <w:p w:rsidR="003F0BCE" w:rsidRPr="00F04EDB" w:rsidRDefault="00044A0A" w:rsidP="00044A0A">
            <w:pPr>
              <w:spacing w:after="0" w:line="240" w:lineRule="auto"/>
              <w:jc w:val="center"/>
            </w:pPr>
            <w:r>
              <w:t>27%</w:t>
            </w:r>
          </w:p>
        </w:tc>
        <w:tc>
          <w:tcPr>
            <w:tcW w:w="1368" w:type="dxa"/>
            <w:shd w:val="clear" w:color="auto" w:fill="BFBFBF" w:themeFill="background1" w:themeFillShade="BF"/>
          </w:tcPr>
          <w:p w:rsidR="003F0BCE" w:rsidRPr="00F04EDB" w:rsidRDefault="003F0BCE" w:rsidP="00044A0A">
            <w:pPr>
              <w:spacing w:after="0" w:line="240" w:lineRule="auto"/>
              <w:jc w:val="center"/>
            </w:pPr>
          </w:p>
        </w:tc>
      </w:tr>
      <w:tr w:rsidR="003F0BCE" w:rsidRPr="00F04EDB" w:rsidTr="00E4631D">
        <w:tc>
          <w:tcPr>
            <w:tcW w:w="2970" w:type="dxa"/>
            <w:vMerge w:val="restart"/>
          </w:tcPr>
          <w:p w:rsidR="003F0BCE" w:rsidRPr="00F04EDB" w:rsidRDefault="003F0BCE" w:rsidP="003F0BCE">
            <w:pPr>
              <w:spacing w:after="0" w:line="240" w:lineRule="auto"/>
              <w:rPr>
                <w:color w:val="000000"/>
              </w:rPr>
            </w:pPr>
            <w:r w:rsidRPr="00F04EDB">
              <w:rPr>
                <w:color w:val="000000"/>
              </w:rPr>
              <w:t>4. The teacher uses appropriate instructional strategies well matched to the learning objective(s).</w:t>
            </w:r>
          </w:p>
        </w:tc>
        <w:tc>
          <w:tcPr>
            <w:tcW w:w="900" w:type="dxa"/>
          </w:tcPr>
          <w:p w:rsidR="003F0BCE" w:rsidRPr="00F04EDB" w:rsidRDefault="003F0BCE" w:rsidP="003F0BCE">
            <w:pPr>
              <w:spacing w:after="0" w:line="240" w:lineRule="auto"/>
              <w:rPr>
                <w:b/>
                <w:bCs/>
                <w:color w:val="000000"/>
              </w:rPr>
            </w:pPr>
            <w:r w:rsidRPr="00F04EDB">
              <w:rPr>
                <w:b/>
                <w:bCs/>
                <w:color w:val="000000"/>
              </w:rPr>
              <w:t>ES</w:t>
            </w:r>
          </w:p>
        </w:tc>
        <w:tc>
          <w:tcPr>
            <w:tcW w:w="1260" w:type="dxa"/>
          </w:tcPr>
          <w:p w:rsidR="003F0BCE" w:rsidRPr="00F04EDB" w:rsidRDefault="001E004F" w:rsidP="001E004F">
            <w:pPr>
              <w:spacing w:after="0" w:line="240" w:lineRule="auto"/>
              <w:jc w:val="center"/>
            </w:pPr>
            <w:r>
              <w:t>7%</w:t>
            </w:r>
          </w:p>
        </w:tc>
        <w:tc>
          <w:tcPr>
            <w:tcW w:w="1080" w:type="dxa"/>
          </w:tcPr>
          <w:p w:rsidR="003F0BCE" w:rsidRPr="00F04EDB" w:rsidRDefault="001E004F" w:rsidP="001E004F">
            <w:pPr>
              <w:spacing w:after="0" w:line="240" w:lineRule="auto"/>
              <w:jc w:val="center"/>
            </w:pPr>
            <w:r>
              <w:t>18%</w:t>
            </w:r>
          </w:p>
        </w:tc>
        <w:tc>
          <w:tcPr>
            <w:tcW w:w="1170" w:type="dxa"/>
          </w:tcPr>
          <w:p w:rsidR="003F0BCE" w:rsidRPr="00F04EDB" w:rsidRDefault="001E004F" w:rsidP="001E004F">
            <w:pPr>
              <w:spacing w:after="0" w:line="240" w:lineRule="auto"/>
              <w:jc w:val="center"/>
            </w:pPr>
            <w:r>
              <w:t>45%</w:t>
            </w:r>
          </w:p>
        </w:tc>
        <w:tc>
          <w:tcPr>
            <w:tcW w:w="990" w:type="dxa"/>
          </w:tcPr>
          <w:p w:rsidR="003F0BCE" w:rsidRPr="00F04EDB" w:rsidRDefault="00044A0A" w:rsidP="00044A0A">
            <w:pPr>
              <w:spacing w:after="0" w:line="240" w:lineRule="auto"/>
              <w:jc w:val="center"/>
            </w:pPr>
            <w:r>
              <w:t>30%</w:t>
            </w:r>
          </w:p>
        </w:tc>
        <w:tc>
          <w:tcPr>
            <w:tcW w:w="1368" w:type="dxa"/>
          </w:tcPr>
          <w:p w:rsidR="003F0BCE" w:rsidRPr="00F04EDB" w:rsidRDefault="00044A0A" w:rsidP="00044A0A">
            <w:pPr>
              <w:spacing w:after="0" w:line="240" w:lineRule="auto"/>
              <w:jc w:val="center"/>
            </w:pPr>
            <w:r>
              <w:t>2.0</w:t>
            </w:r>
          </w:p>
        </w:tc>
      </w:tr>
      <w:tr w:rsidR="003F0BCE" w:rsidRPr="00F04EDB" w:rsidTr="00E4631D">
        <w:tc>
          <w:tcPr>
            <w:tcW w:w="2970" w:type="dxa"/>
            <w:vMerge/>
          </w:tcPr>
          <w:p w:rsidR="003F0BCE" w:rsidRPr="00F04EDB" w:rsidRDefault="003F0BCE" w:rsidP="003F0BCE">
            <w:pPr>
              <w:spacing w:after="0" w:line="240" w:lineRule="auto"/>
            </w:pPr>
          </w:p>
        </w:tc>
        <w:tc>
          <w:tcPr>
            <w:tcW w:w="900" w:type="dxa"/>
          </w:tcPr>
          <w:p w:rsidR="003F0BCE" w:rsidRPr="00F04EDB" w:rsidRDefault="003F0BCE" w:rsidP="003F0BCE">
            <w:pPr>
              <w:spacing w:after="0" w:line="240" w:lineRule="auto"/>
              <w:rPr>
                <w:b/>
                <w:bCs/>
                <w:color w:val="000000"/>
              </w:rPr>
            </w:pPr>
            <w:r w:rsidRPr="00F04EDB">
              <w:rPr>
                <w:b/>
                <w:bCs/>
                <w:color w:val="000000"/>
              </w:rPr>
              <w:t>MS</w:t>
            </w:r>
          </w:p>
        </w:tc>
        <w:tc>
          <w:tcPr>
            <w:tcW w:w="1260" w:type="dxa"/>
          </w:tcPr>
          <w:p w:rsidR="003F0BCE" w:rsidRPr="00F04EDB" w:rsidRDefault="001E004F" w:rsidP="001E004F">
            <w:pPr>
              <w:spacing w:after="0" w:line="240" w:lineRule="auto"/>
              <w:jc w:val="center"/>
            </w:pPr>
            <w:r>
              <w:t>10%</w:t>
            </w:r>
          </w:p>
        </w:tc>
        <w:tc>
          <w:tcPr>
            <w:tcW w:w="1080" w:type="dxa"/>
          </w:tcPr>
          <w:p w:rsidR="003F0BCE" w:rsidRPr="00F04EDB" w:rsidRDefault="001E004F" w:rsidP="001E004F">
            <w:pPr>
              <w:spacing w:after="0" w:line="240" w:lineRule="auto"/>
              <w:jc w:val="center"/>
            </w:pPr>
            <w:r>
              <w:t>6%</w:t>
            </w:r>
          </w:p>
        </w:tc>
        <w:tc>
          <w:tcPr>
            <w:tcW w:w="1170" w:type="dxa"/>
          </w:tcPr>
          <w:p w:rsidR="003F0BCE" w:rsidRPr="00F04EDB" w:rsidRDefault="001E004F" w:rsidP="001E004F">
            <w:pPr>
              <w:spacing w:after="0" w:line="240" w:lineRule="auto"/>
              <w:jc w:val="center"/>
            </w:pPr>
            <w:r>
              <w:t>45%</w:t>
            </w:r>
          </w:p>
        </w:tc>
        <w:tc>
          <w:tcPr>
            <w:tcW w:w="990" w:type="dxa"/>
          </w:tcPr>
          <w:p w:rsidR="003F0BCE" w:rsidRPr="00F04EDB" w:rsidRDefault="00044A0A" w:rsidP="00044A0A">
            <w:pPr>
              <w:spacing w:after="0" w:line="240" w:lineRule="auto"/>
              <w:jc w:val="center"/>
            </w:pPr>
            <w:r>
              <w:t>39%</w:t>
            </w:r>
          </w:p>
        </w:tc>
        <w:tc>
          <w:tcPr>
            <w:tcW w:w="1368" w:type="dxa"/>
          </w:tcPr>
          <w:p w:rsidR="003F0BCE" w:rsidRPr="00F04EDB" w:rsidRDefault="00044A0A" w:rsidP="00044A0A">
            <w:pPr>
              <w:spacing w:after="0" w:line="240" w:lineRule="auto"/>
              <w:jc w:val="center"/>
            </w:pPr>
            <w:r>
              <w:t>2.1</w:t>
            </w:r>
          </w:p>
        </w:tc>
      </w:tr>
      <w:tr w:rsidR="003F0BCE" w:rsidRPr="00F04EDB" w:rsidTr="00E4631D">
        <w:tc>
          <w:tcPr>
            <w:tcW w:w="2970" w:type="dxa"/>
            <w:vMerge/>
          </w:tcPr>
          <w:p w:rsidR="003F0BCE" w:rsidRPr="00F04EDB" w:rsidRDefault="003F0BCE" w:rsidP="003F0BCE">
            <w:pPr>
              <w:spacing w:after="0" w:line="240" w:lineRule="auto"/>
            </w:pPr>
          </w:p>
        </w:tc>
        <w:tc>
          <w:tcPr>
            <w:tcW w:w="900" w:type="dxa"/>
          </w:tcPr>
          <w:p w:rsidR="003F0BCE" w:rsidRPr="00F04EDB" w:rsidRDefault="003F0BCE" w:rsidP="003F0BCE">
            <w:pPr>
              <w:spacing w:after="0" w:line="240" w:lineRule="auto"/>
              <w:rPr>
                <w:b/>
                <w:bCs/>
                <w:color w:val="000000"/>
              </w:rPr>
            </w:pPr>
            <w:r w:rsidRPr="00F04EDB">
              <w:rPr>
                <w:b/>
                <w:bCs/>
                <w:color w:val="000000"/>
              </w:rPr>
              <w:t>HS</w:t>
            </w:r>
          </w:p>
        </w:tc>
        <w:tc>
          <w:tcPr>
            <w:tcW w:w="1260" w:type="dxa"/>
          </w:tcPr>
          <w:p w:rsidR="003F0BCE" w:rsidRPr="00F04EDB" w:rsidRDefault="001E004F" w:rsidP="001E004F">
            <w:pPr>
              <w:spacing w:after="0" w:line="240" w:lineRule="auto"/>
              <w:jc w:val="center"/>
            </w:pPr>
            <w:r>
              <w:t>21%</w:t>
            </w:r>
          </w:p>
        </w:tc>
        <w:tc>
          <w:tcPr>
            <w:tcW w:w="1080" w:type="dxa"/>
          </w:tcPr>
          <w:p w:rsidR="003F0BCE" w:rsidRPr="00F04EDB" w:rsidRDefault="001E004F" w:rsidP="001E004F">
            <w:pPr>
              <w:spacing w:after="0" w:line="240" w:lineRule="auto"/>
              <w:jc w:val="center"/>
            </w:pPr>
            <w:r>
              <w:t>23%</w:t>
            </w:r>
          </w:p>
        </w:tc>
        <w:tc>
          <w:tcPr>
            <w:tcW w:w="1170" w:type="dxa"/>
          </w:tcPr>
          <w:p w:rsidR="003F0BCE" w:rsidRPr="00F04EDB" w:rsidRDefault="001E004F" w:rsidP="001E004F">
            <w:pPr>
              <w:spacing w:after="0" w:line="240" w:lineRule="auto"/>
              <w:jc w:val="center"/>
            </w:pPr>
            <w:r>
              <w:t>38%</w:t>
            </w:r>
          </w:p>
        </w:tc>
        <w:tc>
          <w:tcPr>
            <w:tcW w:w="990" w:type="dxa"/>
          </w:tcPr>
          <w:p w:rsidR="003F0BCE" w:rsidRPr="00F04EDB" w:rsidRDefault="00044A0A" w:rsidP="00044A0A">
            <w:pPr>
              <w:spacing w:after="0" w:line="240" w:lineRule="auto"/>
              <w:jc w:val="center"/>
            </w:pPr>
            <w:r>
              <w:t>19%</w:t>
            </w:r>
          </w:p>
        </w:tc>
        <w:tc>
          <w:tcPr>
            <w:tcW w:w="1368" w:type="dxa"/>
          </w:tcPr>
          <w:p w:rsidR="003F0BCE" w:rsidRPr="00F04EDB" w:rsidRDefault="00044A0A" w:rsidP="00044A0A">
            <w:pPr>
              <w:spacing w:after="0" w:line="240" w:lineRule="auto"/>
              <w:jc w:val="center"/>
            </w:pPr>
            <w:r>
              <w:t>1.5</w:t>
            </w:r>
          </w:p>
        </w:tc>
      </w:tr>
      <w:tr w:rsidR="003F0BCE" w:rsidRPr="00F04EDB" w:rsidTr="00E4631D">
        <w:tc>
          <w:tcPr>
            <w:tcW w:w="2970" w:type="dxa"/>
            <w:vMerge/>
          </w:tcPr>
          <w:p w:rsidR="003F0BCE" w:rsidRPr="00F04EDB" w:rsidRDefault="003F0BCE" w:rsidP="003F0BCE">
            <w:pPr>
              <w:spacing w:after="0" w:line="240" w:lineRule="auto"/>
            </w:pPr>
          </w:p>
        </w:tc>
        <w:tc>
          <w:tcPr>
            <w:tcW w:w="900" w:type="dxa"/>
          </w:tcPr>
          <w:p w:rsidR="003F0BCE" w:rsidRPr="00F04EDB" w:rsidRDefault="003F0BCE" w:rsidP="003F0BCE">
            <w:pPr>
              <w:spacing w:after="0" w:line="240" w:lineRule="auto"/>
              <w:rPr>
                <w:b/>
                <w:bCs/>
                <w:color w:val="000000"/>
              </w:rPr>
            </w:pPr>
            <w:r w:rsidRPr="00F04EDB">
              <w:rPr>
                <w:b/>
                <w:bCs/>
                <w:color w:val="000000"/>
              </w:rPr>
              <w:t>Total  #</w:t>
            </w:r>
          </w:p>
        </w:tc>
        <w:tc>
          <w:tcPr>
            <w:tcW w:w="1260" w:type="dxa"/>
          </w:tcPr>
          <w:p w:rsidR="003F0BCE" w:rsidRPr="00F04EDB" w:rsidRDefault="001E004F" w:rsidP="001E004F">
            <w:pPr>
              <w:spacing w:after="0" w:line="240" w:lineRule="auto"/>
              <w:jc w:val="center"/>
            </w:pPr>
            <w:r>
              <w:t>25</w:t>
            </w:r>
          </w:p>
        </w:tc>
        <w:tc>
          <w:tcPr>
            <w:tcW w:w="1080" w:type="dxa"/>
          </w:tcPr>
          <w:p w:rsidR="003F0BCE" w:rsidRPr="00F04EDB" w:rsidRDefault="001E004F" w:rsidP="001E004F">
            <w:pPr>
              <w:spacing w:after="0" w:line="240" w:lineRule="auto"/>
              <w:jc w:val="center"/>
            </w:pPr>
            <w:r>
              <w:t>44</w:t>
            </w:r>
          </w:p>
        </w:tc>
        <w:tc>
          <w:tcPr>
            <w:tcW w:w="1170" w:type="dxa"/>
          </w:tcPr>
          <w:p w:rsidR="003F0BCE" w:rsidRPr="00F04EDB" w:rsidRDefault="001E004F" w:rsidP="001E004F">
            <w:pPr>
              <w:spacing w:after="0" w:line="240" w:lineRule="auto"/>
              <w:jc w:val="center"/>
            </w:pPr>
            <w:r>
              <w:t>108</w:t>
            </w:r>
          </w:p>
        </w:tc>
        <w:tc>
          <w:tcPr>
            <w:tcW w:w="990" w:type="dxa"/>
          </w:tcPr>
          <w:p w:rsidR="003F0BCE" w:rsidRPr="00F04EDB" w:rsidRDefault="00044A0A" w:rsidP="00044A0A">
            <w:pPr>
              <w:spacing w:after="0" w:line="240" w:lineRule="auto"/>
              <w:jc w:val="center"/>
            </w:pPr>
            <w:r>
              <w:t>72</w:t>
            </w:r>
          </w:p>
        </w:tc>
        <w:tc>
          <w:tcPr>
            <w:tcW w:w="1368" w:type="dxa"/>
          </w:tcPr>
          <w:p w:rsidR="003F0BCE" w:rsidRPr="00F04EDB" w:rsidRDefault="00044A0A" w:rsidP="00044A0A">
            <w:pPr>
              <w:spacing w:after="0" w:line="240" w:lineRule="auto"/>
              <w:jc w:val="center"/>
            </w:pPr>
            <w:r>
              <w:t>1.9</w:t>
            </w:r>
          </w:p>
        </w:tc>
      </w:tr>
      <w:tr w:rsidR="003F0BCE" w:rsidRPr="00F04EDB" w:rsidTr="00E4631D">
        <w:tc>
          <w:tcPr>
            <w:tcW w:w="2970" w:type="dxa"/>
            <w:vMerge/>
          </w:tcPr>
          <w:p w:rsidR="003F0BCE" w:rsidRPr="00F04EDB" w:rsidRDefault="003F0BCE" w:rsidP="003F0BCE">
            <w:pPr>
              <w:spacing w:after="0" w:line="240" w:lineRule="auto"/>
            </w:pPr>
          </w:p>
        </w:tc>
        <w:tc>
          <w:tcPr>
            <w:tcW w:w="900" w:type="dxa"/>
          </w:tcPr>
          <w:p w:rsidR="003F0BCE" w:rsidRPr="00F04EDB" w:rsidRDefault="003F0BCE" w:rsidP="003F0BCE">
            <w:pPr>
              <w:spacing w:after="0" w:line="240" w:lineRule="auto"/>
              <w:rPr>
                <w:b/>
                <w:bCs/>
                <w:color w:val="000000"/>
              </w:rPr>
            </w:pPr>
            <w:r w:rsidRPr="00F04EDB">
              <w:rPr>
                <w:b/>
                <w:bCs/>
                <w:color w:val="000000"/>
              </w:rPr>
              <w:t>Total %</w:t>
            </w:r>
          </w:p>
        </w:tc>
        <w:tc>
          <w:tcPr>
            <w:tcW w:w="1260" w:type="dxa"/>
          </w:tcPr>
          <w:p w:rsidR="003F0BCE" w:rsidRPr="00F04EDB" w:rsidRDefault="001E004F" w:rsidP="001E004F">
            <w:pPr>
              <w:spacing w:after="0" w:line="240" w:lineRule="auto"/>
              <w:jc w:val="center"/>
            </w:pPr>
            <w:r>
              <w:t>10%</w:t>
            </w:r>
          </w:p>
        </w:tc>
        <w:tc>
          <w:tcPr>
            <w:tcW w:w="1080" w:type="dxa"/>
          </w:tcPr>
          <w:p w:rsidR="003F0BCE" w:rsidRPr="00F04EDB" w:rsidRDefault="001E004F" w:rsidP="001E004F">
            <w:pPr>
              <w:spacing w:after="0" w:line="240" w:lineRule="auto"/>
              <w:jc w:val="center"/>
            </w:pPr>
            <w:r>
              <w:t>18%</w:t>
            </w:r>
          </w:p>
        </w:tc>
        <w:tc>
          <w:tcPr>
            <w:tcW w:w="1170" w:type="dxa"/>
          </w:tcPr>
          <w:p w:rsidR="003F0BCE" w:rsidRPr="00F04EDB" w:rsidRDefault="001E004F" w:rsidP="001E004F">
            <w:pPr>
              <w:spacing w:after="0" w:line="240" w:lineRule="auto"/>
              <w:jc w:val="center"/>
            </w:pPr>
            <w:r>
              <w:t>43%</w:t>
            </w:r>
          </w:p>
        </w:tc>
        <w:tc>
          <w:tcPr>
            <w:tcW w:w="990" w:type="dxa"/>
          </w:tcPr>
          <w:p w:rsidR="003F0BCE" w:rsidRPr="00F04EDB" w:rsidRDefault="00044A0A" w:rsidP="00044A0A">
            <w:pPr>
              <w:spacing w:after="0" w:line="240" w:lineRule="auto"/>
              <w:jc w:val="center"/>
            </w:pPr>
            <w:r>
              <w:t>29%</w:t>
            </w:r>
          </w:p>
        </w:tc>
        <w:tc>
          <w:tcPr>
            <w:tcW w:w="1368" w:type="dxa"/>
          </w:tcPr>
          <w:p w:rsidR="003F0BCE" w:rsidRPr="00F04EDB" w:rsidRDefault="003F0BCE" w:rsidP="00044A0A">
            <w:pPr>
              <w:spacing w:after="0" w:line="240" w:lineRule="auto"/>
              <w:jc w:val="center"/>
            </w:pPr>
          </w:p>
        </w:tc>
      </w:tr>
      <w:tr w:rsidR="003F0BCE" w:rsidRPr="00F04EDB" w:rsidTr="00E4631D">
        <w:trPr>
          <w:trHeight w:val="274"/>
        </w:trPr>
        <w:tc>
          <w:tcPr>
            <w:tcW w:w="2970" w:type="dxa"/>
            <w:vMerge w:val="restart"/>
            <w:shd w:val="clear" w:color="auto" w:fill="BFBFBF" w:themeFill="background1" w:themeFillShade="BF"/>
            <w:vAlign w:val="center"/>
          </w:tcPr>
          <w:p w:rsidR="003F0BCE" w:rsidRPr="00F04EDB" w:rsidRDefault="003F0BCE" w:rsidP="003F0BCE">
            <w:pPr>
              <w:spacing w:after="0" w:line="240" w:lineRule="auto"/>
              <w:jc w:val="center"/>
              <w:rPr>
                <w:b/>
                <w:color w:val="000000"/>
              </w:rPr>
            </w:pPr>
            <w:r w:rsidRPr="00F04EDB">
              <w:rPr>
                <w:b/>
                <w:color w:val="000000"/>
              </w:rPr>
              <w:t>Total Score For Focus Area #1</w:t>
            </w:r>
          </w:p>
        </w:tc>
        <w:tc>
          <w:tcPr>
            <w:tcW w:w="900" w:type="dxa"/>
            <w:shd w:val="clear" w:color="auto" w:fill="BFBFBF" w:themeFill="background1" w:themeFillShade="BF"/>
          </w:tcPr>
          <w:p w:rsidR="003F0BCE" w:rsidRPr="00F04EDB" w:rsidRDefault="003F0BCE" w:rsidP="003F0BCE">
            <w:pPr>
              <w:spacing w:after="0" w:line="240" w:lineRule="auto"/>
              <w:rPr>
                <w:b/>
                <w:bCs/>
                <w:color w:val="000000"/>
              </w:rPr>
            </w:pPr>
            <w:r w:rsidRPr="00F04EDB">
              <w:rPr>
                <w:b/>
                <w:bCs/>
                <w:color w:val="000000"/>
              </w:rPr>
              <w:t>ES</w:t>
            </w:r>
          </w:p>
        </w:tc>
        <w:tc>
          <w:tcPr>
            <w:tcW w:w="1260" w:type="dxa"/>
            <w:shd w:val="clear" w:color="auto" w:fill="BFBFBF" w:themeFill="background1" w:themeFillShade="BF"/>
          </w:tcPr>
          <w:p w:rsidR="003F0BCE" w:rsidRPr="00F04EDB" w:rsidRDefault="001E004F" w:rsidP="001E004F">
            <w:pPr>
              <w:spacing w:after="0" w:line="240" w:lineRule="auto"/>
              <w:jc w:val="center"/>
            </w:pPr>
            <w:r>
              <w:t>46</w:t>
            </w:r>
          </w:p>
        </w:tc>
        <w:tc>
          <w:tcPr>
            <w:tcW w:w="1080" w:type="dxa"/>
            <w:shd w:val="clear" w:color="auto" w:fill="BFBFBF" w:themeFill="background1" w:themeFillShade="BF"/>
          </w:tcPr>
          <w:p w:rsidR="003F0BCE" w:rsidRPr="00F04EDB" w:rsidRDefault="001E004F" w:rsidP="001E004F">
            <w:pPr>
              <w:spacing w:after="0" w:line="240" w:lineRule="auto"/>
              <w:jc w:val="center"/>
            </w:pPr>
            <w:r>
              <w:t>120</w:t>
            </w:r>
          </w:p>
        </w:tc>
        <w:tc>
          <w:tcPr>
            <w:tcW w:w="1170" w:type="dxa"/>
            <w:shd w:val="clear" w:color="auto" w:fill="BFBFBF" w:themeFill="background1" w:themeFillShade="BF"/>
          </w:tcPr>
          <w:p w:rsidR="003F0BCE" w:rsidRPr="00F04EDB" w:rsidRDefault="001E004F" w:rsidP="001E004F">
            <w:pPr>
              <w:spacing w:after="0" w:line="240" w:lineRule="auto"/>
              <w:jc w:val="center"/>
            </w:pPr>
            <w:r>
              <w:t>306</w:t>
            </w:r>
          </w:p>
        </w:tc>
        <w:tc>
          <w:tcPr>
            <w:tcW w:w="990" w:type="dxa"/>
            <w:shd w:val="clear" w:color="auto" w:fill="BFBFBF" w:themeFill="background1" w:themeFillShade="BF"/>
          </w:tcPr>
          <w:p w:rsidR="003F0BCE" w:rsidRPr="00F04EDB" w:rsidRDefault="00044A0A" w:rsidP="00044A0A">
            <w:pPr>
              <w:spacing w:after="0" w:line="240" w:lineRule="auto"/>
              <w:jc w:val="center"/>
            </w:pPr>
            <w:r>
              <w:t>208</w:t>
            </w:r>
          </w:p>
        </w:tc>
        <w:tc>
          <w:tcPr>
            <w:tcW w:w="1368" w:type="dxa"/>
            <w:shd w:val="clear" w:color="auto" w:fill="BFBFBF" w:themeFill="background1" w:themeFillShade="BF"/>
          </w:tcPr>
          <w:p w:rsidR="003F0BCE" w:rsidRPr="00044A0A" w:rsidRDefault="00044A0A" w:rsidP="00044A0A">
            <w:pPr>
              <w:spacing w:after="0" w:line="240" w:lineRule="auto"/>
              <w:jc w:val="center"/>
              <w:rPr>
                <w:b/>
              </w:rPr>
            </w:pPr>
            <w:r w:rsidRPr="00044A0A">
              <w:rPr>
                <w:b/>
              </w:rPr>
              <w:t>8.0</w:t>
            </w:r>
          </w:p>
        </w:tc>
      </w:tr>
      <w:tr w:rsidR="003F0BCE" w:rsidRPr="00F04EDB" w:rsidTr="00E4631D">
        <w:trPr>
          <w:trHeight w:val="274"/>
        </w:trPr>
        <w:tc>
          <w:tcPr>
            <w:tcW w:w="2970" w:type="dxa"/>
            <w:vMerge/>
            <w:shd w:val="clear" w:color="auto" w:fill="BFBFBF" w:themeFill="background1" w:themeFillShade="BF"/>
            <w:vAlign w:val="center"/>
          </w:tcPr>
          <w:p w:rsidR="003F0BCE" w:rsidRPr="00F04EDB" w:rsidRDefault="003F0BCE" w:rsidP="003F0BCE">
            <w:pPr>
              <w:spacing w:after="0" w:line="240" w:lineRule="auto"/>
              <w:jc w:val="center"/>
              <w:rPr>
                <w:b/>
                <w:color w:val="000000"/>
              </w:rPr>
            </w:pPr>
          </w:p>
        </w:tc>
        <w:tc>
          <w:tcPr>
            <w:tcW w:w="900" w:type="dxa"/>
            <w:shd w:val="clear" w:color="auto" w:fill="BFBFBF" w:themeFill="background1" w:themeFillShade="BF"/>
          </w:tcPr>
          <w:p w:rsidR="003F0BCE" w:rsidRPr="00F04EDB" w:rsidRDefault="003F0BCE" w:rsidP="003F0BCE">
            <w:pPr>
              <w:spacing w:after="0" w:line="240" w:lineRule="auto"/>
              <w:rPr>
                <w:b/>
                <w:bCs/>
                <w:color w:val="000000"/>
              </w:rPr>
            </w:pPr>
            <w:r w:rsidRPr="00F04EDB">
              <w:rPr>
                <w:b/>
                <w:bCs/>
                <w:color w:val="000000"/>
              </w:rPr>
              <w:t>MS</w:t>
            </w:r>
          </w:p>
        </w:tc>
        <w:tc>
          <w:tcPr>
            <w:tcW w:w="1260" w:type="dxa"/>
            <w:shd w:val="clear" w:color="auto" w:fill="BFBFBF" w:themeFill="background1" w:themeFillShade="BF"/>
          </w:tcPr>
          <w:p w:rsidR="003F0BCE" w:rsidRPr="00F04EDB" w:rsidRDefault="001E004F" w:rsidP="001E004F">
            <w:pPr>
              <w:spacing w:after="0" w:line="240" w:lineRule="auto"/>
              <w:jc w:val="center"/>
            </w:pPr>
            <w:r>
              <w:t>8</w:t>
            </w:r>
          </w:p>
        </w:tc>
        <w:tc>
          <w:tcPr>
            <w:tcW w:w="1080" w:type="dxa"/>
            <w:shd w:val="clear" w:color="auto" w:fill="BFBFBF" w:themeFill="background1" w:themeFillShade="BF"/>
          </w:tcPr>
          <w:p w:rsidR="003F0BCE" w:rsidRPr="00F04EDB" w:rsidRDefault="001E004F" w:rsidP="001E004F">
            <w:pPr>
              <w:spacing w:after="0" w:line="240" w:lineRule="auto"/>
              <w:jc w:val="center"/>
            </w:pPr>
            <w:r>
              <w:t>10</w:t>
            </w:r>
          </w:p>
        </w:tc>
        <w:tc>
          <w:tcPr>
            <w:tcW w:w="1170" w:type="dxa"/>
            <w:shd w:val="clear" w:color="auto" w:fill="BFBFBF" w:themeFill="background1" w:themeFillShade="BF"/>
          </w:tcPr>
          <w:p w:rsidR="003F0BCE" w:rsidRPr="00F04EDB" w:rsidRDefault="001E004F" w:rsidP="001E004F">
            <w:pPr>
              <w:spacing w:after="0" w:line="240" w:lineRule="auto"/>
              <w:jc w:val="center"/>
            </w:pPr>
            <w:r>
              <w:t>42</w:t>
            </w:r>
          </w:p>
        </w:tc>
        <w:tc>
          <w:tcPr>
            <w:tcW w:w="990" w:type="dxa"/>
            <w:shd w:val="clear" w:color="auto" w:fill="BFBFBF" w:themeFill="background1" w:themeFillShade="BF"/>
          </w:tcPr>
          <w:p w:rsidR="003F0BCE" w:rsidRPr="00F04EDB" w:rsidRDefault="00044A0A" w:rsidP="00044A0A">
            <w:pPr>
              <w:spacing w:after="0" w:line="240" w:lineRule="auto"/>
              <w:jc w:val="center"/>
            </w:pPr>
            <w:r>
              <w:t>64</w:t>
            </w:r>
          </w:p>
        </w:tc>
        <w:tc>
          <w:tcPr>
            <w:tcW w:w="1368" w:type="dxa"/>
            <w:shd w:val="clear" w:color="auto" w:fill="BFBFBF" w:themeFill="background1" w:themeFillShade="BF"/>
          </w:tcPr>
          <w:p w:rsidR="003F0BCE" w:rsidRPr="00044A0A" w:rsidRDefault="00044A0A" w:rsidP="00044A0A">
            <w:pPr>
              <w:spacing w:after="0" w:line="240" w:lineRule="auto"/>
              <w:jc w:val="center"/>
              <w:rPr>
                <w:b/>
              </w:rPr>
            </w:pPr>
            <w:r w:rsidRPr="00044A0A">
              <w:rPr>
                <w:b/>
              </w:rPr>
              <w:t>9.2</w:t>
            </w:r>
          </w:p>
        </w:tc>
      </w:tr>
      <w:tr w:rsidR="003F0BCE" w:rsidRPr="00F04EDB" w:rsidTr="00E4631D">
        <w:trPr>
          <w:trHeight w:val="274"/>
        </w:trPr>
        <w:tc>
          <w:tcPr>
            <w:tcW w:w="2970" w:type="dxa"/>
            <w:vMerge/>
            <w:shd w:val="clear" w:color="auto" w:fill="BFBFBF" w:themeFill="background1" w:themeFillShade="BF"/>
            <w:vAlign w:val="center"/>
          </w:tcPr>
          <w:p w:rsidR="003F0BCE" w:rsidRPr="00F04EDB" w:rsidRDefault="003F0BCE" w:rsidP="003F0BCE">
            <w:pPr>
              <w:spacing w:after="0" w:line="240" w:lineRule="auto"/>
              <w:jc w:val="center"/>
              <w:rPr>
                <w:b/>
                <w:color w:val="000000"/>
              </w:rPr>
            </w:pPr>
          </w:p>
        </w:tc>
        <w:tc>
          <w:tcPr>
            <w:tcW w:w="900" w:type="dxa"/>
            <w:shd w:val="clear" w:color="auto" w:fill="BFBFBF" w:themeFill="background1" w:themeFillShade="BF"/>
          </w:tcPr>
          <w:p w:rsidR="003F0BCE" w:rsidRPr="00F04EDB" w:rsidRDefault="003F0BCE" w:rsidP="003F0BCE">
            <w:pPr>
              <w:spacing w:after="0" w:line="240" w:lineRule="auto"/>
              <w:rPr>
                <w:b/>
                <w:bCs/>
                <w:color w:val="000000"/>
              </w:rPr>
            </w:pPr>
            <w:r w:rsidRPr="00F04EDB">
              <w:rPr>
                <w:b/>
                <w:bCs/>
                <w:color w:val="000000"/>
              </w:rPr>
              <w:t>HS</w:t>
            </w:r>
          </w:p>
        </w:tc>
        <w:tc>
          <w:tcPr>
            <w:tcW w:w="1260" w:type="dxa"/>
            <w:shd w:val="clear" w:color="auto" w:fill="BFBFBF" w:themeFill="background1" w:themeFillShade="BF"/>
          </w:tcPr>
          <w:p w:rsidR="003F0BCE" w:rsidRPr="00F04EDB" w:rsidRDefault="001E004F" w:rsidP="001E004F">
            <w:pPr>
              <w:spacing w:after="0" w:line="240" w:lineRule="auto"/>
              <w:jc w:val="center"/>
            </w:pPr>
            <w:r>
              <w:t>27</w:t>
            </w:r>
          </w:p>
        </w:tc>
        <w:tc>
          <w:tcPr>
            <w:tcW w:w="1080" w:type="dxa"/>
            <w:shd w:val="clear" w:color="auto" w:fill="BFBFBF" w:themeFill="background1" w:themeFillShade="BF"/>
          </w:tcPr>
          <w:p w:rsidR="003F0BCE" w:rsidRPr="00F04EDB" w:rsidRDefault="001E004F" w:rsidP="001E004F">
            <w:pPr>
              <w:spacing w:after="0" w:line="240" w:lineRule="auto"/>
              <w:jc w:val="center"/>
            </w:pPr>
            <w:r>
              <w:t>45</w:t>
            </w:r>
          </w:p>
        </w:tc>
        <w:tc>
          <w:tcPr>
            <w:tcW w:w="1170" w:type="dxa"/>
            <w:shd w:val="clear" w:color="auto" w:fill="BFBFBF" w:themeFill="background1" w:themeFillShade="BF"/>
          </w:tcPr>
          <w:p w:rsidR="003F0BCE" w:rsidRPr="00F04EDB" w:rsidRDefault="001E004F" w:rsidP="001E004F">
            <w:pPr>
              <w:spacing w:after="0" w:line="240" w:lineRule="auto"/>
              <w:jc w:val="center"/>
            </w:pPr>
            <w:r>
              <w:t>72</w:t>
            </w:r>
          </w:p>
        </w:tc>
        <w:tc>
          <w:tcPr>
            <w:tcW w:w="990" w:type="dxa"/>
            <w:shd w:val="clear" w:color="auto" w:fill="BFBFBF" w:themeFill="background1" w:themeFillShade="BF"/>
          </w:tcPr>
          <w:p w:rsidR="003F0BCE" w:rsidRPr="00F04EDB" w:rsidRDefault="00044A0A" w:rsidP="00044A0A">
            <w:pPr>
              <w:spacing w:after="0" w:line="240" w:lineRule="auto"/>
              <w:jc w:val="center"/>
            </w:pPr>
            <w:r>
              <w:t>48</w:t>
            </w:r>
          </w:p>
        </w:tc>
        <w:tc>
          <w:tcPr>
            <w:tcW w:w="1368" w:type="dxa"/>
            <w:shd w:val="clear" w:color="auto" w:fill="BFBFBF" w:themeFill="background1" w:themeFillShade="BF"/>
          </w:tcPr>
          <w:p w:rsidR="003F0BCE" w:rsidRPr="00044A0A" w:rsidRDefault="00044A0A" w:rsidP="00044A0A">
            <w:pPr>
              <w:spacing w:after="0" w:line="240" w:lineRule="auto"/>
              <w:jc w:val="center"/>
              <w:rPr>
                <w:b/>
              </w:rPr>
            </w:pPr>
            <w:r w:rsidRPr="00044A0A">
              <w:rPr>
                <w:b/>
              </w:rPr>
              <w:t>6.9</w:t>
            </w:r>
          </w:p>
        </w:tc>
      </w:tr>
      <w:tr w:rsidR="003F0BCE" w:rsidRPr="00F04EDB" w:rsidTr="00E4631D">
        <w:trPr>
          <w:trHeight w:val="274"/>
        </w:trPr>
        <w:tc>
          <w:tcPr>
            <w:tcW w:w="2970" w:type="dxa"/>
            <w:vMerge/>
            <w:shd w:val="clear" w:color="auto" w:fill="BFBFBF" w:themeFill="background1" w:themeFillShade="BF"/>
            <w:vAlign w:val="center"/>
          </w:tcPr>
          <w:p w:rsidR="003F0BCE" w:rsidRPr="00F04EDB" w:rsidRDefault="003F0BCE" w:rsidP="003F0BCE">
            <w:pPr>
              <w:spacing w:after="0" w:line="240" w:lineRule="auto"/>
              <w:jc w:val="center"/>
              <w:rPr>
                <w:b/>
                <w:color w:val="000000"/>
              </w:rPr>
            </w:pPr>
          </w:p>
        </w:tc>
        <w:tc>
          <w:tcPr>
            <w:tcW w:w="900" w:type="dxa"/>
            <w:shd w:val="clear" w:color="auto" w:fill="BFBFBF" w:themeFill="background1" w:themeFillShade="BF"/>
          </w:tcPr>
          <w:p w:rsidR="003F0BCE" w:rsidRPr="00F04EDB" w:rsidRDefault="003F0BCE" w:rsidP="003F0BCE">
            <w:pPr>
              <w:spacing w:after="0" w:line="240" w:lineRule="auto"/>
            </w:pPr>
            <w:r w:rsidRPr="00F04EDB">
              <w:rPr>
                <w:b/>
                <w:bCs/>
                <w:color w:val="000000"/>
              </w:rPr>
              <w:t>Total</w:t>
            </w:r>
          </w:p>
        </w:tc>
        <w:tc>
          <w:tcPr>
            <w:tcW w:w="1260" w:type="dxa"/>
            <w:shd w:val="clear" w:color="auto" w:fill="BFBFBF" w:themeFill="background1" w:themeFillShade="BF"/>
          </w:tcPr>
          <w:p w:rsidR="003F0BCE" w:rsidRPr="00F04EDB" w:rsidRDefault="001E004F" w:rsidP="001E004F">
            <w:pPr>
              <w:spacing w:after="0" w:line="240" w:lineRule="auto"/>
              <w:jc w:val="center"/>
            </w:pPr>
            <w:r>
              <w:t>81</w:t>
            </w:r>
          </w:p>
        </w:tc>
        <w:tc>
          <w:tcPr>
            <w:tcW w:w="1080" w:type="dxa"/>
            <w:shd w:val="clear" w:color="auto" w:fill="BFBFBF" w:themeFill="background1" w:themeFillShade="BF"/>
          </w:tcPr>
          <w:p w:rsidR="003F0BCE" w:rsidRPr="00F04EDB" w:rsidRDefault="001E004F" w:rsidP="001E004F">
            <w:pPr>
              <w:spacing w:after="0" w:line="240" w:lineRule="auto"/>
              <w:jc w:val="center"/>
            </w:pPr>
            <w:r>
              <w:t>175</w:t>
            </w:r>
          </w:p>
        </w:tc>
        <w:tc>
          <w:tcPr>
            <w:tcW w:w="1170" w:type="dxa"/>
            <w:shd w:val="clear" w:color="auto" w:fill="BFBFBF" w:themeFill="background1" w:themeFillShade="BF"/>
          </w:tcPr>
          <w:p w:rsidR="003F0BCE" w:rsidRPr="00F04EDB" w:rsidRDefault="001E004F" w:rsidP="001E004F">
            <w:pPr>
              <w:spacing w:after="0" w:line="240" w:lineRule="auto"/>
              <w:jc w:val="center"/>
            </w:pPr>
            <w:r>
              <w:t>420</w:t>
            </w:r>
          </w:p>
        </w:tc>
        <w:tc>
          <w:tcPr>
            <w:tcW w:w="990" w:type="dxa"/>
            <w:shd w:val="clear" w:color="auto" w:fill="BFBFBF" w:themeFill="background1" w:themeFillShade="BF"/>
          </w:tcPr>
          <w:p w:rsidR="003F0BCE" w:rsidRPr="00F04EDB" w:rsidRDefault="00044A0A" w:rsidP="00044A0A">
            <w:pPr>
              <w:spacing w:after="0" w:line="240" w:lineRule="auto"/>
              <w:jc w:val="center"/>
            </w:pPr>
            <w:r>
              <w:t>320</w:t>
            </w:r>
          </w:p>
        </w:tc>
        <w:tc>
          <w:tcPr>
            <w:tcW w:w="1368" w:type="dxa"/>
            <w:shd w:val="clear" w:color="auto" w:fill="BFBFBF" w:themeFill="background1" w:themeFillShade="BF"/>
          </w:tcPr>
          <w:p w:rsidR="003F0BCE" w:rsidRPr="00044A0A" w:rsidRDefault="00044A0A" w:rsidP="00044A0A">
            <w:pPr>
              <w:spacing w:after="0" w:line="240" w:lineRule="auto"/>
              <w:jc w:val="center"/>
              <w:rPr>
                <w:b/>
              </w:rPr>
            </w:pPr>
            <w:r w:rsidRPr="00044A0A">
              <w:rPr>
                <w:b/>
              </w:rPr>
              <w:t>7.9</w:t>
            </w:r>
          </w:p>
        </w:tc>
      </w:tr>
    </w:tbl>
    <w:p w:rsidR="003F0BCE" w:rsidRPr="00F04EDB" w:rsidRDefault="003F0BCE">
      <w:pPr>
        <w:spacing w:after="0" w:line="240" w:lineRule="auto"/>
      </w:pPr>
      <w:r w:rsidRPr="00F04EDB">
        <w:br w:type="page"/>
      </w:r>
    </w:p>
    <w:tbl>
      <w:tblPr>
        <w:tblStyle w:val="TableGrid3"/>
        <w:tblW w:w="0" w:type="auto"/>
        <w:tblInd w:w="-162" w:type="dxa"/>
        <w:tblLayout w:type="fixed"/>
        <w:tblLook w:val="04A0"/>
      </w:tblPr>
      <w:tblGrid>
        <w:gridCol w:w="2970"/>
        <w:gridCol w:w="900"/>
        <w:gridCol w:w="1260"/>
        <w:gridCol w:w="1080"/>
        <w:gridCol w:w="1170"/>
        <w:gridCol w:w="990"/>
        <w:gridCol w:w="1368"/>
      </w:tblGrid>
      <w:tr w:rsidR="003F0BCE" w:rsidRPr="00F04EDB" w:rsidTr="00E4631D">
        <w:tc>
          <w:tcPr>
            <w:tcW w:w="2970" w:type="dxa"/>
          </w:tcPr>
          <w:p w:rsidR="003F0BCE" w:rsidRPr="00F04EDB" w:rsidRDefault="003F0BCE" w:rsidP="003F0BCE">
            <w:pPr>
              <w:spacing w:after="0" w:line="240" w:lineRule="auto"/>
            </w:pPr>
          </w:p>
        </w:tc>
        <w:tc>
          <w:tcPr>
            <w:tcW w:w="900" w:type="dxa"/>
          </w:tcPr>
          <w:p w:rsidR="003F0BCE" w:rsidRPr="00F04EDB" w:rsidRDefault="003F0BCE" w:rsidP="003F0BCE">
            <w:pPr>
              <w:spacing w:after="0" w:line="240" w:lineRule="auto"/>
            </w:pPr>
          </w:p>
        </w:tc>
        <w:tc>
          <w:tcPr>
            <w:tcW w:w="1260" w:type="dxa"/>
          </w:tcPr>
          <w:p w:rsidR="003F0BCE" w:rsidRPr="00F04EDB" w:rsidRDefault="003F0BCE" w:rsidP="003F0BCE">
            <w:pPr>
              <w:spacing w:after="0" w:line="240" w:lineRule="auto"/>
            </w:pPr>
          </w:p>
        </w:tc>
        <w:tc>
          <w:tcPr>
            <w:tcW w:w="1080" w:type="dxa"/>
          </w:tcPr>
          <w:p w:rsidR="003F0BCE" w:rsidRPr="00F04EDB" w:rsidRDefault="003F0BCE" w:rsidP="003F0BCE">
            <w:pPr>
              <w:spacing w:after="0" w:line="240" w:lineRule="auto"/>
            </w:pPr>
          </w:p>
        </w:tc>
        <w:tc>
          <w:tcPr>
            <w:tcW w:w="1170" w:type="dxa"/>
          </w:tcPr>
          <w:p w:rsidR="003F0BCE" w:rsidRPr="00F04EDB" w:rsidRDefault="003F0BCE" w:rsidP="003F0BCE">
            <w:pPr>
              <w:spacing w:after="0" w:line="240" w:lineRule="auto"/>
            </w:pPr>
          </w:p>
        </w:tc>
        <w:tc>
          <w:tcPr>
            <w:tcW w:w="990" w:type="dxa"/>
          </w:tcPr>
          <w:p w:rsidR="003F0BCE" w:rsidRPr="00F04EDB" w:rsidRDefault="003F0BCE" w:rsidP="003F0BCE">
            <w:pPr>
              <w:spacing w:after="0" w:line="240" w:lineRule="auto"/>
            </w:pPr>
          </w:p>
        </w:tc>
        <w:tc>
          <w:tcPr>
            <w:tcW w:w="1368" w:type="dxa"/>
          </w:tcPr>
          <w:p w:rsidR="003F0BCE" w:rsidRPr="00F04EDB" w:rsidRDefault="003F0BCE" w:rsidP="003F0BCE">
            <w:pPr>
              <w:spacing w:after="0" w:line="240" w:lineRule="auto"/>
            </w:pPr>
          </w:p>
        </w:tc>
      </w:tr>
      <w:tr w:rsidR="003F0BCE" w:rsidRPr="00F04EDB" w:rsidTr="00E4631D">
        <w:tc>
          <w:tcPr>
            <w:tcW w:w="2970" w:type="dxa"/>
            <w:vMerge w:val="restart"/>
          </w:tcPr>
          <w:p w:rsidR="003F0BCE" w:rsidRPr="00F04EDB" w:rsidRDefault="003F0BCE" w:rsidP="003F0BCE">
            <w:pPr>
              <w:spacing w:after="0" w:line="240" w:lineRule="auto"/>
              <w:rPr>
                <w:b/>
                <w:bCs/>
                <w:color w:val="000000"/>
              </w:rPr>
            </w:pPr>
            <w:r w:rsidRPr="00F04EDB">
              <w:rPr>
                <w:b/>
                <w:bCs/>
                <w:color w:val="000000"/>
              </w:rPr>
              <w:t>Focus Area #2: Student Engagement &amp; Critical Thinking</w:t>
            </w:r>
          </w:p>
        </w:tc>
        <w:tc>
          <w:tcPr>
            <w:tcW w:w="900" w:type="dxa"/>
          </w:tcPr>
          <w:p w:rsidR="003F0BCE" w:rsidRPr="00F04EDB" w:rsidRDefault="003F0BCE" w:rsidP="003F0BCE">
            <w:pPr>
              <w:spacing w:after="0" w:line="240" w:lineRule="auto"/>
            </w:pPr>
          </w:p>
        </w:tc>
        <w:tc>
          <w:tcPr>
            <w:tcW w:w="1260" w:type="dxa"/>
          </w:tcPr>
          <w:p w:rsidR="003F0BCE" w:rsidRPr="00F04EDB" w:rsidRDefault="003F0BCE" w:rsidP="003F0BCE">
            <w:pPr>
              <w:spacing w:after="0" w:line="240" w:lineRule="auto"/>
            </w:pPr>
            <w:r w:rsidRPr="00F04EDB">
              <w:t>Insufficient</w:t>
            </w:r>
          </w:p>
        </w:tc>
        <w:tc>
          <w:tcPr>
            <w:tcW w:w="1080" w:type="dxa"/>
          </w:tcPr>
          <w:p w:rsidR="003F0BCE" w:rsidRPr="00F04EDB" w:rsidRDefault="003F0BCE" w:rsidP="003F0BCE">
            <w:pPr>
              <w:spacing w:after="0" w:line="240" w:lineRule="auto"/>
            </w:pPr>
            <w:r w:rsidRPr="00F04EDB">
              <w:t>Minimal</w:t>
            </w:r>
          </w:p>
        </w:tc>
        <w:tc>
          <w:tcPr>
            <w:tcW w:w="1170" w:type="dxa"/>
          </w:tcPr>
          <w:p w:rsidR="003F0BCE" w:rsidRPr="00F04EDB" w:rsidRDefault="003F0BCE" w:rsidP="003F0BCE">
            <w:pPr>
              <w:spacing w:after="0" w:line="240" w:lineRule="auto"/>
            </w:pPr>
            <w:r w:rsidRPr="00F04EDB">
              <w:t>Moderate</w:t>
            </w:r>
          </w:p>
        </w:tc>
        <w:tc>
          <w:tcPr>
            <w:tcW w:w="990" w:type="dxa"/>
          </w:tcPr>
          <w:p w:rsidR="003F0BCE" w:rsidRPr="00F04EDB" w:rsidRDefault="003F0BCE" w:rsidP="003F0BCE">
            <w:pPr>
              <w:spacing w:after="0" w:line="240" w:lineRule="auto"/>
            </w:pPr>
            <w:r w:rsidRPr="00F04EDB">
              <w:t>Strong</w:t>
            </w:r>
          </w:p>
        </w:tc>
        <w:tc>
          <w:tcPr>
            <w:tcW w:w="1368" w:type="dxa"/>
          </w:tcPr>
          <w:p w:rsidR="003F0BCE" w:rsidRPr="00F04EDB" w:rsidRDefault="003F0BCE" w:rsidP="003F0BCE">
            <w:pPr>
              <w:spacing w:after="0" w:line="240" w:lineRule="auto"/>
            </w:pPr>
            <w:r w:rsidRPr="00F04EDB">
              <w:t>Avg Number of points</w:t>
            </w:r>
          </w:p>
        </w:tc>
      </w:tr>
      <w:tr w:rsidR="003F0BCE" w:rsidRPr="00F04EDB" w:rsidTr="00E4631D">
        <w:tc>
          <w:tcPr>
            <w:tcW w:w="2970" w:type="dxa"/>
            <w:vMerge/>
          </w:tcPr>
          <w:p w:rsidR="003F0BCE" w:rsidRPr="00F04EDB" w:rsidRDefault="003F0BCE" w:rsidP="003F0BCE">
            <w:pPr>
              <w:spacing w:after="0" w:line="240" w:lineRule="auto"/>
            </w:pPr>
          </w:p>
        </w:tc>
        <w:tc>
          <w:tcPr>
            <w:tcW w:w="900" w:type="dxa"/>
          </w:tcPr>
          <w:p w:rsidR="003F0BCE" w:rsidRPr="00F04EDB" w:rsidRDefault="003F0BCE" w:rsidP="003F0BCE">
            <w:pPr>
              <w:spacing w:after="0" w:line="240" w:lineRule="auto"/>
            </w:pPr>
          </w:p>
        </w:tc>
        <w:tc>
          <w:tcPr>
            <w:tcW w:w="1260" w:type="dxa"/>
          </w:tcPr>
          <w:p w:rsidR="003F0BCE" w:rsidRPr="00F04EDB" w:rsidRDefault="003F0BCE" w:rsidP="00044A0A">
            <w:pPr>
              <w:spacing w:after="0" w:line="240" w:lineRule="auto"/>
              <w:jc w:val="center"/>
            </w:pPr>
            <w:r w:rsidRPr="00F04EDB">
              <w:t>(0)</w:t>
            </w:r>
          </w:p>
        </w:tc>
        <w:tc>
          <w:tcPr>
            <w:tcW w:w="1080" w:type="dxa"/>
          </w:tcPr>
          <w:p w:rsidR="003F0BCE" w:rsidRPr="00F04EDB" w:rsidRDefault="003F0BCE" w:rsidP="00044A0A">
            <w:pPr>
              <w:spacing w:after="0" w:line="240" w:lineRule="auto"/>
              <w:jc w:val="center"/>
            </w:pPr>
            <w:r w:rsidRPr="00F04EDB">
              <w:t>(1)</w:t>
            </w:r>
          </w:p>
        </w:tc>
        <w:tc>
          <w:tcPr>
            <w:tcW w:w="1170" w:type="dxa"/>
          </w:tcPr>
          <w:p w:rsidR="003F0BCE" w:rsidRPr="00F04EDB" w:rsidRDefault="003F0BCE" w:rsidP="00044A0A">
            <w:pPr>
              <w:spacing w:after="0" w:line="240" w:lineRule="auto"/>
              <w:jc w:val="center"/>
            </w:pPr>
            <w:r w:rsidRPr="00F04EDB">
              <w:t>(2)</w:t>
            </w:r>
          </w:p>
        </w:tc>
        <w:tc>
          <w:tcPr>
            <w:tcW w:w="990" w:type="dxa"/>
          </w:tcPr>
          <w:p w:rsidR="003F0BCE" w:rsidRPr="00F04EDB" w:rsidRDefault="003F0BCE" w:rsidP="00044A0A">
            <w:pPr>
              <w:spacing w:after="0" w:line="240" w:lineRule="auto"/>
              <w:jc w:val="center"/>
            </w:pPr>
            <w:r w:rsidRPr="00F04EDB">
              <w:t>(3)</w:t>
            </w:r>
          </w:p>
        </w:tc>
        <w:tc>
          <w:tcPr>
            <w:tcW w:w="1368" w:type="dxa"/>
          </w:tcPr>
          <w:p w:rsidR="003F0BCE" w:rsidRPr="00F04EDB" w:rsidRDefault="003F0BCE" w:rsidP="00044A0A">
            <w:pPr>
              <w:spacing w:after="0" w:line="240" w:lineRule="auto"/>
              <w:jc w:val="center"/>
            </w:pPr>
            <w:r w:rsidRPr="00F04EDB">
              <w:t>(0 to 3)</w:t>
            </w:r>
          </w:p>
        </w:tc>
      </w:tr>
      <w:tr w:rsidR="003F0BCE" w:rsidRPr="00F04EDB" w:rsidTr="00E4631D">
        <w:tc>
          <w:tcPr>
            <w:tcW w:w="2970" w:type="dxa"/>
            <w:vMerge w:val="restart"/>
            <w:shd w:val="clear" w:color="auto" w:fill="BFBFBF" w:themeFill="background1" w:themeFillShade="BF"/>
          </w:tcPr>
          <w:p w:rsidR="003F0BCE" w:rsidRPr="00F04EDB" w:rsidRDefault="003F0BCE" w:rsidP="003F0BCE">
            <w:pPr>
              <w:spacing w:after="0" w:line="240" w:lineRule="auto"/>
              <w:rPr>
                <w:color w:val="000000"/>
              </w:rPr>
            </w:pPr>
            <w:r w:rsidRPr="00F04EDB">
              <w:rPr>
                <w:color w:val="000000"/>
              </w:rPr>
              <w:t>5. Students are motivated and engaged in the lesson.</w:t>
            </w:r>
          </w:p>
        </w:tc>
        <w:tc>
          <w:tcPr>
            <w:tcW w:w="900" w:type="dxa"/>
            <w:shd w:val="clear" w:color="auto" w:fill="BFBFBF" w:themeFill="background1" w:themeFillShade="BF"/>
          </w:tcPr>
          <w:p w:rsidR="003F0BCE" w:rsidRPr="00F04EDB" w:rsidRDefault="003F0BCE" w:rsidP="003F0BCE">
            <w:pPr>
              <w:spacing w:after="0" w:line="240" w:lineRule="auto"/>
              <w:rPr>
                <w:b/>
                <w:bCs/>
                <w:color w:val="000000"/>
              </w:rPr>
            </w:pPr>
            <w:r w:rsidRPr="00F04EDB">
              <w:rPr>
                <w:b/>
                <w:bCs/>
                <w:color w:val="000000"/>
              </w:rPr>
              <w:t>ES</w:t>
            </w:r>
          </w:p>
        </w:tc>
        <w:tc>
          <w:tcPr>
            <w:tcW w:w="1260" w:type="dxa"/>
            <w:shd w:val="clear" w:color="auto" w:fill="BFBFBF" w:themeFill="background1" w:themeFillShade="BF"/>
          </w:tcPr>
          <w:p w:rsidR="003F0BCE" w:rsidRPr="00F04EDB" w:rsidRDefault="00044A0A" w:rsidP="00044A0A">
            <w:pPr>
              <w:spacing w:after="0" w:line="240" w:lineRule="auto"/>
              <w:jc w:val="center"/>
            </w:pPr>
            <w:r>
              <w:t>5%</w:t>
            </w:r>
          </w:p>
        </w:tc>
        <w:tc>
          <w:tcPr>
            <w:tcW w:w="1080" w:type="dxa"/>
            <w:shd w:val="clear" w:color="auto" w:fill="BFBFBF" w:themeFill="background1" w:themeFillShade="BF"/>
          </w:tcPr>
          <w:p w:rsidR="003F0BCE" w:rsidRPr="00F04EDB" w:rsidRDefault="00044A0A" w:rsidP="00044A0A">
            <w:pPr>
              <w:spacing w:after="0" w:line="240" w:lineRule="auto"/>
              <w:jc w:val="center"/>
            </w:pPr>
            <w:r>
              <w:t>18%</w:t>
            </w:r>
          </w:p>
        </w:tc>
        <w:tc>
          <w:tcPr>
            <w:tcW w:w="1170" w:type="dxa"/>
            <w:shd w:val="clear" w:color="auto" w:fill="BFBFBF" w:themeFill="background1" w:themeFillShade="BF"/>
          </w:tcPr>
          <w:p w:rsidR="003F0BCE" w:rsidRPr="00F04EDB" w:rsidRDefault="006F44B4" w:rsidP="00044A0A">
            <w:pPr>
              <w:spacing w:after="0" w:line="240" w:lineRule="auto"/>
              <w:jc w:val="center"/>
            </w:pPr>
            <w:r>
              <w:t>41%</w:t>
            </w:r>
          </w:p>
        </w:tc>
        <w:tc>
          <w:tcPr>
            <w:tcW w:w="990" w:type="dxa"/>
            <w:shd w:val="clear" w:color="auto" w:fill="BFBFBF" w:themeFill="background1" w:themeFillShade="BF"/>
          </w:tcPr>
          <w:p w:rsidR="003F0BCE" w:rsidRPr="00F04EDB" w:rsidRDefault="006F44B4" w:rsidP="00044A0A">
            <w:pPr>
              <w:spacing w:after="0" w:line="240" w:lineRule="auto"/>
              <w:jc w:val="center"/>
            </w:pPr>
            <w:r>
              <w:t>36%</w:t>
            </w:r>
          </w:p>
        </w:tc>
        <w:tc>
          <w:tcPr>
            <w:tcW w:w="1368" w:type="dxa"/>
            <w:shd w:val="clear" w:color="auto" w:fill="BFBFBF" w:themeFill="background1" w:themeFillShade="BF"/>
          </w:tcPr>
          <w:p w:rsidR="003F0BCE" w:rsidRPr="00F04EDB" w:rsidRDefault="006F44B4" w:rsidP="00044A0A">
            <w:pPr>
              <w:spacing w:after="0" w:line="240" w:lineRule="auto"/>
              <w:jc w:val="center"/>
            </w:pPr>
            <w:r>
              <w:t>2.1</w:t>
            </w:r>
          </w:p>
        </w:tc>
      </w:tr>
      <w:tr w:rsidR="003F0BCE" w:rsidRPr="00F04EDB" w:rsidTr="00E4631D">
        <w:tc>
          <w:tcPr>
            <w:tcW w:w="2970" w:type="dxa"/>
            <w:vMerge/>
            <w:shd w:val="clear" w:color="auto" w:fill="BFBFBF" w:themeFill="background1" w:themeFillShade="BF"/>
            <w:vAlign w:val="center"/>
          </w:tcPr>
          <w:p w:rsidR="003F0BCE" w:rsidRPr="00F04EDB" w:rsidRDefault="003F0BCE" w:rsidP="003F0BCE">
            <w:pPr>
              <w:spacing w:after="0" w:line="240" w:lineRule="auto"/>
            </w:pPr>
          </w:p>
        </w:tc>
        <w:tc>
          <w:tcPr>
            <w:tcW w:w="900" w:type="dxa"/>
            <w:shd w:val="clear" w:color="auto" w:fill="BFBFBF" w:themeFill="background1" w:themeFillShade="BF"/>
          </w:tcPr>
          <w:p w:rsidR="003F0BCE" w:rsidRPr="00F04EDB" w:rsidRDefault="003F0BCE" w:rsidP="003F0BCE">
            <w:pPr>
              <w:spacing w:after="0" w:line="240" w:lineRule="auto"/>
              <w:rPr>
                <w:b/>
                <w:bCs/>
                <w:color w:val="000000"/>
              </w:rPr>
            </w:pPr>
            <w:r w:rsidRPr="00F04EDB">
              <w:rPr>
                <w:b/>
                <w:bCs/>
                <w:color w:val="000000"/>
              </w:rPr>
              <w:t>MS</w:t>
            </w:r>
          </w:p>
        </w:tc>
        <w:tc>
          <w:tcPr>
            <w:tcW w:w="1260" w:type="dxa"/>
            <w:shd w:val="clear" w:color="auto" w:fill="BFBFBF" w:themeFill="background1" w:themeFillShade="BF"/>
          </w:tcPr>
          <w:p w:rsidR="003F0BCE" w:rsidRPr="00F04EDB" w:rsidRDefault="00044A0A" w:rsidP="00044A0A">
            <w:pPr>
              <w:spacing w:after="0" w:line="240" w:lineRule="auto"/>
              <w:jc w:val="center"/>
            </w:pPr>
            <w:r>
              <w:t>0%</w:t>
            </w:r>
          </w:p>
        </w:tc>
        <w:tc>
          <w:tcPr>
            <w:tcW w:w="1080" w:type="dxa"/>
            <w:shd w:val="clear" w:color="auto" w:fill="BFBFBF" w:themeFill="background1" w:themeFillShade="BF"/>
          </w:tcPr>
          <w:p w:rsidR="003F0BCE" w:rsidRPr="00F04EDB" w:rsidRDefault="00044A0A" w:rsidP="00044A0A">
            <w:pPr>
              <w:spacing w:after="0" w:line="240" w:lineRule="auto"/>
              <w:jc w:val="center"/>
            </w:pPr>
            <w:r>
              <w:t>10%</w:t>
            </w:r>
          </w:p>
        </w:tc>
        <w:tc>
          <w:tcPr>
            <w:tcW w:w="1170" w:type="dxa"/>
            <w:shd w:val="clear" w:color="auto" w:fill="BFBFBF" w:themeFill="background1" w:themeFillShade="BF"/>
          </w:tcPr>
          <w:p w:rsidR="003F0BCE" w:rsidRPr="00F04EDB" w:rsidRDefault="006F44B4" w:rsidP="00044A0A">
            <w:pPr>
              <w:spacing w:after="0" w:line="240" w:lineRule="auto"/>
              <w:jc w:val="center"/>
            </w:pPr>
            <w:r>
              <w:t>32%</w:t>
            </w:r>
          </w:p>
        </w:tc>
        <w:tc>
          <w:tcPr>
            <w:tcW w:w="990" w:type="dxa"/>
            <w:shd w:val="clear" w:color="auto" w:fill="BFBFBF" w:themeFill="background1" w:themeFillShade="BF"/>
          </w:tcPr>
          <w:p w:rsidR="003F0BCE" w:rsidRPr="00F04EDB" w:rsidRDefault="006F44B4" w:rsidP="00044A0A">
            <w:pPr>
              <w:spacing w:after="0" w:line="240" w:lineRule="auto"/>
              <w:jc w:val="center"/>
            </w:pPr>
            <w:r>
              <w:t>58%</w:t>
            </w:r>
          </w:p>
        </w:tc>
        <w:tc>
          <w:tcPr>
            <w:tcW w:w="1368" w:type="dxa"/>
            <w:shd w:val="clear" w:color="auto" w:fill="BFBFBF" w:themeFill="background1" w:themeFillShade="BF"/>
          </w:tcPr>
          <w:p w:rsidR="003F0BCE" w:rsidRPr="00F04EDB" w:rsidRDefault="006F44B4" w:rsidP="00044A0A">
            <w:pPr>
              <w:spacing w:after="0" w:line="240" w:lineRule="auto"/>
              <w:jc w:val="center"/>
            </w:pPr>
            <w:r>
              <w:t>2.5</w:t>
            </w:r>
          </w:p>
        </w:tc>
      </w:tr>
      <w:tr w:rsidR="003F0BCE" w:rsidRPr="00F04EDB" w:rsidTr="00E4631D">
        <w:tc>
          <w:tcPr>
            <w:tcW w:w="2970" w:type="dxa"/>
            <w:vMerge/>
            <w:shd w:val="clear" w:color="auto" w:fill="BFBFBF" w:themeFill="background1" w:themeFillShade="BF"/>
            <w:vAlign w:val="center"/>
          </w:tcPr>
          <w:p w:rsidR="003F0BCE" w:rsidRPr="00F04EDB" w:rsidRDefault="003F0BCE" w:rsidP="003F0BCE">
            <w:pPr>
              <w:spacing w:after="0" w:line="240" w:lineRule="auto"/>
            </w:pPr>
          </w:p>
        </w:tc>
        <w:tc>
          <w:tcPr>
            <w:tcW w:w="900" w:type="dxa"/>
            <w:shd w:val="clear" w:color="auto" w:fill="BFBFBF" w:themeFill="background1" w:themeFillShade="BF"/>
          </w:tcPr>
          <w:p w:rsidR="003F0BCE" w:rsidRPr="00F04EDB" w:rsidRDefault="003F0BCE" w:rsidP="003F0BCE">
            <w:pPr>
              <w:spacing w:after="0" w:line="240" w:lineRule="auto"/>
              <w:rPr>
                <w:b/>
                <w:bCs/>
                <w:color w:val="000000"/>
              </w:rPr>
            </w:pPr>
            <w:r w:rsidRPr="00F04EDB">
              <w:rPr>
                <w:b/>
                <w:bCs/>
                <w:color w:val="000000"/>
              </w:rPr>
              <w:t>HS</w:t>
            </w:r>
          </w:p>
        </w:tc>
        <w:tc>
          <w:tcPr>
            <w:tcW w:w="1260" w:type="dxa"/>
            <w:shd w:val="clear" w:color="auto" w:fill="BFBFBF" w:themeFill="background1" w:themeFillShade="BF"/>
          </w:tcPr>
          <w:p w:rsidR="003F0BCE" w:rsidRPr="00F04EDB" w:rsidRDefault="00044A0A" w:rsidP="00044A0A">
            <w:pPr>
              <w:spacing w:after="0" w:line="240" w:lineRule="auto"/>
              <w:jc w:val="center"/>
            </w:pPr>
            <w:r>
              <w:t>8%</w:t>
            </w:r>
          </w:p>
        </w:tc>
        <w:tc>
          <w:tcPr>
            <w:tcW w:w="1080" w:type="dxa"/>
            <w:shd w:val="clear" w:color="auto" w:fill="BFBFBF" w:themeFill="background1" w:themeFillShade="BF"/>
          </w:tcPr>
          <w:p w:rsidR="003F0BCE" w:rsidRPr="00F04EDB" w:rsidRDefault="00044A0A" w:rsidP="00044A0A">
            <w:pPr>
              <w:spacing w:after="0" w:line="240" w:lineRule="auto"/>
              <w:jc w:val="center"/>
            </w:pPr>
            <w:r>
              <w:t>29%</w:t>
            </w:r>
          </w:p>
        </w:tc>
        <w:tc>
          <w:tcPr>
            <w:tcW w:w="1170" w:type="dxa"/>
            <w:shd w:val="clear" w:color="auto" w:fill="BFBFBF" w:themeFill="background1" w:themeFillShade="BF"/>
          </w:tcPr>
          <w:p w:rsidR="003F0BCE" w:rsidRPr="00F04EDB" w:rsidRDefault="006F44B4" w:rsidP="00044A0A">
            <w:pPr>
              <w:spacing w:after="0" w:line="240" w:lineRule="auto"/>
              <w:jc w:val="center"/>
            </w:pPr>
            <w:r>
              <w:t>38%</w:t>
            </w:r>
          </w:p>
        </w:tc>
        <w:tc>
          <w:tcPr>
            <w:tcW w:w="990" w:type="dxa"/>
            <w:shd w:val="clear" w:color="auto" w:fill="BFBFBF" w:themeFill="background1" w:themeFillShade="BF"/>
          </w:tcPr>
          <w:p w:rsidR="003F0BCE" w:rsidRPr="00F04EDB" w:rsidRDefault="006F44B4" w:rsidP="00044A0A">
            <w:pPr>
              <w:spacing w:after="0" w:line="240" w:lineRule="auto"/>
              <w:jc w:val="center"/>
            </w:pPr>
            <w:r>
              <w:t>25%</w:t>
            </w:r>
          </w:p>
        </w:tc>
        <w:tc>
          <w:tcPr>
            <w:tcW w:w="1368" w:type="dxa"/>
            <w:shd w:val="clear" w:color="auto" w:fill="BFBFBF" w:themeFill="background1" w:themeFillShade="BF"/>
          </w:tcPr>
          <w:p w:rsidR="003F0BCE" w:rsidRPr="00F04EDB" w:rsidRDefault="006F44B4" w:rsidP="00044A0A">
            <w:pPr>
              <w:spacing w:after="0" w:line="240" w:lineRule="auto"/>
              <w:jc w:val="center"/>
            </w:pPr>
            <w:r>
              <w:t>1.8</w:t>
            </w:r>
          </w:p>
        </w:tc>
      </w:tr>
      <w:tr w:rsidR="003F0BCE" w:rsidRPr="00F04EDB" w:rsidTr="00E4631D">
        <w:tc>
          <w:tcPr>
            <w:tcW w:w="2970" w:type="dxa"/>
            <w:vMerge/>
            <w:shd w:val="clear" w:color="auto" w:fill="BFBFBF" w:themeFill="background1" w:themeFillShade="BF"/>
            <w:vAlign w:val="center"/>
          </w:tcPr>
          <w:p w:rsidR="003F0BCE" w:rsidRPr="00F04EDB" w:rsidRDefault="003F0BCE" w:rsidP="003F0BCE">
            <w:pPr>
              <w:spacing w:after="0" w:line="240" w:lineRule="auto"/>
            </w:pPr>
          </w:p>
        </w:tc>
        <w:tc>
          <w:tcPr>
            <w:tcW w:w="900" w:type="dxa"/>
            <w:shd w:val="clear" w:color="auto" w:fill="BFBFBF" w:themeFill="background1" w:themeFillShade="BF"/>
          </w:tcPr>
          <w:p w:rsidR="003F0BCE" w:rsidRPr="00F04EDB" w:rsidRDefault="003F0BCE" w:rsidP="003F0BCE">
            <w:pPr>
              <w:spacing w:after="0" w:line="240" w:lineRule="auto"/>
              <w:rPr>
                <w:b/>
                <w:bCs/>
                <w:color w:val="000000"/>
              </w:rPr>
            </w:pPr>
            <w:r w:rsidRPr="00F04EDB">
              <w:rPr>
                <w:b/>
                <w:bCs/>
                <w:color w:val="000000"/>
              </w:rPr>
              <w:t>Total  #</w:t>
            </w:r>
          </w:p>
        </w:tc>
        <w:tc>
          <w:tcPr>
            <w:tcW w:w="1260" w:type="dxa"/>
            <w:shd w:val="clear" w:color="auto" w:fill="BFBFBF" w:themeFill="background1" w:themeFillShade="BF"/>
          </w:tcPr>
          <w:p w:rsidR="003F0BCE" w:rsidRPr="00F04EDB" w:rsidRDefault="00044A0A" w:rsidP="00044A0A">
            <w:pPr>
              <w:spacing w:after="0" w:line="240" w:lineRule="auto"/>
              <w:jc w:val="center"/>
            </w:pPr>
            <w:r>
              <w:t>12</w:t>
            </w:r>
          </w:p>
        </w:tc>
        <w:tc>
          <w:tcPr>
            <w:tcW w:w="1080" w:type="dxa"/>
            <w:shd w:val="clear" w:color="auto" w:fill="BFBFBF" w:themeFill="background1" w:themeFillShade="BF"/>
          </w:tcPr>
          <w:p w:rsidR="003F0BCE" w:rsidRPr="00F04EDB" w:rsidRDefault="00044A0A" w:rsidP="00044A0A">
            <w:pPr>
              <w:spacing w:after="0" w:line="240" w:lineRule="auto"/>
              <w:jc w:val="center"/>
            </w:pPr>
            <w:r>
              <w:t>48</w:t>
            </w:r>
          </w:p>
        </w:tc>
        <w:tc>
          <w:tcPr>
            <w:tcW w:w="1170" w:type="dxa"/>
            <w:shd w:val="clear" w:color="auto" w:fill="BFBFBF" w:themeFill="background1" w:themeFillShade="BF"/>
          </w:tcPr>
          <w:p w:rsidR="003F0BCE" w:rsidRPr="00F04EDB" w:rsidRDefault="006F44B4" w:rsidP="00044A0A">
            <w:pPr>
              <w:spacing w:after="0" w:line="240" w:lineRule="auto"/>
              <w:jc w:val="center"/>
            </w:pPr>
            <w:r>
              <w:t>97</w:t>
            </w:r>
          </w:p>
        </w:tc>
        <w:tc>
          <w:tcPr>
            <w:tcW w:w="990" w:type="dxa"/>
            <w:shd w:val="clear" w:color="auto" w:fill="BFBFBF" w:themeFill="background1" w:themeFillShade="BF"/>
          </w:tcPr>
          <w:p w:rsidR="003F0BCE" w:rsidRPr="00F04EDB" w:rsidRDefault="006F44B4" w:rsidP="00044A0A">
            <w:pPr>
              <w:spacing w:after="0" w:line="240" w:lineRule="auto"/>
              <w:jc w:val="center"/>
            </w:pPr>
            <w:r>
              <w:t>92</w:t>
            </w:r>
          </w:p>
        </w:tc>
        <w:tc>
          <w:tcPr>
            <w:tcW w:w="1368" w:type="dxa"/>
            <w:shd w:val="clear" w:color="auto" w:fill="BFBFBF" w:themeFill="background1" w:themeFillShade="BF"/>
          </w:tcPr>
          <w:p w:rsidR="003F0BCE" w:rsidRPr="00F04EDB" w:rsidRDefault="006F44B4" w:rsidP="00044A0A">
            <w:pPr>
              <w:spacing w:after="0" w:line="240" w:lineRule="auto"/>
              <w:jc w:val="center"/>
            </w:pPr>
            <w:r>
              <w:t>2.1</w:t>
            </w:r>
          </w:p>
        </w:tc>
      </w:tr>
      <w:tr w:rsidR="003F0BCE" w:rsidRPr="00F04EDB" w:rsidTr="00E4631D">
        <w:tc>
          <w:tcPr>
            <w:tcW w:w="2970" w:type="dxa"/>
            <w:vMerge/>
            <w:shd w:val="clear" w:color="auto" w:fill="BFBFBF" w:themeFill="background1" w:themeFillShade="BF"/>
            <w:vAlign w:val="center"/>
          </w:tcPr>
          <w:p w:rsidR="003F0BCE" w:rsidRPr="00F04EDB" w:rsidRDefault="003F0BCE" w:rsidP="003F0BCE">
            <w:pPr>
              <w:spacing w:after="0" w:line="240" w:lineRule="auto"/>
            </w:pPr>
          </w:p>
        </w:tc>
        <w:tc>
          <w:tcPr>
            <w:tcW w:w="900" w:type="dxa"/>
            <w:shd w:val="clear" w:color="auto" w:fill="BFBFBF" w:themeFill="background1" w:themeFillShade="BF"/>
          </w:tcPr>
          <w:p w:rsidR="003F0BCE" w:rsidRPr="00F04EDB" w:rsidRDefault="003F0BCE" w:rsidP="003F0BCE">
            <w:pPr>
              <w:spacing w:after="0" w:line="240" w:lineRule="auto"/>
              <w:rPr>
                <w:b/>
                <w:bCs/>
                <w:color w:val="000000"/>
              </w:rPr>
            </w:pPr>
            <w:r w:rsidRPr="00F04EDB">
              <w:rPr>
                <w:b/>
                <w:bCs/>
                <w:color w:val="000000"/>
              </w:rPr>
              <w:t>Total %</w:t>
            </w:r>
          </w:p>
        </w:tc>
        <w:tc>
          <w:tcPr>
            <w:tcW w:w="1260" w:type="dxa"/>
            <w:shd w:val="clear" w:color="auto" w:fill="BFBFBF" w:themeFill="background1" w:themeFillShade="BF"/>
          </w:tcPr>
          <w:p w:rsidR="003F0BCE" w:rsidRPr="00F04EDB" w:rsidRDefault="00044A0A" w:rsidP="00044A0A">
            <w:pPr>
              <w:spacing w:after="0" w:line="240" w:lineRule="auto"/>
              <w:jc w:val="center"/>
            </w:pPr>
            <w:r>
              <w:t>5%</w:t>
            </w:r>
          </w:p>
        </w:tc>
        <w:tc>
          <w:tcPr>
            <w:tcW w:w="1080" w:type="dxa"/>
            <w:shd w:val="clear" w:color="auto" w:fill="BFBFBF" w:themeFill="background1" w:themeFillShade="BF"/>
          </w:tcPr>
          <w:p w:rsidR="003F0BCE" w:rsidRPr="00F04EDB" w:rsidRDefault="00044A0A" w:rsidP="00044A0A">
            <w:pPr>
              <w:spacing w:after="0" w:line="240" w:lineRule="auto"/>
              <w:jc w:val="center"/>
            </w:pPr>
            <w:r>
              <w:t>19%</w:t>
            </w:r>
          </w:p>
        </w:tc>
        <w:tc>
          <w:tcPr>
            <w:tcW w:w="1170" w:type="dxa"/>
            <w:shd w:val="clear" w:color="auto" w:fill="BFBFBF" w:themeFill="background1" w:themeFillShade="BF"/>
          </w:tcPr>
          <w:p w:rsidR="003F0BCE" w:rsidRPr="00F04EDB" w:rsidRDefault="006F44B4" w:rsidP="00044A0A">
            <w:pPr>
              <w:spacing w:after="0" w:line="240" w:lineRule="auto"/>
              <w:jc w:val="center"/>
            </w:pPr>
            <w:r>
              <w:t>39%</w:t>
            </w:r>
          </w:p>
        </w:tc>
        <w:tc>
          <w:tcPr>
            <w:tcW w:w="990" w:type="dxa"/>
            <w:shd w:val="clear" w:color="auto" w:fill="BFBFBF" w:themeFill="background1" w:themeFillShade="BF"/>
          </w:tcPr>
          <w:p w:rsidR="003F0BCE" w:rsidRPr="00F04EDB" w:rsidRDefault="006F44B4" w:rsidP="00044A0A">
            <w:pPr>
              <w:spacing w:after="0" w:line="240" w:lineRule="auto"/>
              <w:jc w:val="center"/>
            </w:pPr>
            <w:r>
              <w:t>37%</w:t>
            </w:r>
          </w:p>
        </w:tc>
        <w:tc>
          <w:tcPr>
            <w:tcW w:w="1368" w:type="dxa"/>
            <w:shd w:val="clear" w:color="auto" w:fill="BFBFBF" w:themeFill="background1" w:themeFillShade="BF"/>
          </w:tcPr>
          <w:p w:rsidR="003F0BCE" w:rsidRPr="00F04EDB" w:rsidRDefault="003F0BCE" w:rsidP="00044A0A">
            <w:pPr>
              <w:spacing w:after="0" w:line="240" w:lineRule="auto"/>
              <w:jc w:val="center"/>
            </w:pPr>
          </w:p>
        </w:tc>
      </w:tr>
      <w:tr w:rsidR="003F0BCE" w:rsidRPr="00F04EDB" w:rsidTr="00E4631D">
        <w:tc>
          <w:tcPr>
            <w:tcW w:w="2970" w:type="dxa"/>
            <w:vMerge w:val="restart"/>
          </w:tcPr>
          <w:p w:rsidR="003F0BCE" w:rsidRPr="00F04EDB" w:rsidRDefault="003F0BCE" w:rsidP="003F0BCE">
            <w:pPr>
              <w:spacing w:after="0" w:line="240" w:lineRule="auto"/>
              <w:rPr>
                <w:color w:val="000000"/>
              </w:rPr>
            </w:pPr>
            <w:r w:rsidRPr="00F04EDB">
              <w:rPr>
                <w:color w:val="000000"/>
              </w:rPr>
              <w:t>6. The teacher facilitates tasks that encourage students to develop and engage in critical thinking.</w:t>
            </w:r>
          </w:p>
        </w:tc>
        <w:tc>
          <w:tcPr>
            <w:tcW w:w="900" w:type="dxa"/>
          </w:tcPr>
          <w:p w:rsidR="003F0BCE" w:rsidRPr="00F04EDB" w:rsidRDefault="003F0BCE" w:rsidP="003F0BCE">
            <w:pPr>
              <w:spacing w:after="0" w:line="240" w:lineRule="auto"/>
              <w:rPr>
                <w:b/>
                <w:bCs/>
                <w:color w:val="000000"/>
              </w:rPr>
            </w:pPr>
            <w:r w:rsidRPr="00F04EDB">
              <w:rPr>
                <w:b/>
                <w:bCs/>
                <w:color w:val="000000"/>
              </w:rPr>
              <w:t>ES</w:t>
            </w:r>
          </w:p>
        </w:tc>
        <w:tc>
          <w:tcPr>
            <w:tcW w:w="1260" w:type="dxa"/>
          </w:tcPr>
          <w:p w:rsidR="003F0BCE" w:rsidRPr="00F04EDB" w:rsidRDefault="00044A0A" w:rsidP="00044A0A">
            <w:pPr>
              <w:spacing w:after="0" w:line="240" w:lineRule="auto"/>
              <w:jc w:val="center"/>
            </w:pPr>
            <w:r>
              <w:t>11%</w:t>
            </w:r>
          </w:p>
        </w:tc>
        <w:tc>
          <w:tcPr>
            <w:tcW w:w="1080" w:type="dxa"/>
          </w:tcPr>
          <w:p w:rsidR="003F0BCE" w:rsidRPr="00F04EDB" w:rsidRDefault="00044A0A" w:rsidP="00044A0A">
            <w:pPr>
              <w:spacing w:after="0" w:line="240" w:lineRule="auto"/>
              <w:jc w:val="center"/>
            </w:pPr>
            <w:r>
              <w:t>26%</w:t>
            </w:r>
          </w:p>
        </w:tc>
        <w:tc>
          <w:tcPr>
            <w:tcW w:w="1170" w:type="dxa"/>
          </w:tcPr>
          <w:p w:rsidR="003F0BCE" w:rsidRPr="00F04EDB" w:rsidRDefault="006F44B4" w:rsidP="00044A0A">
            <w:pPr>
              <w:spacing w:after="0" w:line="240" w:lineRule="auto"/>
              <w:jc w:val="center"/>
            </w:pPr>
            <w:r>
              <w:t>41%</w:t>
            </w:r>
          </w:p>
        </w:tc>
        <w:tc>
          <w:tcPr>
            <w:tcW w:w="990" w:type="dxa"/>
          </w:tcPr>
          <w:p w:rsidR="003F0BCE" w:rsidRPr="00F04EDB" w:rsidRDefault="006F44B4" w:rsidP="00044A0A">
            <w:pPr>
              <w:spacing w:after="0" w:line="240" w:lineRule="auto"/>
              <w:jc w:val="center"/>
            </w:pPr>
            <w:r>
              <w:t>23%</w:t>
            </w:r>
          </w:p>
        </w:tc>
        <w:tc>
          <w:tcPr>
            <w:tcW w:w="1368" w:type="dxa"/>
          </w:tcPr>
          <w:p w:rsidR="003F0BCE" w:rsidRPr="00F04EDB" w:rsidRDefault="006F44B4" w:rsidP="00044A0A">
            <w:pPr>
              <w:spacing w:after="0" w:line="240" w:lineRule="auto"/>
              <w:jc w:val="center"/>
            </w:pPr>
            <w:r>
              <w:t>1.8</w:t>
            </w:r>
          </w:p>
        </w:tc>
      </w:tr>
      <w:tr w:rsidR="003F0BCE" w:rsidRPr="00F04EDB" w:rsidTr="00E4631D">
        <w:tc>
          <w:tcPr>
            <w:tcW w:w="2970" w:type="dxa"/>
            <w:vMerge/>
            <w:vAlign w:val="center"/>
          </w:tcPr>
          <w:p w:rsidR="003F0BCE" w:rsidRPr="00F04EDB" w:rsidRDefault="003F0BCE" w:rsidP="003F0BCE">
            <w:pPr>
              <w:spacing w:after="0" w:line="240" w:lineRule="auto"/>
            </w:pPr>
          </w:p>
        </w:tc>
        <w:tc>
          <w:tcPr>
            <w:tcW w:w="900" w:type="dxa"/>
          </w:tcPr>
          <w:p w:rsidR="003F0BCE" w:rsidRPr="00F04EDB" w:rsidRDefault="003F0BCE" w:rsidP="003F0BCE">
            <w:pPr>
              <w:spacing w:after="0" w:line="240" w:lineRule="auto"/>
              <w:rPr>
                <w:b/>
                <w:bCs/>
                <w:color w:val="000000"/>
              </w:rPr>
            </w:pPr>
            <w:r w:rsidRPr="00F04EDB">
              <w:rPr>
                <w:b/>
                <w:bCs/>
                <w:color w:val="000000"/>
              </w:rPr>
              <w:t>MS</w:t>
            </w:r>
          </w:p>
        </w:tc>
        <w:tc>
          <w:tcPr>
            <w:tcW w:w="1260" w:type="dxa"/>
          </w:tcPr>
          <w:p w:rsidR="003F0BCE" w:rsidRPr="00F04EDB" w:rsidRDefault="00044A0A" w:rsidP="00044A0A">
            <w:pPr>
              <w:spacing w:after="0" w:line="240" w:lineRule="auto"/>
              <w:jc w:val="center"/>
            </w:pPr>
            <w:r>
              <w:t>6%</w:t>
            </w:r>
          </w:p>
        </w:tc>
        <w:tc>
          <w:tcPr>
            <w:tcW w:w="1080" w:type="dxa"/>
          </w:tcPr>
          <w:p w:rsidR="003F0BCE" w:rsidRPr="00F04EDB" w:rsidRDefault="00044A0A" w:rsidP="00044A0A">
            <w:pPr>
              <w:spacing w:after="0" w:line="240" w:lineRule="auto"/>
              <w:jc w:val="center"/>
            </w:pPr>
            <w:r>
              <w:t>16%</w:t>
            </w:r>
          </w:p>
        </w:tc>
        <w:tc>
          <w:tcPr>
            <w:tcW w:w="1170" w:type="dxa"/>
          </w:tcPr>
          <w:p w:rsidR="003F0BCE" w:rsidRPr="00F04EDB" w:rsidRDefault="006F44B4" w:rsidP="00044A0A">
            <w:pPr>
              <w:spacing w:after="0" w:line="240" w:lineRule="auto"/>
              <w:jc w:val="center"/>
            </w:pPr>
            <w:r>
              <w:t>29%</w:t>
            </w:r>
          </w:p>
        </w:tc>
        <w:tc>
          <w:tcPr>
            <w:tcW w:w="990" w:type="dxa"/>
          </w:tcPr>
          <w:p w:rsidR="003F0BCE" w:rsidRPr="00F04EDB" w:rsidRDefault="006F44B4" w:rsidP="00044A0A">
            <w:pPr>
              <w:spacing w:after="0" w:line="240" w:lineRule="auto"/>
              <w:jc w:val="center"/>
            </w:pPr>
            <w:r>
              <w:t>48%</w:t>
            </w:r>
          </w:p>
        </w:tc>
        <w:tc>
          <w:tcPr>
            <w:tcW w:w="1368" w:type="dxa"/>
          </w:tcPr>
          <w:p w:rsidR="003F0BCE" w:rsidRPr="00F04EDB" w:rsidRDefault="006F44B4" w:rsidP="00044A0A">
            <w:pPr>
              <w:spacing w:after="0" w:line="240" w:lineRule="auto"/>
              <w:jc w:val="center"/>
            </w:pPr>
            <w:r>
              <w:t>2.2</w:t>
            </w:r>
          </w:p>
        </w:tc>
      </w:tr>
      <w:tr w:rsidR="003F0BCE" w:rsidRPr="00F04EDB" w:rsidTr="00E4631D">
        <w:tc>
          <w:tcPr>
            <w:tcW w:w="2970" w:type="dxa"/>
            <w:vMerge/>
            <w:vAlign w:val="center"/>
          </w:tcPr>
          <w:p w:rsidR="003F0BCE" w:rsidRPr="00F04EDB" w:rsidRDefault="003F0BCE" w:rsidP="003F0BCE">
            <w:pPr>
              <w:spacing w:after="0" w:line="240" w:lineRule="auto"/>
            </w:pPr>
          </w:p>
        </w:tc>
        <w:tc>
          <w:tcPr>
            <w:tcW w:w="900" w:type="dxa"/>
          </w:tcPr>
          <w:p w:rsidR="003F0BCE" w:rsidRPr="00F04EDB" w:rsidRDefault="003F0BCE" w:rsidP="003F0BCE">
            <w:pPr>
              <w:spacing w:after="0" w:line="240" w:lineRule="auto"/>
              <w:rPr>
                <w:b/>
                <w:bCs/>
                <w:color w:val="000000"/>
              </w:rPr>
            </w:pPr>
            <w:r w:rsidRPr="00F04EDB">
              <w:rPr>
                <w:b/>
                <w:bCs/>
                <w:color w:val="000000"/>
              </w:rPr>
              <w:t>HS</w:t>
            </w:r>
          </w:p>
        </w:tc>
        <w:tc>
          <w:tcPr>
            <w:tcW w:w="1260" w:type="dxa"/>
          </w:tcPr>
          <w:p w:rsidR="003F0BCE" w:rsidRPr="00F04EDB" w:rsidRDefault="00044A0A" w:rsidP="00044A0A">
            <w:pPr>
              <w:spacing w:after="0" w:line="240" w:lineRule="auto"/>
              <w:jc w:val="center"/>
            </w:pPr>
            <w:r>
              <w:t>23%</w:t>
            </w:r>
          </w:p>
        </w:tc>
        <w:tc>
          <w:tcPr>
            <w:tcW w:w="1080" w:type="dxa"/>
          </w:tcPr>
          <w:p w:rsidR="003F0BCE" w:rsidRPr="00F04EDB" w:rsidRDefault="00044A0A" w:rsidP="00044A0A">
            <w:pPr>
              <w:spacing w:after="0" w:line="240" w:lineRule="auto"/>
              <w:jc w:val="center"/>
            </w:pPr>
            <w:r>
              <w:t>25%</w:t>
            </w:r>
          </w:p>
        </w:tc>
        <w:tc>
          <w:tcPr>
            <w:tcW w:w="1170" w:type="dxa"/>
          </w:tcPr>
          <w:p w:rsidR="003F0BCE" w:rsidRPr="00F04EDB" w:rsidRDefault="006F44B4" w:rsidP="00044A0A">
            <w:pPr>
              <w:spacing w:after="0" w:line="240" w:lineRule="auto"/>
              <w:jc w:val="center"/>
            </w:pPr>
            <w:r>
              <w:t>27%</w:t>
            </w:r>
          </w:p>
        </w:tc>
        <w:tc>
          <w:tcPr>
            <w:tcW w:w="990" w:type="dxa"/>
          </w:tcPr>
          <w:p w:rsidR="003F0BCE" w:rsidRPr="00F04EDB" w:rsidRDefault="006F44B4" w:rsidP="00044A0A">
            <w:pPr>
              <w:spacing w:after="0" w:line="240" w:lineRule="auto"/>
              <w:jc w:val="center"/>
            </w:pPr>
            <w:r>
              <w:t>25%</w:t>
            </w:r>
          </w:p>
        </w:tc>
        <w:tc>
          <w:tcPr>
            <w:tcW w:w="1368" w:type="dxa"/>
          </w:tcPr>
          <w:p w:rsidR="003F0BCE" w:rsidRPr="00F04EDB" w:rsidRDefault="006F44B4" w:rsidP="00044A0A">
            <w:pPr>
              <w:spacing w:after="0" w:line="240" w:lineRule="auto"/>
              <w:jc w:val="center"/>
            </w:pPr>
            <w:r>
              <w:t>1.5</w:t>
            </w:r>
          </w:p>
        </w:tc>
      </w:tr>
      <w:tr w:rsidR="003F0BCE" w:rsidRPr="00F04EDB" w:rsidTr="00E4631D">
        <w:tc>
          <w:tcPr>
            <w:tcW w:w="2970" w:type="dxa"/>
            <w:vMerge/>
            <w:vAlign w:val="center"/>
          </w:tcPr>
          <w:p w:rsidR="003F0BCE" w:rsidRPr="00F04EDB" w:rsidRDefault="003F0BCE" w:rsidP="003F0BCE">
            <w:pPr>
              <w:spacing w:after="0" w:line="240" w:lineRule="auto"/>
            </w:pPr>
          </w:p>
        </w:tc>
        <w:tc>
          <w:tcPr>
            <w:tcW w:w="900" w:type="dxa"/>
          </w:tcPr>
          <w:p w:rsidR="003F0BCE" w:rsidRPr="00F04EDB" w:rsidRDefault="003F0BCE" w:rsidP="003F0BCE">
            <w:pPr>
              <w:spacing w:after="0" w:line="240" w:lineRule="auto"/>
              <w:rPr>
                <w:b/>
                <w:bCs/>
                <w:color w:val="000000"/>
              </w:rPr>
            </w:pPr>
            <w:r w:rsidRPr="00F04EDB">
              <w:rPr>
                <w:b/>
                <w:bCs/>
                <w:color w:val="000000"/>
              </w:rPr>
              <w:t>Total  #</w:t>
            </w:r>
          </w:p>
        </w:tc>
        <w:tc>
          <w:tcPr>
            <w:tcW w:w="1260" w:type="dxa"/>
          </w:tcPr>
          <w:p w:rsidR="003F0BCE" w:rsidRPr="00F04EDB" w:rsidRDefault="00044A0A" w:rsidP="00044A0A">
            <w:pPr>
              <w:spacing w:after="0" w:line="240" w:lineRule="auto"/>
              <w:jc w:val="center"/>
            </w:pPr>
            <w:r>
              <w:t>31</w:t>
            </w:r>
          </w:p>
        </w:tc>
        <w:tc>
          <w:tcPr>
            <w:tcW w:w="1080" w:type="dxa"/>
          </w:tcPr>
          <w:p w:rsidR="003F0BCE" w:rsidRPr="00F04EDB" w:rsidRDefault="00044A0A" w:rsidP="00044A0A">
            <w:pPr>
              <w:spacing w:after="0" w:line="240" w:lineRule="auto"/>
              <w:jc w:val="center"/>
            </w:pPr>
            <w:r>
              <w:t>61</w:t>
            </w:r>
          </w:p>
        </w:tc>
        <w:tc>
          <w:tcPr>
            <w:tcW w:w="1170" w:type="dxa"/>
          </w:tcPr>
          <w:p w:rsidR="003F0BCE" w:rsidRPr="00F04EDB" w:rsidRDefault="006F44B4" w:rsidP="00044A0A">
            <w:pPr>
              <w:spacing w:after="0" w:line="240" w:lineRule="auto"/>
              <w:jc w:val="center"/>
            </w:pPr>
            <w:r>
              <w:t>91</w:t>
            </w:r>
          </w:p>
        </w:tc>
        <w:tc>
          <w:tcPr>
            <w:tcW w:w="990" w:type="dxa"/>
          </w:tcPr>
          <w:p w:rsidR="003F0BCE" w:rsidRPr="00F04EDB" w:rsidRDefault="006F44B4" w:rsidP="00044A0A">
            <w:pPr>
              <w:spacing w:after="0" w:line="240" w:lineRule="auto"/>
              <w:jc w:val="center"/>
            </w:pPr>
            <w:r>
              <w:t>92</w:t>
            </w:r>
          </w:p>
        </w:tc>
        <w:tc>
          <w:tcPr>
            <w:tcW w:w="1368" w:type="dxa"/>
          </w:tcPr>
          <w:p w:rsidR="003F0BCE" w:rsidRPr="00F04EDB" w:rsidRDefault="006F44B4" w:rsidP="00044A0A">
            <w:pPr>
              <w:spacing w:after="0" w:line="240" w:lineRule="auto"/>
              <w:jc w:val="center"/>
            </w:pPr>
            <w:r>
              <w:t>1.8</w:t>
            </w:r>
          </w:p>
        </w:tc>
      </w:tr>
      <w:tr w:rsidR="003F0BCE" w:rsidRPr="00F04EDB" w:rsidTr="00E4631D">
        <w:tc>
          <w:tcPr>
            <w:tcW w:w="2970" w:type="dxa"/>
            <w:vMerge/>
            <w:vAlign w:val="center"/>
          </w:tcPr>
          <w:p w:rsidR="003F0BCE" w:rsidRPr="00F04EDB" w:rsidRDefault="003F0BCE" w:rsidP="003F0BCE">
            <w:pPr>
              <w:spacing w:after="0" w:line="240" w:lineRule="auto"/>
            </w:pPr>
          </w:p>
        </w:tc>
        <w:tc>
          <w:tcPr>
            <w:tcW w:w="900" w:type="dxa"/>
          </w:tcPr>
          <w:p w:rsidR="003F0BCE" w:rsidRPr="00F04EDB" w:rsidRDefault="003F0BCE" w:rsidP="003F0BCE">
            <w:pPr>
              <w:spacing w:after="0" w:line="240" w:lineRule="auto"/>
              <w:rPr>
                <w:b/>
                <w:bCs/>
                <w:color w:val="000000"/>
              </w:rPr>
            </w:pPr>
            <w:r w:rsidRPr="00F04EDB">
              <w:rPr>
                <w:b/>
                <w:bCs/>
                <w:color w:val="000000"/>
              </w:rPr>
              <w:t>Total %</w:t>
            </w:r>
          </w:p>
        </w:tc>
        <w:tc>
          <w:tcPr>
            <w:tcW w:w="1260" w:type="dxa"/>
          </w:tcPr>
          <w:p w:rsidR="003F0BCE" w:rsidRPr="00F04EDB" w:rsidRDefault="00044A0A" w:rsidP="00044A0A">
            <w:pPr>
              <w:spacing w:after="0" w:line="240" w:lineRule="auto"/>
              <w:jc w:val="center"/>
            </w:pPr>
            <w:r>
              <w:t>12%</w:t>
            </w:r>
          </w:p>
        </w:tc>
        <w:tc>
          <w:tcPr>
            <w:tcW w:w="1080" w:type="dxa"/>
          </w:tcPr>
          <w:p w:rsidR="003F0BCE" w:rsidRPr="00F04EDB" w:rsidRDefault="00044A0A" w:rsidP="00044A0A">
            <w:pPr>
              <w:spacing w:after="0" w:line="240" w:lineRule="auto"/>
              <w:jc w:val="center"/>
            </w:pPr>
            <w:r>
              <w:t>24%</w:t>
            </w:r>
          </w:p>
        </w:tc>
        <w:tc>
          <w:tcPr>
            <w:tcW w:w="1170" w:type="dxa"/>
          </w:tcPr>
          <w:p w:rsidR="003F0BCE" w:rsidRPr="00F04EDB" w:rsidRDefault="006F44B4" w:rsidP="00044A0A">
            <w:pPr>
              <w:spacing w:after="0" w:line="240" w:lineRule="auto"/>
              <w:jc w:val="center"/>
            </w:pPr>
            <w:r>
              <w:t>37%</w:t>
            </w:r>
          </w:p>
        </w:tc>
        <w:tc>
          <w:tcPr>
            <w:tcW w:w="990" w:type="dxa"/>
          </w:tcPr>
          <w:p w:rsidR="003F0BCE" w:rsidRPr="00F04EDB" w:rsidRDefault="006F44B4" w:rsidP="00044A0A">
            <w:pPr>
              <w:spacing w:after="0" w:line="240" w:lineRule="auto"/>
              <w:jc w:val="center"/>
            </w:pPr>
            <w:r>
              <w:t>37%</w:t>
            </w:r>
          </w:p>
        </w:tc>
        <w:tc>
          <w:tcPr>
            <w:tcW w:w="1368" w:type="dxa"/>
          </w:tcPr>
          <w:p w:rsidR="003F0BCE" w:rsidRPr="00F04EDB" w:rsidRDefault="003F0BCE" w:rsidP="00044A0A">
            <w:pPr>
              <w:spacing w:after="0" w:line="240" w:lineRule="auto"/>
              <w:jc w:val="center"/>
            </w:pPr>
          </w:p>
        </w:tc>
      </w:tr>
      <w:tr w:rsidR="003F0BCE" w:rsidRPr="00F04EDB" w:rsidTr="00E4631D">
        <w:tc>
          <w:tcPr>
            <w:tcW w:w="2970" w:type="dxa"/>
            <w:vMerge w:val="restart"/>
            <w:shd w:val="clear" w:color="auto" w:fill="BFBFBF" w:themeFill="background1" w:themeFillShade="BF"/>
          </w:tcPr>
          <w:p w:rsidR="003F0BCE" w:rsidRPr="00F04EDB" w:rsidRDefault="003F0BCE" w:rsidP="003F0BCE">
            <w:pPr>
              <w:spacing w:after="0" w:line="240" w:lineRule="auto"/>
              <w:rPr>
                <w:color w:val="000000"/>
              </w:rPr>
            </w:pPr>
            <w:r w:rsidRPr="00F04EDB">
              <w:rPr>
                <w:color w:val="000000"/>
              </w:rPr>
              <w:t>7. Students assume responsibility for their own learning whether individually, in pairs, or in groups.</w:t>
            </w:r>
          </w:p>
        </w:tc>
        <w:tc>
          <w:tcPr>
            <w:tcW w:w="900" w:type="dxa"/>
            <w:shd w:val="clear" w:color="auto" w:fill="BFBFBF" w:themeFill="background1" w:themeFillShade="BF"/>
          </w:tcPr>
          <w:p w:rsidR="003F0BCE" w:rsidRPr="00F04EDB" w:rsidRDefault="003F0BCE" w:rsidP="003F0BCE">
            <w:pPr>
              <w:spacing w:after="0" w:line="240" w:lineRule="auto"/>
              <w:rPr>
                <w:b/>
                <w:bCs/>
                <w:color w:val="000000"/>
              </w:rPr>
            </w:pPr>
            <w:r w:rsidRPr="00F04EDB">
              <w:rPr>
                <w:b/>
                <w:bCs/>
                <w:color w:val="000000"/>
              </w:rPr>
              <w:t>ES</w:t>
            </w:r>
          </w:p>
        </w:tc>
        <w:tc>
          <w:tcPr>
            <w:tcW w:w="1260" w:type="dxa"/>
            <w:shd w:val="clear" w:color="auto" w:fill="BFBFBF" w:themeFill="background1" w:themeFillShade="BF"/>
          </w:tcPr>
          <w:p w:rsidR="003F0BCE" w:rsidRPr="00F04EDB" w:rsidRDefault="00044A0A" w:rsidP="00044A0A">
            <w:pPr>
              <w:spacing w:after="0" w:line="240" w:lineRule="auto"/>
              <w:jc w:val="center"/>
            </w:pPr>
            <w:r>
              <w:t>10%</w:t>
            </w:r>
          </w:p>
        </w:tc>
        <w:tc>
          <w:tcPr>
            <w:tcW w:w="1080" w:type="dxa"/>
            <w:shd w:val="clear" w:color="auto" w:fill="BFBFBF" w:themeFill="background1" w:themeFillShade="BF"/>
          </w:tcPr>
          <w:p w:rsidR="003F0BCE" w:rsidRPr="00F04EDB" w:rsidRDefault="00044A0A" w:rsidP="00044A0A">
            <w:pPr>
              <w:spacing w:after="0" w:line="240" w:lineRule="auto"/>
              <w:jc w:val="center"/>
            </w:pPr>
            <w:r>
              <w:t>22%</w:t>
            </w:r>
          </w:p>
        </w:tc>
        <w:tc>
          <w:tcPr>
            <w:tcW w:w="1170" w:type="dxa"/>
            <w:shd w:val="clear" w:color="auto" w:fill="BFBFBF" w:themeFill="background1" w:themeFillShade="BF"/>
          </w:tcPr>
          <w:p w:rsidR="003F0BCE" w:rsidRPr="00F04EDB" w:rsidRDefault="006F44B4" w:rsidP="00044A0A">
            <w:pPr>
              <w:spacing w:after="0" w:line="240" w:lineRule="auto"/>
              <w:jc w:val="center"/>
            </w:pPr>
            <w:r>
              <w:t>42%</w:t>
            </w:r>
          </w:p>
        </w:tc>
        <w:tc>
          <w:tcPr>
            <w:tcW w:w="990" w:type="dxa"/>
            <w:shd w:val="clear" w:color="auto" w:fill="BFBFBF" w:themeFill="background1" w:themeFillShade="BF"/>
          </w:tcPr>
          <w:p w:rsidR="003F0BCE" w:rsidRPr="00F04EDB" w:rsidRDefault="006F44B4" w:rsidP="00044A0A">
            <w:pPr>
              <w:spacing w:after="0" w:line="240" w:lineRule="auto"/>
              <w:jc w:val="center"/>
            </w:pPr>
            <w:r>
              <w:t>23%</w:t>
            </w:r>
          </w:p>
        </w:tc>
        <w:tc>
          <w:tcPr>
            <w:tcW w:w="1368" w:type="dxa"/>
            <w:shd w:val="clear" w:color="auto" w:fill="BFBFBF" w:themeFill="background1" w:themeFillShade="BF"/>
          </w:tcPr>
          <w:p w:rsidR="003F0BCE" w:rsidRPr="00F04EDB" w:rsidRDefault="006F44B4" w:rsidP="00044A0A">
            <w:pPr>
              <w:spacing w:after="0" w:line="240" w:lineRule="auto"/>
              <w:jc w:val="center"/>
            </w:pPr>
            <w:r>
              <w:t>1.8</w:t>
            </w:r>
          </w:p>
        </w:tc>
      </w:tr>
      <w:tr w:rsidR="003F0BCE" w:rsidRPr="00F04EDB" w:rsidTr="00E4631D">
        <w:tc>
          <w:tcPr>
            <w:tcW w:w="2970" w:type="dxa"/>
            <w:vMerge/>
            <w:shd w:val="clear" w:color="auto" w:fill="BFBFBF" w:themeFill="background1" w:themeFillShade="BF"/>
            <w:vAlign w:val="center"/>
          </w:tcPr>
          <w:p w:rsidR="003F0BCE" w:rsidRPr="00F04EDB" w:rsidRDefault="003F0BCE" w:rsidP="003F0BCE">
            <w:pPr>
              <w:spacing w:after="0" w:line="240" w:lineRule="auto"/>
            </w:pPr>
          </w:p>
        </w:tc>
        <w:tc>
          <w:tcPr>
            <w:tcW w:w="900" w:type="dxa"/>
            <w:shd w:val="clear" w:color="auto" w:fill="BFBFBF" w:themeFill="background1" w:themeFillShade="BF"/>
          </w:tcPr>
          <w:p w:rsidR="003F0BCE" w:rsidRPr="00F04EDB" w:rsidRDefault="003F0BCE" w:rsidP="003F0BCE">
            <w:pPr>
              <w:spacing w:after="0" w:line="240" w:lineRule="auto"/>
              <w:rPr>
                <w:b/>
                <w:bCs/>
                <w:color w:val="000000"/>
              </w:rPr>
            </w:pPr>
            <w:r w:rsidRPr="00F04EDB">
              <w:rPr>
                <w:b/>
                <w:bCs/>
                <w:color w:val="000000"/>
              </w:rPr>
              <w:t>MS</w:t>
            </w:r>
          </w:p>
        </w:tc>
        <w:tc>
          <w:tcPr>
            <w:tcW w:w="1260" w:type="dxa"/>
            <w:shd w:val="clear" w:color="auto" w:fill="BFBFBF" w:themeFill="background1" w:themeFillShade="BF"/>
          </w:tcPr>
          <w:p w:rsidR="003F0BCE" w:rsidRPr="00F04EDB" w:rsidRDefault="00044A0A" w:rsidP="00044A0A">
            <w:pPr>
              <w:spacing w:after="0" w:line="240" w:lineRule="auto"/>
              <w:jc w:val="center"/>
            </w:pPr>
            <w:r>
              <w:t>6%</w:t>
            </w:r>
          </w:p>
        </w:tc>
        <w:tc>
          <w:tcPr>
            <w:tcW w:w="1080" w:type="dxa"/>
            <w:shd w:val="clear" w:color="auto" w:fill="BFBFBF" w:themeFill="background1" w:themeFillShade="BF"/>
          </w:tcPr>
          <w:p w:rsidR="003F0BCE" w:rsidRPr="00F04EDB" w:rsidRDefault="00044A0A" w:rsidP="00044A0A">
            <w:pPr>
              <w:spacing w:after="0" w:line="240" w:lineRule="auto"/>
              <w:jc w:val="center"/>
            </w:pPr>
            <w:r>
              <w:t>10%</w:t>
            </w:r>
          </w:p>
        </w:tc>
        <w:tc>
          <w:tcPr>
            <w:tcW w:w="1170" w:type="dxa"/>
            <w:shd w:val="clear" w:color="auto" w:fill="BFBFBF" w:themeFill="background1" w:themeFillShade="BF"/>
          </w:tcPr>
          <w:p w:rsidR="003F0BCE" w:rsidRPr="00F04EDB" w:rsidRDefault="006F44B4" w:rsidP="00044A0A">
            <w:pPr>
              <w:spacing w:after="0" w:line="240" w:lineRule="auto"/>
              <w:jc w:val="center"/>
            </w:pPr>
            <w:r>
              <w:t>48%</w:t>
            </w:r>
          </w:p>
        </w:tc>
        <w:tc>
          <w:tcPr>
            <w:tcW w:w="990" w:type="dxa"/>
            <w:shd w:val="clear" w:color="auto" w:fill="BFBFBF" w:themeFill="background1" w:themeFillShade="BF"/>
          </w:tcPr>
          <w:p w:rsidR="003F0BCE" w:rsidRPr="00F04EDB" w:rsidRDefault="006F44B4" w:rsidP="00044A0A">
            <w:pPr>
              <w:spacing w:after="0" w:line="240" w:lineRule="auto"/>
              <w:jc w:val="center"/>
            </w:pPr>
            <w:r>
              <w:t>48%</w:t>
            </w:r>
          </w:p>
        </w:tc>
        <w:tc>
          <w:tcPr>
            <w:tcW w:w="1368" w:type="dxa"/>
            <w:shd w:val="clear" w:color="auto" w:fill="BFBFBF" w:themeFill="background1" w:themeFillShade="BF"/>
          </w:tcPr>
          <w:p w:rsidR="003F0BCE" w:rsidRPr="00F04EDB" w:rsidRDefault="006F44B4" w:rsidP="00044A0A">
            <w:pPr>
              <w:spacing w:after="0" w:line="240" w:lineRule="auto"/>
              <w:jc w:val="center"/>
            </w:pPr>
            <w:r>
              <w:t>2.1</w:t>
            </w:r>
          </w:p>
        </w:tc>
      </w:tr>
      <w:tr w:rsidR="003F0BCE" w:rsidRPr="00F04EDB" w:rsidTr="00E4631D">
        <w:tc>
          <w:tcPr>
            <w:tcW w:w="2970" w:type="dxa"/>
            <w:vMerge/>
            <w:shd w:val="clear" w:color="auto" w:fill="BFBFBF" w:themeFill="background1" w:themeFillShade="BF"/>
            <w:vAlign w:val="center"/>
          </w:tcPr>
          <w:p w:rsidR="003F0BCE" w:rsidRPr="00F04EDB" w:rsidRDefault="003F0BCE" w:rsidP="003F0BCE">
            <w:pPr>
              <w:spacing w:after="0" w:line="240" w:lineRule="auto"/>
            </w:pPr>
          </w:p>
        </w:tc>
        <w:tc>
          <w:tcPr>
            <w:tcW w:w="900" w:type="dxa"/>
            <w:shd w:val="clear" w:color="auto" w:fill="BFBFBF" w:themeFill="background1" w:themeFillShade="BF"/>
          </w:tcPr>
          <w:p w:rsidR="003F0BCE" w:rsidRPr="00F04EDB" w:rsidRDefault="003F0BCE" w:rsidP="003F0BCE">
            <w:pPr>
              <w:spacing w:after="0" w:line="240" w:lineRule="auto"/>
              <w:rPr>
                <w:b/>
                <w:bCs/>
                <w:color w:val="000000"/>
              </w:rPr>
            </w:pPr>
            <w:r w:rsidRPr="00F04EDB">
              <w:rPr>
                <w:b/>
                <w:bCs/>
                <w:color w:val="000000"/>
              </w:rPr>
              <w:t>HS</w:t>
            </w:r>
          </w:p>
        </w:tc>
        <w:tc>
          <w:tcPr>
            <w:tcW w:w="1260" w:type="dxa"/>
            <w:shd w:val="clear" w:color="auto" w:fill="BFBFBF" w:themeFill="background1" w:themeFillShade="BF"/>
          </w:tcPr>
          <w:p w:rsidR="003F0BCE" w:rsidRPr="00F04EDB" w:rsidRDefault="00044A0A" w:rsidP="00044A0A">
            <w:pPr>
              <w:spacing w:after="0" w:line="240" w:lineRule="auto"/>
              <w:jc w:val="center"/>
            </w:pPr>
            <w:r>
              <w:t>27%</w:t>
            </w:r>
          </w:p>
        </w:tc>
        <w:tc>
          <w:tcPr>
            <w:tcW w:w="1080" w:type="dxa"/>
            <w:shd w:val="clear" w:color="auto" w:fill="BFBFBF" w:themeFill="background1" w:themeFillShade="BF"/>
          </w:tcPr>
          <w:p w:rsidR="003F0BCE" w:rsidRPr="00F04EDB" w:rsidRDefault="00044A0A" w:rsidP="00044A0A">
            <w:pPr>
              <w:spacing w:after="0" w:line="240" w:lineRule="auto"/>
              <w:jc w:val="center"/>
            </w:pPr>
            <w:r>
              <w:t>25%</w:t>
            </w:r>
          </w:p>
        </w:tc>
        <w:tc>
          <w:tcPr>
            <w:tcW w:w="1170" w:type="dxa"/>
            <w:shd w:val="clear" w:color="auto" w:fill="BFBFBF" w:themeFill="background1" w:themeFillShade="BF"/>
          </w:tcPr>
          <w:p w:rsidR="003F0BCE" w:rsidRPr="00F04EDB" w:rsidRDefault="006F44B4" w:rsidP="00044A0A">
            <w:pPr>
              <w:spacing w:after="0" w:line="240" w:lineRule="auto"/>
              <w:jc w:val="center"/>
            </w:pPr>
            <w:r>
              <w:t>21%</w:t>
            </w:r>
          </w:p>
        </w:tc>
        <w:tc>
          <w:tcPr>
            <w:tcW w:w="990" w:type="dxa"/>
            <w:shd w:val="clear" w:color="auto" w:fill="BFBFBF" w:themeFill="background1" w:themeFillShade="BF"/>
          </w:tcPr>
          <w:p w:rsidR="003F0BCE" w:rsidRPr="00F04EDB" w:rsidRDefault="006F44B4" w:rsidP="00044A0A">
            <w:pPr>
              <w:spacing w:after="0" w:line="240" w:lineRule="auto"/>
              <w:jc w:val="center"/>
            </w:pPr>
            <w:r>
              <w:t>25%</w:t>
            </w:r>
          </w:p>
        </w:tc>
        <w:tc>
          <w:tcPr>
            <w:tcW w:w="1368" w:type="dxa"/>
            <w:shd w:val="clear" w:color="auto" w:fill="BFBFBF" w:themeFill="background1" w:themeFillShade="BF"/>
          </w:tcPr>
          <w:p w:rsidR="003F0BCE" w:rsidRPr="00F04EDB" w:rsidRDefault="006F44B4" w:rsidP="00044A0A">
            <w:pPr>
              <w:spacing w:after="0" w:line="240" w:lineRule="auto"/>
              <w:jc w:val="center"/>
            </w:pPr>
            <w:r>
              <w:t>1.5</w:t>
            </w:r>
          </w:p>
        </w:tc>
      </w:tr>
      <w:tr w:rsidR="003F0BCE" w:rsidRPr="00F04EDB" w:rsidTr="00E4631D">
        <w:tc>
          <w:tcPr>
            <w:tcW w:w="2970" w:type="dxa"/>
            <w:vMerge/>
            <w:shd w:val="clear" w:color="auto" w:fill="BFBFBF" w:themeFill="background1" w:themeFillShade="BF"/>
            <w:vAlign w:val="center"/>
          </w:tcPr>
          <w:p w:rsidR="003F0BCE" w:rsidRPr="00F04EDB" w:rsidRDefault="003F0BCE" w:rsidP="003F0BCE">
            <w:pPr>
              <w:spacing w:after="0" w:line="240" w:lineRule="auto"/>
            </w:pPr>
          </w:p>
        </w:tc>
        <w:tc>
          <w:tcPr>
            <w:tcW w:w="900" w:type="dxa"/>
            <w:shd w:val="clear" w:color="auto" w:fill="BFBFBF" w:themeFill="background1" w:themeFillShade="BF"/>
          </w:tcPr>
          <w:p w:rsidR="003F0BCE" w:rsidRPr="00F04EDB" w:rsidRDefault="003F0BCE" w:rsidP="003F0BCE">
            <w:pPr>
              <w:spacing w:after="0" w:line="240" w:lineRule="auto"/>
              <w:rPr>
                <w:b/>
                <w:bCs/>
                <w:color w:val="000000"/>
              </w:rPr>
            </w:pPr>
            <w:r w:rsidRPr="00F04EDB">
              <w:rPr>
                <w:b/>
                <w:bCs/>
                <w:color w:val="000000"/>
              </w:rPr>
              <w:t>Total  #</w:t>
            </w:r>
          </w:p>
        </w:tc>
        <w:tc>
          <w:tcPr>
            <w:tcW w:w="1260" w:type="dxa"/>
            <w:shd w:val="clear" w:color="auto" w:fill="BFBFBF" w:themeFill="background1" w:themeFillShade="BF"/>
          </w:tcPr>
          <w:p w:rsidR="003F0BCE" w:rsidRPr="00F04EDB" w:rsidRDefault="00044A0A" w:rsidP="00044A0A">
            <w:pPr>
              <w:spacing w:after="0" w:line="240" w:lineRule="auto"/>
              <w:jc w:val="center"/>
            </w:pPr>
            <w:r>
              <w:t>32</w:t>
            </w:r>
          </w:p>
        </w:tc>
        <w:tc>
          <w:tcPr>
            <w:tcW w:w="1080" w:type="dxa"/>
            <w:shd w:val="clear" w:color="auto" w:fill="BFBFBF" w:themeFill="background1" w:themeFillShade="BF"/>
          </w:tcPr>
          <w:p w:rsidR="003F0BCE" w:rsidRPr="00F04EDB" w:rsidRDefault="00044A0A" w:rsidP="00044A0A">
            <w:pPr>
              <w:spacing w:after="0" w:line="240" w:lineRule="auto"/>
              <w:jc w:val="center"/>
            </w:pPr>
            <w:r>
              <w:t>53</w:t>
            </w:r>
          </w:p>
        </w:tc>
        <w:tc>
          <w:tcPr>
            <w:tcW w:w="1170" w:type="dxa"/>
            <w:shd w:val="clear" w:color="auto" w:fill="BFBFBF" w:themeFill="background1" w:themeFillShade="BF"/>
          </w:tcPr>
          <w:p w:rsidR="003F0BCE" w:rsidRPr="00F04EDB" w:rsidRDefault="006F44B4" w:rsidP="00044A0A">
            <w:pPr>
              <w:spacing w:after="0" w:line="240" w:lineRule="auto"/>
              <w:jc w:val="center"/>
            </w:pPr>
            <w:r>
              <w:t>96</w:t>
            </w:r>
          </w:p>
        </w:tc>
        <w:tc>
          <w:tcPr>
            <w:tcW w:w="990" w:type="dxa"/>
            <w:shd w:val="clear" w:color="auto" w:fill="BFBFBF" w:themeFill="background1" w:themeFillShade="BF"/>
          </w:tcPr>
          <w:p w:rsidR="003F0BCE" w:rsidRPr="00F04EDB" w:rsidRDefault="006F44B4" w:rsidP="00044A0A">
            <w:pPr>
              <w:spacing w:after="0" w:line="240" w:lineRule="auto"/>
              <w:jc w:val="center"/>
            </w:pPr>
            <w:r>
              <w:t>66</w:t>
            </w:r>
          </w:p>
        </w:tc>
        <w:tc>
          <w:tcPr>
            <w:tcW w:w="1368" w:type="dxa"/>
            <w:shd w:val="clear" w:color="auto" w:fill="BFBFBF" w:themeFill="background1" w:themeFillShade="BF"/>
          </w:tcPr>
          <w:p w:rsidR="003F0BCE" w:rsidRPr="00F04EDB" w:rsidRDefault="006F44B4" w:rsidP="00044A0A">
            <w:pPr>
              <w:spacing w:after="0" w:line="240" w:lineRule="auto"/>
              <w:jc w:val="center"/>
            </w:pPr>
            <w:r>
              <w:t>1.8</w:t>
            </w:r>
          </w:p>
        </w:tc>
      </w:tr>
      <w:tr w:rsidR="003F0BCE" w:rsidRPr="00F04EDB" w:rsidTr="00E4631D">
        <w:tc>
          <w:tcPr>
            <w:tcW w:w="2970" w:type="dxa"/>
            <w:vMerge/>
            <w:shd w:val="clear" w:color="auto" w:fill="BFBFBF" w:themeFill="background1" w:themeFillShade="BF"/>
            <w:vAlign w:val="center"/>
          </w:tcPr>
          <w:p w:rsidR="003F0BCE" w:rsidRPr="00F04EDB" w:rsidRDefault="003F0BCE" w:rsidP="003F0BCE">
            <w:pPr>
              <w:spacing w:after="0" w:line="240" w:lineRule="auto"/>
            </w:pPr>
          </w:p>
        </w:tc>
        <w:tc>
          <w:tcPr>
            <w:tcW w:w="900" w:type="dxa"/>
            <w:shd w:val="clear" w:color="auto" w:fill="BFBFBF" w:themeFill="background1" w:themeFillShade="BF"/>
          </w:tcPr>
          <w:p w:rsidR="003F0BCE" w:rsidRPr="00F04EDB" w:rsidRDefault="003F0BCE" w:rsidP="003F0BCE">
            <w:pPr>
              <w:spacing w:after="0" w:line="240" w:lineRule="auto"/>
              <w:rPr>
                <w:b/>
                <w:bCs/>
                <w:color w:val="000000"/>
              </w:rPr>
            </w:pPr>
            <w:r w:rsidRPr="00F04EDB">
              <w:rPr>
                <w:b/>
                <w:bCs/>
                <w:color w:val="000000"/>
              </w:rPr>
              <w:t>Total %</w:t>
            </w:r>
          </w:p>
        </w:tc>
        <w:tc>
          <w:tcPr>
            <w:tcW w:w="1260" w:type="dxa"/>
            <w:shd w:val="clear" w:color="auto" w:fill="BFBFBF" w:themeFill="background1" w:themeFillShade="BF"/>
          </w:tcPr>
          <w:p w:rsidR="003F0BCE" w:rsidRPr="00F04EDB" w:rsidRDefault="00044A0A" w:rsidP="00044A0A">
            <w:pPr>
              <w:spacing w:after="0" w:line="240" w:lineRule="auto"/>
              <w:jc w:val="center"/>
            </w:pPr>
            <w:r>
              <w:t>13%</w:t>
            </w:r>
          </w:p>
        </w:tc>
        <w:tc>
          <w:tcPr>
            <w:tcW w:w="1080" w:type="dxa"/>
            <w:shd w:val="clear" w:color="auto" w:fill="BFBFBF" w:themeFill="background1" w:themeFillShade="BF"/>
          </w:tcPr>
          <w:p w:rsidR="003F0BCE" w:rsidRPr="00F04EDB" w:rsidRDefault="00044A0A" w:rsidP="00044A0A">
            <w:pPr>
              <w:spacing w:after="0" w:line="240" w:lineRule="auto"/>
              <w:jc w:val="center"/>
            </w:pPr>
            <w:r>
              <w:t>21%</w:t>
            </w:r>
          </w:p>
        </w:tc>
        <w:tc>
          <w:tcPr>
            <w:tcW w:w="1170" w:type="dxa"/>
            <w:shd w:val="clear" w:color="auto" w:fill="BFBFBF" w:themeFill="background1" w:themeFillShade="BF"/>
          </w:tcPr>
          <w:p w:rsidR="003F0BCE" w:rsidRPr="00F04EDB" w:rsidRDefault="006F44B4" w:rsidP="00044A0A">
            <w:pPr>
              <w:spacing w:after="0" w:line="240" w:lineRule="auto"/>
              <w:jc w:val="center"/>
            </w:pPr>
            <w:r>
              <w:t>39%</w:t>
            </w:r>
          </w:p>
        </w:tc>
        <w:tc>
          <w:tcPr>
            <w:tcW w:w="990" w:type="dxa"/>
            <w:shd w:val="clear" w:color="auto" w:fill="BFBFBF" w:themeFill="background1" w:themeFillShade="BF"/>
          </w:tcPr>
          <w:p w:rsidR="003F0BCE" w:rsidRPr="00F04EDB" w:rsidRDefault="006F44B4" w:rsidP="00044A0A">
            <w:pPr>
              <w:spacing w:after="0" w:line="240" w:lineRule="auto"/>
              <w:jc w:val="center"/>
            </w:pPr>
            <w:r>
              <w:t>27%</w:t>
            </w:r>
          </w:p>
        </w:tc>
        <w:tc>
          <w:tcPr>
            <w:tcW w:w="1368" w:type="dxa"/>
            <w:shd w:val="clear" w:color="auto" w:fill="BFBFBF" w:themeFill="background1" w:themeFillShade="BF"/>
          </w:tcPr>
          <w:p w:rsidR="003F0BCE" w:rsidRPr="00F04EDB" w:rsidRDefault="003F0BCE" w:rsidP="00044A0A">
            <w:pPr>
              <w:spacing w:after="0" w:line="240" w:lineRule="auto"/>
              <w:jc w:val="center"/>
            </w:pPr>
          </w:p>
        </w:tc>
      </w:tr>
      <w:tr w:rsidR="003F0BCE" w:rsidRPr="00F04EDB" w:rsidTr="00E4631D">
        <w:trPr>
          <w:trHeight w:val="274"/>
        </w:trPr>
        <w:tc>
          <w:tcPr>
            <w:tcW w:w="2970" w:type="dxa"/>
            <w:vMerge w:val="restart"/>
            <w:shd w:val="clear" w:color="auto" w:fill="auto"/>
            <w:vAlign w:val="center"/>
          </w:tcPr>
          <w:p w:rsidR="003F0BCE" w:rsidRPr="00F04EDB" w:rsidRDefault="003F0BCE" w:rsidP="003F0BCE">
            <w:pPr>
              <w:spacing w:after="0" w:line="240" w:lineRule="auto"/>
              <w:jc w:val="center"/>
              <w:rPr>
                <w:b/>
                <w:color w:val="000000"/>
              </w:rPr>
            </w:pPr>
            <w:r w:rsidRPr="00F04EDB">
              <w:rPr>
                <w:b/>
                <w:color w:val="000000"/>
              </w:rPr>
              <w:t>Total Score For Focus Area #2</w:t>
            </w:r>
          </w:p>
        </w:tc>
        <w:tc>
          <w:tcPr>
            <w:tcW w:w="900" w:type="dxa"/>
            <w:shd w:val="clear" w:color="auto" w:fill="auto"/>
          </w:tcPr>
          <w:p w:rsidR="003F0BCE" w:rsidRPr="00F04EDB" w:rsidRDefault="003F0BCE" w:rsidP="003F0BCE">
            <w:pPr>
              <w:spacing w:after="0" w:line="240" w:lineRule="auto"/>
              <w:rPr>
                <w:b/>
                <w:bCs/>
                <w:color w:val="000000"/>
              </w:rPr>
            </w:pPr>
            <w:r w:rsidRPr="00F04EDB">
              <w:rPr>
                <w:b/>
                <w:bCs/>
                <w:color w:val="000000"/>
              </w:rPr>
              <w:t>ES</w:t>
            </w:r>
          </w:p>
        </w:tc>
        <w:tc>
          <w:tcPr>
            <w:tcW w:w="1260" w:type="dxa"/>
            <w:shd w:val="clear" w:color="auto" w:fill="auto"/>
          </w:tcPr>
          <w:p w:rsidR="003F0BCE" w:rsidRPr="00F04EDB" w:rsidRDefault="00044A0A" w:rsidP="00044A0A">
            <w:pPr>
              <w:spacing w:after="0" w:line="240" w:lineRule="auto"/>
              <w:jc w:val="center"/>
            </w:pPr>
            <w:r>
              <w:t>43</w:t>
            </w:r>
          </w:p>
        </w:tc>
        <w:tc>
          <w:tcPr>
            <w:tcW w:w="1080" w:type="dxa"/>
            <w:shd w:val="clear" w:color="auto" w:fill="auto"/>
          </w:tcPr>
          <w:p w:rsidR="003F0BCE" w:rsidRPr="00F04EDB" w:rsidRDefault="00044A0A" w:rsidP="00044A0A">
            <w:pPr>
              <w:spacing w:after="0" w:line="240" w:lineRule="auto"/>
              <w:jc w:val="center"/>
            </w:pPr>
            <w:r>
              <w:t>113</w:t>
            </w:r>
          </w:p>
        </w:tc>
        <w:tc>
          <w:tcPr>
            <w:tcW w:w="1170" w:type="dxa"/>
            <w:shd w:val="clear" w:color="auto" w:fill="auto"/>
          </w:tcPr>
          <w:p w:rsidR="003F0BCE" w:rsidRPr="00F04EDB" w:rsidRDefault="006F44B4" w:rsidP="00044A0A">
            <w:pPr>
              <w:spacing w:after="0" w:line="240" w:lineRule="auto"/>
              <w:jc w:val="center"/>
            </w:pPr>
            <w:r>
              <w:t>209</w:t>
            </w:r>
          </w:p>
        </w:tc>
        <w:tc>
          <w:tcPr>
            <w:tcW w:w="990" w:type="dxa"/>
            <w:shd w:val="clear" w:color="auto" w:fill="auto"/>
          </w:tcPr>
          <w:p w:rsidR="003F0BCE" w:rsidRPr="00F04EDB" w:rsidRDefault="006F44B4" w:rsidP="00044A0A">
            <w:pPr>
              <w:spacing w:after="0" w:line="240" w:lineRule="auto"/>
              <w:jc w:val="center"/>
            </w:pPr>
            <w:r>
              <w:t>145</w:t>
            </w:r>
          </w:p>
        </w:tc>
        <w:tc>
          <w:tcPr>
            <w:tcW w:w="1368" w:type="dxa"/>
            <w:shd w:val="clear" w:color="auto" w:fill="auto"/>
          </w:tcPr>
          <w:p w:rsidR="003F0BCE" w:rsidRPr="006F44B4" w:rsidRDefault="006F44B4" w:rsidP="00044A0A">
            <w:pPr>
              <w:spacing w:after="0" w:line="240" w:lineRule="auto"/>
              <w:jc w:val="center"/>
              <w:rPr>
                <w:b/>
              </w:rPr>
            </w:pPr>
            <w:r w:rsidRPr="006F44B4">
              <w:rPr>
                <w:b/>
              </w:rPr>
              <w:t>5.7</w:t>
            </w:r>
          </w:p>
        </w:tc>
      </w:tr>
      <w:tr w:rsidR="003F0BCE" w:rsidRPr="00F04EDB" w:rsidTr="00E4631D">
        <w:trPr>
          <w:trHeight w:val="274"/>
        </w:trPr>
        <w:tc>
          <w:tcPr>
            <w:tcW w:w="2970" w:type="dxa"/>
            <w:vMerge/>
            <w:shd w:val="clear" w:color="auto" w:fill="auto"/>
          </w:tcPr>
          <w:p w:rsidR="003F0BCE" w:rsidRPr="00F04EDB" w:rsidRDefault="003F0BCE" w:rsidP="003F0BCE">
            <w:pPr>
              <w:spacing w:after="0" w:line="240" w:lineRule="auto"/>
              <w:rPr>
                <w:b/>
                <w:color w:val="000000"/>
              </w:rPr>
            </w:pPr>
          </w:p>
        </w:tc>
        <w:tc>
          <w:tcPr>
            <w:tcW w:w="900" w:type="dxa"/>
            <w:shd w:val="clear" w:color="auto" w:fill="auto"/>
          </w:tcPr>
          <w:p w:rsidR="003F0BCE" w:rsidRPr="00F04EDB" w:rsidRDefault="003F0BCE" w:rsidP="003F0BCE">
            <w:pPr>
              <w:spacing w:after="0" w:line="240" w:lineRule="auto"/>
              <w:rPr>
                <w:b/>
                <w:bCs/>
                <w:color w:val="000000"/>
              </w:rPr>
            </w:pPr>
            <w:r w:rsidRPr="00F04EDB">
              <w:rPr>
                <w:b/>
                <w:bCs/>
                <w:color w:val="000000"/>
              </w:rPr>
              <w:t>MS</w:t>
            </w:r>
          </w:p>
        </w:tc>
        <w:tc>
          <w:tcPr>
            <w:tcW w:w="1260" w:type="dxa"/>
            <w:shd w:val="clear" w:color="auto" w:fill="auto"/>
          </w:tcPr>
          <w:p w:rsidR="003F0BCE" w:rsidRPr="00F04EDB" w:rsidRDefault="00044A0A" w:rsidP="00044A0A">
            <w:pPr>
              <w:spacing w:after="0" w:line="240" w:lineRule="auto"/>
              <w:jc w:val="center"/>
            </w:pPr>
            <w:r>
              <w:t>4</w:t>
            </w:r>
          </w:p>
        </w:tc>
        <w:tc>
          <w:tcPr>
            <w:tcW w:w="1080" w:type="dxa"/>
            <w:shd w:val="clear" w:color="auto" w:fill="auto"/>
          </w:tcPr>
          <w:p w:rsidR="003F0BCE" w:rsidRPr="00F04EDB" w:rsidRDefault="00044A0A" w:rsidP="00044A0A">
            <w:pPr>
              <w:spacing w:after="0" w:line="240" w:lineRule="auto"/>
              <w:jc w:val="center"/>
            </w:pPr>
            <w:r>
              <w:t>11</w:t>
            </w:r>
          </w:p>
        </w:tc>
        <w:tc>
          <w:tcPr>
            <w:tcW w:w="1170" w:type="dxa"/>
            <w:shd w:val="clear" w:color="auto" w:fill="auto"/>
          </w:tcPr>
          <w:p w:rsidR="003F0BCE" w:rsidRPr="00F04EDB" w:rsidRDefault="006F44B4" w:rsidP="00044A0A">
            <w:pPr>
              <w:spacing w:after="0" w:line="240" w:lineRule="auto"/>
              <w:jc w:val="center"/>
            </w:pPr>
            <w:r>
              <w:t>34</w:t>
            </w:r>
          </w:p>
        </w:tc>
        <w:tc>
          <w:tcPr>
            <w:tcW w:w="990" w:type="dxa"/>
            <w:shd w:val="clear" w:color="auto" w:fill="auto"/>
          </w:tcPr>
          <w:p w:rsidR="003F0BCE" w:rsidRPr="00F04EDB" w:rsidRDefault="006F44B4" w:rsidP="00044A0A">
            <w:pPr>
              <w:spacing w:after="0" w:line="240" w:lineRule="auto"/>
              <w:jc w:val="center"/>
            </w:pPr>
            <w:r>
              <w:t>44</w:t>
            </w:r>
          </w:p>
        </w:tc>
        <w:tc>
          <w:tcPr>
            <w:tcW w:w="1368" w:type="dxa"/>
            <w:shd w:val="clear" w:color="auto" w:fill="auto"/>
          </w:tcPr>
          <w:p w:rsidR="003F0BCE" w:rsidRPr="006F44B4" w:rsidRDefault="006F44B4" w:rsidP="00044A0A">
            <w:pPr>
              <w:spacing w:after="0" w:line="240" w:lineRule="auto"/>
              <w:jc w:val="center"/>
              <w:rPr>
                <w:b/>
              </w:rPr>
            </w:pPr>
            <w:r w:rsidRPr="006F44B4">
              <w:rPr>
                <w:b/>
              </w:rPr>
              <w:t>6.8</w:t>
            </w:r>
          </w:p>
        </w:tc>
      </w:tr>
      <w:tr w:rsidR="003F0BCE" w:rsidRPr="00F04EDB" w:rsidTr="00E4631D">
        <w:trPr>
          <w:trHeight w:val="274"/>
        </w:trPr>
        <w:tc>
          <w:tcPr>
            <w:tcW w:w="2970" w:type="dxa"/>
            <w:vMerge/>
            <w:shd w:val="clear" w:color="auto" w:fill="auto"/>
          </w:tcPr>
          <w:p w:rsidR="003F0BCE" w:rsidRPr="00F04EDB" w:rsidRDefault="003F0BCE" w:rsidP="003F0BCE">
            <w:pPr>
              <w:spacing w:after="0" w:line="240" w:lineRule="auto"/>
              <w:rPr>
                <w:b/>
                <w:color w:val="000000"/>
              </w:rPr>
            </w:pPr>
          </w:p>
        </w:tc>
        <w:tc>
          <w:tcPr>
            <w:tcW w:w="900" w:type="dxa"/>
            <w:shd w:val="clear" w:color="auto" w:fill="auto"/>
          </w:tcPr>
          <w:p w:rsidR="003F0BCE" w:rsidRPr="00F04EDB" w:rsidRDefault="003F0BCE" w:rsidP="003F0BCE">
            <w:pPr>
              <w:spacing w:after="0" w:line="240" w:lineRule="auto"/>
              <w:rPr>
                <w:b/>
                <w:bCs/>
                <w:color w:val="000000"/>
              </w:rPr>
            </w:pPr>
            <w:r w:rsidRPr="00F04EDB">
              <w:rPr>
                <w:b/>
                <w:bCs/>
                <w:color w:val="000000"/>
              </w:rPr>
              <w:t>HS</w:t>
            </w:r>
          </w:p>
        </w:tc>
        <w:tc>
          <w:tcPr>
            <w:tcW w:w="1260" w:type="dxa"/>
            <w:shd w:val="clear" w:color="auto" w:fill="auto"/>
          </w:tcPr>
          <w:p w:rsidR="003F0BCE" w:rsidRPr="00F04EDB" w:rsidRDefault="00044A0A" w:rsidP="00044A0A">
            <w:pPr>
              <w:spacing w:after="0" w:line="240" w:lineRule="auto"/>
              <w:jc w:val="center"/>
            </w:pPr>
            <w:r>
              <w:t>28</w:t>
            </w:r>
          </w:p>
        </w:tc>
        <w:tc>
          <w:tcPr>
            <w:tcW w:w="1080" w:type="dxa"/>
            <w:shd w:val="clear" w:color="auto" w:fill="auto"/>
          </w:tcPr>
          <w:p w:rsidR="003F0BCE" w:rsidRPr="00F04EDB" w:rsidRDefault="00044A0A" w:rsidP="00044A0A">
            <w:pPr>
              <w:spacing w:after="0" w:line="240" w:lineRule="auto"/>
              <w:jc w:val="center"/>
            </w:pPr>
            <w:r>
              <w:t>38</w:t>
            </w:r>
          </w:p>
        </w:tc>
        <w:tc>
          <w:tcPr>
            <w:tcW w:w="1170" w:type="dxa"/>
            <w:shd w:val="clear" w:color="auto" w:fill="auto"/>
          </w:tcPr>
          <w:p w:rsidR="003F0BCE" w:rsidRPr="00F04EDB" w:rsidRDefault="006F44B4" w:rsidP="00044A0A">
            <w:pPr>
              <w:spacing w:after="0" w:line="240" w:lineRule="auto"/>
              <w:jc w:val="center"/>
            </w:pPr>
            <w:r>
              <w:t>41</w:t>
            </w:r>
          </w:p>
        </w:tc>
        <w:tc>
          <w:tcPr>
            <w:tcW w:w="990" w:type="dxa"/>
            <w:shd w:val="clear" w:color="auto" w:fill="auto"/>
          </w:tcPr>
          <w:p w:rsidR="003F0BCE" w:rsidRPr="00F04EDB" w:rsidRDefault="006F44B4" w:rsidP="00044A0A">
            <w:pPr>
              <w:spacing w:after="0" w:line="240" w:lineRule="auto"/>
              <w:jc w:val="center"/>
            </w:pPr>
            <w:r>
              <w:t>37</w:t>
            </w:r>
          </w:p>
        </w:tc>
        <w:tc>
          <w:tcPr>
            <w:tcW w:w="1368" w:type="dxa"/>
            <w:shd w:val="clear" w:color="auto" w:fill="auto"/>
          </w:tcPr>
          <w:p w:rsidR="003F0BCE" w:rsidRPr="006F44B4" w:rsidRDefault="006F44B4" w:rsidP="00044A0A">
            <w:pPr>
              <w:spacing w:after="0" w:line="240" w:lineRule="auto"/>
              <w:jc w:val="center"/>
              <w:rPr>
                <w:b/>
              </w:rPr>
            </w:pPr>
            <w:r w:rsidRPr="006F44B4">
              <w:rPr>
                <w:b/>
              </w:rPr>
              <w:t>4.8</w:t>
            </w:r>
          </w:p>
        </w:tc>
      </w:tr>
      <w:tr w:rsidR="003F0BCE" w:rsidRPr="00F04EDB" w:rsidTr="00E4631D">
        <w:trPr>
          <w:trHeight w:val="274"/>
        </w:trPr>
        <w:tc>
          <w:tcPr>
            <w:tcW w:w="2970" w:type="dxa"/>
            <w:vMerge/>
            <w:shd w:val="clear" w:color="auto" w:fill="auto"/>
          </w:tcPr>
          <w:p w:rsidR="003F0BCE" w:rsidRPr="00F04EDB" w:rsidRDefault="003F0BCE" w:rsidP="003F0BCE">
            <w:pPr>
              <w:spacing w:after="0" w:line="240" w:lineRule="auto"/>
              <w:rPr>
                <w:b/>
                <w:color w:val="000000"/>
              </w:rPr>
            </w:pPr>
          </w:p>
        </w:tc>
        <w:tc>
          <w:tcPr>
            <w:tcW w:w="900" w:type="dxa"/>
            <w:shd w:val="clear" w:color="auto" w:fill="auto"/>
          </w:tcPr>
          <w:p w:rsidR="003F0BCE" w:rsidRPr="00F04EDB" w:rsidRDefault="003F0BCE" w:rsidP="003F0BCE">
            <w:pPr>
              <w:spacing w:after="0" w:line="240" w:lineRule="auto"/>
            </w:pPr>
            <w:r w:rsidRPr="00F04EDB">
              <w:rPr>
                <w:b/>
                <w:bCs/>
                <w:color w:val="000000"/>
              </w:rPr>
              <w:t>Total</w:t>
            </w:r>
          </w:p>
        </w:tc>
        <w:tc>
          <w:tcPr>
            <w:tcW w:w="1260" w:type="dxa"/>
            <w:shd w:val="clear" w:color="auto" w:fill="auto"/>
          </w:tcPr>
          <w:p w:rsidR="003F0BCE" w:rsidRPr="00F04EDB" w:rsidRDefault="00044A0A" w:rsidP="00044A0A">
            <w:pPr>
              <w:spacing w:after="0" w:line="240" w:lineRule="auto"/>
              <w:jc w:val="center"/>
            </w:pPr>
            <w:r>
              <w:t>75</w:t>
            </w:r>
          </w:p>
        </w:tc>
        <w:tc>
          <w:tcPr>
            <w:tcW w:w="1080" w:type="dxa"/>
            <w:shd w:val="clear" w:color="auto" w:fill="auto"/>
          </w:tcPr>
          <w:p w:rsidR="003F0BCE" w:rsidRPr="00F04EDB" w:rsidRDefault="00044A0A" w:rsidP="00044A0A">
            <w:pPr>
              <w:spacing w:after="0" w:line="240" w:lineRule="auto"/>
              <w:jc w:val="center"/>
            </w:pPr>
            <w:r>
              <w:t>60</w:t>
            </w:r>
          </w:p>
        </w:tc>
        <w:tc>
          <w:tcPr>
            <w:tcW w:w="1170" w:type="dxa"/>
            <w:shd w:val="clear" w:color="auto" w:fill="auto"/>
          </w:tcPr>
          <w:p w:rsidR="003F0BCE" w:rsidRPr="00F04EDB" w:rsidRDefault="006F44B4" w:rsidP="00044A0A">
            <w:pPr>
              <w:spacing w:after="0" w:line="240" w:lineRule="auto"/>
              <w:jc w:val="center"/>
            </w:pPr>
            <w:r>
              <w:t>284</w:t>
            </w:r>
          </w:p>
        </w:tc>
        <w:tc>
          <w:tcPr>
            <w:tcW w:w="990" w:type="dxa"/>
            <w:shd w:val="clear" w:color="auto" w:fill="auto"/>
          </w:tcPr>
          <w:p w:rsidR="003F0BCE" w:rsidRPr="00F04EDB" w:rsidRDefault="006F44B4" w:rsidP="00044A0A">
            <w:pPr>
              <w:spacing w:after="0" w:line="240" w:lineRule="auto"/>
              <w:jc w:val="center"/>
            </w:pPr>
            <w:r>
              <w:t>226</w:t>
            </w:r>
          </w:p>
        </w:tc>
        <w:tc>
          <w:tcPr>
            <w:tcW w:w="1368" w:type="dxa"/>
            <w:shd w:val="clear" w:color="auto" w:fill="auto"/>
          </w:tcPr>
          <w:p w:rsidR="003F0BCE" w:rsidRPr="006F44B4" w:rsidRDefault="006F44B4" w:rsidP="00044A0A">
            <w:pPr>
              <w:spacing w:after="0" w:line="240" w:lineRule="auto"/>
              <w:jc w:val="center"/>
              <w:rPr>
                <w:b/>
              </w:rPr>
            </w:pPr>
            <w:r w:rsidRPr="006F44B4">
              <w:rPr>
                <w:b/>
              </w:rPr>
              <w:t>5.7</w:t>
            </w:r>
          </w:p>
        </w:tc>
      </w:tr>
    </w:tbl>
    <w:p w:rsidR="003F0BCE" w:rsidRPr="00F04EDB" w:rsidRDefault="003F0BCE" w:rsidP="003F0BCE">
      <w:pPr>
        <w:spacing w:after="0" w:line="240" w:lineRule="auto"/>
      </w:pPr>
    </w:p>
    <w:p w:rsidR="00D21BCE" w:rsidRPr="00F04EDB" w:rsidRDefault="00D21BCE">
      <w:pPr>
        <w:spacing w:after="0" w:line="240" w:lineRule="auto"/>
      </w:pPr>
      <w:r w:rsidRPr="00F04EDB">
        <w:br w:type="page"/>
      </w:r>
    </w:p>
    <w:tbl>
      <w:tblPr>
        <w:tblStyle w:val="TableGrid4"/>
        <w:tblW w:w="0" w:type="auto"/>
        <w:tblInd w:w="-162" w:type="dxa"/>
        <w:tblLayout w:type="fixed"/>
        <w:tblLook w:val="04A0"/>
      </w:tblPr>
      <w:tblGrid>
        <w:gridCol w:w="2970"/>
        <w:gridCol w:w="900"/>
        <w:gridCol w:w="1260"/>
        <w:gridCol w:w="1080"/>
        <w:gridCol w:w="1170"/>
        <w:gridCol w:w="990"/>
        <w:gridCol w:w="1368"/>
      </w:tblGrid>
      <w:tr w:rsidR="00D21BCE" w:rsidRPr="00F04EDB" w:rsidTr="00571756">
        <w:tc>
          <w:tcPr>
            <w:tcW w:w="2970" w:type="dxa"/>
          </w:tcPr>
          <w:p w:rsidR="00D21BCE" w:rsidRPr="00F04EDB" w:rsidRDefault="00D21BCE" w:rsidP="00D21BCE">
            <w:pPr>
              <w:spacing w:after="0" w:line="240" w:lineRule="auto"/>
            </w:pPr>
          </w:p>
        </w:tc>
        <w:tc>
          <w:tcPr>
            <w:tcW w:w="900" w:type="dxa"/>
          </w:tcPr>
          <w:p w:rsidR="00D21BCE" w:rsidRPr="00F04EDB" w:rsidRDefault="00D21BCE" w:rsidP="00D21BCE">
            <w:pPr>
              <w:spacing w:after="0" w:line="240" w:lineRule="auto"/>
            </w:pPr>
          </w:p>
        </w:tc>
        <w:tc>
          <w:tcPr>
            <w:tcW w:w="1260" w:type="dxa"/>
          </w:tcPr>
          <w:p w:rsidR="00D21BCE" w:rsidRPr="00F04EDB" w:rsidRDefault="00D21BCE" w:rsidP="00D21BCE">
            <w:pPr>
              <w:spacing w:after="0" w:line="240" w:lineRule="auto"/>
            </w:pPr>
          </w:p>
        </w:tc>
        <w:tc>
          <w:tcPr>
            <w:tcW w:w="1080" w:type="dxa"/>
          </w:tcPr>
          <w:p w:rsidR="00D21BCE" w:rsidRPr="00F04EDB" w:rsidRDefault="00D21BCE" w:rsidP="00D21BCE">
            <w:pPr>
              <w:spacing w:after="0" w:line="240" w:lineRule="auto"/>
            </w:pPr>
          </w:p>
        </w:tc>
        <w:tc>
          <w:tcPr>
            <w:tcW w:w="1170" w:type="dxa"/>
          </w:tcPr>
          <w:p w:rsidR="00D21BCE" w:rsidRPr="00F04EDB" w:rsidRDefault="00D21BCE" w:rsidP="00D21BCE">
            <w:pPr>
              <w:spacing w:after="0" w:line="240" w:lineRule="auto"/>
            </w:pPr>
          </w:p>
        </w:tc>
        <w:tc>
          <w:tcPr>
            <w:tcW w:w="990" w:type="dxa"/>
          </w:tcPr>
          <w:p w:rsidR="00D21BCE" w:rsidRPr="00F04EDB" w:rsidRDefault="00D21BCE" w:rsidP="00D21BCE">
            <w:pPr>
              <w:spacing w:after="0" w:line="240" w:lineRule="auto"/>
            </w:pPr>
          </w:p>
        </w:tc>
        <w:tc>
          <w:tcPr>
            <w:tcW w:w="1368" w:type="dxa"/>
          </w:tcPr>
          <w:p w:rsidR="00D21BCE" w:rsidRPr="00F04EDB" w:rsidRDefault="00D21BCE" w:rsidP="00D21BCE">
            <w:pPr>
              <w:spacing w:after="0" w:line="240" w:lineRule="auto"/>
            </w:pPr>
          </w:p>
        </w:tc>
      </w:tr>
      <w:tr w:rsidR="00D21BCE" w:rsidRPr="00F04EDB" w:rsidTr="00571756">
        <w:tc>
          <w:tcPr>
            <w:tcW w:w="2970" w:type="dxa"/>
            <w:vMerge w:val="restart"/>
          </w:tcPr>
          <w:p w:rsidR="00D21BCE" w:rsidRPr="00F04EDB" w:rsidRDefault="00D21BCE" w:rsidP="00D21BCE">
            <w:pPr>
              <w:spacing w:after="0" w:line="240" w:lineRule="auto"/>
              <w:rPr>
                <w:b/>
                <w:bCs/>
                <w:color w:val="000000"/>
              </w:rPr>
            </w:pPr>
            <w:r w:rsidRPr="00F04EDB">
              <w:rPr>
                <w:b/>
                <w:bCs/>
                <w:color w:val="000000"/>
              </w:rPr>
              <w:t>Focus Area #3: Differentiated Instruction &amp; Classroom Culture</w:t>
            </w:r>
          </w:p>
        </w:tc>
        <w:tc>
          <w:tcPr>
            <w:tcW w:w="900" w:type="dxa"/>
          </w:tcPr>
          <w:p w:rsidR="00D21BCE" w:rsidRPr="00F04EDB" w:rsidRDefault="00D21BCE" w:rsidP="00D21BCE">
            <w:pPr>
              <w:spacing w:after="0" w:line="240" w:lineRule="auto"/>
            </w:pPr>
          </w:p>
        </w:tc>
        <w:tc>
          <w:tcPr>
            <w:tcW w:w="1260" w:type="dxa"/>
          </w:tcPr>
          <w:p w:rsidR="00D21BCE" w:rsidRPr="00F04EDB" w:rsidRDefault="00D21BCE" w:rsidP="00D21BCE">
            <w:pPr>
              <w:spacing w:after="0" w:line="240" w:lineRule="auto"/>
            </w:pPr>
            <w:r w:rsidRPr="00F04EDB">
              <w:t>Insufficient</w:t>
            </w:r>
          </w:p>
        </w:tc>
        <w:tc>
          <w:tcPr>
            <w:tcW w:w="1080" w:type="dxa"/>
          </w:tcPr>
          <w:p w:rsidR="00D21BCE" w:rsidRPr="00F04EDB" w:rsidRDefault="00D21BCE" w:rsidP="00D21BCE">
            <w:pPr>
              <w:spacing w:after="0" w:line="240" w:lineRule="auto"/>
            </w:pPr>
            <w:r w:rsidRPr="00F04EDB">
              <w:t>Minimal</w:t>
            </w:r>
          </w:p>
        </w:tc>
        <w:tc>
          <w:tcPr>
            <w:tcW w:w="1170" w:type="dxa"/>
          </w:tcPr>
          <w:p w:rsidR="00D21BCE" w:rsidRPr="00F04EDB" w:rsidRDefault="00D21BCE" w:rsidP="00D21BCE">
            <w:pPr>
              <w:spacing w:after="0" w:line="240" w:lineRule="auto"/>
            </w:pPr>
            <w:r w:rsidRPr="00F04EDB">
              <w:t>Moderate</w:t>
            </w:r>
          </w:p>
        </w:tc>
        <w:tc>
          <w:tcPr>
            <w:tcW w:w="990" w:type="dxa"/>
          </w:tcPr>
          <w:p w:rsidR="00D21BCE" w:rsidRPr="00F04EDB" w:rsidRDefault="00D21BCE" w:rsidP="00D21BCE">
            <w:pPr>
              <w:spacing w:after="0" w:line="240" w:lineRule="auto"/>
            </w:pPr>
            <w:r w:rsidRPr="00F04EDB">
              <w:t>Strong</w:t>
            </w:r>
          </w:p>
        </w:tc>
        <w:tc>
          <w:tcPr>
            <w:tcW w:w="1368" w:type="dxa"/>
          </w:tcPr>
          <w:p w:rsidR="00D21BCE" w:rsidRPr="00F04EDB" w:rsidRDefault="00D21BCE" w:rsidP="00D21BCE">
            <w:pPr>
              <w:spacing w:after="0" w:line="240" w:lineRule="auto"/>
            </w:pPr>
            <w:r w:rsidRPr="00F04EDB">
              <w:t>Avg Number of points</w:t>
            </w:r>
          </w:p>
        </w:tc>
      </w:tr>
      <w:tr w:rsidR="00D21BCE" w:rsidRPr="00F04EDB" w:rsidTr="00571756">
        <w:tc>
          <w:tcPr>
            <w:tcW w:w="2970" w:type="dxa"/>
            <w:vMerge/>
          </w:tcPr>
          <w:p w:rsidR="00D21BCE" w:rsidRPr="00F04EDB" w:rsidRDefault="00D21BCE" w:rsidP="00D21BCE">
            <w:pPr>
              <w:spacing w:after="0" w:line="240" w:lineRule="auto"/>
            </w:pPr>
          </w:p>
        </w:tc>
        <w:tc>
          <w:tcPr>
            <w:tcW w:w="900" w:type="dxa"/>
          </w:tcPr>
          <w:p w:rsidR="00D21BCE" w:rsidRPr="00F04EDB" w:rsidRDefault="00D21BCE" w:rsidP="00D21BCE">
            <w:pPr>
              <w:spacing w:after="0" w:line="240" w:lineRule="auto"/>
            </w:pPr>
          </w:p>
        </w:tc>
        <w:tc>
          <w:tcPr>
            <w:tcW w:w="1260" w:type="dxa"/>
          </w:tcPr>
          <w:p w:rsidR="00D21BCE" w:rsidRPr="00F04EDB" w:rsidRDefault="00D21BCE" w:rsidP="00571756">
            <w:pPr>
              <w:spacing w:after="0" w:line="240" w:lineRule="auto"/>
              <w:jc w:val="center"/>
            </w:pPr>
            <w:r w:rsidRPr="00F04EDB">
              <w:t>(0)</w:t>
            </w:r>
          </w:p>
        </w:tc>
        <w:tc>
          <w:tcPr>
            <w:tcW w:w="1080" w:type="dxa"/>
          </w:tcPr>
          <w:p w:rsidR="00D21BCE" w:rsidRPr="00F04EDB" w:rsidRDefault="00D21BCE" w:rsidP="00571756">
            <w:pPr>
              <w:spacing w:after="0" w:line="240" w:lineRule="auto"/>
              <w:jc w:val="center"/>
            </w:pPr>
            <w:r w:rsidRPr="00F04EDB">
              <w:t>(1)</w:t>
            </w:r>
          </w:p>
        </w:tc>
        <w:tc>
          <w:tcPr>
            <w:tcW w:w="1170" w:type="dxa"/>
          </w:tcPr>
          <w:p w:rsidR="00D21BCE" w:rsidRPr="00F04EDB" w:rsidRDefault="00D21BCE" w:rsidP="00571756">
            <w:pPr>
              <w:spacing w:after="0" w:line="240" w:lineRule="auto"/>
              <w:jc w:val="center"/>
            </w:pPr>
            <w:r w:rsidRPr="00F04EDB">
              <w:t>(2)</w:t>
            </w:r>
          </w:p>
        </w:tc>
        <w:tc>
          <w:tcPr>
            <w:tcW w:w="990" w:type="dxa"/>
          </w:tcPr>
          <w:p w:rsidR="00D21BCE" w:rsidRPr="00F04EDB" w:rsidRDefault="00D21BCE" w:rsidP="00571756">
            <w:pPr>
              <w:spacing w:after="0" w:line="240" w:lineRule="auto"/>
              <w:jc w:val="center"/>
            </w:pPr>
            <w:r w:rsidRPr="00F04EDB">
              <w:t>(3)</w:t>
            </w:r>
          </w:p>
        </w:tc>
        <w:tc>
          <w:tcPr>
            <w:tcW w:w="1368" w:type="dxa"/>
          </w:tcPr>
          <w:p w:rsidR="00D21BCE" w:rsidRPr="00F04EDB" w:rsidRDefault="00D21BCE" w:rsidP="00571756">
            <w:pPr>
              <w:spacing w:after="0" w:line="240" w:lineRule="auto"/>
              <w:jc w:val="center"/>
            </w:pPr>
            <w:r w:rsidRPr="00F04EDB">
              <w:t>(0 to 3)</w:t>
            </w:r>
          </w:p>
        </w:tc>
      </w:tr>
      <w:tr w:rsidR="00D21BCE" w:rsidRPr="00F04EDB" w:rsidTr="00571756">
        <w:tc>
          <w:tcPr>
            <w:tcW w:w="2970" w:type="dxa"/>
            <w:vMerge w:val="restart"/>
            <w:shd w:val="clear" w:color="auto" w:fill="BFBFBF" w:themeFill="background1" w:themeFillShade="BF"/>
          </w:tcPr>
          <w:p w:rsidR="00D21BCE" w:rsidRPr="00F04EDB" w:rsidRDefault="00D21BCE" w:rsidP="00D21BCE">
            <w:pPr>
              <w:spacing w:after="0" w:line="240" w:lineRule="auto"/>
              <w:rPr>
                <w:color w:val="000000"/>
              </w:rPr>
            </w:pPr>
            <w:r w:rsidRPr="00F04EDB">
              <w:rPr>
                <w:color w:val="000000"/>
              </w:rPr>
              <w:t>8. The teacher appropriately differentiates instruction so the lesson content is accessible for all learners.</w:t>
            </w:r>
          </w:p>
        </w:tc>
        <w:tc>
          <w:tcPr>
            <w:tcW w:w="900" w:type="dxa"/>
            <w:shd w:val="clear" w:color="auto" w:fill="BFBFBF" w:themeFill="background1" w:themeFillShade="BF"/>
          </w:tcPr>
          <w:p w:rsidR="00D21BCE" w:rsidRPr="00F04EDB" w:rsidRDefault="00D21BCE" w:rsidP="00D21BCE">
            <w:pPr>
              <w:spacing w:after="0" w:line="240" w:lineRule="auto"/>
              <w:rPr>
                <w:b/>
                <w:bCs/>
                <w:color w:val="000000"/>
              </w:rPr>
            </w:pPr>
            <w:r w:rsidRPr="00F04EDB">
              <w:rPr>
                <w:b/>
                <w:bCs/>
                <w:color w:val="000000"/>
              </w:rPr>
              <w:t>ES</w:t>
            </w:r>
          </w:p>
        </w:tc>
        <w:tc>
          <w:tcPr>
            <w:tcW w:w="1260" w:type="dxa"/>
            <w:shd w:val="clear" w:color="auto" w:fill="BFBFBF" w:themeFill="background1" w:themeFillShade="BF"/>
          </w:tcPr>
          <w:p w:rsidR="00D21BCE" w:rsidRPr="00F04EDB" w:rsidRDefault="00571756" w:rsidP="00571756">
            <w:pPr>
              <w:spacing w:after="0" w:line="240" w:lineRule="auto"/>
              <w:jc w:val="center"/>
            </w:pPr>
            <w:r>
              <w:t>22%</w:t>
            </w:r>
          </w:p>
        </w:tc>
        <w:tc>
          <w:tcPr>
            <w:tcW w:w="1080" w:type="dxa"/>
            <w:shd w:val="clear" w:color="auto" w:fill="BFBFBF" w:themeFill="background1" w:themeFillShade="BF"/>
          </w:tcPr>
          <w:p w:rsidR="00D21BCE" w:rsidRPr="00F04EDB" w:rsidRDefault="00AD627B" w:rsidP="00571756">
            <w:pPr>
              <w:spacing w:after="0" w:line="240" w:lineRule="auto"/>
              <w:jc w:val="center"/>
            </w:pPr>
            <w:r>
              <w:t>27%</w:t>
            </w:r>
          </w:p>
        </w:tc>
        <w:tc>
          <w:tcPr>
            <w:tcW w:w="1170" w:type="dxa"/>
            <w:shd w:val="clear" w:color="auto" w:fill="BFBFBF" w:themeFill="background1" w:themeFillShade="BF"/>
          </w:tcPr>
          <w:p w:rsidR="00D21BCE" w:rsidRPr="00F04EDB" w:rsidRDefault="00AD627B" w:rsidP="00571756">
            <w:pPr>
              <w:spacing w:after="0" w:line="240" w:lineRule="auto"/>
              <w:jc w:val="center"/>
            </w:pPr>
            <w:r>
              <w:t>33%</w:t>
            </w:r>
          </w:p>
        </w:tc>
        <w:tc>
          <w:tcPr>
            <w:tcW w:w="990" w:type="dxa"/>
            <w:shd w:val="clear" w:color="auto" w:fill="BFBFBF" w:themeFill="background1" w:themeFillShade="BF"/>
          </w:tcPr>
          <w:p w:rsidR="00D21BCE" w:rsidRPr="00F04EDB" w:rsidRDefault="00AD627B" w:rsidP="00571756">
            <w:pPr>
              <w:spacing w:after="0" w:line="240" w:lineRule="auto"/>
              <w:jc w:val="center"/>
            </w:pPr>
            <w:r>
              <w:t>18%</w:t>
            </w:r>
          </w:p>
        </w:tc>
        <w:tc>
          <w:tcPr>
            <w:tcW w:w="1368" w:type="dxa"/>
            <w:shd w:val="clear" w:color="auto" w:fill="BFBFBF" w:themeFill="background1" w:themeFillShade="BF"/>
          </w:tcPr>
          <w:p w:rsidR="00D21BCE" w:rsidRPr="00F04EDB" w:rsidRDefault="00AD627B" w:rsidP="00571756">
            <w:pPr>
              <w:spacing w:after="0" w:line="240" w:lineRule="auto"/>
              <w:jc w:val="center"/>
            </w:pPr>
            <w:r>
              <w:t>1.5</w:t>
            </w:r>
          </w:p>
        </w:tc>
      </w:tr>
      <w:tr w:rsidR="00D21BCE" w:rsidRPr="00F04EDB" w:rsidTr="00571756">
        <w:tc>
          <w:tcPr>
            <w:tcW w:w="2970" w:type="dxa"/>
            <w:vMerge/>
            <w:shd w:val="clear" w:color="auto" w:fill="BFBFBF" w:themeFill="background1" w:themeFillShade="BF"/>
            <w:vAlign w:val="center"/>
          </w:tcPr>
          <w:p w:rsidR="00D21BCE" w:rsidRPr="00F04EDB" w:rsidRDefault="00D21BCE" w:rsidP="00D21BCE">
            <w:pPr>
              <w:spacing w:after="0" w:line="240" w:lineRule="auto"/>
            </w:pPr>
          </w:p>
        </w:tc>
        <w:tc>
          <w:tcPr>
            <w:tcW w:w="900" w:type="dxa"/>
            <w:shd w:val="clear" w:color="auto" w:fill="BFBFBF" w:themeFill="background1" w:themeFillShade="BF"/>
          </w:tcPr>
          <w:p w:rsidR="00D21BCE" w:rsidRPr="00F04EDB" w:rsidRDefault="00D21BCE" w:rsidP="00D21BCE">
            <w:pPr>
              <w:spacing w:after="0" w:line="240" w:lineRule="auto"/>
              <w:rPr>
                <w:b/>
                <w:bCs/>
                <w:color w:val="000000"/>
              </w:rPr>
            </w:pPr>
            <w:r w:rsidRPr="00F04EDB">
              <w:rPr>
                <w:b/>
                <w:bCs/>
                <w:color w:val="000000"/>
              </w:rPr>
              <w:t>MS</w:t>
            </w:r>
          </w:p>
        </w:tc>
        <w:tc>
          <w:tcPr>
            <w:tcW w:w="1260" w:type="dxa"/>
            <w:shd w:val="clear" w:color="auto" w:fill="BFBFBF" w:themeFill="background1" w:themeFillShade="BF"/>
          </w:tcPr>
          <w:p w:rsidR="00D21BCE" w:rsidRPr="00F04EDB" w:rsidRDefault="00571756" w:rsidP="00571756">
            <w:pPr>
              <w:spacing w:after="0" w:line="240" w:lineRule="auto"/>
              <w:jc w:val="center"/>
            </w:pPr>
            <w:r>
              <w:t>10%</w:t>
            </w:r>
          </w:p>
        </w:tc>
        <w:tc>
          <w:tcPr>
            <w:tcW w:w="1080" w:type="dxa"/>
            <w:shd w:val="clear" w:color="auto" w:fill="BFBFBF" w:themeFill="background1" w:themeFillShade="BF"/>
          </w:tcPr>
          <w:p w:rsidR="00D21BCE" w:rsidRPr="00F04EDB" w:rsidRDefault="00AD627B" w:rsidP="00571756">
            <w:pPr>
              <w:spacing w:after="0" w:line="240" w:lineRule="auto"/>
              <w:jc w:val="center"/>
            </w:pPr>
            <w:r>
              <w:t>32%</w:t>
            </w:r>
          </w:p>
        </w:tc>
        <w:tc>
          <w:tcPr>
            <w:tcW w:w="1170" w:type="dxa"/>
            <w:shd w:val="clear" w:color="auto" w:fill="BFBFBF" w:themeFill="background1" w:themeFillShade="BF"/>
          </w:tcPr>
          <w:p w:rsidR="00D21BCE" w:rsidRPr="00F04EDB" w:rsidRDefault="00AD627B" w:rsidP="00571756">
            <w:pPr>
              <w:spacing w:after="0" w:line="240" w:lineRule="auto"/>
              <w:jc w:val="center"/>
            </w:pPr>
            <w:r>
              <w:t>26%</w:t>
            </w:r>
          </w:p>
        </w:tc>
        <w:tc>
          <w:tcPr>
            <w:tcW w:w="990" w:type="dxa"/>
            <w:shd w:val="clear" w:color="auto" w:fill="BFBFBF" w:themeFill="background1" w:themeFillShade="BF"/>
          </w:tcPr>
          <w:p w:rsidR="00D21BCE" w:rsidRPr="00F04EDB" w:rsidRDefault="00AD627B" w:rsidP="00571756">
            <w:pPr>
              <w:spacing w:after="0" w:line="240" w:lineRule="auto"/>
              <w:jc w:val="center"/>
            </w:pPr>
            <w:r>
              <w:t>32%</w:t>
            </w:r>
          </w:p>
        </w:tc>
        <w:tc>
          <w:tcPr>
            <w:tcW w:w="1368" w:type="dxa"/>
            <w:shd w:val="clear" w:color="auto" w:fill="BFBFBF" w:themeFill="background1" w:themeFillShade="BF"/>
          </w:tcPr>
          <w:p w:rsidR="00D21BCE" w:rsidRPr="00F04EDB" w:rsidRDefault="00AD627B" w:rsidP="00571756">
            <w:pPr>
              <w:spacing w:after="0" w:line="240" w:lineRule="auto"/>
              <w:jc w:val="center"/>
            </w:pPr>
            <w:r>
              <w:t>1.8</w:t>
            </w:r>
          </w:p>
        </w:tc>
      </w:tr>
      <w:tr w:rsidR="00D21BCE" w:rsidRPr="00F04EDB" w:rsidTr="00571756">
        <w:tc>
          <w:tcPr>
            <w:tcW w:w="2970" w:type="dxa"/>
            <w:vMerge/>
            <w:shd w:val="clear" w:color="auto" w:fill="BFBFBF" w:themeFill="background1" w:themeFillShade="BF"/>
            <w:vAlign w:val="center"/>
          </w:tcPr>
          <w:p w:rsidR="00D21BCE" w:rsidRPr="00F04EDB" w:rsidRDefault="00D21BCE" w:rsidP="00D21BCE">
            <w:pPr>
              <w:spacing w:after="0" w:line="240" w:lineRule="auto"/>
            </w:pPr>
          </w:p>
        </w:tc>
        <w:tc>
          <w:tcPr>
            <w:tcW w:w="900" w:type="dxa"/>
            <w:shd w:val="clear" w:color="auto" w:fill="BFBFBF" w:themeFill="background1" w:themeFillShade="BF"/>
          </w:tcPr>
          <w:p w:rsidR="00D21BCE" w:rsidRPr="00F04EDB" w:rsidRDefault="00D21BCE" w:rsidP="00D21BCE">
            <w:pPr>
              <w:spacing w:after="0" w:line="240" w:lineRule="auto"/>
              <w:rPr>
                <w:b/>
                <w:bCs/>
                <w:color w:val="000000"/>
              </w:rPr>
            </w:pPr>
            <w:r w:rsidRPr="00F04EDB">
              <w:rPr>
                <w:b/>
                <w:bCs/>
                <w:color w:val="000000"/>
              </w:rPr>
              <w:t>HS</w:t>
            </w:r>
          </w:p>
        </w:tc>
        <w:tc>
          <w:tcPr>
            <w:tcW w:w="1260" w:type="dxa"/>
            <w:shd w:val="clear" w:color="auto" w:fill="BFBFBF" w:themeFill="background1" w:themeFillShade="BF"/>
          </w:tcPr>
          <w:p w:rsidR="00D21BCE" w:rsidRPr="00F04EDB" w:rsidRDefault="00571756" w:rsidP="00571756">
            <w:pPr>
              <w:spacing w:after="0" w:line="240" w:lineRule="auto"/>
              <w:jc w:val="center"/>
            </w:pPr>
            <w:r>
              <w:t>33%</w:t>
            </w:r>
          </w:p>
        </w:tc>
        <w:tc>
          <w:tcPr>
            <w:tcW w:w="1080" w:type="dxa"/>
            <w:shd w:val="clear" w:color="auto" w:fill="BFBFBF" w:themeFill="background1" w:themeFillShade="BF"/>
          </w:tcPr>
          <w:p w:rsidR="00D21BCE" w:rsidRPr="00F04EDB" w:rsidRDefault="00AD627B" w:rsidP="00571756">
            <w:pPr>
              <w:spacing w:after="0" w:line="240" w:lineRule="auto"/>
              <w:jc w:val="center"/>
            </w:pPr>
            <w:r>
              <w:t>33%</w:t>
            </w:r>
          </w:p>
        </w:tc>
        <w:tc>
          <w:tcPr>
            <w:tcW w:w="1170" w:type="dxa"/>
            <w:shd w:val="clear" w:color="auto" w:fill="BFBFBF" w:themeFill="background1" w:themeFillShade="BF"/>
          </w:tcPr>
          <w:p w:rsidR="00D21BCE" w:rsidRPr="00F04EDB" w:rsidRDefault="00AD627B" w:rsidP="00571756">
            <w:pPr>
              <w:spacing w:after="0" w:line="240" w:lineRule="auto"/>
              <w:jc w:val="center"/>
            </w:pPr>
            <w:r>
              <w:t>15%</w:t>
            </w:r>
          </w:p>
        </w:tc>
        <w:tc>
          <w:tcPr>
            <w:tcW w:w="990" w:type="dxa"/>
            <w:shd w:val="clear" w:color="auto" w:fill="BFBFBF" w:themeFill="background1" w:themeFillShade="BF"/>
          </w:tcPr>
          <w:p w:rsidR="00D21BCE" w:rsidRPr="00F04EDB" w:rsidRDefault="00AD627B" w:rsidP="00571756">
            <w:pPr>
              <w:spacing w:after="0" w:line="240" w:lineRule="auto"/>
              <w:jc w:val="center"/>
            </w:pPr>
            <w:r>
              <w:t>19%</w:t>
            </w:r>
          </w:p>
        </w:tc>
        <w:tc>
          <w:tcPr>
            <w:tcW w:w="1368" w:type="dxa"/>
            <w:shd w:val="clear" w:color="auto" w:fill="BFBFBF" w:themeFill="background1" w:themeFillShade="BF"/>
          </w:tcPr>
          <w:p w:rsidR="00D21BCE" w:rsidRPr="00F04EDB" w:rsidRDefault="00AD627B" w:rsidP="00571756">
            <w:pPr>
              <w:spacing w:after="0" w:line="240" w:lineRule="auto"/>
              <w:jc w:val="center"/>
            </w:pPr>
            <w:r>
              <w:t>1.2</w:t>
            </w:r>
          </w:p>
        </w:tc>
      </w:tr>
      <w:tr w:rsidR="00D21BCE" w:rsidRPr="00F04EDB" w:rsidTr="00571756">
        <w:tc>
          <w:tcPr>
            <w:tcW w:w="2970" w:type="dxa"/>
            <w:vMerge/>
            <w:shd w:val="clear" w:color="auto" w:fill="BFBFBF" w:themeFill="background1" w:themeFillShade="BF"/>
            <w:vAlign w:val="center"/>
          </w:tcPr>
          <w:p w:rsidR="00D21BCE" w:rsidRPr="00F04EDB" w:rsidRDefault="00D21BCE" w:rsidP="00D21BCE">
            <w:pPr>
              <w:spacing w:after="0" w:line="240" w:lineRule="auto"/>
            </w:pPr>
          </w:p>
        </w:tc>
        <w:tc>
          <w:tcPr>
            <w:tcW w:w="900" w:type="dxa"/>
            <w:shd w:val="clear" w:color="auto" w:fill="BFBFBF" w:themeFill="background1" w:themeFillShade="BF"/>
          </w:tcPr>
          <w:p w:rsidR="00D21BCE" w:rsidRPr="00F04EDB" w:rsidRDefault="00D21BCE" w:rsidP="00D21BCE">
            <w:pPr>
              <w:spacing w:after="0" w:line="240" w:lineRule="auto"/>
              <w:rPr>
                <w:b/>
                <w:bCs/>
                <w:color w:val="000000"/>
              </w:rPr>
            </w:pPr>
            <w:r w:rsidRPr="00F04EDB">
              <w:rPr>
                <w:b/>
                <w:bCs/>
                <w:color w:val="000000"/>
              </w:rPr>
              <w:t>Total  #</w:t>
            </w:r>
          </w:p>
        </w:tc>
        <w:tc>
          <w:tcPr>
            <w:tcW w:w="1260" w:type="dxa"/>
            <w:shd w:val="clear" w:color="auto" w:fill="BFBFBF" w:themeFill="background1" w:themeFillShade="BF"/>
          </w:tcPr>
          <w:p w:rsidR="00D21BCE" w:rsidRPr="00F04EDB" w:rsidRDefault="00571756" w:rsidP="00571756">
            <w:pPr>
              <w:spacing w:after="0" w:line="240" w:lineRule="auto"/>
              <w:jc w:val="center"/>
            </w:pPr>
            <w:r>
              <w:t>56</w:t>
            </w:r>
          </w:p>
        </w:tc>
        <w:tc>
          <w:tcPr>
            <w:tcW w:w="1080" w:type="dxa"/>
            <w:shd w:val="clear" w:color="auto" w:fill="BFBFBF" w:themeFill="background1" w:themeFillShade="BF"/>
          </w:tcPr>
          <w:p w:rsidR="00D21BCE" w:rsidRPr="00F04EDB" w:rsidRDefault="00AD627B" w:rsidP="00571756">
            <w:pPr>
              <w:spacing w:after="0" w:line="240" w:lineRule="auto"/>
              <w:jc w:val="center"/>
            </w:pPr>
            <w:r>
              <w:t>72</w:t>
            </w:r>
          </w:p>
        </w:tc>
        <w:tc>
          <w:tcPr>
            <w:tcW w:w="1170" w:type="dxa"/>
            <w:shd w:val="clear" w:color="auto" w:fill="BFBFBF" w:themeFill="background1" w:themeFillShade="BF"/>
          </w:tcPr>
          <w:p w:rsidR="00D21BCE" w:rsidRPr="00F04EDB" w:rsidRDefault="00AD627B" w:rsidP="00571756">
            <w:pPr>
              <w:spacing w:after="0" w:line="240" w:lineRule="auto"/>
              <w:jc w:val="center"/>
            </w:pPr>
            <w:r>
              <w:t>71</w:t>
            </w:r>
          </w:p>
        </w:tc>
        <w:tc>
          <w:tcPr>
            <w:tcW w:w="990" w:type="dxa"/>
            <w:shd w:val="clear" w:color="auto" w:fill="BFBFBF" w:themeFill="background1" w:themeFillShade="BF"/>
          </w:tcPr>
          <w:p w:rsidR="00D21BCE" w:rsidRPr="00F04EDB" w:rsidRDefault="00AD627B" w:rsidP="00571756">
            <w:pPr>
              <w:spacing w:after="0" w:line="240" w:lineRule="auto"/>
              <w:jc w:val="center"/>
            </w:pPr>
            <w:r>
              <w:t>50</w:t>
            </w:r>
          </w:p>
        </w:tc>
        <w:tc>
          <w:tcPr>
            <w:tcW w:w="1368" w:type="dxa"/>
            <w:shd w:val="clear" w:color="auto" w:fill="BFBFBF" w:themeFill="background1" w:themeFillShade="BF"/>
          </w:tcPr>
          <w:p w:rsidR="00D21BCE" w:rsidRPr="00F04EDB" w:rsidRDefault="00AD627B" w:rsidP="00571756">
            <w:pPr>
              <w:spacing w:after="0" w:line="240" w:lineRule="auto"/>
              <w:jc w:val="center"/>
            </w:pPr>
            <w:r>
              <w:t>1.5</w:t>
            </w:r>
          </w:p>
        </w:tc>
      </w:tr>
      <w:tr w:rsidR="00D21BCE" w:rsidRPr="00F04EDB" w:rsidTr="00571756">
        <w:tc>
          <w:tcPr>
            <w:tcW w:w="2970" w:type="dxa"/>
            <w:vMerge/>
            <w:shd w:val="clear" w:color="auto" w:fill="BFBFBF" w:themeFill="background1" w:themeFillShade="BF"/>
            <w:vAlign w:val="center"/>
          </w:tcPr>
          <w:p w:rsidR="00D21BCE" w:rsidRPr="00F04EDB" w:rsidRDefault="00D21BCE" w:rsidP="00D21BCE">
            <w:pPr>
              <w:spacing w:after="0" w:line="240" w:lineRule="auto"/>
            </w:pPr>
          </w:p>
        </w:tc>
        <w:tc>
          <w:tcPr>
            <w:tcW w:w="900" w:type="dxa"/>
            <w:shd w:val="clear" w:color="auto" w:fill="BFBFBF" w:themeFill="background1" w:themeFillShade="BF"/>
          </w:tcPr>
          <w:p w:rsidR="00D21BCE" w:rsidRPr="00F04EDB" w:rsidRDefault="00D21BCE" w:rsidP="00D21BCE">
            <w:pPr>
              <w:spacing w:after="0" w:line="240" w:lineRule="auto"/>
              <w:rPr>
                <w:b/>
                <w:bCs/>
                <w:color w:val="000000"/>
              </w:rPr>
            </w:pPr>
            <w:r w:rsidRPr="00F04EDB">
              <w:rPr>
                <w:b/>
                <w:bCs/>
                <w:color w:val="000000"/>
              </w:rPr>
              <w:t>Total %</w:t>
            </w:r>
          </w:p>
        </w:tc>
        <w:tc>
          <w:tcPr>
            <w:tcW w:w="1260" w:type="dxa"/>
            <w:shd w:val="clear" w:color="auto" w:fill="BFBFBF" w:themeFill="background1" w:themeFillShade="BF"/>
          </w:tcPr>
          <w:p w:rsidR="00D21BCE" w:rsidRPr="00F04EDB" w:rsidRDefault="00571756" w:rsidP="00571756">
            <w:pPr>
              <w:spacing w:after="0" w:line="240" w:lineRule="auto"/>
              <w:jc w:val="center"/>
            </w:pPr>
            <w:r>
              <w:t>22%</w:t>
            </w:r>
          </w:p>
        </w:tc>
        <w:tc>
          <w:tcPr>
            <w:tcW w:w="1080" w:type="dxa"/>
            <w:shd w:val="clear" w:color="auto" w:fill="BFBFBF" w:themeFill="background1" w:themeFillShade="BF"/>
          </w:tcPr>
          <w:p w:rsidR="00D21BCE" w:rsidRPr="00F04EDB" w:rsidRDefault="00AD627B" w:rsidP="00571756">
            <w:pPr>
              <w:spacing w:after="0" w:line="240" w:lineRule="auto"/>
              <w:jc w:val="center"/>
            </w:pPr>
            <w:r>
              <w:t>29%</w:t>
            </w:r>
          </w:p>
        </w:tc>
        <w:tc>
          <w:tcPr>
            <w:tcW w:w="1170" w:type="dxa"/>
            <w:shd w:val="clear" w:color="auto" w:fill="BFBFBF" w:themeFill="background1" w:themeFillShade="BF"/>
          </w:tcPr>
          <w:p w:rsidR="00D21BCE" w:rsidRPr="00F04EDB" w:rsidRDefault="00AD627B" w:rsidP="00571756">
            <w:pPr>
              <w:spacing w:after="0" w:line="240" w:lineRule="auto"/>
              <w:jc w:val="center"/>
            </w:pPr>
            <w:r>
              <w:t>29%</w:t>
            </w:r>
          </w:p>
        </w:tc>
        <w:tc>
          <w:tcPr>
            <w:tcW w:w="990" w:type="dxa"/>
            <w:shd w:val="clear" w:color="auto" w:fill="BFBFBF" w:themeFill="background1" w:themeFillShade="BF"/>
          </w:tcPr>
          <w:p w:rsidR="00D21BCE" w:rsidRPr="00F04EDB" w:rsidRDefault="00AD627B" w:rsidP="00571756">
            <w:pPr>
              <w:spacing w:after="0" w:line="240" w:lineRule="auto"/>
              <w:jc w:val="center"/>
            </w:pPr>
            <w:r>
              <w:t>20%</w:t>
            </w:r>
          </w:p>
        </w:tc>
        <w:tc>
          <w:tcPr>
            <w:tcW w:w="1368" w:type="dxa"/>
            <w:shd w:val="clear" w:color="auto" w:fill="BFBFBF" w:themeFill="background1" w:themeFillShade="BF"/>
          </w:tcPr>
          <w:p w:rsidR="00D21BCE" w:rsidRPr="00F04EDB" w:rsidRDefault="00D21BCE" w:rsidP="00571756">
            <w:pPr>
              <w:spacing w:after="0" w:line="240" w:lineRule="auto"/>
              <w:jc w:val="center"/>
            </w:pPr>
          </w:p>
        </w:tc>
      </w:tr>
      <w:tr w:rsidR="00D21BCE" w:rsidRPr="00F04EDB" w:rsidTr="00571756">
        <w:tc>
          <w:tcPr>
            <w:tcW w:w="2970" w:type="dxa"/>
            <w:vMerge w:val="restart"/>
          </w:tcPr>
          <w:p w:rsidR="00D21BCE" w:rsidRPr="00F04EDB" w:rsidRDefault="00D21BCE" w:rsidP="00571756">
            <w:pPr>
              <w:spacing w:after="0" w:line="240" w:lineRule="auto"/>
              <w:rPr>
                <w:color w:val="000000"/>
              </w:rPr>
            </w:pPr>
            <w:r w:rsidRPr="00F04EDB">
              <w:rPr>
                <w:color w:val="000000"/>
              </w:rPr>
              <w:t xml:space="preserve">9. </w:t>
            </w:r>
            <w:r w:rsidRPr="00571756">
              <w:rPr>
                <w:color w:val="000000"/>
                <w:sz w:val="21"/>
                <w:szCs w:val="21"/>
              </w:rPr>
              <w:t>The teacher uses appropriate resources aligned to students' diverse lear</w:t>
            </w:r>
            <w:r w:rsidR="00571756" w:rsidRPr="00571756">
              <w:rPr>
                <w:color w:val="000000"/>
                <w:sz w:val="21"/>
                <w:szCs w:val="21"/>
              </w:rPr>
              <w:t xml:space="preserve">ning needs. (e.g., </w:t>
            </w:r>
            <w:r w:rsidRPr="00571756">
              <w:rPr>
                <w:color w:val="000000"/>
                <w:sz w:val="21"/>
                <w:szCs w:val="21"/>
              </w:rPr>
              <w:t xml:space="preserve">technology, manipulatives, support </w:t>
            </w:r>
            <w:r w:rsidR="00571756" w:rsidRPr="00571756">
              <w:rPr>
                <w:color w:val="000000"/>
                <w:sz w:val="21"/>
                <w:szCs w:val="21"/>
              </w:rPr>
              <w:t>personnel).</w:t>
            </w:r>
          </w:p>
        </w:tc>
        <w:tc>
          <w:tcPr>
            <w:tcW w:w="900" w:type="dxa"/>
          </w:tcPr>
          <w:p w:rsidR="00D21BCE" w:rsidRPr="00F04EDB" w:rsidRDefault="00D21BCE" w:rsidP="00D21BCE">
            <w:pPr>
              <w:spacing w:after="0" w:line="240" w:lineRule="auto"/>
              <w:rPr>
                <w:b/>
                <w:bCs/>
                <w:color w:val="000000"/>
              </w:rPr>
            </w:pPr>
            <w:r w:rsidRPr="00F04EDB">
              <w:rPr>
                <w:b/>
                <w:bCs/>
                <w:color w:val="000000"/>
              </w:rPr>
              <w:t>ES</w:t>
            </w:r>
          </w:p>
        </w:tc>
        <w:tc>
          <w:tcPr>
            <w:tcW w:w="1260" w:type="dxa"/>
          </w:tcPr>
          <w:p w:rsidR="00D21BCE" w:rsidRPr="00F04EDB" w:rsidRDefault="00571756" w:rsidP="00571756">
            <w:pPr>
              <w:spacing w:after="0" w:line="240" w:lineRule="auto"/>
              <w:jc w:val="center"/>
            </w:pPr>
            <w:r>
              <w:t>11%</w:t>
            </w:r>
          </w:p>
        </w:tc>
        <w:tc>
          <w:tcPr>
            <w:tcW w:w="1080" w:type="dxa"/>
          </w:tcPr>
          <w:p w:rsidR="00D21BCE" w:rsidRPr="00F04EDB" w:rsidRDefault="00AD627B" w:rsidP="00571756">
            <w:pPr>
              <w:spacing w:after="0" w:line="240" w:lineRule="auto"/>
              <w:jc w:val="center"/>
            </w:pPr>
            <w:r>
              <w:t>32%</w:t>
            </w:r>
          </w:p>
        </w:tc>
        <w:tc>
          <w:tcPr>
            <w:tcW w:w="1170" w:type="dxa"/>
          </w:tcPr>
          <w:p w:rsidR="00D21BCE" w:rsidRPr="00F04EDB" w:rsidRDefault="00AD627B" w:rsidP="00571756">
            <w:pPr>
              <w:spacing w:after="0" w:line="240" w:lineRule="auto"/>
              <w:jc w:val="center"/>
            </w:pPr>
            <w:r>
              <w:t>39%</w:t>
            </w:r>
          </w:p>
        </w:tc>
        <w:tc>
          <w:tcPr>
            <w:tcW w:w="990" w:type="dxa"/>
          </w:tcPr>
          <w:p w:rsidR="00D21BCE" w:rsidRPr="00F04EDB" w:rsidRDefault="00AD627B" w:rsidP="00571756">
            <w:pPr>
              <w:spacing w:after="0" w:line="240" w:lineRule="auto"/>
              <w:jc w:val="center"/>
            </w:pPr>
            <w:r>
              <w:t>19%</w:t>
            </w:r>
          </w:p>
        </w:tc>
        <w:tc>
          <w:tcPr>
            <w:tcW w:w="1368" w:type="dxa"/>
          </w:tcPr>
          <w:p w:rsidR="00D21BCE" w:rsidRPr="00F04EDB" w:rsidRDefault="00AD627B" w:rsidP="00571756">
            <w:pPr>
              <w:spacing w:after="0" w:line="240" w:lineRule="auto"/>
              <w:jc w:val="center"/>
            </w:pPr>
            <w:r>
              <w:t>1.7</w:t>
            </w:r>
          </w:p>
        </w:tc>
      </w:tr>
      <w:tr w:rsidR="00D21BCE" w:rsidRPr="00F04EDB" w:rsidTr="00571756">
        <w:tc>
          <w:tcPr>
            <w:tcW w:w="2970" w:type="dxa"/>
            <w:vMerge/>
            <w:vAlign w:val="center"/>
          </w:tcPr>
          <w:p w:rsidR="00D21BCE" w:rsidRPr="00F04EDB" w:rsidRDefault="00D21BCE" w:rsidP="00D21BCE">
            <w:pPr>
              <w:spacing w:after="0" w:line="240" w:lineRule="auto"/>
            </w:pPr>
          </w:p>
        </w:tc>
        <w:tc>
          <w:tcPr>
            <w:tcW w:w="900" w:type="dxa"/>
          </w:tcPr>
          <w:p w:rsidR="00D21BCE" w:rsidRPr="00F04EDB" w:rsidRDefault="00D21BCE" w:rsidP="00D21BCE">
            <w:pPr>
              <w:spacing w:after="0" w:line="240" w:lineRule="auto"/>
              <w:rPr>
                <w:b/>
                <w:bCs/>
                <w:color w:val="000000"/>
              </w:rPr>
            </w:pPr>
            <w:r w:rsidRPr="00F04EDB">
              <w:rPr>
                <w:b/>
                <w:bCs/>
                <w:color w:val="000000"/>
              </w:rPr>
              <w:t>MS</w:t>
            </w:r>
          </w:p>
        </w:tc>
        <w:tc>
          <w:tcPr>
            <w:tcW w:w="1260" w:type="dxa"/>
          </w:tcPr>
          <w:p w:rsidR="00D21BCE" w:rsidRPr="00F04EDB" w:rsidRDefault="00571756" w:rsidP="00571756">
            <w:pPr>
              <w:spacing w:after="0" w:line="240" w:lineRule="auto"/>
              <w:jc w:val="center"/>
            </w:pPr>
            <w:r>
              <w:t>13%</w:t>
            </w:r>
          </w:p>
        </w:tc>
        <w:tc>
          <w:tcPr>
            <w:tcW w:w="1080" w:type="dxa"/>
          </w:tcPr>
          <w:p w:rsidR="00D21BCE" w:rsidRPr="00F04EDB" w:rsidRDefault="00AD627B" w:rsidP="00571756">
            <w:pPr>
              <w:spacing w:after="0" w:line="240" w:lineRule="auto"/>
              <w:jc w:val="center"/>
            </w:pPr>
            <w:r>
              <w:t>13%</w:t>
            </w:r>
          </w:p>
        </w:tc>
        <w:tc>
          <w:tcPr>
            <w:tcW w:w="1170" w:type="dxa"/>
          </w:tcPr>
          <w:p w:rsidR="00D21BCE" w:rsidRPr="00F04EDB" w:rsidRDefault="00AD627B" w:rsidP="00571756">
            <w:pPr>
              <w:spacing w:after="0" w:line="240" w:lineRule="auto"/>
              <w:jc w:val="center"/>
            </w:pPr>
            <w:r>
              <w:t>35%</w:t>
            </w:r>
          </w:p>
        </w:tc>
        <w:tc>
          <w:tcPr>
            <w:tcW w:w="990" w:type="dxa"/>
          </w:tcPr>
          <w:p w:rsidR="00D21BCE" w:rsidRPr="00F04EDB" w:rsidRDefault="00AD627B" w:rsidP="00571756">
            <w:pPr>
              <w:spacing w:after="0" w:line="240" w:lineRule="auto"/>
              <w:jc w:val="center"/>
            </w:pPr>
            <w:r>
              <w:t>39%</w:t>
            </w:r>
          </w:p>
        </w:tc>
        <w:tc>
          <w:tcPr>
            <w:tcW w:w="1368" w:type="dxa"/>
          </w:tcPr>
          <w:p w:rsidR="00D21BCE" w:rsidRPr="00F04EDB" w:rsidRDefault="00AD627B" w:rsidP="00571756">
            <w:pPr>
              <w:spacing w:after="0" w:line="240" w:lineRule="auto"/>
              <w:jc w:val="center"/>
            </w:pPr>
            <w:r>
              <w:t>2.0</w:t>
            </w:r>
          </w:p>
        </w:tc>
      </w:tr>
      <w:tr w:rsidR="00D21BCE" w:rsidRPr="00F04EDB" w:rsidTr="00571756">
        <w:tc>
          <w:tcPr>
            <w:tcW w:w="2970" w:type="dxa"/>
            <w:vMerge/>
            <w:vAlign w:val="center"/>
          </w:tcPr>
          <w:p w:rsidR="00D21BCE" w:rsidRPr="00F04EDB" w:rsidRDefault="00D21BCE" w:rsidP="00D21BCE">
            <w:pPr>
              <w:spacing w:after="0" w:line="240" w:lineRule="auto"/>
            </w:pPr>
          </w:p>
        </w:tc>
        <w:tc>
          <w:tcPr>
            <w:tcW w:w="900" w:type="dxa"/>
          </w:tcPr>
          <w:p w:rsidR="00D21BCE" w:rsidRPr="00F04EDB" w:rsidRDefault="00D21BCE" w:rsidP="00D21BCE">
            <w:pPr>
              <w:spacing w:after="0" w:line="240" w:lineRule="auto"/>
              <w:rPr>
                <w:b/>
                <w:bCs/>
                <w:color w:val="000000"/>
              </w:rPr>
            </w:pPr>
            <w:r w:rsidRPr="00F04EDB">
              <w:rPr>
                <w:b/>
                <w:bCs/>
                <w:color w:val="000000"/>
              </w:rPr>
              <w:t>HS</w:t>
            </w:r>
          </w:p>
        </w:tc>
        <w:tc>
          <w:tcPr>
            <w:tcW w:w="1260" w:type="dxa"/>
          </w:tcPr>
          <w:p w:rsidR="00D21BCE" w:rsidRPr="00F04EDB" w:rsidRDefault="00571756" w:rsidP="00571756">
            <w:pPr>
              <w:spacing w:after="0" w:line="240" w:lineRule="auto"/>
              <w:jc w:val="center"/>
            </w:pPr>
            <w:r>
              <w:t>40%</w:t>
            </w:r>
          </w:p>
        </w:tc>
        <w:tc>
          <w:tcPr>
            <w:tcW w:w="1080" w:type="dxa"/>
          </w:tcPr>
          <w:p w:rsidR="00D21BCE" w:rsidRPr="00F04EDB" w:rsidRDefault="00AD627B" w:rsidP="00571756">
            <w:pPr>
              <w:spacing w:after="0" w:line="240" w:lineRule="auto"/>
              <w:jc w:val="center"/>
            </w:pPr>
            <w:r>
              <w:t>15%</w:t>
            </w:r>
          </w:p>
        </w:tc>
        <w:tc>
          <w:tcPr>
            <w:tcW w:w="1170" w:type="dxa"/>
          </w:tcPr>
          <w:p w:rsidR="00D21BCE" w:rsidRPr="00F04EDB" w:rsidRDefault="00AD627B" w:rsidP="00571756">
            <w:pPr>
              <w:spacing w:after="0" w:line="240" w:lineRule="auto"/>
              <w:jc w:val="center"/>
            </w:pPr>
            <w:r>
              <w:t>29%</w:t>
            </w:r>
          </w:p>
        </w:tc>
        <w:tc>
          <w:tcPr>
            <w:tcW w:w="990" w:type="dxa"/>
          </w:tcPr>
          <w:p w:rsidR="00D21BCE" w:rsidRPr="00F04EDB" w:rsidRDefault="00AD627B" w:rsidP="00571756">
            <w:pPr>
              <w:spacing w:after="0" w:line="240" w:lineRule="auto"/>
              <w:jc w:val="center"/>
            </w:pPr>
            <w:r>
              <w:t>17%</w:t>
            </w:r>
          </w:p>
        </w:tc>
        <w:tc>
          <w:tcPr>
            <w:tcW w:w="1368" w:type="dxa"/>
          </w:tcPr>
          <w:p w:rsidR="00D21BCE" w:rsidRPr="00F04EDB" w:rsidRDefault="00AD627B" w:rsidP="00571756">
            <w:pPr>
              <w:spacing w:after="0" w:line="240" w:lineRule="auto"/>
              <w:jc w:val="center"/>
            </w:pPr>
            <w:r>
              <w:t>1.2</w:t>
            </w:r>
          </w:p>
        </w:tc>
      </w:tr>
      <w:tr w:rsidR="00D21BCE" w:rsidRPr="00F04EDB" w:rsidTr="00571756">
        <w:tc>
          <w:tcPr>
            <w:tcW w:w="2970" w:type="dxa"/>
            <w:vMerge/>
            <w:vAlign w:val="center"/>
          </w:tcPr>
          <w:p w:rsidR="00D21BCE" w:rsidRPr="00F04EDB" w:rsidRDefault="00D21BCE" w:rsidP="00D21BCE">
            <w:pPr>
              <w:spacing w:after="0" w:line="240" w:lineRule="auto"/>
            </w:pPr>
          </w:p>
        </w:tc>
        <w:tc>
          <w:tcPr>
            <w:tcW w:w="900" w:type="dxa"/>
          </w:tcPr>
          <w:p w:rsidR="00D21BCE" w:rsidRPr="00F04EDB" w:rsidRDefault="00D21BCE" w:rsidP="00D21BCE">
            <w:pPr>
              <w:spacing w:after="0" w:line="240" w:lineRule="auto"/>
              <w:rPr>
                <w:b/>
                <w:bCs/>
                <w:color w:val="000000"/>
              </w:rPr>
            </w:pPr>
            <w:r w:rsidRPr="00F04EDB">
              <w:rPr>
                <w:b/>
                <w:bCs/>
                <w:color w:val="000000"/>
              </w:rPr>
              <w:t>Total  #</w:t>
            </w:r>
          </w:p>
        </w:tc>
        <w:tc>
          <w:tcPr>
            <w:tcW w:w="1260" w:type="dxa"/>
          </w:tcPr>
          <w:p w:rsidR="00D21BCE" w:rsidRPr="00F04EDB" w:rsidRDefault="00571756" w:rsidP="00571756">
            <w:pPr>
              <w:spacing w:after="0" w:line="240" w:lineRule="auto"/>
              <w:jc w:val="center"/>
            </w:pPr>
            <w:r>
              <w:t>45</w:t>
            </w:r>
          </w:p>
        </w:tc>
        <w:tc>
          <w:tcPr>
            <w:tcW w:w="1080" w:type="dxa"/>
          </w:tcPr>
          <w:p w:rsidR="00D21BCE" w:rsidRPr="00F04EDB" w:rsidRDefault="00AD627B" w:rsidP="00571756">
            <w:pPr>
              <w:spacing w:after="0" w:line="240" w:lineRule="auto"/>
              <w:jc w:val="center"/>
            </w:pPr>
            <w:r>
              <w:t>74</w:t>
            </w:r>
          </w:p>
        </w:tc>
        <w:tc>
          <w:tcPr>
            <w:tcW w:w="1170" w:type="dxa"/>
          </w:tcPr>
          <w:p w:rsidR="00D21BCE" w:rsidRPr="00F04EDB" w:rsidRDefault="00AD627B" w:rsidP="00571756">
            <w:pPr>
              <w:spacing w:after="0" w:line="240" w:lineRule="auto"/>
              <w:jc w:val="center"/>
            </w:pPr>
            <w:r>
              <w:t>102</w:t>
            </w:r>
          </w:p>
        </w:tc>
        <w:tc>
          <w:tcPr>
            <w:tcW w:w="990" w:type="dxa"/>
          </w:tcPr>
          <w:p w:rsidR="00D21BCE" w:rsidRPr="00F04EDB" w:rsidRDefault="00AD627B" w:rsidP="00571756">
            <w:pPr>
              <w:spacing w:after="0" w:line="240" w:lineRule="auto"/>
              <w:jc w:val="center"/>
            </w:pPr>
            <w:r>
              <w:t>58</w:t>
            </w:r>
          </w:p>
        </w:tc>
        <w:tc>
          <w:tcPr>
            <w:tcW w:w="1368" w:type="dxa"/>
          </w:tcPr>
          <w:p w:rsidR="00D21BCE" w:rsidRPr="00F04EDB" w:rsidRDefault="00AD627B" w:rsidP="00571756">
            <w:pPr>
              <w:spacing w:after="0" w:line="240" w:lineRule="auto"/>
              <w:jc w:val="center"/>
            </w:pPr>
            <w:r>
              <w:t>1.6</w:t>
            </w:r>
          </w:p>
        </w:tc>
      </w:tr>
      <w:tr w:rsidR="00D21BCE" w:rsidRPr="00F04EDB" w:rsidTr="00571756">
        <w:tc>
          <w:tcPr>
            <w:tcW w:w="2970" w:type="dxa"/>
            <w:vMerge/>
            <w:vAlign w:val="center"/>
          </w:tcPr>
          <w:p w:rsidR="00D21BCE" w:rsidRPr="00F04EDB" w:rsidRDefault="00D21BCE" w:rsidP="00D21BCE">
            <w:pPr>
              <w:spacing w:after="0" w:line="240" w:lineRule="auto"/>
            </w:pPr>
          </w:p>
        </w:tc>
        <w:tc>
          <w:tcPr>
            <w:tcW w:w="900" w:type="dxa"/>
          </w:tcPr>
          <w:p w:rsidR="00D21BCE" w:rsidRPr="00F04EDB" w:rsidRDefault="00D21BCE" w:rsidP="00D21BCE">
            <w:pPr>
              <w:spacing w:after="0" w:line="240" w:lineRule="auto"/>
              <w:rPr>
                <w:b/>
                <w:bCs/>
                <w:color w:val="000000"/>
              </w:rPr>
            </w:pPr>
            <w:r w:rsidRPr="00F04EDB">
              <w:rPr>
                <w:b/>
                <w:bCs/>
                <w:color w:val="000000"/>
              </w:rPr>
              <w:t>Total %</w:t>
            </w:r>
          </w:p>
        </w:tc>
        <w:tc>
          <w:tcPr>
            <w:tcW w:w="1260" w:type="dxa"/>
          </w:tcPr>
          <w:p w:rsidR="00D21BCE" w:rsidRPr="00F04EDB" w:rsidRDefault="00571756" w:rsidP="00571756">
            <w:pPr>
              <w:spacing w:after="0" w:line="240" w:lineRule="auto"/>
              <w:jc w:val="center"/>
            </w:pPr>
            <w:r>
              <w:t>16%</w:t>
            </w:r>
          </w:p>
        </w:tc>
        <w:tc>
          <w:tcPr>
            <w:tcW w:w="1080" w:type="dxa"/>
          </w:tcPr>
          <w:p w:rsidR="00D21BCE" w:rsidRPr="00F04EDB" w:rsidRDefault="00AD627B" w:rsidP="00571756">
            <w:pPr>
              <w:spacing w:after="0" w:line="240" w:lineRule="auto"/>
              <w:jc w:val="center"/>
            </w:pPr>
            <w:r>
              <w:t>27%</w:t>
            </w:r>
          </w:p>
        </w:tc>
        <w:tc>
          <w:tcPr>
            <w:tcW w:w="1170" w:type="dxa"/>
          </w:tcPr>
          <w:p w:rsidR="00D21BCE" w:rsidRPr="00F04EDB" w:rsidRDefault="00AD627B" w:rsidP="00571756">
            <w:pPr>
              <w:spacing w:after="0" w:line="240" w:lineRule="auto"/>
              <w:jc w:val="center"/>
            </w:pPr>
            <w:r>
              <w:t>37%</w:t>
            </w:r>
          </w:p>
        </w:tc>
        <w:tc>
          <w:tcPr>
            <w:tcW w:w="990" w:type="dxa"/>
          </w:tcPr>
          <w:p w:rsidR="00D21BCE" w:rsidRPr="00F04EDB" w:rsidRDefault="00AD627B" w:rsidP="00571756">
            <w:pPr>
              <w:spacing w:after="0" w:line="240" w:lineRule="auto"/>
              <w:jc w:val="center"/>
            </w:pPr>
            <w:r>
              <w:t>21%</w:t>
            </w:r>
          </w:p>
        </w:tc>
        <w:tc>
          <w:tcPr>
            <w:tcW w:w="1368" w:type="dxa"/>
          </w:tcPr>
          <w:p w:rsidR="00D21BCE" w:rsidRPr="00F04EDB" w:rsidRDefault="00D21BCE" w:rsidP="00571756">
            <w:pPr>
              <w:spacing w:after="0" w:line="240" w:lineRule="auto"/>
              <w:jc w:val="center"/>
            </w:pPr>
          </w:p>
        </w:tc>
      </w:tr>
      <w:tr w:rsidR="00D21BCE" w:rsidRPr="00F04EDB" w:rsidTr="00571756">
        <w:tc>
          <w:tcPr>
            <w:tcW w:w="2970" w:type="dxa"/>
            <w:vMerge w:val="restart"/>
            <w:shd w:val="clear" w:color="auto" w:fill="BFBFBF" w:themeFill="background1" w:themeFillShade="BF"/>
          </w:tcPr>
          <w:p w:rsidR="00D21BCE" w:rsidRPr="00F04EDB" w:rsidRDefault="00D21BCE" w:rsidP="00D21BCE">
            <w:pPr>
              <w:spacing w:after="0" w:line="240" w:lineRule="auto"/>
              <w:rPr>
                <w:color w:val="000000"/>
              </w:rPr>
            </w:pPr>
            <w:r w:rsidRPr="00F04EDB">
              <w:rPr>
                <w:color w:val="000000"/>
              </w:rPr>
              <w:t>10. The classroom climate is characterized by respectful behavior, routines, tone, and discourse.</w:t>
            </w:r>
          </w:p>
        </w:tc>
        <w:tc>
          <w:tcPr>
            <w:tcW w:w="900" w:type="dxa"/>
            <w:shd w:val="clear" w:color="auto" w:fill="BFBFBF" w:themeFill="background1" w:themeFillShade="BF"/>
          </w:tcPr>
          <w:p w:rsidR="00D21BCE" w:rsidRPr="00F04EDB" w:rsidRDefault="00D21BCE" w:rsidP="00D21BCE">
            <w:pPr>
              <w:spacing w:after="0" w:line="240" w:lineRule="auto"/>
              <w:rPr>
                <w:b/>
                <w:bCs/>
                <w:color w:val="000000"/>
              </w:rPr>
            </w:pPr>
            <w:r w:rsidRPr="00F04EDB">
              <w:rPr>
                <w:b/>
                <w:bCs/>
                <w:color w:val="000000"/>
              </w:rPr>
              <w:t>ES</w:t>
            </w:r>
          </w:p>
        </w:tc>
        <w:tc>
          <w:tcPr>
            <w:tcW w:w="1260" w:type="dxa"/>
            <w:shd w:val="clear" w:color="auto" w:fill="BFBFBF" w:themeFill="background1" w:themeFillShade="BF"/>
          </w:tcPr>
          <w:p w:rsidR="00D21BCE" w:rsidRPr="00F04EDB" w:rsidRDefault="00571756" w:rsidP="00571756">
            <w:pPr>
              <w:spacing w:after="0" w:line="240" w:lineRule="auto"/>
              <w:jc w:val="center"/>
            </w:pPr>
            <w:r>
              <w:t>6%</w:t>
            </w:r>
          </w:p>
        </w:tc>
        <w:tc>
          <w:tcPr>
            <w:tcW w:w="1080" w:type="dxa"/>
            <w:shd w:val="clear" w:color="auto" w:fill="BFBFBF" w:themeFill="background1" w:themeFillShade="BF"/>
          </w:tcPr>
          <w:p w:rsidR="00D21BCE" w:rsidRPr="00F04EDB" w:rsidRDefault="00AD627B" w:rsidP="00571756">
            <w:pPr>
              <w:spacing w:after="0" w:line="240" w:lineRule="auto"/>
              <w:jc w:val="center"/>
            </w:pPr>
            <w:r>
              <w:t>14%</w:t>
            </w:r>
          </w:p>
        </w:tc>
        <w:tc>
          <w:tcPr>
            <w:tcW w:w="1170" w:type="dxa"/>
            <w:shd w:val="clear" w:color="auto" w:fill="BFBFBF" w:themeFill="background1" w:themeFillShade="BF"/>
          </w:tcPr>
          <w:p w:rsidR="00D21BCE" w:rsidRPr="00F04EDB" w:rsidRDefault="00AD627B" w:rsidP="00571756">
            <w:pPr>
              <w:spacing w:after="0" w:line="240" w:lineRule="auto"/>
              <w:jc w:val="center"/>
            </w:pPr>
            <w:r>
              <w:t>29%</w:t>
            </w:r>
          </w:p>
        </w:tc>
        <w:tc>
          <w:tcPr>
            <w:tcW w:w="990" w:type="dxa"/>
            <w:shd w:val="clear" w:color="auto" w:fill="BFBFBF" w:themeFill="background1" w:themeFillShade="BF"/>
          </w:tcPr>
          <w:p w:rsidR="00D21BCE" w:rsidRPr="00F04EDB" w:rsidRDefault="00AD627B" w:rsidP="00571756">
            <w:pPr>
              <w:spacing w:after="0" w:line="240" w:lineRule="auto"/>
              <w:jc w:val="center"/>
            </w:pPr>
            <w:r>
              <w:t>51%</w:t>
            </w:r>
          </w:p>
        </w:tc>
        <w:tc>
          <w:tcPr>
            <w:tcW w:w="1368" w:type="dxa"/>
            <w:shd w:val="clear" w:color="auto" w:fill="BFBFBF" w:themeFill="background1" w:themeFillShade="BF"/>
          </w:tcPr>
          <w:p w:rsidR="00D21BCE" w:rsidRPr="00F04EDB" w:rsidRDefault="00AD627B" w:rsidP="00571756">
            <w:pPr>
              <w:spacing w:after="0" w:line="240" w:lineRule="auto"/>
              <w:jc w:val="center"/>
            </w:pPr>
            <w:r>
              <w:t>2.2</w:t>
            </w:r>
          </w:p>
        </w:tc>
      </w:tr>
      <w:tr w:rsidR="00D21BCE" w:rsidRPr="00F04EDB" w:rsidTr="00571756">
        <w:tc>
          <w:tcPr>
            <w:tcW w:w="2970" w:type="dxa"/>
            <w:vMerge/>
            <w:shd w:val="clear" w:color="auto" w:fill="BFBFBF" w:themeFill="background1" w:themeFillShade="BF"/>
            <w:vAlign w:val="center"/>
          </w:tcPr>
          <w:p w:rsidR="00D21BCE" w:rsidRPr="00F04EDB" w:rsidRDefault="00D21BCE" w:rsidP="00D21BCE">
            <w:pPr>
              <w:spacing w:after="0" w:line="240" w:lineRule="auto"/>
            </w:pPr>
          </w:p>
        </w:tc>
        <w:tc>
          <w:tcPr>
            <w:tcW w:w="900" w:type="dxa"/>
            <w:shd w:val="clear" w:color="auto" w:fill="BFBFBF" w:themeFill="background1" w:themeFillShade="BF"/>
          </w:tcPr>
          <w:p w:rsidR="00D21BCE" w:rsidRPr="00F04EDB" w:rsidRDefault="00D21BCE" w:rsidP="00D21BCE">
            <w:pPr>
              <w:spacing w:after="0" w:line="240" w:lineRule="auto"/>
              <w:rPr>
                <w:b/>
                <w:bCs/>
                <w:color w:val="000000"/>
              </w:rPr>
            </w:pPr>
            <w:r w:rsidRPr="00F04EDB">
              <w:rPr>
                <w:b/>
                <w:bCs/>
                <w:color w:val="000000"/>
              </w:rPr>
              <w:t>MS</w:t>
            </w:r>
          </w:p>
        </w:tc>
        <w:tc>
          <w:tcPr>
            <w:tcW w:w="1260" w:type="dxa"/>
            <w:shd w:val="clear" w:color="auto" w:fill="BFBFBF" w:themeFill="background1" w:themeFillShade="BF"/>
          </w:tcPr>
          <w:p w:rsidR="00D21BCE" w:rsidRPr="00F04EDB" w:rsidRDefault="00571756" w:rsidP="00571756">
            <w:pPr>
              <w:spacing w:after="0" w:line="240" w:lineRule="auto"/>
              <w:jc w:val="center"/>
            </w:pPr>
            <w:r>
              <w:t>6%</w:t>
            </w:r>
          </w:p>
        </w:tc>
        <w:tc>
          <w:tcPr>
            <w:tcW w:w="1080" w:type="dxa"/>
            <w:shd w:val="clear" w:color="auto" w:fill="BFBFBF" w:themeFill="background1" w:themeFillShade="BF"/>
          </w:tcPr>
          <w:p w:rsidR="00D21BCE" w:rsidRPr="00F04EDB" w:rsidRDefault="00AD627B" w:rsidP="00571756">
            <w:pPr>
              <w:spacing w:after="0" w:line="240" w:lineRule="auto"/>
              <w:jc w:val="center"/>
            </w:pPr>
            <w:r>
              <w:t>0%</w:t>
            </w:r>
          </w:p>
        </w:tc>
        <w:tc>
          <w:tcPr>
            <w:tcW w:w="1170" w:type="dxa"/>
            <w:shd w:val="clear" w:color="auto" w:fill="BFBFBF" w:themeFill="background1" w:themeFillShade="BF"/>
          </w:tcPr>
          <w:p w:rsidR="00D21BCE" w:rsidRPr="00F04EDB" w:rsidRDefault="00AD627B" w:rsidP="00571756">
            <w:pPr>
              <w:spacing w:after="0" w:line="240" w:lineRule="auto"/>
              <w:jc w:val="center"/>
            </w:pPr>
            <w:r>
              <w:t>29%</w:t>
            </w:r>
          </w:p>
        </w:tc>
        <w:tc>
          <w:tcPr>
            <w:tcW w:w="990" w:type="dxa"/>
            <w:shd w:val="clear" w:color="auto" w:fill="BFBFBF" w:themeFill="background1" w:themeFillShade="BF"/>
          </w:tcPr>
          <w:p w:rsidR="00D21BCE" w:rsidRPr="00F04EDB" w:rsidRDefault="00AD627B" w:rsidP="00571756">
            <w:pPr>
              <w:spacing w:after="0" w:line="240" w:lineRule="auto"/>
              <w:jc w:val="center"/>
            </w:pPr>
            <w:r>
              <w:t>65%</w:t>
            </w:r>
          </w:p>
        </w:tc>
        <w:tc>
          <w:tcPr>
            <w:tcW w:w="1368" w:type="dxa"/>
            <w:shd w:val="clear" w:color="auto" w:fill="BFBFBF" w:themeFill="background1" w:themeFillShade="BF"/>
          </w:tcPr>
          <w:p w:rsidR="00D21BCE" w:rsidRPr="00F04EDB" w:rsidRDefault="00AD627B" w:rsidP="00571756">
            <w:pPr>
              <w:spacing w:after="0" w:line="240" w:lineRule="auto"/>
              <w:jc w:val="center"/>
            </w:pPr>
            <w:r>
              <w:t>2.5</w:t>
            </w:r>
          </w:p>
        </w:tc>
      </w:tr>
      <w:tr w:rsidR="00D21BCE" w:rsidRPr="00F04EDB" w:rsidTr="00571756">
        <w:tc>
          <w:tcPr>
            <w:tcW w:w="2970" w:type="dxa"/>
            <w:vMerge/>
            <w:shd w:val="clear" w:color="auto" w:fill="BFBFBF" w:themeFill="background1" w:themeFillShade="BF"/>
            <w:vAlign w:val="center"/>
          </w:tcPr>
          <w:p w:rsidR="00D21BCE" w:rsidRPr="00F04EDB" w:rsidRDefault="00D21BCE" w:rsidP="00D21BCE">
            <w:pPr>
              <w:spacing w:after="0" w:line="240" w:lineRule="auto"/>
            </w:pPr>
          </w:p>
        </w:tc>
        <w:tc>
          <w:tcPr>
            <w:tcW w:w="900" w:type="dxa"/>
            <w:shd w:val="clear" w:color="auto" w:fill="BFBFBF" w:themeFill="background1" w:themeFillShade="BF"/>
          </w:tcPr>
          <w:p w:rsidR="00D21BCE" w:rsidRPr="00F04EDB" w:rsidRDefault="00D21BCE" w:rsidP="00D21BCE">
            <w:pPr>
              <w:spacing w:after="0" w:line="240" w:lineRule="auto"/>
              <w:rPr>
                <w:b/>
                <w:bCs/>
                <w:color w:val="000000"/>
              </w:rPr>
            </w:pPr>
            <w:r w:rsidRPr="00F04EDB">
              <w:rPr>
                <w:b/>
                <w:bCs/>
                <w:color w:val="000000"/>
              </w:rPr>
              <w:t>HS</w:t>
            </w:r>
          </w:p>
        </w:tc>
        <w:tc>
          <w:tcPr>
            <w:tcW w:w="1260" w:type="dxa"/>
            <w:shd w:val="clear" w:color="auto" w:fill="BFBFBF" w:themeFill="background1" w:themeFillShade="BF"/>
          </w:tcPr>
          <w:p w:rsidR="00D21BCE" w:rsidRPr="00F04EDB" w:rsidRDefault="00571756" w:rsidP="00571756">
            <w:pPr>
              <w:spacing w:after="0" w:line="240" w:lineRule="auto"/>
              <w:jc w:val="center"/>
            </w:pPr>
            <w:r>
              <w:t>10%</w:t>
            </w:r>
          </w:p>
        </w:tc>
        <w:tc>
          <w:tcPr>
            <w:tcW w:w="1080" w:type="dxa"/>
            <w:shd w:val="clear" w:color="auto" w:fill="BFBFBF" w:themeFill="background1" w:themeFillShade="BF"/>
          </w:tcPr>
          <w:p w:rsidR="00D21BCE" w:rsidRPr="00F04EDB" w:rsidRDefault="00AD627B" w:rsidP="00571756">
            <w:pPr>
              <w:spacing w:after="0" w:line="240" w:lineRule="auto"/>
              <w:jc w:val="center"/>
            </w:pPr>
            <w:r>
              <w:t>17%</w:t>
            </w:r>
          </w:p>
        </w:tc>
        <w:tc>
          <w:tcPr>
            <w:tcW w:w="1170" w:type="dxa"/>
            <w:shd w:val="clear" w:color="auto" w:fill="BFBFBF" w:themeFill="background1" w:themeFillShade="BF"/>
          </w:tcPr>
          <w:p w:rsidR="00D21BCE" w:rsidRPr="00F04EDB" w:rsidRDefault="00AD627B" w:rsidP="00571756">
            <w:pPr>
              <w:spacing w:after="0" w:line="240" w:lineRule="auto"/>
              <w:jc w:val="center"/>
            </w:pPr>
            <w:r>
              <w:t>40%</w:t>
            </w:r>
          </w:p>
        </w:tc>
        <w:tc>
          <w:tcPr>
            <w:tcW w:w="990" w:type="dxa"/>
            <w:shd w:val="clear" w:color="auto" w:fill="BFBFBF" w:themeFill="background1" w:themeFillShade="BF"/>
          </w:tcPr>
          <w:p w:rsidR="00D21BCE" w:rsidRPr="00F04EDB" w:rsidRDefault="00AD627B" w:rsidP="00571756">
            <w:pPr>
              <w:spacing w:after="0" w:line="240" w:lineRule="auto"/>
              <w:jc w:val="center"/>
            </w:pPr>
            <w:r>
              <w:t>33%</w:t>
            </w:r>
          </w:p>
        </w:tc>
        <w:tc>
          <w:tcPr>
            <w:tcW w:w="1368" w:type="dxa"/>
            <w:shd w:val="clear" w:color="auto" w:fill="BFBFBF" w:themeFill="background1" w:themeFillShade="BF"/>
          </w:tcPr>
          <w:p w:rsidR="00D21BCE" w:rsidRPr="00F04EDB" w:rsidRDefault="00AD627B" w:rsidP="00571756">
            <w:pPr>
              <w:spacing w:after="0" w:line="240" w:lineRule="auto"/>
              <w:jc w:val="center"/>
            </w:pPr>
            <w:r>
              <w:t>2.0</w:t>
            </w:r>
          </w:p>
        </w:tc>
      </w:tr>
      <w:tr w:rsidR="00D21BCE" w:rsidRPr="00F04EDB" w:rsidTr="00571756">
        <w:tc>
          <w:tcPr>
            <w:tcW w:w="2970" w:type="dxa"/>
            <w:vMerge/>
            <w:shd w:val="clear" w:color="auto" w:fill="BFBFBF" w:themeFill="background1" w:themeFillShade="BF"/>
            <w:vAlign w:val="center"/>
          </w:tcPr>
          <w:p w:rsidR="00D21BCE" w:rsidRPr="00F04EDB" w:rsidRDefault="00D21BCE" w:rsidP="00D21BCE">
            <w:pPr>
              <w:spacing w:after="0" w:line="240" w:lineRule="auto"/>
            </w:pPr>
          </w:p>
        </w:tc>
        <w:tc>
          <w:tcPr>
            <w:tcW w:w="900" w:type="dxa"/>
            <w:shd w:val="clear" w:color="auto" w:fill="BFBFBF" w:themeFill="background1" w:themeFillShade="BF"/>
          </w:tcPr>
          <w:p w:rsidR="00D21BCE" w:rsidRPr="00F04EDB" w:rsidRDefault="00D21BCE" w:rsidP="00D21BCE">
            <w:pPr>
              <w:spacing w:after="0" w:line="240" w:lineRule="auto"/>
              <w:rPr>
                <w:b/>
                <w:bCs/>
                <w:color w:val="000000"/>
              </w:rPr>
            </w:pPr>
            <w:r w:rsidRPr="00F04EDB">
              <w:rPr>
                <w:b/>
                <w:bCs/>
                <w:color w:val="000000"/>
              </w:rPr>
              <w:t>Total  #</w:t>
            </w:r>
          </w:p>
        </w:tc>
        <w:tc>
          <w:tcPr>
            <w:tcW w:w="1260" w:type="dxa"/>
            <w:shd w:val="clear" w:color="auto" w:fill="BFBFBF" w:themeFill="background1" w:themeFillShade="BF"/>
          </w:tcPr>
          <w:p w:rsidR="00D21BCE" w:rsidRPr="00F04EDB" w:rsidRDefault="00571756" w:rsidP="00571756">
            <w:pPr>
              <w:spacing w:after="0" w:line="240" w:lineRule="auto"/>
              <w:jc w:val="center"/>
            </w:pPr>
            <w:r>
              <w:t>17</w:t>
            </w:r>
          </w:p>
        </w:tc>
        <w:tc>
          <w:tcPr>
            <w:tcW w:w="1080" w:type="dxa"/>
            <w:shd w:val="clear" w:color="auto" w:fill="BFBFBF" w:themeFill="background1" w:themeFillShade="BF"/>
          </w:tcPr>
          <w:p w:rsidR="00D21BCE" w:rsidRPr="00F04EDB" w:rsidRDefault="00AD627B" w:rsidP="00571756">
            <w:pPr>
              <w:spacing w:after="0" w:line="240" w:lineRule="auto"/>
              <w:jc w:val="center"/>
            </w:pPr>
            <w:r>
              <w:t>32</w:t>
            </w:r>
          </w:p>
        </w:tc>
        <w:tc>
          <w:tcPr>
            <w:tcW w:w="1170" w:type="dxa"/>
            <w:shd w:val="clear" w:color="auto" w:fill="BFBFBF" w:themeFill="background1" w:themeFillShade="BF"/>
          </w:tcPr>
          <w:p w:rsidR="00D21BCE" w:rsidRPr="00F04EDB" w:rsidRDefault="00AD627B" w:rsidP="00571756">
            <w:pPr>
              <w:spacing w:after="0" w:line="240" w:lineRule="auto"/>
              <w:jc w:val="center"/>
            </w:pPr>
            <w:r>
              <w:t>78</w:t>
            </w:r>
          </w:p>
        </w:tc>
        <w:tc>
          <w:tcPr>
            <w:tcW w:w="990" w:type="dxa"/>
            <w:shd w:val="clear" w:color="auto" w:fill="BFBFBF" w:themeFill="background1" w:themeFillShade="BF"/>
          </w:tcPr>
          <w:p w:rsidR="00D21BCE" w:rsidRPr="00F04EDB" w:rsidRDefault="00AD627B" w:rsidP="00571756">
            <w:pPr>
              <w:spacing w:after="0" w:line="240" w:lineRule="auto"/>
              <w:jc w:val="center"/>
            </w:pPr>
            <w:r>
              <w:t>122</w:t>
            </w:r>
          </w:p>
        </w:tc>
        <w:tc>
          <w:tcPr>
            <w:tcW w:w="1368" w:type="dxa"/>
            <w:shd w:val="clear" w:color="auto" w:fill="BFBFBF" w:themeFill="background1" w:themeFillShade="BF"/>
          </w:tcPr>
          <w:p w:rsidR="00D21BCE" w:rsidRPr="00F04EDB" w:rsidRDefault="00AD627B" w:rsidP="00571756">
            <w:pPr>
              <w:spacing w:after="0" w:line="240" w:lineRule="auto"/>
              <w:jc w:val="center"/>
            </w:pPr>
            <w:r>
              <w:t>2.2</w:t>
            </w:r>
          </w:p>
        </w:tc>
      </w:tr>
      <w:tr w:rsidR="00D21BCE" w:rsidRPr="00F04EDB" w:rsidTr="00571756">
        <w:tc>
          <w:tcPr>
            <w:tcW w:w="2970" w:type="dxa"/>
            <w:vMerge/>
            <w:shd w:val="clear" w:color="auto" w:fill="BFBFBF" w:themeFill="background1" w:themeFillShade="BF"/>
            <w:vAlign w:val="center"/>
          </w:tcPr>
          <w:p w:rsidR="00D21BCE" w:rsidRPr="00F04EDB" w:rsidRDefault="00D21BCE" w:rsidP="00D21BCE">
            <w:pPr>
              <w:spacing w:after="0" w:line="240" w:lineRule="auto"/>
            </w:pPr>
          </w:p>
        </w:tc>
        <w:tc>
          <w:tcPr>
            <w:tcW w:w="900" w:type="dxa"/>
            <w:shd w:val="clear" w:color="auto" w:fill="BFBFBF" w:themeFill="background1" w:themeFillShade="BF"/>
          </w:tcPr>
          <w:p w:rsidR="00D21BCE" w:rsidRPr="00F04EDB" w:rsidRDefault="00D21BCE" w:rsidP="00D21BCE">
            <w:pPr>
              <w:spacing w:after="0" w:line="240" w:lineRule="auto"/>
              <w:rPr>
                <w:b/>
                <w:bCs/>
                <w:color w:val="000000"/>
              </w:rPr>
            </w:pPr>
            <w:r w:rsidRPr="00F04EDB">
              <w:rPr>
                <w:b/>
                <w:bCs/>
                <w:color w:val="000000"/>
              </w:rPr>
              <w:t>Total %</w:t>
            </w:r>
          </w:p>
        </w:tc>
        <w:tc>
          <w:tcPr>
            <w:tcW w:w="1260" w:type="dxa"/>
            <w:shd w:val="clear" w:color="auto" w:fill="BFBFBF" w:themeFill="background1" w:themeFillShade="BF"/>
          </w:tcPr>
          <w:p w:rsidR="00D21BCE" w:rsidRPr="00F04EDB" w:rsidRDefault="00571756" w:rsidP="00571756">
            <w:pPr>
              <w:spacing w:after="0" w:line="240" w:lineRule="auto"/>
              <w:jc w:val="center"/>
            </w:pPr>
            <w:r>
              <w:t>7%</w:t>
            </w:r>
          </w:p>
        </w:tc>
        <w:tc>
          <w:tcPr>
            <w:tcW w:w="1080" w:type="dxa"/>
            <w:shd w:val="clear" w:color="auto" w:fill="BFBFBF" w:themeFill="background1" w:themeFillShade="BF"/>
          </w:tcPr>
          <w:p w:rsidR="00D21BCE" w:rsidRPr="00F04EDB" w:rsidRDefault="00AD627B" w:rsidP="00571756">
            <w:pPr>
              <w:spacing w:after="0" w:line="240" w:lineRule="auto"/>
              <w:jc w:val="center"/>
            </w:pPr>
            <w:r>
              <w:t>13%</w:t>
            </w:r>
          </w:p>
        </w:tc>
        <w:tc>
          <w:tcPr>
            <w:tcW w:w="1170" w:type="dxa"/>
            <w:shd w:val="clear" w:color="auto" w:fill="BFBFBF" w:themeFill="background1" w:themeFillShade="BF"/>
          </w:tcPr>
          <w:p w:rsidR="00D21BCE" w:rsidRPr="00F04EDB" w:rsidRDefault="00AD627B" w:rsidP="00571756">
            <w:pPr>
              <w:spacing w:after="0" w:line="240" w:lineRule="auto"/>
              <w:jc w:val="center"/>
            </w:pPr>
            <w:r>
              <w:t>31%</w:t>
            </w:r>
          </w:p>
        </w:tc>
        <w:tc>
          <w:tcPr>
            <w:tcW w:w="990" w:type="dxa"/>
            <w:shd w:val="clear" w:color="auto" w:fill="BFBFBF" w:themeFill="background1" w:themeFillShade="BF"/>
          </w:tcPr>
          <w:p w:rsidR="00D21BCE" w:rsidRPr="00F04EDB" w:rsidRDefault="00AD627B" w:rsidP="00571756">
            <w:pPr>
              <w:spacing w:after="0" w:line="240" w:lineRule="auto"/>
              <w:jc w:val="center"/>
            </w:pPr>
            <w:r>
              <w:t>49%</w:t>
            </w:r>
          </w:p>
        </w:tc>
        <w:tc>
          <w:tcPr>
            <w:tcW w:w="1368" w:type="dxa"/>
            <w:shd w:val="clear" w:color="auto" w:fill="BFBFBF" w:themeFill="background1" w:themeFillShade="BF"/>
          </w:tcPr>
          <w:p w:rsidR="00D21BCE" w:rsidRPr="00F04EDB" w:rsidRDefault="00D21BCE" w:rsidP="00571756">
            <w:pPr>
              <w:spacing w:after="0" w:line="240" w:lineRule="auto"/>
              <w:jc w:val="center"/>
            </w:pPr>
          </w:p>
        </w:tc>
      </w:tr>
      <w:tr w:rsidR="00D21BCE" w:rsidRPr="00F04EDB" w:rsidTr="00571756">
        <w:tc>
          <w:tcPr>
            <w:tcW w:w="2970" w:type="dxa"/>
            <w:vMerge w:val="restart"/>
          </w:tcPr>
          <w:p w:rsidR="00D21BCE" w:rsidRPr="00F04EDB" w:rsidRDefault="00D21BCE" w:rsidP="00D21BCE">
            <w:pPr>
              <w:spacing w:after="0" w:line="240" w:lineRule="auto"/>
              <w:rPr>
                <w:color w:val="000000"/>
              </w:rPr>
            </w:pPr>
            <w:r w:rsidRPr="00F04EDB">
              <w:rPr>
                <w:color w:val="000000"/>
              </w:rPr>
              <w:t>11. The teacher conducts appropriate formative assessments to check for understanding and provide feedback to students.</w:t>
            </w:r>
          </w:p>
        </w:tc>
        <w:tc>
          <w:tcPr>
            <w:tcW w:w="900" w:type="dxa"/>
          </w:tcPr>
          <w:p w:rsidR="00D21BCE" w:rsidRPr="00F04EDB" w:rsidRDefault="00D21BCE" w:rsidP="00D21BCE">
            <w:pPr>
              <w:spacing w:after="0" w:line="240" w:lineRule="auto"/>
              <w:rPr>
                <w:b/>
                <w:bCs/>
                <w:color w:val="000000"/>
              </w:rPr>
            </w:pPr>
            <w:r w:rsidRPr="00F04EDB">
              <w:rPr>
                <w:b/>
                <w:bCs/>
                <w:color w:val="000000"/>
              </w:rPr>
              <w:t>ES</w:t>
            </w:r>
          </w:p>
        </w:tc>
        <w:tc>
          <w:tcPr>
            <w:tcW w:w="1260" w:type="dxa"/>
          </w:tcPr>
          <w:p w:rsidR="00D21BCE" w:rsidRPr="00F04EDB" w:rsidRDefault="00397B61" w:rsidP="00571756">
            <w:pPr>
              <w:spacing w:after="0" w:line="240" w:lineRule="auto"/>
              <w:jc w:val="center"/>
            </w:pPr>
            <w:r>
              <w:t>8%</w:t>
            </w:r>
          </w:p>
        </w:tc>
        <w:tc>
          <w:tcPr>
            <w:tcW w:w="1080" w:type="dxa"/>
          </w:tcPr>
          <w:p w:rsidR="00D21BCE" w:rsidRPr="00F04EDB" w:rsidRDefault="00AD627B" w:rsidP="00571756">
            <w:pPr>
              <w:spacing w:after="0" w:line="240" w:lineRule="auto"/>
              <w:jc w:val="center"/>
            </w:pPr>
            <w:r>
              <w:t>21%</w:t>
            </w:r>
          </w:p>
        </w:tc>
        <w:tc>
          <w:tcPr>
            <w:tcW w:w="1170" w:type="dxa"/>
          </w:tcPr>
          <w:p w:rsidR="00D21BCE" w:rsidRPr="00F04EDB" w:rsidRDefault="00AD627B" w:rsidP="00571756">
            <w:pPr>
              <w:spacing w:after="0" w:line="240" w:lineRule="auto"/>
              <w:jc w:val="center"/>
            </w:pPr>
            <w:r>
              <w:t>44%</w:t>
            </w:r>
          </w:p>
        </w:tc>
        <w:tc>
          <w:tcPr>
            <w:tcW w:w="990" w:type="dxa"/>
          </w:tcPr>
          <w:p w:rsidR="00D21BCE" w:rsidRPr="00F04EDB" w:rsidRDefault="00AD627B" w:rsidP="00571756">
            <w:pPr>
              <w:spacing w:after="0" w:line="240" w:lineRule="auto"/>
              <w:jc w:val="center"/>
            </w:pPr>
            <w:r>
              <w:t>26%</w:t>
            </w:r>
          </w:p>
        </w:tc>
        <w:tc>
          <w:tcPr>
            <w:tcW w:w="1368" w:type="dxa"/>
          </w:tcPr>
          <w:p w:rsidR="00D21BCE" w:rsidRPr="00F04EDB" w:rsidRDefault="00AD627B" w:rsidP="00571756">
            <w:pPr>
              <w:spacing w:after="0" w:line="240" w:lineRule="auto"/>
              <w:jc w:val="center"/>
            </w:pPr>
            <w:r>
              <w:t>1.9</w:t>
            </w:r>
          </w:p>
        </w:tc>
      </w:tr>
      <w:tr w:rsidR="00D21BCE" w:rsidRPr="00F04EDB" w:rsidTr="00571756">
        <w:tc>
          <w:tcPr>
            <w:tcW w:w="2970" w:type="dxa"/>
            <w:vMerge/>
          </w:tcPr>
          <w:p w:rsidR="00D21BCE" w:rsidRPr="00F04EDB" w:rsidRDefault="00D21BCE" w:rsidP="00D21BCE">
            <w:pPr>
              <w:spacing w:after="0" w:line="240" w:lineRule="auto"/>
            </w:pPr>
          </w:p>
        </w:tc>
        <w:tc>
          <w:tcPr>
            <w:tcW w:w="900" w:type="dxa"/>
          </w:tcPr>
          <w:p w:rsidR="00D21BCE" w:rsidRPr="00F04EDB" w:rsidRDefault="00D21BCE" w:rsidP="00D21BCE">
            <w:pPr>
              <w:spacing w:after="0" w:line="240" w:lineRule="auto"/>
              <w:rPr>
                <w:b/>
                <w:bCs/>
                <w:color w:val="000000"/>
              </w:rPr>
            </w:pPr>
            <w:r w:rsidRPr="00F04EDB">
              <w:rPr>
                <w:b/>
                <w:bCs/>
                <w:color w:val="000000"/>
              </w:rPr>
              <w:t>MS</w:t>
            </w:r>
          </w:p>
        </w:tc>
        <w:tc>
          <w:tcPr>
            <w:tcW w:w="1260" w:type="dxa"/>
          </w:tcPr>
          <w:p w:rsidR="00D21BCE" w:rsidRPr="00F04EDB" w:rsidRDefault="00397B61" w:rsidP="00571756">
            <w:pPr>
              <w:spacing w:after="0" w:line="240" w:lineRule="auto"/>
              <w:jc w:val="center"/>
            </w:pPr>
            <w:r>
              <w:t>10%</w:t>
            </w:r>
          </w:p>
        </w:tc>
        <w:tc>
          <w:tcPr>
            <w:tcW w:w="1080" w:type="dxa"/>
          </w:tcPr>
          <w:p w:rsidR="00D21BCE" w:rsidRPr="00F04EDB" w:rsidRDefault="00AD627B" w:rsidP="00571756">
            <w:pPr>
              <w:spacing w:after="0" w:line="240" w:lineRule="auto"/>
              <w:jc w:val="center"/>
            </w:pPr>
            <w:r>
              <w:t>3%</w:t>
            </w:r>
          </w:p>
        </w:tc>
        <w:tc>
          <w:tcPr>
            <w:tcW w:w="1170" w:type="dxa"/>
          </w:tcPr>
          <w:p w:rsidR="00D21BCE" w:rsidRPr="00F04EDB" w:rsidRDefault="00AD627B" w:rsidP="00571756">
            <w:pPr>
              <w:spacing w:after="0" w:line="240" w:lineRule="auto"/>
              <w:jc w:val="center"/>
            </w:pPr>
            <w:r>
              <w:t>35%</w:t>
            </w:r>
          </w:p>
        </w:tc>
        <w:tc>
          <w:tcPr>
            <w:tcW w:w="990" w:type="dxa"/>
          </w:tcPr>
          <w:p w:rsidR="00D21BCE" w:rsidRPr="00F04EDB" w:rsidRDefault="00AD627B" w:rsidP="00571756">
            <w:pPr>
              <w:spacing w:after="0" w:line="240" w:lineRule="auto"/>
              <w:jc w:val="center"/>
            </w:pPr>
            <w:r>
              <w:t>52%</w:t>
            </w:r>
          </w:p>
        </w:tc>
        <w:tc>
          <w:tcPr>
            <w:tcW w:w="1368" w:type="dxa"/>
          </w:tcPr>
          <w:p w:rsidR="00D21BCE" w:rsidRPr="00F04EDB" w:rsidRDefault="00AD627B" w:rsidP="00571756">
            <w:pPr>
              <w:spacing w:after="0" w:line="240" w:lineRule="auto"/>
              <w:jc w:val="center"/>
            </w:pPr>
            <w:r>
              <w:t>2.3</w:t>
            </w:r>
          </w:p>
        </w:tc>
      </w:tr>
      <w:tr w:rsidR="00D21BCE" w:rsidRPr="00F04EDB" w:rsidTr="00571756">
        <w:tc>
          <w:tcPr>
            <w:tcW w:w="2970" w:type="dxa"/>
            <w:vMerge/>
          </w:tcPr>
          <w:p w:rsidR="00D21BCE" w:rsidRPr="00F04EDB" w:rsidRDefault="00D21BCE" w:rsidP="00D21BCE">
            <w:pPr>
              <w:spacing w:after="0" w:line="240" w:lineRule="auto"/>
            </w:pPr>
          </w:p>
        </w:tc>
        <w:tc>
          <w:tcPr>
            <w:tcW w:w="900" w:type="dxa"/>
          </w:tcPr>
          <w:p w:rsidR="00D21BCE" w:rsidRPr="00F04EDB" w:rsidRDefault="00D21BCE" w:rsidP="00D21BCE">
            <w:pPr>
              <w:spacing w:after="0" w:line="240" w:lineRule="auto"/>
              <w:rPr>
                <w:b/>
                <w:bCs/>
                <w:color w:val="000000"/>
              </w:rPr>
            </w:pPr>
            <w:r w:rsidRPr="00F04EDB">
              <w:rPr>
                <w:b/>
                <w:bCs/>
                <w:color w:val="000000"/>
              </w:rPr>
              <w:t>HS</w:t>
            </w:r>
          </w:p>
        </w:tc>
        <w:tc>
          <w:tcPr>
            <w:tcW w:w="1260" w:type="dxa"/>
          </w:tcPr>
          <w:p w:rsidR="00D21BCE" w:rsidRPr="00F04EDB" w:rsidRDefault="00397B61" w:rsidP="00571756">
            <w:pPr>
              <w:spacing w:after="0" w:line="240" w:lineRule="auto"/>
              <w:jc w:val="center"/>
            </w:pPr>
            <w:r>
              <w:t>23%</w:t>
            </w:r>
          </w:p>
        </w:tc>
        <w:tc>
          <w:tcPr>
            <w:tcW w:w="1080" w:type="dxa"/>
          </w:tcPr>
          <w:p w:rsidR="00D21BCE" w:rsidRPr="00F04EDB" w:rsidRDefault="00AD627B" w:rsidP="00571756">
            <w:pPr>
              <w:spacing w:after="0" w:line="240" w:lineRule="auto"/>
              <w:jc w:val="center"/>
            </w:pPr>
            <w:r>
              <w:t>3%</w:t>
            </w:r>
          </w:p>
        </w:tc>
        <w:tc>
          <w:tcPr>
            <w:tcW w:w="1170" w:type="dxa"/>
          </w:tcPr>
          <w:p w:rsidR="00D21BCE" w:rsidRPr="00F04EDB" w:rsidRDefault="00AD627B" w:rsidP="00571756">
            <w:pPr>
              <w:spacing w:after="0" w:line="240" w:lineRule="auto"/>
              <w:jc w:val="center"/>
            </w:pPr>
            <w:r>
              <w:t>38%</w:t>
            </w:r>
          </w:p>
        </w:tc>
        <w:tc>
          <w:tcPr>
            <w:tcW w:w="990" w:type="dxa"/>
          </w:tcPr>
          <w:p w:rsidR="00D21BCE" w:rsidRPr="00F04EDB" w:rsidRDefault="00AD627B" w:rsidP="00571756">
            <w:pPr>
              <w:spacing w:after="0" w:line="240" w:lineRule="auto"/>
              <w:jc w:val="center"/>
            </w:pPr>
            <w:r>
              <w:t>17%</w:t>
            </w:r>
          </w:p>
        </w:tc>
        <w:tc>
          <w:tcPr>
            <w:tcW w:w="1368" w:type="dxa"/>
          </w:tcPr>
          <w:p w:rsidR="00D21BCE" w:rsidRPr="00F04EDB" w:rsidRDefault="00AD627B" w:rsidP="00571756">
            <w:pPr>
              <w:spacing w:after="0" w:line="240" w:lineRule="auto"/>
              <w:jc w:val="center"/>
            </w:pPr>
            <w:r>
              <w:t>1.5</w:t>
            </w:r>
          </w:p>
        </w:tc>
      </w:tr>
      <w:tr w:rsidR="00D21BCE" w:rsidRPr="00F04EDB" w:rsidTr="00571756">
        <w:tc>
          <w:tcPr>
            <w:tcW w:w="2970" w:type="dxa"/>
            <w:vMerge/>
          </w:tcPr>
          <w:p w:rsidR="00D21BCE" w:rsidRPr="00F04EDB" w:rsidRDefault="00D21BCE" w:rsidP="00D21BCE">
            <w:pPr>
              <w:spacing w:after="0" w:line="240" w:lineRule="auto"/>
            </w:pPr>
          </w:p>
        </w:tc>
        <w:tc>
          <w:tcPr>
            <w:tcW w:w="900" w:type="dxa"/>
          </w:tcPr>
          <w:p w:rsidR="00D21BCE" w:rsidRPr="00F04EDB" w:rsidRDefault="00D21BCE" w:rsidP="00D21BCE">
            <w:pPr>
              <w:spacing w:after="0" w:line="240" w:lineRule="auto"/>
              <w:rPr>
                <w:b/>
                <w:bCs/>
                <w:color w:val="000000"/>
              </w:rPr>
            </w:pPr>
            <w:r w:rsidRPr="00F04EDB">
              <w:rPr>
                <w:b/>
                <w:bCs/>
                <w:color w:val="000000"/>
              </w:rPr>
              <w:t>Total  #</w:t>
            </w:r>
          </w:p>
        </w:tc>
        <w:tc>
          <w:tcPr>
            <w:tcW w:w="1260" w:type="dxa"/>
          </w:tcPr>
          <w:p w:rsidR="00D21BCE" w:rsidRPr="00F04EDB" w:rsidRDefault="00397B61" w:rsidP="00571756">
            <w:pPr>
              <w:spacing w:after="0" w:line="240" w:lineRule="auto"/>
              <w:jc w:val="center"/>
            </w:pPr>
            <w:r>
              <w:t>28</w:t>
            </w:r>
          </w:p>
        </w:tc>
        <w:tc>
          <w:tcPr>
            <w:tcW w:w="1080" w:type="dxa"/>
          </w:tcPr>
          <w:p w:rsidR="00D21BCE" w:rsidRPr="00F04EDB" w:rsidRDefault="00AD627B" w:rsidP="00571756">
            <w:pPr>
              <w:spacing w:after="0" w:line="240" w:lineRule="auto"/>
              <w:jc w:val="center"/>
            </w:pPr>
            <w:r>
              <w:t>48</w:t>
            </w:r>
          </w:p>
        </w:tc>
        <w:tc>
          <w:tcPr>
            <w:tcW w:w="1170" w:type="dxa"/>
          </w:tcPr>
          <w:p w:rsidR="00D21BCE" w:rsidRPr="00F04EDB" w:rsidRDefault="00AD627B" w:rsidP="00571756">
            <w:pPr>
              <w:spacing w:after="0" w:line="240" w:lineRule="auto"/>
              <w:jc w:val="center"/>
            </w:pPr>
            <w:r>
              <w:t>104</w:t>
            </w:r>
          </w:p>
        </w:tc>
        <w:tc>
          <w:tcPr>
            <w:tcW w:w="990" w:type="dxa"/>
          </w:tcPr>
          <w:p w:rsidR="00D21BCE" w:rsidRPr="00F04EDB" w:rsidRDefault="00AD627B" w:rsidP="00571756">
            <w:pPr>
              <w:spacing w:after="0" w:line="240" w:lineRule="auto"/>
              <w:jc w:val="center"/>
            </w:pPr>
            <w:r>
              <w:t>69</w:t>
            </w:r>
          </w:p>
        </w:tc>
        <w:tc>
          <w:tcPr>
            <w:tcW w:w="1368" w:type="dxa"/>
          </w:tcPr>
          <w:p w:rsidR="00D21BCE" w:rsidRPr="00F04EDB" w:rsidRDefault="00AD627B" w:rsidP="00571756">
            <w:pPr>
              <w:spacing w:after="0" w:line="240" w:lineRule="auto"/>
              <w:jc w:val="center"/>
            </w:pPr>
            <w:r>
              <w:t>1.9</w:t>
            </w:r>
          </w:p>
        </w:tc>
      </w:tr>
      <w:tr w:rsidR="00D21BCE" w:rsidRPr="00F04EDB" w:rsidTr="00571756">
        <w:tc>
          <w:tcPr>
            <w:tcW w:w="2970" w:type="dxa"/>
            <w:vMerge/>
          </w:tcPr>
          <w:p w:rsidR="00D21BCE" w:rsidRPr="00F04EDB" w:rsidRDefault="00D21BCE" w:rsidP="00D21BCE">
            <w:pPr>
              <w:spacing w:after="0" w:line="240" w:lineRule="auto"/>
            </w:pPr>
          </w:p>
        </w:tc>
        <w:tc>
          <w:tcPr>
            <w:tcW w:w="900" w:type="dxa"/>
          </w:tcPr>
          <w:p w:rsidR="00D21BCE" w:rsidRPr="00F04EDB" w:rsidRDefault="00D21BCE" w:rsidP="00D21BCE">
            <w:pPr>
              <w:spacing w:after="0" w:line="240" w:lineRule="auto"/>
              <w:rPr>
                <w:b/>
                <w:bCs/>
                <w:color w:val="000000"/>
              </w:rPr>
            </w:pPr>
            <w:r w:rsidRPr="00F04EDB">
              <w:rPr>
                <w:b/>
                <w:bCs/>
                <w:color w:val="000000"/>
              </w:rPr>
              <w:t>Total %</w:t>
            </w:r>
          </w:p>
        </w:tc>
        <w:tc>
          <w:tcPr>
            <w:tcW w:w="1260" w:type="dxa"/>
          </w:tcPr>
          <w:p w:rsidR="00D21BCE" w:rsidRPr="00F04EDB" w:rsidRDefault="00397B61" w:rsidP="00571756">
            <w:pPr>
              <w:spacing w:after="0" w:line="240" w:lineRule="auto"/>
              <w:jc w:val="center"/>
            </w:pPr>
            <w:r>
              <w:t>11%</w:t>
            </w:r>
          </w:p>
        </w:tc>
        <w:tc>
          <w:tcPr>
            <w:tcW w:w="1080" w:type="dxa"/>
          </w:tcPr>
          <w:p w:rsidR="00D21BCE" w:rsidRPr="00F04EDB" w:rsidRDefault="00AD627B" w:rsidP="00571756">
            <w:pPr>
              <w:spacing w:after="0" w:line="240" w:lineRule="auto"/>
              <w:jc w:val="center"/>
            </w:pPr>
            <w:r>
              <w:t>19%</w:t>
            </w:r>
          </w:p>
        </w:tc>
        <w:tc>
          <w:tcPr>
            <w:tcW w:w="1170" w:type="dxa"/>
          </w:tcPr>
          <w:p w:rsidR="00D21BCE" w:rsidRPr="00F04EDB" w:rsidRDefault="00AD627B" w:rsidP="00571756">
            <w:pPr>
              <w:spacing w:after="0" w:line="240" w:lineRule="auto"/>
              <w:jc w:val="center"/>
            </w:pPr>
            <w:r>
              <w:t>42%</w:t>
            </w:r>
          </w:p>
        </w:tc>
        <w:tc>
          <w:tcPr>
            <w:tcW w:w="990" w:type="dxa"/>
          </w:tcPr>
          <w:p w:rsidR="00D21BCE" w:rsidRPr="00F04EDB" w:rsidRDefault="00AD627B" w:rsidP="00571756">
            <w:pPr>
              <w:spacing w:after="0" w:line="240" w:lineRule="auto"/>
              <w:jc w:val="center"/>
            </w:pPr>
            <w:r>
              <w:t>28%</w:t>
            </w:r>
          </w:p>
        </w:tc>
        <w:tc>
          <w:tcPr>
            <w:tcW w:w="1368" w:type="dxa"/>
          </w:tcPr>
          <w:p w:rsidR="00D21BCE" w:rsidRPr="00F04EDB" w:rsidRDefault="00D21BCE" w:rsidP="00571756">
            <w:pPr>
              <w:spacing w:after="0" w:line="240" w:lineRule="auto"/>
              <w:jc w:val="center"/>
            </w:pPr>
          </w:p>
        </w:tc>
      </w:tr>
      <w:tr w:rsidR="00D21BCE" w:rsidRPr="00F04EDB" w:rsidTr="00571756">
        <w:trPr>
          <w:trHeight w:val="274"/>
        </w:trPr>
        <w:tc>
          <w:tcPr>
            <w:tcW w:w="2970" w:type="dxa"/>
            <w:vMerge w:val="restart"/>
            <w:shd w:val="clear" w:color="auto" w:fill="BFBFBF" w:themeFill="background1" w:themeFillShade="BF"/>
            <w:vAlign w:val="center"/>
          </w:tcPr>
          <w:p w:rsidR="00D21BCE" w:rsidRPr="00F04EDB" w:rsidRDefault="00D21BCE" w:rsidP="00D21BCE">
            <w:pPr>
              <w:spacing w:after="0" w:line="240" w:lineRule="auto"/>
              <w:jc w:val="center"/>
              <w:rPr>
                <w:b/>
                <w:color w:val="000000"/>
              </w:rPr>
            </w:pPr>
            <w:r w:rsidRPr="00F04EDB">
              <w:rPr>
                <w:b/>
                <w:color w:val="000000"/>
              </w:rPr>
              <w:t>Total Score For Focus Area #3</w:t>
            </w:r>
          </w:p>
        </w:tc>
        <w:tc>
          <w:tcPr>
            <w:tcW w:w="900" w:type="dxa"/>
            <w:shd w:val="clear" w:color="auto" w:fill="BFBFBF" w:themeFill="background1" w:themeFillShade="BF"/>
          </w:tcPr>
          <w:p w:rsidR="00D21BCE" w:rsidRPr="00F04EDB" w:rsidRDefault="00D21BCE" w:rsidP="00D21BCE">
            <w:pPr>
              <w:spacing w:after="0" w:line="240" w:lineRule="auto"/>
              <w:rPr>
                <w:b/>
                <w:bCs/>
                <w:color w:val="000000"/>
              </w:rPr>
            </w:pPr>
            <w:r w:rsidRPr="00F04EDB">
              <w:rPr>
                <w:b/>
                <w:bCs/>
                <w:color w:val="000000"/>
              </w:rPr>
              <w:t>ES</w:t>
            </w:r>
          </w:p>
        </w:tc>
        <w:tc>
          <w:tcPr>
            <w:tcW w:w="1260" w:type="dxa"/>
            <w:shd w:val="clear" w:color="auto" w:fill="BFBFBF" w:themeFill="background1" w:themeFillShade="BF"/>
          </w:tcPr>
          <w:p w:rsidR="00D21BCE" w:rsidRPr="00F04EDB" w:rsidRDefault="00397B61" w:rsidP="00571756">
            <w:pPr>
              <w:spacing w:after="0" w:line="240" w:lineRule="auto"/>
              <w:jc w:val="center"/>
            </w:pPr>
            <w:r>
              <w:t>83</w:t>
            </w:r>
          </w:p>
        </w:tc>
        <w:tc>
          <w:tcPr>
            <w:tcW w:w="1080" w:type="dxa"/>
            <w:shd w:val="clear" w:color="auto" w:fill="BFBFBF" w:themeFill="background1" w:themeFillShade="BF"/>
          </w:tcPr>
          <w:p w:rsidR="00D21BCE" w:rsidRPr="00F04EDB" w:rsidRDefault="00AD627B" w:rsidP="00571756">
            <w:pPr>
              <w:spacing w:after="0" w:line="240" w:lineRule="auto"/>
              <w:jc w:val="center"/>
            </w:pPr>
            <w:r>
              <w:t>139</w:t>
            </w:r>
          </w:p>
        </w:tc>
        <w:tc>
          <w:tcPr>
            <w:tcW w:w="1170" w:type="dxa"/>
            <w:shd w:val="clear" w:color="auto" w:fill="BFBFBF" w:themeFill="background1" w:themeFillShade="BF"/>
          </w:tcPr>
          <w:p w:rsidR="00D21BCE" w:rsidRPr="00F04EDB" w:rsidRDefault="00AD627B" w:rsidP="00571756">
            <w:pPr>
              <w:spacing w:after="0" w:line="240" w:lineRule="auto"/>
              <w:jc w:val="center"/>
            </w:pPr>
            <w:r>
              <w:t>258</w:t>
            </w:r>
          </w:p>
        </w:tc>
        <w:tc>
          <w:tcPr>
            <w:tcW w:w="990" w:type="dxa"/>
            <w:shd w:val="clear" w:color="auto" w:fill="BFBFBF" w:themeFill="background1" w:themeFillShade="BF"/>
          </w:tcPr>
          <w:p w:rsidR="00D21BCE" w:rsidRPr="00F04EDB" w:rsidRDefault="00AD627B" w:rsidP="00571756">
            <w:pPr>
              <w:spacing w:after="0" w:line="240" w:lineRule="auto"/>
              <w:jc w:val="center"/>
            </w:pPr>
            <w:r>
              <w:t>200</w:t>
            </w:r>
          </w:p>
        </w:tc>
        <w:tc>
          <w:tcPr>
            <w:tcW w:w="1368" w:type="dxa"/>
            <w:shd w:val="clear" w:color="auto" w:fill="BFBFBF" w:themeFill="background1" w:themeFillShade="BF"/>
          </w:tcPr>
          <w:p w:rsidR="00D21BCE" w:rsidRPr="00AD627B" w:rsidRDefault="00AD627B" w:rsidP="00571756">
            <w:pPr>
              <w:spacing w:after="0" w:line="240" w:lineRule="auto"/>
              <w:jc w:val="center"/>
              <w:rPr>
                <w:b/>
              </w:rPr>
            </w:pPr>
            <w:r w:rsidRPr="00AD627B">
              <w:rPr>
                <w:b/>
              </w:rPr>
              <w:t>7.3</w:t>
            </w:r>
          </w:p>
        </w:tc>
      </w:tr>
      <w:tr w:rsidR="00D21BCE" w:rsidRPr="00F04EDB" w:rsidTr="00571756">
        <w:trPr>
          <w:trHeight w:val="274"/>
        </w:trPr>
        <w:tc>
          <w:tcPr>
            <w:tcW w:w="2970" w:type="dxa"/>
            <w:vMerge/>
            <w:shd w:val="clear" w:color="auto" w:fill="BFBFBF" w:themeFill="background1" w:themeFillShade="BF"/>
          </w:tcPr>
          <w:p w:rsidR="00D21BCE" w:rsidRPr="00F04EDB" w:rsidRDefault="00D21BCE" w:rsidP="00D21BCE">
            <w:pPr>
              <w:spacing w:after="0" w:line="240" w:lineRule="auto"/>
              <w:rPr>
                <w:b/>
                <w:color w:val="000000"/>
              </w:rPr>
            </w:pPr>
          </w:p>
        </w:tc>
        <w:tc>
          <w:tcPr>
            <w:tcW w:w="900" w:type="dxa"/>
            <w:shd w:val="clear" w:color="auto" w:fill="BFBFBF" w:themeFill="background1" w:themeFillShade="BF"/>
          </w:tcPr>
          <w:p w:rsidR="00D21BCE" w:rsidRPr="00F04EDB" w:rsidRDefault="00D21BCE" w:rsidP="00D21BCE">
            <w:pPr>
              <w:spacing w:after="0" w:line="240" w:lineRule="auto"/>
              <w:rPr>
                <w:b/>
                <w:bCs/>
                <w:color w:val="000000"/>
              </w:rPr>
            </w:pPr>
            <w:r w:rsidRPr="00F04EDB">
              <w:rPr>
                <w:b/>
                <w:bCs/>
                <w:color w:val="000000"/>
              </w:rPr>
              <w:t>MS</w:t>
            </w:r>
          </w:p>
        </w:tc>
        <w:tc>
          <w:tcPr>
            <w:tcW w:w="1260" w:type="dxa"/>
            <w:shd w:val="clear" w:color="auto" w:fill="BFBFBF" w:themeFill="background1" w:themeFillShade="BF"/>
          </w:tcPr>
          <w:p w:rsidR="00D21BCE" w:rsidRPr="00F04EDB" w:rsidRDefault="00397B61" w:rsidP="00571756">
            <w:pPr>
              <w:spacing w:after="0" w:line="240" w:lineRule="auto"/>
              <w:jc w:val="center"/>
            </w:pPr>
            <w:r>
              <w:t>12</w:t>
            </w:r>
          </w:p>
        </w:tc>
        <w:tc>
          <w:tcPr>
            <w:tcW w:w="1080" w:type="dxa"/>
            <w:shd w:val="clear" w:color="auto" w:fill="BFBFBF" w:themeFill="background1" w:themeFillShade="BF"/>
          </w:tcPr>
          <w:p w:rsidR="00D21BCE" w:rsidRPr="00F04EDB" w:rsidRDefault="00AD627B" w:rsidP="00571756">
            <w:pPr>
              <w:spacing w:after="0" w:line="240" w:lineRule="auto"/>
              <w:jc w:val="center"/>
            </w:pPr>
            <w:r>
              <w:t>15</w:t>
            </w:r>
          </w:p>
        </w:tc>
        <w:tc>
          <w:tcPr>
            <w:tcW w:w="1170" w:type="dxa"/>
            <w:shd w:val="clear" w:color="auto" w:fill="BFBFBF" w:themeFill="background1" w:themeFillShade="BF"/>
          </w:tcPr>
          <w:p w:rsidR="00D21BCE" w:rsidRPr="00F04EDB" w:rsidRDefault="00AD627B" w:rsidP="00571756">
            <w:pPr>
              <w:spacing w:after="0" w:line="240" w:lineRule="auto"/>
              <w:jc w:val="center"/>
            </w:pPr>
            <w:r>
              <w:t>39</w:t>
            </w:r>
          </w:p>
        </w:tc>
        <w:tc>
          <w:tcPr>
            <w:tcW w:w="990" w:type="dxa"/>
            <w:shd w:val="clear" w:color="auto" w:fill="BFBFBF" w:themeFill="background1" w:themeFillShade="BF"/>
          </w:tcPr>
          <w:p w:rsidR="00D21BCE" w:rsidRPr="00F04EDB" w:rsidRDefault="00AD627B" w:rsidP="00571756">
            <w:pPr>
              <w:spacing w:after="0" w:line="240" w:lineRule="auto"/>
              <w:jc w:val="center"/>
            </w:pPr>
            <w:r>
              <w:t>58</w:t>
            </w:r>
          </w:p>
        </w:tc>
        <w:tc>
          <w:tcPr>
            <w:tcW w:w="1368" w:type="dxa"/>
            <w:shd w:val="clear" w:color="auto" w:fill="BFBFBF" w:themeFill="background1" w:themeFillShade="BF"/>
          </w:tcPr>
          <w:p w:rsidR="00D21BCE" w:rsidRPr="00AD627B" w:rsidRDefault="00AD627B" w:rsidP="00571756">
            <w:pPr>
              <w:spacing w:after="0" w:line="240" w:lineRule="auto"/>
              <w:jc w:val="center"/>
              <w:rPr>
                <w:b/>
              </w:rPr>
            </w:pPr>
            <w:r w:rsidRPr="00AD627B">
              <w:rPr>
                <w:b/>
              </w:rPr>
              <w:t>8.6</w:t>
            </w:r>
          </w:p>
        </w:tc>
      </w:tr>
      <w:tr w:rsidR="00D21BCE" w:rsidRPr="00F04EDB" w:rsidTr="00571756">
        <w:trPr>
          <w:trHeight w:val="274"/>
        </w:trPr>
        <w:tc>
          <w:tcPr>
            <w:tcW w:w="2970" w:type="dxa"/>
            <w:vMerge/>
            <w:shd w:val="clear" w:color="auto" w:fill="BFBFBF" w:themeFill="background1" w:themeFillShade="BF"/>
          </w:tcPr>
          <w:p w:rsidR="00D21BCE" w:rsidRPr="00F04EDB" w:rsidRDefault="00D21BCE" w:rsidP="00D21BCE">
            <w:pPr>
              <w:spacing w:after="0" w:line="240" w:lineRule="auto"/>
              <w:rPr>
                <w:b/>
                <w:color w:val="000000"/>
              </w:rPr>
            </w:pPr>
          </w:p>
        </w:tc>
        <w:tc>
          <w:tcPr>
            <w:tcW w:w="900" w:type="dxa"/>
            <w:shd w:val="clear" w:color="auto" w:fill="BFBFBF" w:themeFill="background1" w:themeFillShade="BF"/>
          </w:tcPr>
          <w:p w:rsidR="00D21BCE" w:rsidRPr="00F04EDB" w:rsidRDefault="00D21BCE" w:rsidP="00D21BCE">
            <w:pPr>
              <w:spacing w:after="0" w:line="240" w:lineRule="auto"/>
              <w:rPr>
                <w:b/>
                <w:bCs/>
                <w:color w:val="000000"/>
              </w:rPr>
            </w:pPr>
            <w:r w:rsidRPr="00F04EDB">
              <w:rPr>
                <w:b/>
                <w:bCs/>
                <w:color w:val="000000"/>
              </w:rPr>
              <w:t>HS</w:t>
            </w:r>
          </w:p>
        </w:tc>
        <w:tc>
          <w:tcPr>
            <w:tcW w:w="1260" w:type="dxa"/>
            <w:shd w:val="clear" w:color="auto" w:fill="BFBFBF" w:themeFill="background1" w:themeFillShade="BF"/>
          </w:tcPr>
          <w:p w:rsidR="00D21BCE" w:rsidRPr="00F04EDB" w:rsidRDefault="00397B61" w:rsidP="00571756">
            <w:pPr>
              <w:spacing w:after="0" w:line="240" w:lineRule="auto"/>
              <w:jc w:val="center"/>
            </w:pPr>
            <w:r>
              <w:t>51</w:t>
            </w:r>
          </w:p>
        </w:tc>
        <w:tc>
          <w:tcPr>
            <w:tcW w:w="1080" w:type="dxa"/>
            <w:shd w:val="clear" w:color="auto" w:fill="BFBFBF" w:themeFill="background1" w:themeFillShade="BF"/>
          </w:tcPr>
          <w:p w:rsidR="00D21BCE" w:rsidRPr="00F04EDB" w:rsidRDefault="00AD627B" w:rsidP="00571756">
            <w:pPr>
              <w:spacing w:after="0" w:line="240" w:lineRule="auto"/>
              <w:jc w:val="center"/>
            </w:pPr>
            <w:r>
              <w:t>42</w:t>
            </w:r>
          </w:p>
        </w:tc>
        <w:tc>
          <w:tcPr>
            <w:tcW w:w="1170" w:type="dxa"/>
            <w:shd w:val="clear" w:color="auto" w:fill="BFBFBF" w:themeFill="background1" w:themeFillShade="BF"/>
          </w:tcPr>
          <w:p w:rsidR="00D21BCE" w:rsidRPr="00F04EDB" w:rsidRDefault="00AD627B" w:rsidP="00571756">
            <w:pPr>
              <w:spacing w:after="0" w:line="240" w:lineRule="auto"/>
              <w:jc w:val="center"/>
            </w:pPr>
            <w:r>
              <w:t>58</w:t>
            </w:r>
          </w:p>
        </w:tc>
        <w:tc>
          <w:tcPr>
            <w:tcW w:w="990" w:type="dxa"/>
            <w:shd w:val="clear" w:color="auto" w:fill="BFBFBF" w:themeFill="background1" w:themeFillShade="BF"/>
          </w:tcPr>
          <w:p w:rsidR="00D21BCE" w:rsidRPr="00F04EDB" w:rsidRDefault="00AD627B" w:rsidP="00571756">
            <w:pPr>
              <w:spacing w:after="0" w:line="240" w:lineRule="auto"/>
              <w:jc w:val="center"/>
            </w:pPr>
            <w:r>
              <w:t>41</w:t>
            </w:r>
          </w:p>
        </w:tc>
        <w:tc>
          <w:tcPr>
            <w:tcW w:w="1368" w:type="dxa"/>
            <w:shd w:val="clear" w:color="auto" w:fill="BFBFBF" w:themeFill="background1" w:themeFillShade="BF"/>
          </w:tcPr>
          <w:p w:rsidR="00D21BCE" w:rsidRPr="00AD627B" w:rsidRDefault="00AD627B" w:rsidP="00571756">
            <w:pPr>
              <w:spacing w:after="0" w:line="240" w:lineRule="auto"/>
              <w:jc w:val="center"/>
              <w:rPr>
                <w:b/>
              </w:rPr>
            </w:pPr>
            <w:r w:rsidRPr="00AD627B">
              <w:rPr>
                <w:b/>
              </w:rPr>
              <w:t>5.9</w:t>
            </w:r>
          </w:p>
        </w:tc>
      </w:tr>
      <w:tr w:rsidR="00D21BCE" w:rsidRPr="00F04EDB" w:rsidTr="00571756">
        <w:trPr>
          <w:trHeight w:val="274"/>
        </w:trPr>
        <w:tc>
          <w:tcPr>
            <w:tcW w:w="2970" w:type="dxa"/>
            <w:vMerge/>
            <w:shd w:val="clear" w:color="auto" w:fill="BFBFBF" w:themeFill="background1" w:themeFillShade="BF"/>
          </w:tcPr>
          <w:p w:rsidR="00D21BCE" w:rsidRPr="00F04EDB" w:rsidRDefault="00D21BCE" w:rsidP="00D21BCE">
            <w:pPr>
              <w:spacing w:after="0" w:line="240" w:lineRule="auto"/>
              <w:rPr>
                <w:b/>
                <w:color w:val="000000"/>
              </w:rPr>
            </w:pPr>
          </w:p>
        </w:tc>
        <w:tc>
          <w:tcPr>
            <w:tcW w:w="900" w:type="dxa"/>
            <w:shd w:val="clear" w:color="auto" w:fill="BFBFBF" w:themeFill="background1" w:themeFillShade="BF"/>
          </w:tcPr>
          <w:p w:rsidR="00D21BCE" w:rsidRPr="00F04EDB" w:rsidRDefault="00D21BCE" w:rsidP="00D21BCE">
            <w:pPr>
              <w:spacing w:after="0" w:line="240" w:lineRule="auto"/>
            </w:pPr>
            <w:r w:rsidRPr="00F04EDB">
              <w:rPr>
                <w:b/>
                <w:bCs/>
                <w:color w:val="000000"/>
              </w:rPr>
              <w:t>Total</w:t>
            </w:r>
          </w:p>
        </w:tc>
        <w:tc>
          <w:tcPr>
            <w:tcW w:w="1260" w:type="dxa"/>
            <w:shd w:val="clear" w:color="auto" w:fill="BFBFBF" w:themeFill="background1" w:themeFillShade="BF"/>
          </w:tcPr>
          <w:p w:rsidR="00D21BCE" w:rsidRPr="00F04EDB" w:rsidRDefault="00397B61" w:rsidP="00571756">
            <w:pPr>
              <w:spacing w:after="0" w:line="240" w:lineRule="auto"/>
              <w:jc w:val="center"/>
            </w:pPr>
            <w:r>
              <w:t>146</w:t>
            </w:r>
          </w:p>
        </w:tc>
        <w:tc>
          <w:tcPr>
            <w:tcW w:w="1080" w:type="dxa"/>
            <w:shd w:val="clear" w:color="auto" w:fill="BFBFBF" w:themeFill="background1" w:themeFillShade="BF"/>
          </w:tcPr>
          <w:p w:rsidR="00D21BCE" w:rsidRPr="00F04EDB" w:rsidRDefault="00AD627B" w:rsidP="00571756">
            <w:pPr>
              <w:spacing w:after="0" w:line="240" w:lineRule="auto"/>
              <w:jc w:val="center"/>
            </w:pPr>
            <w:r>
              <w:t>196</w:t>
            </w:r>
          </w:p>
        </w:tc>
        <w:tc>
          <w:tcPr>
            <w:tcW w:w="1170" w:type="dxa"/>
            <w:shd w:val="clear" w:color="auto" w:fill="BFBFBF" w:themeFill="background1" w:themeFillShade="BF"/>
          </w:tcPr>
          <w:p w:rsidR="00D21BCE" w:rsidRPr="00F04EDB" w:rsidRDefault="00AD627B" w:rsidP="00571756">
            <w:pPr>
              <w:spacing w:after="0" w:line="240" w:lineRule="auto"/>
              <w:jc w:val="center"/>
            </w:pPr>
            <w:r>
              <w:t>355</w:t>
            </w:r>
          </w:p>
        </w:tc>
        <w:tc>
          <w:tcPr>
            <w:tcW w:w="990" w:type="dxa"/>
            <w:shd w:val="clear" w:color="auto" w:fill="BFBFBF" w:themeFill="background1" w:themeFillShade="BF"/>
          </w:tcPr>
          <w:p w:rsidR="00D21BCE" w:rsidRPr="00F04EDB" w:rsidRDefault="00AD627B" w:rsidP="00571756">
            <w:pPr>
              <w:spacing w:after="0" w:line="240" w:lineRule="auto"/>
              <w:jc w:val="center"/>
            </w:pPr>
            <w:r>
              <w:t>299</w:t>
            </w:r>
          </w:p>
        </w:tc>
        <w:tc>
          <w:tcPr>
            <w:tcW w:w="1368" w:type="dxa"/>
            <w:shd w:val="clear" w:color="auto" w:fill="BFBFBF" w:themeFill="background1" w:themeFillShade="BF"/>
          </w:tcPr>
          <w:p w:rsidR="00D21BCE" w:rsidRPr="00AD627B" w:rsidRDefault="00AD627B" w:rsidP="00571756">
            <w:pPr>
              <w:spacing w:after="0" w:line="240" w:lineRule="auto"/>
              <w:jc w:val="center"/>
              <w:rPr>
                <w:b/>
              </w:rPr>
            </w:pPr>
            <w:r w:rsidRPr="00AD627B">
              <w:rPr>
                <w:b/>
              </w:rPr>
              <w:t>7.2</w:t>
            </w:r>
          </w:p>
        </w:tc>
      </w:tr>
    </w:tbl>
    <w:p w:rsidR="002B2DA4" w:rsidRDefault="002B2DA4" w:rsidP="003F0BCE"/>
    <w:p w:rsidR="002A7B09" w:rsidRDefault="002A7B09">
      <w:pPr>
        <w:spacing w:after="0" w:line="240" w:lineRule="auto"/>
      </w:pPr>
      <w:r>
        <w:br w:type="page"/>
      </w:r>
    </w:p>
    <w:p w:rsidR="00E6414B" w:rsidRDefault="00E6414B">
      <w:pPr>
        <w:spacing w:after="0" w:line="240" w:lineRule="auto"/>
        <w:sectPr w:rsidR="00E6414B" w:rsidSect="007C6FC2">
          <w:footerReference w:type="default" r:id="rId48"/>
          <w:endnotePr>
            <w:numFmt w:val="decimal"/>
          </w:endnotePr>
          <w:pgSz w:w="12240" w:h="15840"/>
          <w:pgMar w:top="1440" w:right="1440" w:bottom="1440" w:left="1440" w:header="720" w:footer="720" w:gutter="0"/>
          <w:cols w:space="720"/>
          <w:noEndnote/>
          <w:docGrid w:linePitch="326"/>
        </w:sectPr>
      </w:pPr>
    </w:p>
    <w:p w:rsidR="00350132" w:rsidRPr="009929AC" w:rsidRDefault="009929AC" w:rsidP="009929AC">
      <w:pPr>
        <w:pStyle w:val="Section"/>
      </w:pPr>
      <w:bookmarkStart w:id="23" w:name="_Toc484611581"/>
      <w:r>
        <w:t>Appendix D: Worcester Public Schools Organizational Chart</w:t>
      </w:r>
      <w:r w:rsidR="0051689D">
        <w:rPr>
          <w:rStyle w:val="FootnoteReference"/>
        </w:rPr>
        <w:footnoteReference w:id="30"/>
      </w:r>
      <w:bookmarkEnd w:id="23"/>
      <w:r w:rsidR="0051689D">
        <w:t xml:space="preserve"> </w:t>
      </w:r>
    </w:p>
    <w:bookmarkStart w:id="24" w:name="_MON_1551781087"/>
    <w:bookmarkEnd w:id="24"/>
    <w:p w:rsidR="009929AC" w:rsidRDefault="009929AC" w:rsidP="009201C4">
      <w:r>
        <w:object w:dxaOrig="11393" w:dyaOrig="7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0pt;height:358.5pt" o:ole="">
            <v:imagedata r:id="rId49" o:title=""/>
          </v:shape>
          <o:OLEObject Type="Embed" ProgID="Word.Document.12" ShapeID="_x0000_i1025" DrawAspect="Content" ObjectID="_1558504656" r:id="rId50">
            <o:FieldCodes>\s</o:FieldCodes>
          </o:OLEObject>
        </w:object>
      </w:r>
    </w:p>
    <w:sectPr w:rsidR="009929AC" w:rsidSect="00E6414B">
      <w:endnotePr>
        <w:numFmt w:val="decimal"/>
      </w:endnotePr>
      <w:pgSz w:w="15840" w:h="12240" w:orient="landscape"/>
      <w:pgMar w:top="1440" w:right="1440" w:bottom="1440" w:left="1440" w:header="720" w:footer="720" w:gutter="0"/>
      <w:cols w:space="720"/>
      <w:noEndnote/>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A6E1B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26E" w:rsidRDefault="00BE326E" w:rsidP="00B93273">
      <w:pPr>
        <w:spacing w:after="0" w:line="240" w:lineRule="auto"/>
      </w:pPr>
      <w:r>
        <w:separator/>
      </w:r>
    </w:p>
  </w:endnote>
  <w:endnote w:type="continuationSeparator" w:id="0">
    <w:p w:rsidR="00BE326E" w:rsidRDefault="00BE326E" w:rsidP="00B932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132721"/>
      <w:docPartObj>
        <w:docPartGallery w:val="Page Numbers (Bottom of Page)"/>
        <w:docPartUnique/>
      </w:docPartObj>
    </w:sdtPr>
    <w:sdtContent>
      <w:p w:rsidR="009E7CC3" w:rsidRDefault="006D7039">
        <w:pPr>
          <w:pStyle w:val="Footer"/>
          <w:jc w:val="right"/>
        </w:pPr>
        <w:fldSimple w:instr=" PAGE   \* MERGEFORMAT ">
          <w:r w:rsidR="003C6C91">
            <w:rPr>
              <w:noProof/>
            </w:rPr>
            <w:t>83</w:t>
          </w:r>
        </w:fldSimple>
      </w:p>
    </w:sdtContent>
  </w:sdt>
  <w:p w:rsidR="009E7CC3" w:rsidRDefault="009E7C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132723"/>
      <w:docPartObj>
        <w:docPartGallery w:val="Page Numbers (Bottom of Page)"/>
        <w:docPartUnique/>
      </w:docPartObj>
    </w:sdtPr>
    <w:sdtContent>
      <w:p w:rsidR="009E7CC3" w:rsidRDefault="006D7039">
        <w:pPr>
          <w:pStyle w:val="Footer"/>
          <w:jc w:val="right"/>
        </w:pPr>
        <w:fldSimple w:instr=" PAGE   \* MERGEFORMAT ">
          <w:r w:rsidR="00AD4189">
            <w:rPr>
              <w:noProof/>
            </w:rPr>
            <w:t>108</w:t>
          </w:r>
        </w:fldSimple>
      </w:p>
    </w:sdtContent>
  </w:sdt>
  <w:p w:rsidR="009E7CC3" w:rsidRDefault="009E7CC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132724"/>
      <w:docPartObj>
        <w:docPartGallery w:val="Page Numbers (Bottom of Page)"/>
        <w:docPartUnique/>
      </w:docPartObj>
    </w:sdtPr>
    <w:sdtContent>
      <w:p w:rsidR="009E7CC3" w:rsidRDefault="006D7039">
        <w:pPr>
          <w:pStyle w:val="Footer"/>
          <w:jc w:val="right"/>
        </w:pPr>
        <w:fldSimple w:instr=" PAGE   \* MERGEFORMAT ">
          <w:r w:rsidR="00AD4189">
            <w:rPr>
              <w:noProof/>
            </w:rPr>
            <w:t>109</w:t>
          </w:r>
        </w:fldSimple>
      </w:p>
    </w:sdtContent>
  </w:sdt>
  <w:p w:rsidR="009E7CC3" w:rsidRDefault="009E7CC3" w:rsidP="0035013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26E" w:rsidRDefault="00BE326E" w:rsidP="00B93273">
      <w:pPr>
        <w:spacing w:after="0" w:line="240" w:lineRule="auto"/>
      </w:pPr>
      <w:r>
        <w:separator/>
      </w:r>
    </w:p>
  </w:footnote>
  <w:footnote w:type="continuationSeparator" w:id="0">
    <w:p w:rsidR="00BE326E" w:rsidRDefault="00BE326E" w:rsidP="00B93273">
      <w:pPr>
        <w:spacing w:after="0" w:line="240" w:lineRule="auto"/>
      </w:pPr>
      <w:r>
        <w:continuationSeparator/>
      </w:r>
    </w:p>
  </w:footnote>
  <w:footnote w:id="1">
    <w:p w:rsidR="009E7CC3" w:rsidRPr="009C5A18" w:rsidRDefault="009E7CC3">
      <w:pPr>
        <w:pStyle w:val="FootnoteText"/>
        <w:rPr>
          <w:sz w:val="19"/>
          <w:szCs w:val="19"/>
        </w:rPr>
      </w:pPr>
      <w:r w:rsidRPr="00826AE2">
        <w:rPr>
          <w:rStyle w:val="FootnoteReference"/>
          <w:sz w:val="19"/>
          <w:szCs w:val="19"/>
        </w:rPr>
        <w:footnoteRef/>
      </w:r>
      <w:r w:rsidRPr="00826AE2">
        <w:rPr>
          <w:sz w:val="19"/>
          <w:szCs w:val="19"/>
        </w:rPr>
        <w:t xml:space="preserve"> The district has a variety of grade spans in its schools: Pre-K, Pre-K–6, 6–8, 7–8, 7–12, and 9–12.  In this review, grade 6 was included with elementary schools and grades 7–8 were included with middle schools.</w:t>
      </w:r>
    </w:p>
  </w:footnote>
  <w:footnote w:id="2">
    <w:p w:rsidR="009E7CC3" w:rsidRPr="00692966" w:rsidRDefault="009E7CC3">
      <w:pPr>
        <w:pStyle w:val="FootnoteText"/>
        <w:rPr>
          <w:sz w:val="19"/>
          <w:szCs w:val="19"/>
        </w:rPr>
      </w:pPr>
      <w:r w:rsidRPr="00826AE2">
        <w:rPr>
          <w:rStyle w:val="FootnoteReference"/>
          <w:sz w:val="19"/>
          <w:szCs w:val="19"/>
        </w:rPr>
        <w:footnoteRef/>
      </w:r>
      <w:r w:rsidRPr="00826AE2">
        <w:rPr>
          <w:sz w:val="19"/>
          <w:szCs w:val="19"/>
        </w:rPr>
        <w:t xml:space="preserve"> In addition to the 44 schools serving students Pre-K–12+, the district manages the following alternative schools:  Reach and Challenge Academies (56 students in grades 7–10); The Gerald Creamer Center (198 students in grades 11–12); and the Alternative School–St. Casimir (44 students in grades 7–12). The Dr. James Caradonio New Citizens Center serves recently arrived, non-English speaking students.</w:t>
      </w:r>
    </w:p>
  </w:footnote>
  <w:footnote w:id="3">
    <w:p w:rsidR="009E7CC3" w:rsidRPr="00770BE9" w:rsidRDefault="009E7CC3">
      <w:pPr>
        <w:pStyle w:val="FootnoteText"/>
        <w:rPr>
          <w:sz w:val="19"/>
          <w:szCs w:val="19"/>
        </w:rPr>
      </w:pPr>
      <w:r w:rsidRPr="00651963">
        <w:rPr>
          <w:rStyle w:val="FootnoteReference"/>
          <w:sz w:val="19"/>
          <w:szCs w:val="19"/>
        </w:rPr>
        <w:footnoteRef/>
      </w:r>
      <w:r w:rsidRPr="00651963">
        <w:rPr>
          <w:sz w:val="19"/>
          <w:szCs w:val="19"/>
        </w:rPr>
        <w:t xml:space="preserve"> </w:t>
      </w:r>
      <w:r>
        <w:rPr>
          <w:sz w:val="19"/>
          <w:szCs w:val="19"/>
        </w:rPr>
        <w:t>The district serves 560 students in its Head Start program in several locations across the district.</w:t>
      </w:r>
    </w:p>
  </w:footnote>
  <w:footnote w:id="4">
    <w:p w:rsidR="009E7CC3" w:rsidRPr="00EE7DFB" w:rsidRDefault="009E7CC3" w:rsidP="0091151B">
      <w:pPr>
        <w:pStyle w:val="FootnoteText"/>
        <w:rPr>
          <w:sz w:val="19"/>
          <w:szCs w:val="19"/>
        </w:rPr>
      </w:pPr>
      <w:r w:rsidRPr="00EE7DFB">
        <w:rPr>
          <w:rStyle w:val="FootnoteReference"/>
          <w:sz w:val="19"/>
          <w:szCs w:val="19"/>
        </w:rPr>
        <w:footnoteRef/>
      </w:r>
      <w:r w:rsidRPr="00EE7DFB">
        <w:rPr>
          <w:sz w:val="19"/>
          <w:szCs w:val="19"/>
        </w:rPr>
        <w:t xml:space="preserve"> The four-year cohort graduation rate target is 80 percent for each group and refers to the 2015 graduation rate.  Low-income students did not receive a 2016 accountability rating because of the change to the economically disadvantaged measure.</w:t>
      </w:r>
    </w:p>
  </w:footnote>
  <w:footnote w:id="5">
    <w:p w:rsidR="009E7CC3" w:rsidRPr="00827E1E" w:rsidRDefault="009E7CC3" w:rsidP="0091151B">
      <w:pPr>
        <w:pStyle w:val="FootnoteText"/>
        <w:rPr>
          <w:sz w:val="19"/>
          <w:szCs w:val="19"/>
        </w:rPr>
      </w:pPr>
      <w:r w:rsidRPr="00B42672">
        <w:rPr>
          <w:rStyle w:val="FootnoteReference"/>
          <w:sz w:val="19"/>
          <w:szCs w:val="19"/>
        </w:rPr>
        <w:footnoteRef/>
      </w:r>
      <w:r w:rsidRPr="00B42672">
        <w:rPr>
          <w:sz w:val="19"/>
          <w:szCs w:val="19"/>
        </w:rPr>
        <w:t xml:space="preserve"> </w:t>
      </w:r>
      <w:r w:rsidRPr="00827E1E">
        <w:rPr>
          <w:sz w:val="19"/>
          <w:szCs w:val="19"/>
        </w:rPr>
        <w:t>The five-year cohort graduation rate target is 85 percent for each group and refers to the 2014 graduation rate.  Low-income students did not receive a 2016 accountability rating because of the change to the economically disadvantaged measure.</w:t>
      </w:r>
    </w:p>
  </w:footnote>
  <w:footnote w:id="6">
    <w:p w:rsidR="009E7CC3" w:rsidRPr="00827E1E" w:rsidRDefault="009E7CC3" w:rsidP="000E4BE0">
      <w:pPr>
        <w:pStyle w:val="FootnoteText"/>
        <w:rPr>
          <w:sz w:val="19"/>
          <w:szCs w:val="19"/>
        </w:rPr>
      </w:pPr>
      <w:r w:rsidRPr="00B42672">
        <w:rPr>
          <w:rStyle w:val="FootnoteReference"/>
          <w:sz w:val="19"/>
          <w:szCs w:val="19"/>
        </w:rPr>
        <w:footnoteRef/>
      </w:r>
      <w:r w:rsidRPr="00B42672">
        <w:rPr>
          <w:sz w:val="19"/>
          <w:szCs w:val="19"/>
        </w:rPr>
        <w:t xml:space="preserve"> Low </w:t>
      </w:r>
      <w:r>
        <w:rPr>
          <w:sz w:val="19"/>
          <w:szCs w:val="19"/>
        </w:rPr>
        <w:t>i</w:t>
      </w:r>
      <w:r w:rsidRPr="00B42672">
        <w:rPr>
          <w:sz w:val="19"/>
          <w:szCs w:val="19"/>
        </w:rPr>
        <w:t xml:space="preserve">ncome </w:t>
      </w:r>
      <w:r>
        <w:rPr>
          <w:sz w:val="19"/>
          <w:szCs w:val="19"/>
        </w:rPr>
        <w:t>students’ d</w:t>
      </w:r>
      <w:r w:rsidRPr="00B42672">
        <w:rPr>
          <w:sz w:val="19"/>
          <w:szCs w:val="19"/>
        </w:rPr>
        <w:t>rop</w:t>
      </w:r>
      <w:r>
        <w:rPr>
          <w:sz w:val="19"/>
          <w:szCs w:val="19"/>
        </w:rPr>
        <w:t>-</w:t>
      </w:r>
      <w:r w:rsidRPr="00B42672">
        <w:rPr>
          <w:sz w:val="19"/>
          <w:szCs w:val="19"/>
        </w:rPr>
        <w:t xml:space="preserve">out </w:t>
      </w:r>
      <w:r>
        <w:rPr>
          <w:sz w:val="19"/>
          <w:szCs w:val="19"/>
        </w:rPr>
        <w:t>r</w:t>
      </w:r>
      <w:r w:rsidRPr="00B42672">
        <w:rPr>
          <w:sz w:val="19"/>
          <w:szCs w:val="19"/>
        </w:rPr>
        <w:t>ate</w:t>
      </w:r>
      <w:r>
        <w:rPr>
          <w:sz w:val="19"/>
          <w:szCs w:val="19"/>
        </w:rPr>
        <w:t>s</w:t>
      </w:r>
      <w:r w:rsidRPr="00B42672">
        <w:rPr>
          <w:sz w:val="19"/>
          <w:szCs w:val="19"/>
        </w:rPr>
        <w:t xml:space="preserve"> used for 2012, 2013, </w:t>
      </w:r>
      <w:r>
        <w:rPr>
          <w:sz w:val="19"/>
          <w:szCs w:val="19"/>
        </w:rPr>
        <w:t xml:space="preserve">and </w:t>
      </w:r>
      <w:r w:rsidRPr="00B42672">
        <w:rPr>
          <w:sz w:val="19"/>
          <w:szCs w:val="19"/>
        </w:rPr>
        <w:t>2014 economically disadvantaged rate</w:t>
      </w:r>
      <w:r>
        <w:rPr>
          <w:sz w:val="19"/>
          <w:szCs w:val="19"/>
        </w:rPr>
        <w:t>s</w:t>
      </w:r>
      <w:r w:rsidRPr="00B42672">
        <w:rPr>
          <w:sz w:val="19"/>
          <w:szCs w:val="19"/>
        </w:rPr>
        <w:t>.</w:t>
      </w:r>
    </w:p>
  </w:footnote>
  <w:footnote w:id="7">
    <w:p w:rsidR="009E7CC3" w:rsidRPr="00827E1E" w:rsidRDefault="009E7CC3" w:rsidP="000E4BE0">
      <w:pPr>
        <w:pStyle w:val="FootnoteText"/>
        <w:rPr>
          <w:sz w:val="19"/>
          <w:szCs w:val="19"/>
        </w:rPr>
      </w:pPr>
      <w:r w:rsidRPr="00B42672">
        <w:rPr>
          <w:rStyle w:val="FootnoteReference"/>
          <w:sz w:val="19"/>
          <w:szCs w:val="19"/>
        </w:rPr>
        <w:footnoteRef/>
      </w:r>
      <w:r w:rsidRPr="00B42672">
        <w:rPr>
          <w:sz w:val="19"/>
          <w:szCs w:val="19"/>
        </w:rPr>
        <w:t xml:space="preserve"> Low income students</w:t>
      </w:r>
      <w:r>
        <w:rPr>
          <w:sz w:val="19"/>
          <w:szCs w:val="19"/>
        </w:rPr>
        <w:t>’</w:t>
      </w:r>
      <w:r w:rsidRPr="00B42672">
        <w:rPr>
          <w:sz w:val="19"/>
          <w:szCs w:val="19"/>
        </w:rPr>
        <w:t xml:space="preserve"> drop</w:t>
      </w:r>
      <w:r>
        <w:rPr>
          <w:sz w:val="19"/>
          <w:szCs w:val="19"/>
        </w:rPr>
        <w:t>-</w:t>
      </w:r>
      <w:r w:rsidRPr="00B42672">
        <w:rPr>
          <w:sz w:val="19"/>
          <w:szCs w:val="19"/>
        </w:rPr>
        <w:t>out rates used for 2012, 2013, and 2014 economically disadvantaged</w:t>
      </w:r>
      <w:r>
        <w:rPr>
          <w:sz w:val="19"/>
          <w:szCs w:val="19"/>
        </w:rPr>
        <w:t xml:space="preserve"> rates</w:t>
      </w:r>
      <w:r w:rsidRPr="00B42672">
        <w:rPr>
          <w:sz w:val="19"/>
          <w:szCs w:val="19"/>
        </w:rPr>
        <w:t>.</w:t>
      </w:r>
    </w:p>
  </w:footnote>
  <w:footnote w:id="8">
    <w:p w:rsidR="009E7CC3" w:rsidRPr="00CC020A" w:rsidRDefault="009E7CC3" w:rsidP="00D30C39">
      <w:pPr>
        <w:pStyle w:val="FootnoteText"/>
        <w:rPr>
          <w:sz w:val="19"/>
          <w:szCs w:val="19"/>
        </w:rPr>
      </w:pPr>
      <w:r w:rsidRPr="00086B4D">
        <w:rPr>
          <w:rStyle w:val="FootnoteReference"/>
          <w:sz w:val="19"/>
          <w:szCs w:val="19"/>
        </w:rPr>
        <w:footnoteRef/>
      </w:r>
      <w:r w:rsidRPr="00086B4D">
        <w:rPr>
          <w:sz w:val="19"/>
          <w:szCs w:val="19"/>
        </w:rPr>
        <w:t xml:space="preserve"> The New Superintendent Induction Program (NSIP) is a partnership between ESE and the Massachusetts Association of School Superintendents and supported by the school district.</w:t>
      </w:r>
      <w:r w:rsidRPr="00CC020A">
        <w:rPr>
          <w:sz w:val="19"/>
          <w:szCs w:val="19"/>
        </w:rPr>
        <w:t xml:space="preserve"> </w:t>
      </w:r>
    </w:p>
  </w:footnote>
  <w:footnote w:id="9">
    <w:p w:rsidR="009E7CC3" w:rsidRPr="006B3651" w:rsidRDefault="009E7CC3" w:rsidP="006B3651">
      <w:pPr>
        <w:pStyle w:val="FootnoteText"/>
        <w:rPr>
          <w:rFonts w:cs="Times New Roman"/>
          <w:sz w:val="19"/>
          <w:szCs w:val="19"/>
        </w:rPr>
      </w:pPr>
      <w:r w:rsidRPr="00AA6BC1">
        <w:rPr>
          <w:rStyle w:val="FootnoteReference"/>
          <w:sz w:val="19"/>
          <w:szCs w:val="19"/>
        </w:rPr>
        <w:footnoteRef/>
      </w:r>
      <w:r w:rsidRPr="00AA6BC1">
        <w:rPr>
          <w:sz w:val="19"/>
          <w:szCs w:val="19"/>
        </w:rPr>
        <w:t xml:space="preserve"> </w:t>
      </w:r>
      <w:r w:rsidRPr="00AA6BC1">
        <w:rPr>
          <w:rFonts w:cs="Times New Roman"/>
          <w:sz w:val="19"/>
          <w:szCs w:val="19"/>
        </w:rPr>
        <w:t>Routine motions include motions to recognize staff, students or members of the community; accept donations; accept reports of the superintendent or standing committees; pay bills or adjust compensation, etc.</w:t>
      </w:r>
    </w:p>
    <w:p w:rsidR="009E7CC3" w:rsidRDefault="009E7CC3">
      <w:pPr>
        <w:pStyle w:val="FootnoteText"/>
      </w:pPr>
    </w:p>
  </w:footnote>
  <w:footnote w:id="10">
    <w:p w:rsidR="009E7CC3" w:rsidRPr="0021439D" w:rsidRDefault="009E7CC3" w:rsidP="00A80BF9">
      <w:pPr>
        <w:pStyle w:val="FootnoteText"/>
        <w:rPr>
          <w:rFonts w:cs="Times New Roman"/>
          <w:sz w:val="19"/>
          <w:szCs w:val="19"/>
        </w:rPr>
      </w:pPr>
      <w:r w:rsidRPr="0021439D">
        <w:rPr>
          <w:rStyle w:val="FootnoteReference"/>
          <w:rFonts w:cs="Times New Roman"/>
          <w:sz w:val="19"/>
          <w:szCs w:val="19"/>
        </w:rPr>
        <w:footnoteRef/>
      </w:r>
      <w:r w:rsidRPr="0021439D">
        <w:rPr>
          <w:rFonts w:cs="Times New Roman"/>
          <w:sz w:val="19"/>
          <w:szCs w:val="19"/>
        </w:rPr>
        <w:t xml:space="preserve"> Interviewees said that CPT schedules submitted to the review team mainly indicated teacher prep time.</w:t>
      </w:r>
    </w:p>
  </w:footnote>
  <w:footnote w:id="11">
    <w:p w:rsidR="009E7CC3" w:rsidRPr="00EA7250" w:rsidRDefault="009E7CC3" w:rsidP="00E15AC6">
      <w:pPr>
        <w:pStyle w:val="FootnoteText"/>
        <w:rPr>
          <w:sz w:val="19"/>
          <w:szCs w:val="19"/>
        </w:rPr>
      </w:pPr>
      <w:r w:rsidRPr="00EA7250">
        <w:rPr>
          <w:rStyle w:val="FootnoteReference"/>
          <w:sz w:val="19"/>
          <w:szCs w:val="19"/>
        </w:rPr>
        <w:footnoteRef/>
      </w:r>
      <w:r w:rsidRPr="00EA7250">
        <w:rPr>
          <w:sz w:val="19"/>
          <w:szCs w:val="19"/>
        </w:rPr>
        <w:t xml:space="preserve"> Before the reorganization, the principals supervised the liaisons.</w:t>
      </w:r>
    </w:p>
  </w:footnote>
  <w:footnote w:id="12">
    <w:p w:rsidR="009E7CC3" w:rsidRPr="009C5A18" w:rsidRDefault="009E7CC3" w:rsidP="007009FF">
      <w:pPr>
        <w:pStyle w:val="FootnoteText"/>
        <w:rPr>
          <w:sz w:val="19"/>
          <w:szCs w:val="19"/>
        </w:rPr>
      </w:pPr>
      <w:r w:rsidRPr="00FA02C4">
        <w:rPr>
          <w:rStyle w:val="FootnoteReference"/>
          <w:sz w:val="19"/>
          <w:szCs w:val="19"/>
        </w:rPr>
        <w:footnoteRef/>
      </w:r>
      <w:r w:rsidRPr="00FA02C4">
        <w:rPr>
          <w:sz w:val="19"/>
          <w:szCs w:val="19"/>
        </w:rPr>
        <w:t xml:space="preserve"> The district has a variety of grade spans in its schools: Pre-K, Pre-K–6, 6–8, 7–8, 7–12, and 9–12.  In this review, grade 6 was included with elementary schools and grades 7–8 were included with middle schools.</w:t>
      </w:r>
    </w:p>
  </w:footnote>
  <w:footnote w:id="13">
    <w:p w:rsidR="009E7CC3" w:rsidRPr="00320D7A" w:rsidRDefault="009E7CC3">
      <w:pPr>
        <w:pStyle w:val="FootnoteText"/>
        <w:rPr>
          <w:sz w:val="19"/>
          <w:szCs w:val="19"/>
        </w:rPr>
      </w:pPr>
      <w:r w:rsidRPr="0047041E">
        <w:rPr>
          <w:rStyle w:val="FootnoteReference"/>
          <w:sz w:val="19"/>
          <w:szCs w:val="19"/>
        </w:rPr>
        <w:footnoteRef/>
      </w:r>
      <w:r w:rsidRPr="0047041E">
        <w:rPr>
          <w:sz w:val="19"/>
          <w:szCs w:val="19"/>
        </w:rPr>
        <w:t xml:space="preserve"> </w:t>
      </w:r>
      <w:r w:rsidRPr="00CD11BC">
        <w:rPr>
          <w:sz w:val="19"/>
          <w:szCs w:val="19"/>
        </w:rPr>
        <w:t>Moodle stands for "Modular Object-Oriented Dynamic Learning Environment." It is an open-source course- management system.</w:t>
      </w:r>
    </w:p>
  </w:footnote>
  <w:footnote w:id="14">
    <w:p w:rsidR="009E7CC3" w:rsidRPr="00E87621" w:rsidRDefault="009E7CC3" w:rsidP="00E87621">
      <w:pPr>
        <w:pStyle w:val="FootnoteText"/>
        <w:rPr>
          <w:sz w:val="19"/>
          <w:szCs w:val="19"/>
        </w:rPr>
      </w:pPr>
      <w:r w:rsidRPr="00E77FC5">
        <w:rPr>
          <w:rStyle w:val="FootnoteReference"/>
          <w:sz w:val="19"/>
          <w:szCs w:val="19"/>
        </w:rPr>
        <w:footnoteRef/>
      </w:r>
      <w:r w:rsidRPr="00E77FC5">
        <w:rPr>
          <w:sz w:val="19"/>
          <w:szCs w:val="19"/>
        </w:rPr>
        <w:t xml:space="preserve"> The district has the following grade spans in its schools: pre-kindergarten, pre-kindergarten through grade 6, grades 6–8, grades 7–8, grades 7–12, and grades 9–12.  In this review, observers included grade 6 in the elementary-school level, grades 7–8 in the middle-school level, and grades 9–12 in the high-school level.</w:t>
      </w:r>
    </w:p>
    <w:p w:rsidR="009E7CC3" w:rsidRDefault="009E7CC3">
      <w:pPr>
        <w:pStyle w:val="FootnoteText"/>
      </w:pPr>
    </w:p>
  </w:footnote>
  <w:footnote w:id="15">
    <w:p w:rsidR="009E7CC3" w:rsidRPr="001B45F5" w:rsidRDefault="009E7CC3">
      <w:pPr>
        <w:pStyle w:val="FootnoteText"/>
        <w:rPr>
          <w:sz w:val="19"/>
          <w:szCs w:val="19"/>
        </w:rPr>
      </w:pPr>
      <w:r w:rsidRPr="009F6524">
        <w:rPr>
          <w:rStyle w:val="FootnoteReference"/>
          <w:sz w:val="19"/>
          <w:szCs w:val="19"/>
        </w:rPr>
        <w:footnoteRef/>
      </w:r>
      <w:r w:rsidRPr="009F6524">
        <w:rPr>
          <w:sz w:val="19"/>
          <w:szCs w:val="19"/>
        </w:rPr>
        <w:t xml:space="preserve"> On March 28, 2017, the Board of Elementary and Secondary Education voted unanimously to adopt </w:t>
      </w:r>
      <w:hyperlink r:id="rId1" w:history="1">
        <w:r w:rsidRPr="009F6524">
          <w:rPr>
            <w:rStyle w:val="Hyperlink"/>
            <w:sz w:val="19"/>
            <w:szCs w:val="19"/>
          </w:rPr>
          <w:t>revised learning standards</w:t>
        </w:r>
      </w:hyperlink>
      <w:r w:rsidRPr="009F6524">
        <w:rPr>
          <w:sz w:val="19"/>
          <w:szCs w:val="19"/>
        </w:rPr>
        <w:t xml:space="preserve"> in math and in English language arts and literacy.</w:t>
      </w:r>
      <w:r>
        <w:rPr>
          <w:sz w:val="19"/>
          <w:szCs w:val="19"/>
        </w:rPr>
        <w:t xml:space="preserve"> </w:t>
      </w:r>
    </w:p>
  </w:footnote>
  <w:footnote w:id="16">
    <w:p w:rsidR="009E7CC3" w:rsidRPr="002D7F95" w:rsidRDefault="009E7CC3" w:rsidP="00944778">
      <w:pPr>
        <w:tabs>
          <w:tab w:val="left" w:pos="360"/>
          <w:tab w:val="left" w:pos="720"/>
          <w:tab w:val="left" w:pos="1440"/>
          <w:tab w:val="left" w:pos="1800"/>
          <w:tab w:val="left" w:pos="2160"/>
        </w:tabs>
        <w:spacing w:line="240" w:lineRule="auto"/>
        <w:rPr>
          <w:sz w:val="19"/>
          <w:szCs w:val="19"/>
        </w:rPr>
      </w:pPr>
      <w:r w:rsidRPr="002D7F95">
        <w:rPr>
          <w:rStyle w:val="FootnoteReference"/>
          <w:sz w:val="19"/>
          <w:szCs w:val="19"/>
        </w:rPr>
        <w:footnoteRef/>
      </w:r>
      <w:r w:rsidRPr="002D7F95">
        <w:rPr>
          <w:sz w:val="19"/>
          <w:szCs w:val="19"/>
        </w:rPr>
        <w:t xml:space="preserve"> BAS is not often used in middle schools, but may be used to monitor progress with struggling students.</w:t>
      </w:r>
    </w:p>
  </w:footnote>
  <w:footnote w:id="17">
    <w:p w:rsidR="009E7CC3" w:rsidRPr="00AD6AA4" w:rsidRDefault="009E7CC3" w:rsidP="00580DB8">
      <w:pPr>
        <w:pStyle w:val="FootnoteText"/>
        <w:rPr>
          <w:sz w:val="19"/>
          <w:szCs w:val="19"/>
        </w:rPr>
      </w:pPr>
      <w:r w:rsidRPr="00AD6AA4">
        <w:rPr>
          <w:rStyle w:val="FootnoteReference"/>
          <w:sz w:val="19"/>
          <w:szCs w:val="19"/>
        </w:rPr>
        <w:footnoteRef/>
      </w:r>
      <w:r w:rsidRPr="00AD6AA4">
        <w:rPr>
          <w:sz w:val="19"/>
          <w:szCs w:val="19"/>
        </w:rPr>
        <w:t xml:space="preserve"> According to ESE data, the number of students taking AP tests has increased from 870 in 2011 to 1,361 in 2016; the total number of AP tests taken has increased from 1,427 in 2011 to 2,242 in 2016.</w:t>
      </w:r>
      <w:r w:rsidRPr="00AD6AA4">
        <w:rPr>
          <w:rStyle w:val="FootnoteReference"/>
          <w:sz w:val="19"/>
          <w:szCs w:val="19"/>
        </w:rPr>
        <w:t xml:space="preserve"> </w:t>
      </w:r>
      <w:r w:rsidRPr="00AD6AA4">
        <w:rPr>
          <w:sz w:val="19"/>
          <w:szCs w:val="19"/>
        </w:rPr>
        <w:t xml:space="preserve"> </w:t>
      </w:r>
    </w:p>
  </w:footnote>
  <w:footnote w:id="18">
    <w:p w:rsidR="009E7CC3" w:rsidRDefault="009E7CC3" w:rsidP="00755A71">
      <w:pPr>
        <w:pStyle w:val="FootnoteText"/>
        <w:rPr>
          <w:sz w:val="19"/>
          <w:szCs w:val="19"/>
        </w:rPr>
      </w:pPr>
      <w:r w:rsidRPr="00B61321">
        <w:rPr>
          <w:rStyle w:val="FootnoteReference"/>
          <w:sz w:val="19"/>
          <w:szCs w:val="19"/>
        </w:rPr>
        <w:footnoteRef/>
      </w:r>
      <w:r w:rsidRPr="00B61321">
        <w:rPr>
          <w:sz w:val="19"/>
          <w:szCs w:val="19"/>
        </w:rPr>
        <w:t xml:space="preserve"> An informative evaluation is factual and cites instructional details such as methodology, pedagogy, Standards and Indicators of Effective Teaching Practice or instruction of subject-based knowledge that is aligned with the state curriculum frameworks. It does not commit to improvement strategies. An instructive evaluation includes comments intended to improve instruction.</w:t>
      </w:r>
    </w:p>
    <w:p w:rsidR="009E7CC3" w:rsidRDefault="009E7CC3">
      <w:pPr>
        <w:pStyle w:val="FootnoteText"/>
      </w:pPr>
    </w:p>
  </w:footnote>
  <w:footnote w:id="19">
    <w:p w:rsidR="009E7CC3" w:rsidRPr="0047041E" w:rsidRDefault="009E7CC3" w:rsidP="0047041E">
      <w:pPr>
        <w:spacing w:before="160" w:after="160"/>
        <w:rPr>
          <w:sz w:val="19"/>
          <w:szCs w:val="19"/>
        </w:rPr>
      </w:pPr>
      <w:r w:rsidRPr="00436E01">
        <w:rPr>
          <w:rStyle w:val="FootnoteReference"/>
          <w:sz w:val="19"/>
          <w:szCs w:val="19"/>
        </w:rPr>
        <w:footnoteRef/>
      </w:r>
      <w:r w:rsidRPr="00436E01">
        <w:rPr>
          <w:sz w:val="19"/>
          <w:szCs w:val="19"/>
        </w:rPr>
        <w:t xml:space="preserve"> The educator evaluation regulations define Standards and Indicators for Effective Teaching Practice and for Administrative Leadership Practice (</w:t>
      </w:r>
      <w:hyperlink r:id="rId2" w:history="1">
        <w:r w:rsidRPr="00436E01">
          <w:rPr>
            <w:rStyle w:val="Hyperlink"/>
            <w:sz w:val="19"/>
            <w:szCs w:val="19"/>
          </w:rPr>
          <w:t>603 CMR 35.03</w:t>
        </w:r>
      </w:hyperlink>
      <w:r w:rsidRPr="00436E01">
        <w:rPr>
          <w:sz w:val="19"/>
          <w:szCs w:val="19"/>
        </w:rPr>
        <w:t xml:space="preserve"> and </w:t>
      </w:r>
      <w:hyperlink r:id="rId3" w:history="1">
        <w:r w:rsidRPr="00436E01">
          <w:rPr>
            <w:rStyle w:val="Hyperlink"/>
            <w:sz w:val="19"/>
            <w:szCs w:val="19"/>
          </w:rPr>
          <w:t>603 CMR 35.04</w:t>
        </w:r>
      </w:hyperlink>
      <w:r w:rsidRPr="00436E01">
        <w:rPr>
          <w:sz w:val="19"/>
          <w:szCs w:val="19"/>
        </w:rPr>
        <w:t>).</w:t>
      </w:r>
      <w:r w:rsidRPr="0047041E">
        <w:rPr>
          <w:sz w:val="19"/>
          <w:szCs w:val="19"/>
        </w:rPr>
        <w:t xml:space="preserve"> </w:t>
      </w:r>
    </w:p>
    <w:p w:rsidR="009E7CC3" w:rsidRDefault="009E7CC3">
      <w:pPr>
        <w:pStyle w:val="FootnoteText"/>
      </w:pPr>
    </w:p>
  </w:footnote>
  <w:footnote w:id="20">
    <w:p w:rsidR="009E7CC3" w:rsidRPr="00DB2583" w:rsidRDefault="009E7CC3">
      <w:pPr>
        <w:pStyle w:val="FootnoteText"/>
        <w:rPr>
          <w:sz w:val="19"/>
          <w:szCs w:val="19"/>
        </w:rPr>
      </w:pPr>
      <w:r w:rsidRPr="001C3226">
        <w:rPr>
          <w:rStyle w:val="FootnoteReference"/>
          <w:sz w:val="19"/>
          <w:szCs w:val="19"/>
        </w:rPr>
        <w:footnoteRef/>
      </w:r>
      <w:r w:rsidRPr="001C3226">
        <w:rPr>
          <w:sz w:val="19"/>
          <w:szCs w:val="19"/>
        </w:rPr>
        <w:t xml:space="preserve"> On Tuesday, February 28, 2017</w:t>
      </w:r>
      <w:r w:rsidRPr="001C3226">
        <w:t xml:space="preserve">, </w:t>
      </w:r>
      <w:r w:rsidRPr="001C3226">
        <w:rPr>
          <w:sz w:val="19"/>
          <w:szCs w:val="19"/>
        </w:rPr>
        <w:t xml:space="preserve">after collecting public comment since November 2016, the Board of Elementary and Secondary Education voted 9-1 to amend the educator evaluation regulations. The most significant change in the regulations is the elimination of a separate student impact rating. Under the </w:t>
      </w:r>
      <w:hyperlink r:id="rId4" w:history="1">
        <w:r w:rsidRPr="001C3226">
          <w:rPr>
            <w:rStyle w:val="Hyperlink"/>
            <w:sz w:val="19"/>
            <w:szCs w:val="19"/>
          </w:rPr>
          <w:t>amended regulations</w:t>
        </w:r>
      </w:hyperlink>
      <w:r w:rsidRPr="001C3226">
        <w:rPr>
          <w:sz w:val="19"/>
          <w:szCs w:val="19"/>
        </w:rPr>
        <w:t>, evaluators do not have to make a separate judgment about an educator’s impact on student learning. Instead, student learning is embedded as an indicator within one of the Massachusetts Educator Evaluation Framework’s four standards.</w:t>
      </w:r>
    </w:p>
  </w:footnote>
  <w:footnote w:id="21">
    <w:p w:rsidR="009E7CC3" w:rsidRPr="003C779D" w:rsidRDefault="009E7CC3" w:rsidP="0073313C">
      <w:pPr>
        <w:pStyle w:val="FootnoteText"/>
        <w:rPr>
          <w:sz w:val="19"/>
          <w:szCs w:val="19"/>
        </w:rPr>
      </w:pPr>
      <w:r w:rsidRPr="000F156B">
        <w:rPr>
          <w:rStyle w:val="FootnoteReference"/>
          <w:sz w:val="19"/>
          <w:szCs w:val="19"/>
        </w:rPr>
        <w:footnoteRef/>
      </w:r>
      <w:r w:rsidRPr="000F156B">
        <w:rPr>
          <w:sz w:val="19"/>
          <w:szCs w:val="19"/>
        </w:rPr>
        <w:t xml:space="preserve"> The four-year graduation rate improved from 72 percent in 2011 to 81.9 percent in 2016, compared with the 2016 state rate of 87.5 percent. The five-year graduation rate improved from 77.7 percent in 2011 to 84.4 percent in 2015, compared with the 2015 state rate of 89.4 percent.</w:t>
      </w:r>
    </w:p>
  </w:footnote>
  <w:footnote w:id="22">
    <w:p w:rsidR="009E7CC3" w:rsidRPr="00DC57D3" w:rsidRDefault="009E7CC3">
      <w:pPr>
        <w:pStyle w:val="FootnoteText"/>
        <w:rPr>
          <w:sz w:val="19"/>
          <w:szCs w:val="19"/>
        </w:rPr>
      </w:pPr>
      <w:r w:rsidRPr="00274F77">
        <w:rPr>
          <w:rStyle w:val="FootnoteReference"/>
          <w:sz w:val="19"/>
          <w:szCs w:val="19"/>
        </w:rPr>
        <w:footnoteRef/>
      </w:r>
      <w:r w:rsidRPr="00274F77">
        <w:rPr>
          <w:sz w:val="19"/>
          <w:szCs w:val="19"/>
        </w:rPr>
        <w:t xml:space="preserve"> Healthy Environments and Resilience in Schools is a partnership with the Health Foundation of Central Massachusetts, the Worcester Education Collaborative, and Clark University.</w:t>
      </w:r>
    </w:p>
  </w:footnote>
  <w:footnote w:id="23">
    <w:p w:rsidR="009E7CC3" w:rsidRPr="00A86174" w:rsidRDefault="009E7CC3" w:rsidP="00F772DD">
      <w:pPr>
        <w:pStyle w:val="FootnoteText"/>
        <w:rPr>
          <w:sz w:val="19"/>
          <w:szCs w:val="19"/>
        </w:rPr>
      </w:pPr>
      <w:r w:rsidRPr="00A86174">
        <w:rPr>
          <w:rStyle w:val="FootnoteReference"/>
          <w:sz w:val="19"/>
          <w:szCs w:val="19"/>
        </w:rPr>
        <w:footnoteRef/>
      </w:r>
      <w:r w:rsidRPr="00A86174">
        <w:rPr>
          <w:sz w:val="19"/>
          <w:szCs w:val="19"/>
        </w:rPr>
        <w:t xml:space="preserve"> In the All category 2015 and 2016 CPI and SGP are based on MCAS and PARCC test scores.</w:t>
      </w:r>
    </w:p>
  </w:footnote>
  <w:footnote w:id="24">
    <w:p w:rsidR="009E7CC3" w:rsidRPr="00847FF6" w:rsidRDefault="009E7CC3" w:rsidP="008C4124">
      <w:pPr>
        <w:pStyle w:val="FootnoteText"/>
        <w:rPr>
          <w:sz w:val="19"/>
          <w:szCs w:val="19"/>
        </w:rPr>
      </w:pPr>
      <w:r w:rsidRPr="00847FF6">
        <w:rPr>
          <w:rStyle w:val="FootnoteReference"/>
          <w:sz w:val="19"/>
          <w:szCs w:val="19"/>
        </w:rPr>
        <w:footnoteRef/>
      </w:r>
      <w:r w:rsidRPr="00847FF6">
        <w:rPr>
          <w:sz w:val="19"/>
          <w:szCs w:val="19"/>
        </w:rPr>
        <w:t xml:space="preserve"> In the All category 2015 and 2016 CPI and SGP are based on MCAS and PARCC test scores.</w:t>
      </w:r>
    </w:p>
  </w:footnote>
  <w:footnote w:id="25">
    <w:p w:rsidR="009E7CC3" w:rsidRPr="004B192B" w:rsidRDefault="009E7CC3" w:rsidP="00366203">
      <w:pPr>
        <w:pStyle w:val="FootnoteText"/>
        <w:rPr>
          <w:sz w:val="19"/>
          <w:szCs w:val="19"/>
        </w:rPr>
      </w:pPr>
      <w:r w:rsidRPr="004B192B">
        <w:rPr>
          <w:rStyle w:val="FootnoteReference"/>
          <w:sz w:val="19"/>
          <w:szCs w:val="19"/>
        </w:rPr>
        <w:footnoteRef/>
      </w:r>
      <w:r w:rsidRPr="004B192B">
        <w:rPr>
          <w:sz w:val="19"/>
          <w:szCs w:val="19"/>
        </w:rPr>
        <w:t xml:space="preserve"> In the All category 2015 and 2016 CPI and SGP are based on MCAS and PARCC test scores.</w:t>
      </w:r>
    </w:p>
  </w:footnote>
  <w:footnote w:id="26">
    <w:p w:rsidR="009E7CC3" w:rsidRPr="004B192B" w:rsidRDefault="009E7CC3" w:rsidP="00D27D7A">
      <w:pPr>
        <w:pStyle w:val="FootnoteText"/>
        <w:rPr>
          <w:sz w:val="19"/>
          <w:szCs w:val="19"/>
        </w:rPr>
      </w:pPr>
      <w:r w:rsidRPr="004B192B">
        <w:rPr>
          <w:rStyle w:val="FootnoteReference"/>
          <w:sz w:val="19"/>
          <w:szCs w:val="19"/>
        </w:rPr>
        <w:footnoteRef/>
      </w:r>
      <w:r w:rsidRPr="004B192B">
        <w:rPr>
          <w:sz w:val="19"/>
          <w:szCs w:val="19"/>
        </w:rPr>
        <w:t xml:space="preserve"> In the All category 2015 and 2016 CPI and SGP are based on MCAS and PARCC test scores.</w:t>
      </w:r>
    </w:p>
  </w:footnote>
  <w:footnote w:id="27">
    <w:p w:rsidR="009E7CC3" w:rsidRPr="004B192B" w:rsidRDefault="009E7CC3" w:rsidP="00E47390">
      <w:pPr>
        <w:pStyle w:val="FootnoteText"/>
        <w:rPr>
          <w:sz w:val="19"/>
          <w:szCs w:val="19"/>
        </w:rPr>
      </w:pPr>
      <w:r w:rsidRPr="004B192B">
        <w:rPr>
          <w:rStyle w:val="FootnoteReference"/>
          <w:sz w:val="19"/>
          <w:szCs w:val="19"/>
        </w:rPr>
        <w:footnoteRef/>
      </w:r>
      <w:r w:rsidRPr="004B192B">
        <w:rPr>
          <w:sz w:val="19"/>
          <w:szCs w:val="19"/>
        </w:rPr>
        <w:t xml:space="preserve"> 2015 and 2016 CPI and SGP are based on MCAS and PARCC test scores.</w:t>
      </w:r>
    </w:p>
  </w:footnote>
  <w:footnote w:id="28">
    <w:p w:rsidR="009E7CC3" w:rsidRPr="004B192B" w:rsidRDefault="009E7CC3" w:rsidP="003F5A3D">
      <w:pPr>
        <w:pStyle w:val="FootnoteText"/>
        <w:rPr>
          <w:sz w:val="19"/>
          <w:szCs w:val="19"/>
        </w:rPr>
      </w:pPr>
      <w:r w:rsidRPr="004B192B">
        <w:rPr>
          <w:rStyle w:val="FootnoteReference"/>
          <w:sz w:val="19"/>
          <w:szCs w:val="19"/>
        </w:rPr>
        <w:footnoteRef/>
      </w:r>
      <w:r w:rsidRPr="004B192B">
        <w:rPr>
          <w:sz w:val="19"/>
          <w:szCs w:val="19"/>
        </w:rPr>
        <w:t xml:space="preserve"> 2015 and 2016 CPI and SGP are based on MCAS and PARCC test scores.</w:t>
      </w:r>
    </w:p>
  </w:footnote>
  <w:footnote w:id="29">
    <w:p w:rsidR="009E7CC3" w:rsidRPr="004B192B" w:rsidRDefault="009E7CC3" w:rsidP="007454C4">
      <w:pPr>
        <w:pStyle w:val="FootnoteText"/>
        <w:rPr>
          <w:sz w:val="19"/>
          <w:szCs w:val="19"/>
        </w:rPr>
      </w:pPr>
      <w:r w:rsidRPr="0047041E">
        <w:rPr>
          <w:rStyle w:val="FootnoteReference"/>
          <w:sz w:val="19"/>
          <w:szCs w:val="19"/>
        </w:rPr>
        <w:footnoteRef/>
      </w:r>
      <w:r w:rsidRPr="0047041E">
        <w:rPr>
          <w:sz w:val="19"/>
          <w:szCs w:val="19"/>
        </w:rPr>
        <w:t xml:space="preserve"> Low income numbers used for economically disadvantaged for 2013 and 2014</w:t>
      </w:r>
    </w:p>
  </w:footnote>
  <w:footnote w:id="30">
    <w:p w:rsidR="009E7CC3" w:rsidRPr="007561A3" w:rsidRDefault="009E7CC3" w:rsidP="005C3D97">
      <w:pPr>
        <w:rPr>
          <w:b/>
        </w:rPr>
      </w:pPr>
      <w:r w:rsidRPr="0059741D">
        <w:rPr>
          <w:rStyle w:val="FootnoteReference"/>
          <w:sz w:val="19"/>
          <w:szCs w:val="19"/>
        </w:rPr>
        <w:footnoteRef/>
      </w:r>
      <w:r>
        <w:t xml:space="preserve"> </w:t>
      </w:r>
      <w:r w:rsidRPr="005C3D97">
        <w:rPr>
          <w:b/>
          <w:sz w:val="19"/>
          <w:szCs w:val="19"/>
        </w:rPr>
        <w:t>To display the complete Worcester Public Schools organizational chart</w:t>
      </w:r>
      <w:r>
        <w:rPr>
          <w:b/>
          <w:sz w:val="19"/>
          <w:szCs w:val="19"/>
        </w:rPr>
        <w:t xml:space="preserve"> (as of November 8, 2016)</w:t>
      </w:r>
      <w:r w:rsidRPr="005C3D97">
        <w:rPr>
          <w:b/>
          <w:sz w:val="19"/>
          <w:szCs w:val="19"/>
        </w:rPr>
        <w:t xml:space="preserve">, double click the image above. </w:t>
      </w:r>
    </w:p>
    <w:p w:rsidR="009E7CC3" w:rsidRPr="0051689D" w:rsidRDefault="009E7CC3">
      <w:pPr>
        <w:pStyle w:val="FootnoteText"/>
        <w:rPr>
          <w:sz w:val="19"/>
          <w:szCs w:val="19"/>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CC3" w:rsidRDefault="009E7CC3" w:rsidP="002F1EBE">
    <w:pPr>
      <w:spacing w:after="240"/>
    </w:pPr>
    <w:r>
      <w:rPr>
        <w:sz w:val="19"/>
        <w:szCs w:val="19"/>
      </w:rPr>
      <w:t>Worcester Public Schools Comprehensive District Review</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CC3" w:rsidRDefault="009E7CC3">
    <w:r>
      <w:rPr>
        <w:noProof/>
      </w:rPr>
      <w:drawing>
        <wp:anchor distT="0" distB="0" distL="114300" distR="114300" simplePos="0" relativeHeight="251659264" behindDoc="0" locked="0" layoutInCell="1" allowOverlap="1">
          <wp:simplePos x="0" y="0"/>
          <wp:positionH relativeFrom="margin">
            <wp:posOffset>5486400</wp:posOffset>
          </wp:positionH>
          <wp:positionV relativeFrom="margin">
            <wp:posOffset>-18415</wp:posOffset>
          </wp:positionV>
          <wp:extent cx="609600" cy="952500"/>
          <wp:effectExtent l="0" t="0" r="0" b="0"/>
          <wp:wrapSquare wrapText="bothSides"/>
          <wp:docPr id="15" name="Picture 5" descr="http://www.doe.mass.edu/nmg/logo/ESELogo/Star%20Guy/205x100/Solo-Star-Logo_205x100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e.mass.edu/nmg/logo/ESELogo/Star%20Guy/205x100/Solo-Star-Logo_205x100_color.jpg"/>
                  <pic:cNvPicPr>
                    <a:picLocks noChangeAspect="1" noChangeArrowheads="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l="30244" r="38536"/>
                  <a:stretch/>
                </pic:blipFill>
                <pic:spPr bwMode="auto">
                  <a:xfrm>
                    <a:off x="0" y="0"/>
                    <a:ext cx="609600" cy="95250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p14="http://schemas.microsoft.com/office/word/2010/wordprocessingDrawing" xmlns:mc="http://schemas.openxmlformats.org/markup-compatibility/2006" xmlns:cx1="http://schemas.microsoft.com/office/drawing/2015/9/8/chartex" xmlns:cx="http://schemas.microsoft.com/office/drawing/2014/chartex" xmlns:wpc="http://schemas.microsoft.com/office/word/2010/wordprocessingCanvas"/>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F52FF"/>
    <w:multiLevelType w:val="hybridMultilevel"/>
    <w:tmpl w:val="8D2C6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A4ED3"/>
    <w:multiLevelType w:val="multilevel"/>
    <w:tmpl w:val="1A544F12"/>
    <w:lvl w:ilvl="0">
      <w:start w:val="3"/>
      <w:numFmt w:val="upperLetter"/>
      <w:lvlText w:val="%1."/>
      <w:lvlJc w:val="left"/>
      <w:pPr>
        <w:ind w:left="0" w:hanging="360"/>
      </w:pPr>
      <w:rPr>
        <w:rFonts w:hint="default"/>
        <w:b/>
        <w:i w:val="0"/>
      </w:rPr>
    </w:lvl>
    <w:lvl w:ilvl="1">
      <w:start w:val="1"/>
      <w:numFmt w:val="upperLetter"/>
      <w:lvlText w:val="%2."/>
      <w:lvlJc w:val="left"/>
      <w:pPr>
        <w:ind w:left="360" w:hanging="360"/>
      </w:pPr>
      <w:rPr>
        <w:rFonts w:hint="default"/>
        <w:b/>
        <w:i w:val="0"/>
      </w:rPr>
    </w:lvl>
    <w:lvl w:ilvl="2">
      <w:start w:val="1"/>
      <w:numFmt w:val="decimal"/>
      <w:lvlText w:val="%3."/>
      <w:lvlJc w:val="left"/>
      <w:pPr>
        <w:ind w:left="720" w:hanging="360"/>
      </w:pPr>
      <w:rPr>
        <w:rFonts w:hint="default"/>
        <w:b w:val="0"/>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
    <w:nsid w:val="0531492B"/>
    <w:multiLevelType w:val="hybridMultilevel"/>
    <w:tmpl w:val="C23065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nsid w:val="075B6354"/>
    <w:multiLevelType w:val="hybridMultilevel"/>
    <w:tmpl w:val="D80CD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0733FB"/>
    <w:multiLevelType w:val="hybridMultilevel"/>
    <w:tmpl w:val="D53C1EFC"/>
    <w:lvl w:ilvl="0" w:tplc="C9508BAE">
      <w:start w:val="3"/>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CF0E39"/>
    <w:multiLevelType w:val="hybridMultilevel"/>
    <w:tmpl w:val="F5DEE76C"/>
    <w:lvl w:ilvl="0" w:tplc="1338903E">
      <w:start w:val="1"/>
      <w:numFmt w:val="bullet"/>
      <w:lvlText w:val=""/>
      <w:lvlJc w:val="left"/>
      <w:pPr>
        <w:ind w:left="4680" w:hanging="360"/>
      </w:pPr>
      <w:rPr>
        <w:rFonts w:ascii="Symbol" w:hAnsi="Symbol" w:hint="default"/>
        <w:sz w:val="22"/>
        <w:szCs w:val="22"/>
      </w:rPr>
    </w:lvl>
    <w:lvl w:ilvl="1" w:tplc="F7BA30C4">
      <w:start w:val="1"/>
      <w:numFmt w:val="bullet"/>
      <w:lvlText w:val=""/>
      <w:lvlJc w:val="left"/>
      <w:pPr>
        <w:ind w:left="5400" w:hanging="360"/>
      </w:pPr>
      <w:rPr>
        <w:rFonts w:ascii="Symbol" w:hAnsi="Symbol" w:hint="default"/>
        <w:b w:val="0"/>
        <w:color w:val="auto"/>
        <w:sz w:val="22"/>
        <w:szCs w:val="22"/>
      </w:rPr>
    </w:lvl>
    <w:lvl w:ilvl="2" w:tplc="50DA4246">
      <w:start w:val="1"/>
      <w:numFmt w:val="bullet"/>
      <w:lvlText w:val=""/>
      <w:lvlJc w:val="left"/>
      <w:pPr>
        <w:ind w:left="6120" w:hanging="360"/>
      </w:pPr>
      <w:rPr>
        <w:rFonts w:ascii="Symbol" w:hAnsi="Symbol" w:hint="default"/>
        <w:color w:val="auto"/>
      </w:rPr>
    </w:lvl>
    <w:lvl w:ilvl="3" w:tplc="0409000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6">
    <w:nsid w:val="0D6C1B9D"/>
    <w:multiLevelType w:val="hybridMultilevel"/>
    <w:tmpl w:val="39C47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5619F9"/>
    <w:multiLevelType w:val="hybridMultilevel"/>
    <w:tmpl w:val="07EEA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8D6235"/>
    <w:multiLevelType w:val="hybridMultilevel"/>
    <w:tmpl w:val="40705DF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822011F"/>
    <w:multiLevelType w:val="multilevel"/>
    <w:tmpl w:val="23CC9AE0"/>
    <w:lvl w:ilvl="0">
      <w:start w:val="3"/>
      <w:numFmt w:val="upperLetter"/>
      <w:lvlText w:val="%1."/>
      <w:lvlJc w:val="left"/>
      <w:pPr>
        <w:ind w:left="0" w:hanging="360"/>
      </w:pPr>
      <w:rPr>
        <w:rFonts w:hint="default"/>
        <w:b/>
        <w:i w:val="0"/>
      </w:rPr>
    </w:lvl>
    <w:lvl w:ilvl="1">
      <w:start w:val="4"/>
      <w:numFmt w:val="upperLetter"/>
      <w:lvlText w:val="%2."/>
      <w:lvlJc w:val="left"/>
      <w:pPr>
        <w:ind w:left="1620" w:hanging="360"/>
      </w:pPr>
      <w:rPr>
        <w:rFonts w:hint="default"/>
        <w:b/>
        <w:i w:val="0"/>
      </w:rPr>
    </w:lvl>
    <w:lvl w:ilvl="2">
      <w:start w:val="1"/>
      <w:numFmt w:val="decimal"/>
      <w:lvlText w:val="%3."/>
      <w:lvlJc w:val="left"/>
      <w:pPr>
        <w:ind w:left="720" w:hanging="360"/>
      </w:pPr>
      <w:rPr>
        <w:rFonts w:hint="default"/>
        <w:b w:val="0"/>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0">
    <w:nsid w:val="19201A15"/>
    <w:multiLevelType w:val="multilevel"/>
    <w:tmpl w:val="B3461EB2"/>
    <w:lvl w:ilvl="0">
      <w:start w:val="3"/>
      <w:numFmt w:val="upperLetter"/>
      <w:lvlText w:val="%1."/>
      <w:lvlJc w:val="left"/>
      <w:pPr>
        <w:ind w:left="0" w:hanging="360"/>
      </w:pPr>
      <w:rPr>
        <w:rFonts w:hint="default"/>
        <w:b/>
        <w:i w:val="0"/>
      </w:rPr>
    </w:lvl>
    <w:lvl w:ilvl="1">
      <w:start w:val="1"/>
      <w:numFmt w:val="upperLetter"/>
      <w:lvlText w:val="%2."/>
      <w:lvlJc w:val="left"/>
      <w:pPr>
        <w:ind w:left="360" w:hanging="360"/>
      </w:pPr>
      <w:rPr>
        <w:rFonts w:hint="default"/>
        <w:b/>
        <w:i w:val="0"/>
      </w:rPr>
    </w:lvl>
    <w:lvl w:ilvl="2">
      <w:start w:val="2"/>
      <w:numFmt w:val="decimal"/>
      <w:lvlText w:val="%3."/>
      <w:lvlJc w:val="left"/>
      <w:pPr>
        <w:ind w:left="720" w:hanging="360"/>
      </w:pPr>
      <w:rPr>
        <w:rFonts w:hint="default"/>
        <w:b w:val="0"/>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i w:val="0"/>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1">
    <w:nsid w:val="19A92E69"/>
    <w:multiLevelType w:val="hybridMultilevel"/>
    <w:tmpl w:val="42869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990A0D"/>
    <w:multiLevelType w:val="multilevel"/>
    <w:tmpl w:val="32A2D78E"/>
    <w:lvl w:ilvl="0">
      <w:start w:val="2"/>
      <w:numFmt w:val="upperLetter"/>
      <w:lvlText w:val="%1."/>
      <w:lvlJc w:val="left"/>
      <w:pPr>
        <w:ind w:left="0" w:hanging="360"/>
      </w:pPr>
      <w:rPr>
        <w:rFonts w:hint="default"/>
        <w:b/>
        <w:i w:val="0"/>
      </w:rPr>
    </w:lvl>
    <w:lvl w:ilvl="1">
      <w:start w:val="5"/>
      <w:numFmt w:val="upperLetter"/>
      <w:lvlText w:val="%2."/>
      <w:lvlJc w:val="left"/>
      <w:pPr>
        <w:ind w:left="360" w:hanging="360"/>
      </w:pPr>
      <w:rPr>
        <w:rFonts w:hint="default"/>
        <w:b/>
        <w:i w:val="0"/>
      </w:rPr>
    </w:lvl>
    <w:lvl w:ilvl="2">
      <w:start w:val="2"/>
      <w:numFmt w:val="decimal"/>
      <w:lvlText w:val="%3."/>
      <w:lvlJc w:val="left"/>
      <w:pPr>
        <w:ind w:left="720" w:hanging="360"/>
      </w:pPr>
      <w:rPr>
        <w:rFonts w:hint="default"/>
        <w:b w:val="0"/>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righ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3">
    <w:nsid w:val="1B485635"/>
    <w:multiLevelType w:val="hybridMultilevel"/>
    <w:tmpl w:val="287C8222"/>
    <w:lvl w:ilvl="0" w:tplc="0409000F">
      <w:start w:val="1"/>
      <w:numFmt w:val="decimal"/>
      <w:lvlText w:val="%1."/>
      <w:lvlJc w:val="left"/>
      <w:pPr>
        <w:ind w:left="4320" w:hanging="360"/>
      </w:pPr>
    </w:lvl>
    <w:lvl w:ilvl="1" w:tplc="445E22BA">
      <w:start w:val="1"/>
      <w:numFmt w:val="upperLetter"/>
      <w:lvlText w:val="%2."/>
      <w:lvlJc w:val="left"/>
      <w:pPr>
        <w:ind w:left="0" w:hanging="360"/>
      </w:pPr>
      <w:rPr>
        <w:rFonts w:hint="default"/>
        <w:b/>
      </w:r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4">
    <w:nsid w:val="1BC631F4"/>
    <w:multiLevelType w:val="multilevel"/>
    <w:tmpl w:val="4B846444"/>
    <w:lvl w:ilvl="0">
      <w:start w:val="1"/>
      <w:numFmt w:val="decimal"/>
      <w:lvlText w:val="%1."/>
      <w:lvlJc w:val="left"/>
      <w:pPr>
        <w:ind w:left="720" w:hanging="360"/>
      </w:pPr>
      <w:rPr>
        <w:rFonts w:hint="default"/>
      </w:rPr>
    </w:lvl>
    <w:lvl w:ilvl="1">
      <w:start w:val="1"/>
      <w:numFmt w:val="upperLetter"/>
      <w:lvlText w:val="%2."/>
      <w:lvlJc w:val="left"/>
      <w:pPr>
        <w:ind w:left="1080" w:hanging="360"/>
      </w:pPr>
      <w:rPr>
        <w:rFonts w:hint="default"/>
        <w:b/>
      </w:rPr>
    </w:lvl>
    <w:lvl w:ilvl="2">
      <w:start w:val="1"/>
      <w:numFmt w:val="decimal"/>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nsid w:val="1C756D6E"/>
    <w:multiLevelType w:val="hybridMultilevel"/>
    <w:tmpl w:val="EDF8D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CFA5607"/>
    <w:multiLevelType w:val="hybridMultilevel"/>
    <w:tmpl w:val="1A3CC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F8F5CF5"/>
    <w:multiLevelType w:val="hybridMultilevel"/>
    <w:tmpl w:val="95AEB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0C0D07"/>
    <w:multiLevelType w:val="hybridMultilevel"/>
    <w:tmpl w:val="8436A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A74F2F"/>
    <w:multiLevelType w:val="hybridMultilevel"/>
    <w:tmpl w:val="F760A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6471BA0"/>
    <w:multiLevelType w:val="hybridMultilevel"/>
    <w:tmpl w:val="39D85F84"/>
    <w:lvl w:ilvl="0" w:tplc="C25CB8A6">
      <w:start w:val="1"/>
      <w:numFmt w:val="decimal"/>
      <w:lvlText w:val="%1."/>
      <w:lvlJc w:val="left"/>
      <w:pPr>
        <w:ind w:left="720" w:hanging="360"/>
      </w:pPr>
      <w:rPr>
        <w:rFonts w:hint="default"/>
        <w:b/>
        <w:i w:val="0"/>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8D1267C"/>
    <w:multiLevelType w:val="hybridMultilevel"/>
    <w:tmpl w:val="BC76A71A"/>
    <w:lvl w:ilvl="0" w:tplc="FDD8E4A6">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BDF3809"/>
    <w:multiLevelType w:val="hybridMultilevel"/>
    <w:tmpl w:val="BE4ACB1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153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2C2A1499"/>
    <w:multiLevelType w:val="hybridMultilevel"/>
    <w:tmpl w:val="8ED65222"/>
    <w:lvl w:ilvl="0" w:tplc="8BB891F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D7D5FDB"/>
    <w:multiLevelType w:val="multilevel"/>
    <w:tmpl w:val="C88C51D8"/>
    <w:lvl w:ilvl="0">
      <w:start w:val="1"/>
      <w:numFmt w:val="upperLetter"/>
      <w:lvlText w:val="%1."/>
      <w:lvlJc w:val="left"/>
      <w:pPr>
        <w:ind w:left="0" w:hanging="360"/>
      </w:pPr>
      <w:rPr>
        <w:rFonts w:hint="default"/>
        <w:b/>
        <w:i w:val="0"/>
      </w:rPr>
    </w:lvl>
    <w:lvl w:ilvl="1">
      <w:start w:val="1"/>
      <w:numFmt w:val="upperLetter"/>
      <w:lvlText w:val="%2."/>
      <w:lvlJc w:val="left"/>
      <w:pPr>
        <w:ind w:left="360" w:hanging="360"/>
      </w:pPr>
      <w:rPr>
        <w:rFonts w:hint="default"/>
        <w:b/>
        <w:i w:val="0"/>
      </w:rPr>
    </w:lvl>
    <w:lvl w:ilvl="2">
      <w:start w:val="1"/>
      <w:numFmt w:val="decimal"/>
      <w:lvlText w:val="%3."/>
      <w:lvlJc w:val="left"/>
      <w:pPr>
        <w:ind w:left="1620" w:hanging="360"/>
      </w:pPr>
      <w:rPr>
        <w:rFonts w:hint="default"/>
        <w:b w:val="0"/>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5">
    <w:nsid w:val="2F505AEB"/>
    <w:multiLevelType w:val="hybridMultilevel"/>
    <w:tmpl w:val="552E552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82C417D"/>
    <w:multiLevelType w:val="hybridMultilevel"/>
    <w:tmpl w:val="3FD89CFC"/>
    <w:lvl w:ilvl="0" w:tplc="04090001">
      <w:start w:val="1"/>
      <w:numFmt w:val="bullet"/>
      <w:lvlText w:val=""/>
      <w:lvlJc w:val="left"/>
      <w:pPr>
        <w:ind w:left="863" w:hanging="360"/>
      </w:pPr>
      <w:rPr>
        <w:rFonts w:ascii="Symbol" w:hAnsi="Symbol" w:hint="default"/>
      </w:rPr>
    </w:lvl>
    <w:lvl w:ilvl="1" w:tplc="04090003">
      <w:start w:val="1"/>
      <w:numFmt w:val="bullet"/>
      <w:lvlText w:val="o"/>
      <w:lvlJc w:val="left"/>
      <w:pPr>
        <w:ind w:left="1583" w:hanging="360"/>
      </w:pPr>
      <w:rPr>
        <w:rFonts w:ascii="Courier New" w:hAnsi="Courier New" w:hint="default"/>
      </w:rPr>
    </w:lvl>
    <w:lvl w:ilvl="2" w:tplc="04090005">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hint="default"/>
      </w:rPr>
    </w:lvl>
    <w:lvl w:ilvl="8" w:tplc="04090005" w:tentative="1">
      <w:start w:val="1"/>
      <w:numFmt w:val="bullet"/>
      <w:lvlText w:val=""/>
      <w:lvlJc w:val="left"/>
      <w:pPr>
        <w:ind w:left="6623" w:hanging="360"/>
      </w:pPr>
      <w:rPr>
        <w:rFonts w:ascii="Wingdings" w:hAnsi="Wingdings" w:hint="default"/>
      </w:rPr>
    </w:lvl>
  </w:abstractNum>
  <w:abstractNum w:abstractNumId="27">
    <w:nsid w:val="3B8116A4"/>
    <w:multiLevelType w:val="hybridMultilevel"/>
    <w:tmpl w:val="7602AA1E"/>
    <w:lvl w:ilvl="0" w:tplc="FC04F00A">
      <w:start w:val="2"/>
      <w:numFmt w:val="decimal"/>
      <w:lvlText w:val="%1."/>
      <w:lvlJc w:val="left"/>
      <w:pPr>
        <w:ind w:left="720" w:hanging="360"/>
      </w:pPr>
      <w:rPr>
        <w:rFonts w:hint="default"/>
      </w:rPr>
    </w:lvl>
    <w:lvl w:ilvl="1" w:tplc="E03CF2F6">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BAF76F0"/>
    <w:multiLevelType w:val="hybridMultilevel"/>
    <w:tmpl w:val="588C6844"/>
    <w:lvl w:ilvl="0" w:tplc="1BB6772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CBC413E"/>
    <w:multiLevelType w:val="hybridMultilevel"/>
    <w:tmpl w:val="61FEDBAE"/>
    <w:lvl w:ilvl="0" w:tplc="5302FA94">
      <w:start w:val="1"/>
      <w:numFmt w:val="bullet"/>
      <w:lvlText w:val=""/>
      <w:lvlJc w:val="left"/>
      <w:pPr>
        <w:tabs>
          <w:tab w:val="num" w:pos="216"/>
        </w:tabs>
        <w:ind w:left="936" w:hanging="360"/>
      </w:pPr>
      <w:rPr>
        <w:rFonts w:ascii="Symbol" w:hAnsi="Symbol" w:hint="default"/>
        <w:color w:val="auto"/>
        <w:sz w:val="22"/>
        <w:szCs w:val="22"/>
      </w:rPr>
    </w:lvl>
    <w:lvl w:ilvl="1" w:tplc="04090003">
      <w:start w:val="1"/>
      <w:numFmt w:val="bullet"/>
      <w:lvlText w:val="o"/>
      <w:lvlJc w:val="left"/>
      <w:pPr>
        <w:tabs>
          <w:tab w:val="num" w:pos="1656"/>
        </w:tabs>
        <w:ind w:left="1656" w:hanging="360"/>
      </w:pPr>
      <w:rPr>
        <w:rFonts w:ascii="Courier New" w:hAnsi="Courier New" w:hint="default"/>
      </w:rPr>
    </w:lvl>
    <w:lvl w:ilvl="2" w:tplc="04090005">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0">
    <w:nsid w:val="3CD32174"/>
    <w:multiLevelType w:val="hybridMultilevel"/>
    <w:tmpl w:val="4036B8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D6C2822"/>
    <w:multiLevelType w:val="multilevel"/>
    <w:tmpl w:val="FCE2F7A0"/>
    <w:lvl w:ilvl="0">
      <w:start w:val="1"/>
      <w:numFmt w:val="upperLetter"/>
      <w:lvlText w:val="%1."/>
      <w:lvlJc w:val="left"/>
      <w:pPr>
        <w:tabs>
          <w:tab w:val="num" w:pos="720"/>
        </w:tabs>
        <w:ind w:left="720" w:hanging="360"/>
      </w:pPr>
      <w:rPr>
        <w:rFonts w:ascii="Calibri" w:eastAsia="Times New Roman" w:hAnsi="Calibri" w:cs="Times New Roman"/>
      </w:rPr>
    </w:lvl>
    <w:lvl w:ilvl="1">
      <w:start w:val="1"/>
      <w:numFmt w:val="decimal"/>
      <w:lvlText w:val="%2."/>
      <w:lvlJc w:val="left"/>
      <w:pPr>
        <w:ind w:left="360" w:hanging="360"/>
      </w:pPr>
      <w:rPr>
        <w:rFonts w:ascii="Calibri" w:eastAsia="Times New Roman" w:hAnsi="Calibri" w:cs="Times New Roman"/>
        <w:b/>
        <w:i w:val="0"/>
      </w:rPr>
    </w:lvl>
    <w:lvl w:ilvl="2">
      <w:start w:val="1"/>
      <w:numFmt w:val="upperLetter"/>
      <w:lvlText w:val="%3."/>
      <w:lvlJc w:val="left"/>
      <w:pPr>
        <w:tabs>
          <w:tab w:val="num" w:pos="900"/>
        </w:tabs>
        <w:ind w:left="900" w:hanging="360"/>
      </w:pPr>
      <w:rPr>
        <w:rFonts w:ascii="Calibri" w:eastAsia="Times New Roman" w:hAnsi="Calibri" w:cs="Times New Roman"/>
        <w:b/>
      </w:rPr>
    </w:lvl>
    <w:lvl w:ilvl="3">
      <w:start w:val="1"/>
      <w:numFmt w:val="lowerLetter"/>
      <w:lvlText w:val="%4."/>
      <w:lvlJc w:val="left"/>
      <w:pPr>
        <w:tabs>
          <w:tab w:val="num" w:pos="1170"/>
        </w:tabs>
        <w:ind w:left="1170" w:hanging="360"/>
      </w:pPr>
      <w:rPr>
        <w:rFonts w:ascii="Calibri" w:eastAsia="Times New Roman" w:hAnsi="Calibri" w:cs="Times New Roman"/>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2F32786"/>
    <w:multiLevelType w:val="hybridMultilevel"/>
    <w:tmpl w:val="4454E1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3513A08"/>
    <w:multiLevelType w:val="hybridMultilevel"/>
    <w:tmpl w:val="0E5E6ACC"/>
    <w:lvl w:ilvl="0" w:tplc="445E22BA">
      <w:start w:val="1"/>
      <w:numFmt w:val="upperLetter"/>
      <w:lvlText w:val="%1."/>
      <w:lvlJc w:val="left"/>
      <w:pPr>
        <w:ind w:left="0" w:hanging="360"/>
      </w:pPr>
      <w:rPr>
        <w:rFonts w:hint="default"/>
        <w:b/>
      </w:rPr>
    </w:lvl>
    <w:lvl w:ilvl="1" w:tplc="25D261A6">
      <w:start w:val="2"/>
      <w:numFmt w:val="bullet"/>
      <w:lvlText w:val="•"/>
      <w:lvlJc w:val="left"/>
      <w:pPr>
        <w:ind w:left="1440" w:hanging="360"/>
      </w:pPr>
      <w:rPr>
        <w:rFonts w:ascii="Calibri" w:eastAsia="Times New Roma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5BE3CF3"/>
    <w:multiLevelType w:val="hybridMultilevel"/>
    <w:tmpl w:val="6C928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8010B01"/>
    <w:multiLevelType w:val="multilevel"/>
    <w:tmpl w:val="C88C51D8"/>
    <w:lvl w:ilvl="0">
      <w:start w:val="1"/>
      <w:numFmt w:val="upperLetter"/>
      <w:lvlText w:val="%1."/>
      <w:lvlJc w:val="left"/>
      <w:pPr>
        <w:ind w:left="0" w:hanging="360"/>
      </w:pPr>
      <w:rPr>
        <w:rFonts w:hint="default"/>
        <w:b/>
        <w:i w:val="0"/>
      </w:rPr>
    </w:lvl>
    <w:lvl w:ilvl="1">
      <w:start w:val="1"/>
      <w:numFmt w:val="upperLetter"/>
      <w:lvlText w:val="%2."/>
      <w:lvlJc w:val="left"/>
      <w:pPr>
        <w:ind w:left="360" w:hanging="360"/>
      </w:pPr>
      <w:rPr>
        <w:rFonts w:hint="default"/>
        <w:b/>
        <w:i w:val="0"/>
      </w:rPr>
    </w:lvl>
    <w:lvl w:ilvl="2">
      <w:start w:val="1"/>
      <w:numFmt w:val="decimal"/>
      <w:lvlText w:val="%3."/>
      <w:lvlJc w:val="left"/>
      <w:pPr>
        <w:ind w:left="1620" w:hanging="360"/>
      </w:pPr>
      <w:rPr>
        <w:rFonts w:hint="default"/>
        <w:b w:val="0"/>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36">
    <w:nsid w:val="49F15AF3"/>
    <w:multiLevelType w:val="hybridMultilevel"/>
    <w:tmpl w:val="BAB68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CD13DB5"/>
    <w:multiLevelType w:val="hybridMultilevel"/>
    <w:tmpl w:val="2D9E6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CD836BD"/>
    <w:multiLevelType w:val="multilevel"/>
    <w:tmpl w:val="1A544F12"/>
    <w:lvl w:ilvl="0">
      <w:start w:val="3"/>
      <w:numFmt w:val="upperLetter"/>
      <w:lvlText w:val="%1."/>
      <w:lvlJc w:val="left"/>
      <w:pPr>
        <w:ind w:left="1" w:hanging="360"/>
      </w:pPr>
      <w:rPr>
        <w:rFonts w:hint="default"/>
        <w:b/>
        <w:i w:val="0"/>
      </w:rPr>
    </w:lvl>
    <w:lvl w:ilvl="1">
      <w:start w:val="1"/>
      <w:numFmt w:val="upperLetter"/>
      <w:lvlText w:val="%2."/>
      <w:lvlJc w:val="left"/>
      <w:pPr>
        <w:ind w:left="361" w:hanging="360"/>
      </w:pPr>
      <w:rPr>
        <w:rFonts w:hint="default"/>
        <w:b/>
        <w:i w:val="0"/>
      </w:rPr>
    </w:lvl>
    <w:lvl w:ilvl="2">
      <w:start w:val="1"/>
      <w:numFmt w:val="decimal"/>
      <w:lvlText w:val="%3."/>
      <w:lvlJc w:val="left"/>
      <w:pPr>
        <w:ind w:left="721" w:hanging="360"/>
      </w:pPr>
      <w:rPr>
        <w:rFonts w:hint="default"/>
        <w:b w:val="0"/>
        <w:i w:val="0"/>
      </w:rPr>
    </w:lvl>
    <w:lvl w:ilvl="3">
      <w:start w:val="1"/>
      <w:numFmt w:val="lowerLetter"/>
      <w:lvlText w:val="%4."/>
      <w:lvlJc w:val="left"/>
      <w:pPr>
        <w:ind w:left="1081" w:hanging="360"/>
      </w:pPr>
      <w:rPr>
        <w:rFonts w:hint="default"/>
        <w:b w:val="0"/>
        <w:i w:val="0"/>
      </w:rPr>
    </w:lvl>
    <w:lvl w:ilvl="4">
      <w:start w:val="1"/>
      <w:numFmt w:val="lowerRoman"/>
      <w:lvlText w:val="%5."/>
      <w:lvlJc w:val="right"/>
      <w:pPr>
        <w:ind w:left="1441" w:hanging="360"/>
      </w:pPr>
      <w:rPr>
        <w:rFonts w:hint="default"/>
        <w:b w:val="0"/>
        <w:i w:val="0"/>
      </w:rPr>
    </w:lvl>
    <w:lvl w:ilvl="5">
      <w:start w:val="1"/>
      <w:numFmt w:val="lowerRoman"/>
      <w:lvlText w:val="(%6)"/>
      <w:lvlJc w:val="left"/>
      <w:pPr>
        <w:ind w:left="1801" w:hanging="360"/>
      </w:pPr>
      <w:rPr>
        <w:rFonts w:hint="default"/>
      </w:rPr>
    </w:lvl>
    <w:lvl w:ilvl="6">
      <w:start w:val="1"/>
      <w:numFmt w:val="decimal"/>
      <w:lvlText w:val="%7."/>
      <w:lvlJc w:val="left"/>
      <w:pPr>
        <w:ind w:left="1440" w:hanging="360"/>
      </w:pPr>
      <w:rPr>
        <w:rFonts w:hint="default"/>
      </w:rPr>
    </w:lvl>
    <w:lvl w:ilvl="7">
      <w:start w:val="1"/>
      <w:numFmt w:val="lowerLetter"/>
      <w:lvlText w:val="%8."/>
      <w:lvlJc w:val="left"/>
      <w:pPr>
        <w:ind w:left="2521" w:hanging="360"/>
      </w:pPr>
      <w:rPr>
        <w:rFonts w:hint="default"/>
      </w:rPr>
    </w:lvl>
    <w:lvl w:ilvl="8">
      <w:start w:val="1"/>
      <w:numFmt w:val="lowerRoman"/>
      <w:lvlText w:val="%9."/>
      <w:lvlJc w:val="left"/>
      <w:pPr>
        <w:ind w:left="2881" w:hanging="360"/>
      </w:pPr>
      <w:rPr>
        <w:rFonts w:hint="default"/>
      </w:rPr>
    </w:lvl>
  </w:abstractNum>
  <w:abstractNum w:abstractNumId="39">
    <w:nsid w:val="537B5B56"/>
    <w:multiLevelType w:val="hybridMultilevel"/>
    <w:tmpl w:val="AD0E7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3FF1F1B"/>
    <w:multiLevelType w:val="hybridMultilevel"/>
    <w:tmpl w:val="8A58C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7D95678"/>
    <w:multiLevelType w:val="hybridMultilevel"/>
    <w:tmpl w:val="24146B70"/>
    <w:lvl w:ilvl="0" w:tplc="3CD6333A">
      <w:start w:val="1"/>
      <w:numFmt w:val="decimal"/>
      <w:lvlText w:val="%1."/>
      <w:lvlJc w:val="left"/>
      <w:pPr>
        <w:ind w:left="1080" w:hanging="360"/>
      </w:pPr>
      <w:rPr>
        <w:rFonts w:hint="default"/>
        <w:b w:val="0"/>
      </w:rPr>
    </w:lvl>
    <w:lvl w:ilvl="1" w:tplc="0409000F">
      <w:start w:val="1"/>
      <w:numFmt w:val="decimal"/>
      <w:lvlText w:val="%2."/>
      <w:lvlJc w:val="left"/>
      <w:pPr>
        <w:ind w:left="2160" w:hanging="360"/>
      </w:pPr>
      <w:rPr>
        <w:rFonts w:hint="default"/>
      </w:r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42">
    <w:nsid w:val="598B052B"/>
    <w:multiLevelType w:val="hybridMultilevel"/>
    <w:tmpl w:val="8612E0FC"/>
    <w:lvl w:ilvl="0" w:tplc="AF54C840">
      <w:start w:val="1"/>
      <w:numFmt w:val="upperLetter"/>
      <w:lvlText w:val="%1."/>
      <w:lvlJc w:val="left"/>
      <w:pPr>
        <w:ind w:left="720" w:hanging="360"/>
      </w:pPr>
      <w:rPr>
        <w:b/>
      </w:rPr>
    </w:lvl>
    <w:lvl w:ilvl="1" w:tplc="04090019">
      <w:start w:val="1"/>
      <w:numFmt w:val="lowerLetter"/>
      <w:pStyle w:val="Heading2"/>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9D51327"/>
    <w:multiLevelType w:val="multilevel"/>
    <w:tmpl w:val="8F567E12"/>
    <w:lvl w:ilvl="0">
      <w:start w:val="2"/>
      <w:numFmt w:val="upperLetter"/>
      <w:lvlText w:val="%1."/>
      <w:lvlJc w:val="left"/>
      <w:pPr>
        <w:ind w:left="0" w:hanging="360"/>
      </w:pPr>
      <w:rPr>
        <w:rFonts w:hint="default"/>
        <w:b/>
        <w:i w:val="0"/>
      </w:rPr>
    </w:lvl>
    <w:lvl w:ilvl="1">
      <w:start w:val="5"/>
      <w:numFmt w:val="upperLetter"/>
      <w:lvlText w:val="%2."/>
      <w:lvlJc w:val="left"/>
      <w:pPr>
        <w:ind w:left="360" w:hanging="360"/>
      </w:pPr>
      <w:rPr>
        <w:rFonts w:hint="default"/>
        <w:b/>
        <w:i w:val="0"/>
      </w:rPr>
    </w:lvl>
    <w:lvl w:ilvl="2">
      <w:start w:val="2"/>
      <w:numFmt w:val="decimal"/>
      <w:lvlText w:val="%3."/>
      <w:lvlJc w:val="left"/>
      <w:pPr>
        <w:ind w:left="720" w:hanging="360"/>
      </w:pPr>
      <w:rPr>
        <w:rFonts w:hint="default"/>
        <w:b w:val="0"/>
        <w:i w:val="0"/>
      </w:rPr>
    </w:lvl>
    <w:lvl w:ilvl="3">
      <w:start w:val="1"/>
      <w:numFmt w:val="lowerLetter"/>
      <w:lvlText w:val="%4."/>
      <w:lvlJc w:val="left"/>
      <w:pPr>
        <w:ind w:left="1080" w:hanging="360"/>
      </w:pPr>
      <w:rPr>
        <w:rFonts w:asciiTheme="minorHAnsi" w:eastAsia="Times New Roman" w:hAnsiTheme="minorHAnsi" w:cs="Times New Roman"/>
        <w:b w:val="0"/>
        <w:i w:val="0"/>
      </w:rPr>
    </w:lvl>
    <w:lvl w:ilvl="4">
      <w:start w:val="1"/>
      <w:numFmt w:val="lowerRoman"/>
      <w:lvlText w:val="%5."/>
      <w:lvlJc w:val="right"/>
      <w:pPr>
        <w:ind w:left="1440" w:hanging="360"/>
      </w:pPr>
      <w:rPr>
        <w:rFonts w:hint="default"/>
        <w:b w:val="0"/>
        <w:i w:val="0"/>
      </w:rPr>
    </w:lvl>
    <w:lvl w:ilvl="5">
      <w:start w:val="1"/>
      <w:numFmt w:val="lowerRoman"/>
      <w:lvlText w:val="%6."/>
      <w:lvlJc w:val="righ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44">
    <w:nsid w:val="5A611792"/>
    <w:multiLevelType w:val="hybridMultilevel"/>
    <w:tmpl w:val="0DD887B6"/>
    <w:lvl w:ilvl="0" w:tplc="445E22BA">
      <w:start w:val="1"/>
      <w:numFmt w:val="upperLetter"/>
      <w:lvlText w:val="%1."/>
      <w:lvlJc w:val="left"/>
      <w:pPr>
        <w:ind w:left="900" w:hanging="360"/>
      </w:pPr>
      <w:rPr>
        <w:rFonts w:hint="default"/>
        <w:b/>
      </w:rPr>
    </w:lvl>
    <w:lvl w:ilvl="1" w:tplc="25D261A6">
      <w:start w:val="2"/>
      <w:numFmt w:val="bullet"/>
      <w:lvlText w:val="•"/>
      <w:lvlJc w:val="left"/>
      <w:pPr>
        <w:ind w:left="1440" w:hanging="360"/>
      </w:pPr>
      <w:rPr>
        <w:rFonts w:ascii="Calibri" w:eastAsia="Times New Roma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F5505C1"/>
    <w:multiLevelType w:val="hybridMultilevel"/>
    <w:tmpl w:val="D604FB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604C1732"/>
    <w:multiLevelType w:val="multilevel"/>
    <w:tmpl w:val="47A02EA6"/>
    <w:lvl w:ilvl="0">
      <w:start w:val="2"/>
      <w:numFmt w:val="upperLetter"/>
      <w:lvlText w:val="%1."/>
      <w:lvlJc w:val="left"/>
      <w:pPr>
        <w:ind w:left="0" w:hanging="360"/>
      </w:pPr>
      <w:rPr>
        <w:rFonts w:hint="default"/>
        <w:b/>
        <w:i w:val="0"/>
      </w:rPr>
    </w:lvl>
    <w:lvl w:ilvl="1">
      <w:start w:val="5"/>
      <w:numFmt w:val="upperLetter"/>
      <w:lvlText w:val="%2."/>
      <w:lvlJc w:val="left"/>
      <w:pPr>
        <w:ind w:left="360" w:hanging="360"/>
      </w:pPr>
      <w:rPr>
        <w:rFonts w:hint="default"/>
        <w:b/>
        <w:i w:val="0"/>
      </w:rPr>
    </w:lvl>
    <w:lvl w:ilvl="2">
      <w:start w:val="2"/>
      <w:numFmt w:val="decimal"/>
      <w:lvlText w:val="%3."/>
      <w:lvlJc w:val="left"/>
      <w:pPr>
        <w:ind w:left="720" w:hanging="360"/>
      </w:pPr>
      <w:rPr>
        <w:rFonts w:hint="default"/>
        <w:b/>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righ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47">
    <w:nsid w:val="61A70208"/>
    <w:multiLevelType w:val="multilevel"/>
    <w:tmpl w:val="C7686C38"/>
    <w:lvl w:ilvl="0">
      <w:start w:val="3"/>
      <w:numFmt w:val="upperLetter"/>
      <w:lvlText w:val="%1."/>
      <w:lvlJc w:val="left"/>
      <w:pPr>
        <w:ind w:left="0" w:hanging="360"/>
      </w:pPr>
      <w:rPr>
        <w:rFonts w:hint="default"/>
        <w:b/>
        <w:i w:val="0"/>
      </w:rPr>
    </w:lvl>
    <w:lvl w:ilvl="1">
      <w:start w:val="4"/>
      <w:numFmt w:val="upperLetter"/>
      <w:lvlText w:val="%2."/>
      <w:lvlJc w:val="left"/>
      <w:pPr>
        <w:ind w:left="360" w:hanging="360"/>
      </w:pPr>
      <w:rPr>
        <w:rFonts w:hint="default"/>
        <w:b/>
        <w:i w:val="0"/>
      </w:rPr>
    </w:lvl>
    <w:lvl w:ilvl="2">
      <w:start w:val="2"/>
      <w:numFmt w:val="decimal"/>
      <w:lvlText w:val="%3."/>
      <w:lvlJc w:val="left"/>
      <w:pPr>
        <w:ind w:left="720" w:hanging="360"/>
      </w:pPr>
      <w:rPr>
        <w:rFonts w:hint="default"/>
        <w:b/>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48">
    <w:nsid w:val="62B1718C"/>
    <w:multiLevelType w:val="multilevel"/>
    <w:tmpl w:val="B48E33AC"/>
    <w:lvl w:ilvl="0">
      <w:start w:val="1"/>
      <w:numFmt w:val="upperLetter"/>
      <w:lvlText w:val="%1."/>
      <w:lvlJc w:val="left"/>
      <w:pPr>
        <w:tabs>
          <w:tab w:val="num" w:pos="720"/>
        </w:tabs>
        <w:ind w:left="720" w:hanging="360"/>
      </w:pPr>
      <w:rPr>
        <w:rFonts w:ascii="Calibri" w:eastAsia="Times New Roman" w:hAnsi="Calibri" w:cs="Times New Roman"/>
        <w:b/>
      </w:rPr>
    </w:lvl>
    <w:lvl w:ilvl="1">
      <w:start w:val="1"/>
      <w:numFmt w:val="decimal"/>
      <w:lvlText w:val="%2."/>
      <w:lvlJc w:val="left"/>
      <w:pPr>
        <w:ind w:left="1170" w:hanging="360"/>
      </w:pPr>
      <w:rPr>
        <w:rFonts w:ascii="Calibri" w:eastAsia="Times New Roman" w:hAnsi="Calibri" w:cs="Times New Roman"/>
        <w:b w:val="0"/>
      </w:rPr>
    </w:lvl>
    <w:lvl w:ilvl="2">
      <w:start w:val="1"/>
      <w:numFmt w:val="decimal"/>
      <w:lvlText w:val="%3."/>
      <w:lvlJc w:val="left"/>
      <w:pPr>
        <w:tabs>
          <w:tab w:val="num" w:pos="1080"/>
        </w:tabs>
        <w:ind w:left="1080" w:hanging="360"/>
      </w:pPr>
      <w:rPr>
        <w:rFonts w:ascii="Calibri" w:eastAsia="Times New Roman" w:hAnsi="Calibri" w:cs="Times New Roman"/>
        <w:b w:val="0"/>
      </w:rPr>
    </w:lvl>
    <w:lvl w:ilvl="3">
      <w:start w:val="1"/>
      <w:numFmt w:val="lowerLetter"/>
      <w:lvlText w:val="%4."/>
      <w:lvlJc w:val="left"/>
      <w:pPr>
        <w:tabs>
          <w:tab w:val="num" w:pos="1620"/>
        </w:tabs>
        <w:ind w:left="1620" w:hanging="360"/>
      </w:pPr>
      <w:rPr>
        <w:rFonts w:ascii="Calibri" w:eastAsia="Times New Roman" w:hAnsi="Calibri" w:cs="Times New Roman"/>
        <w:b w:val="0"/>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rPr>
        <w:b w:val="0"/>
        <w:i w:val="0"/>
      </w:r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49271C8"/>
    <w:multiLevelType w:val="hybridMultilevel"/>
    <w:tmpl w:val="07800E10"/>
    <w:lvl w:ilvl="0" w:tplc="0409000F">
      <w:start w:val="1"/>
      <w:numFmt w:val="decimal"/>
      <w:lvlText w:val="%1."/>
      <w:lvlJc w:val="left"/>
      <w:pPr>
        <w:ind w:left="72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61D205F"/>
    <w:multiLevelType w:val="hybridMultilevel"/>
    <w:tmpl w:val="36B2C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664C4CB0"/>
    <w:multiLevelType w:val="hybridMultilevel"/>
    <w:tmpl w:val="90B29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70329CA"/>
    <w:multiLevelType w:val="hybridMultilevel"/>
    <w:tmpl w:val="C9F2037A"/>
    <w:lvl w:ilvl="0" w:tplc="BDBEA166">
      <w:start w:val="1"/>
      <w:numFmt w:val="decimal"/>
      <w:lvlText w:val="%1."/>
      <w:lvlJc w:val="left"/>
      <w:pPr>
        <w:ind w:left="1080" w:hanging="360"/>
      </w:pPr>
      <w:rPr>
        <w:rFonts w:hint="default"/>
        <w:b w:val="0"/>
      </w:rPr>
    </w:lvl>
    <w:lvl w:ilvl="1" w:tplc="0409000F">
      <w:start w:val="1"/>
      <w:numFmt w:val="decimal"/>
      <w:lvlText w:val="%2."/>
      <w:lvlJc w:val="left"/>
      <w:pPr>
        <w:ind w:left="2160" w:hanging="360"/>
      </w:pPr>
      <w:rPr>
        <w:rFonts w:hint="default"/>
      </w:r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53">
    <w:nsid w:val="6926298C"/>
    <w:multiLevelType w:val="multilevel"/>
    <w:tmpl w:val="D350406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6B375B85"/>
    <w:multiLevelType w:val="hybridMultilevel"/>
    <w:tmpl w:val="697C5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EEB6B00"/>
    <w:multiLevelType w:val="hybridMultilevel"/>
    <w:tmpl w:val="588C6844"/>
    <w:lvl w:ilvl="0" w:tplc="1BB6772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6F0266AC"/>
    <w:multiLevelType w:val="hybridMultilevel"/>
    <w:tmpl w:val="2C342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59B0932"/>
    <w:multiLevelType w:val="hybridMultilevel"/>
    <w:tmpl w:val="E57E933C"/>
    <w:lvl w:ilvl="0" w:tplc="445E22BA">
      <w:start w:val="1"/>
      <w:numFmt w:val="upperLetter"/>
      <w:lvlText w:val="%1."/>
      <w:lvlJc w:val="left"/>
      <w:pPr>
        <w:ind w:left="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937179F"/>
    <w:multiLevelType w:val="multilevel"/>
    <w:tmpl w:val="ABD82A3E"/>
    <w:lvl w:ilvl="0">
      <w:start w:val="3"/>
      <w:numFmt w:val="upperLetter"/>
      <w:lvlText w:val="%1."/>
      <w:lvlJc w:val="left"/>
      <w:pPr>
        <w:ind w:left="0" w:hanging="360"/>
      </w:pPr>
      <w:rPr>
        <w:rFonts w:hint="default"/>
        <w:b/>
        <w:i w:val="0"/>
      </w:rPr>
    </w:lvl>
    <w:lvl w:ilvl="1">
      <w:start w:val="5"/>
      <w:numFmt w:val="upperLetter"/>
      <w:lvlText w:val="%2."/>
      <w:lvlJc w:val="left"/>
      <w:pPr>
        <w:ind w:left="360" w:hanging="360"/>
      </w:pPr>
      <w:rPr>
        <w:rFonts w:hint="default"/>
        <w:b/>
        <w:i w:val="0"/>
      </w:rPr>
    </w:lvl>
    <w:lvl w:ilvl="2">
      <w:start w:val="2"/>
      <w:numFmt w:val="decimal"/>
      <w:lvlText w:val="%3."/>
      <w:lvlJc w:val="left"/>
      <w:pPr>
        <w:ind w:left="720" w:hanging="360"/>
      </w:pPr>
      <w:rPr>
        <w:rFonts w:hint="default"/>
        <w:b w:val="0"/>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59">
    <w:nsid w:val="799C2D99"/>
    <w:multiLevelType w:val="multilevel"/>
    <w:tmpl w:val="6810B38E"/>
    <w:lvl w:ilvl="0">
      <w:start w:val="1"/>
      <w:numFmt w:val="decimal"/>
      <w:lvlText w:val="%1."/>
      <w:lvlJc w:val="left"/>
      <w:pPr>
        <w:ind w:left="363" w:hanging="360"/>
      </w:pPr>
      <w:rPr>
        <w:rFonts w:hint="default"/>
        <w:i w:val="0"/>
      </w:rPr>
    </w:lvl>
    <w:lvl w:ilvl="1">
      <w:start w:val="1"/>
      <w:numFmt w:val="upperLetter"/>
      <w:lvlText w:val="%2."/>
      <w:lvlJc w:val="left"/>
      <w:pPr>
        <w:ind w:left="723" w:hanging="360"/>
      </w:pPr>
      <w:rPr>
        <w:rFonts w:hint="default"/>
        <w:b/>
        <w:i w:val="0"/>
      </w:rPr>
    </w:lvl>
    <w:lvl w:ilvl="2">
      <w:start w:val="1"/>
      <w:numFmt w:val="decimal"/>
      <w:lvlText w:val="%3."/>
      <w:lvlJc w:val="left"/>
      <w:pPr>
        <w:ind w:left="1083" w:hanging="360"/>
      </w:pPr>
      <w:rPr>
        <w:rFonts w:hint="default"/>
        <w:b w:val="0"/>
        <w:i w:val="0"/>
      </w:rPr>
    </w:lvl>
    <w:lvl w:ilvl="3">
      <w:start w:val="1"/>
      <w:numFmt w:val="lowerLetter"/>
      <w:lvlText w:val="%4."/>
      <w:lvlJc w:val="left"/>
      <w:pPr>
        <w:ind w:left="1443" w:hanging="360"/>
      </w:pPr>
      <w:rPr>
        <w:rFonts w:hint="default"/>
        <w:b w:val="0"/>
        <w:i w:val="0"/>
      </w:rPr>
    </w:lvl>
    <w:lvl w:ilvl="4">
      <w:start w:val="1"/>
      <w:numFmt w:val="lowerRoman"/>
      <w:lvlText w:val="%5."/>
      <w:lvlJc w:val="righ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60">
    <w:nsid w:val="7A6008E2"/>
    <w:multiLevelType w:val="hybridMultilevel"/>
    <w:tmpl w:val="E0DCE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AC411F2"/>
    <w:multiLevelType w:val="hybridMultilevel"/>
    <w:tmpl w:val="8584812C"/>
    <w:lvl w:ilvl="0" w:tplc="ED72CCD8">
      <w:start w:val="1"/>
      <w:numFmt w:val="bullet"/>
      <w:lvlText w:val=""/>
      <w:lvlJc w:val="left"/>
      <w:pPr>
        <w:tabs>
          <w:tab w:val="num" w:pos="288"/>
        </w:tabs>
        <w:ind w:left="288" w:hanging="288"/>
      </w:pPr>
      <w:rPr>
        <w:rFonts w:ascii="Symbol" w:hAnsi="Symbol" w:hint="default"/>
        <w:color w:val="auto"/>
        <w:sz w:val="20"/>
        <w:szCs w:val="20"/>
      </w:rPr>
    </w:lvl>
    <w:lvl w:ilvl="1" w:tplc="04090003">
      <w:start w:val="1"/>
      <w:numFmt w:val="bullet"/>
      <w:lvlText w:val="o"/>
      <w:lvlJc w:val="left"/>
      <w:pPr>
        <w:ind w:left="840" w:hanging="360"/>
      </w:pPr>
      <w:rPr>
        <w:rFonts w:ascii="Courier New" w:hAnsi="Courier New" w:cs="Courier New" w:hint="default"/>
      </w:rPr>
    </w:lvl>
    <w:lvl w:ilvl="2" w:tplc="04090005" w:tentative="1">
      <w:start w:val="1"/>
      <w:numFmt w:val="bullet"/>
      <w:lvlText w:val=""/>
      <w:lvlJc w:val="left"/>
      <w:pPr>
        <w:ind w:left="1560" w:hanging="360"/>
      </w:pPr>
      <w:rPr>
        <w:rFonts w:ascii="Wingdings" w:hAnsi="Wingdings" w:hint="default"/>
      </w:rPr>
    </w:lvl>
    <w:lvl w:ilvl="3" w:tplc="04090001" w:tentative="1">
      <w:start w:val="1"/>
      <w:numFmt w:val="bullet"/>
      <w:lvlText w:val=""/>
      <w:lvlJc w:val="left"/>
      <w:pPr>
        <w:ind w:left="2280" w:hanging="360"/>
      </w:pPr>
      <w:rPr>
        <w:rFonts w:ascii="Symbol" w:hAnsi="Symbol" w:hint="default"/>
      </w:rPr>
    </w:lvl>
    <w:lvl w:ilvl="4" w:tplc="04090003" w:tentative="1">
      <w:start w:val="1"/>
      <w:numFmt w:val="bullet"/>
      <w:lvlText w:val="o"/>
      <w:lvlJc w:val="left"/>
      <w:pPr>
        <w:ind w:left="3000" w:hanging="360"/>
      </w:pPr>
      <w:rPr>
        <w:rFonts w:ascii="Courier New" w:hAnsi="Courier New" w:cs="Courier New" w:hint="default"/>
      </w:rPr>
    </w:lvl>
    <w:lvl w:ilvl="5" w:tplc="04090005" w:tentative="1">
      <w:start w:val="1"/>
      <w:numFmt w:val="bullet"/>
      <w:lvlText w:val=""/>
      <w:lvlJc w:val="left"/>
      <w:pPr>
        <w:ind w:left="3720" w:hanging="360"/>
      </w:pPr>
      <w:rPr>
        <w:rFonts w:ascii="Wingdings" w:hAnsi="Wingdings" w:hint="default"/>
      </w:rPr>
    </w:lvl>
    <w:lvl w:ilvl="6" w:tplc="04090001" w:tentative="1">
      <w:start w:val="1"/>
      <w:numFmt w:val="bullet"/>
      <w:lvlText w:val=""/>
      <w:lvlJc w:val="left"/>
      <w:pPr>
        <w:ind w:left="4440" w:hanging="360"/>
      </w:pPr>
      <w:rPr>
        <w:rFonts w:ascii="Symbol" w:hAnsi="Symbol" w:hint="default"/>
      </w:rPr>
    </w:lvl>
    <w:lvl w:ilvl="7" w:tplc="04090003" w:tentative="1">
      <w:start w:val="1"/>
      <w:numFmt w:val="bullet"/>
      <w:lvlText w:val="o"/>
      <w:lvlJc w:val="left"/>
      <w:pPr>
        <w:ind w:left="5160" w:hanging="360"/>
      </w:pPr>
      <w:rPr>
        <w:rFonts w:ascii="Courier New" w:hAnsi="Courier New" w:cs="Courier New" w:hint="default"/>
      </w:rPr>
    </w:lvl>
    <w:lvl w:ilvl="8" w:tplc="04090005" w:tentative="1">
      <w:start w:val="1"/>
      <w:numFmt w:val="bullet"/>
      <w:lvlText w:val=""/>
      <w:lvlJc w:val="left"/>
      <w:pPr>
        <w:ind w:left="5880" w:hanging="360"/>
      </w:pPr>
      <w:rPr>
        <w:rFonts w:ascii="Wingdings" w:hAnsi="Wingdings" w:hint="default"/>
      </w:rPr>
    </w:lvl>
  </w:abstractNum>
  <w:abstractNum w:abstractNumId="62">
    <w:nsid w:val="7AD1049F"/>
    <w:multiLevelType w:val="multilevel"/>
    <w:tmpl w:val="721AF196"/>
    <w:lvl w:ilvl="0">
      <w:start w:val="2"/>
      <w:numFmt w:val="upperLetter"/>
      <w:lvlText w:val="%1."/>
      <w:lvlJc w:val="left"/>
      <w:pPr>
        <w:ind w:left="0" w:hanging="360"/>
      </w:pPr>
      <w:rPr>
        <w:rFonts w:hint="default"/>
        <w:b/>
        <w:i w:val="0"/>
      </w:rPr>
    </w:lvl>
    <w:lvl w:ilvl="1">
      <w:start w:val="5"/>
      <w:numFmt w:val="upperLetter"/>
      <w:lvlText w:val="%2."/>
      <w:lvlJc w:val="left"/>
      <w:pPr>
        <w:ind w:left="360" w:hanging="360"/>
      </w:pPr>
      <w:rPr>
        <w:rFonts w:hint="default"/>
        <w:b/>
        <w:i w:val="0"/>
      </w:rPr>
    </w:lvl>
    <w:lvl w:ilvl="2">
      <w:start w:val="2"/>
      <w:numFmt w:val="decimal"/>
      <w:lvlText w:val="%3."/>
      <w:lvlJc w:val="left"/>
      <w:pPr>
        <w:ind w:left="720" w:hanging="360"/>
      </w:pPr>
      <w:rPr>
        <w:rFonts w:hint="default"/>
        <w:b/>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righ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63">
    <w:nsid w:val="7D630291"/>
    <w:multiLevelType w:val="hybridMultilevel"/>
    <w:tmpl w:val="68DE9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EF13291"/>
    <w:multiLevelType w:val="hybridMultilevel"/>
    <w:tmpl w:val="718EE6F6"/>
    <w:lvl w:ilvl="0" w:tplc="1814375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FB62C23"/>
    <w:multiLevelType w:val="hybridMultilevel"/>
    <w:tmpl w:val="01160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FB92510"/>
    <w:multiLevelType w:val="hybridMultilevel"/>
    <w:tmpl w:val="16AE86F2"/>
    <w:lvl w:ilvl="0" w:tplc="04090001">
      <w:start w:val="1"/>
      <w:numFmt w:val="bullet"/>
      <w:lvlText w:val=""/>
      <w:lvlJc w:val="left"/>
      <w:pPr>
        <w:tabs>
          <w:tab w:val="num" w:pos="0"/>
        </w:tabs>
        <w:ind w:left="360" w:hanging="360"/>
      </w:pPr>
      <w:rPr>
        <w:rFonts w:ascii="Symbol" w:hAnsi="Symbol" w:hint="default"/>
      </w:rPr>
    </w:lvl>
    <w:lvl w:ilvl="1" w:tplc="04090003">
      <w:start w:val="1"/>
      <w:numFmt w:val="decimal"/>
      <w:lvlText w:val="%2."/>
      <w:lvlJc w:val="left"/>
      <w:pPr>
        <w:tabs>
          <w:tab w:val="num" w:pos="720"/>
        </w:tabs>
        <w:ind w:left="720" w:hanging="360"/>
      </w:pPr>
      <w:rPr>
        <w:rFonts w:cs="Times New Roman"/>
      </w:rPr>
    </w:lvl>
    <w:lvl w:ilvl="2" w:tplc="04090005">
      <w:start w:val="1"/>
      <w:numFmt w:val="decimal"/>
      <w:lvlText w:val="%3."/>
      <w:lvlJc w:val="left"/>
      <w:pPr>
        <w:tabs>
          <w:tab w:val="num" w:pos="1440"/>
        </w:tabs>
        <w:ind w:left="1440" w:hanging="360"/>
      </w:pPr>
      <w:rPr>
        <w:rFonts w:cs="Times New Roman"/>
      </w:rPr>
    </w:lvl>
    <w:lvl w:ilvl="3" w:tplc="04090001">
      <w:start w:val="1"/>
      <w:numFmt w:val="decimal"/>
      <w:lvlText w:val="%4."/>
      <w:lvlJc w:val="left"/>
      <w:pPr>
        <w:tabs>
          <w:tab w:val="num" w:pos="2160"/>
        </w:tabs>
        <w:ind w:left="2160" w:hanging="360"/>
      </w:pPr>
      <w:rPr>
        <w:rFonts w:cs="Times New Roman"/>
      </w:rPr>
    </w:lvl>
    <w:lvl w:ilvl="4" w:tplc="04090003">
      <w:start w:val="1"/>
      <w:numFmt w:val="decimal"/>
      <w:lvlText w:val="%5."/>
      <w:lvlJc w:val="left"/>
      <w:pPr>
        <w:tabs>
          <w:tab w:val="num" w:pos="2880"/>
        </w:tabs>
        <w:ind w:left="2880" w:hanging="360"/>
      </w:pPr>
      <w:rPr>
        <w:rFonts w:cs="Times New Roman"/>
      </w:rPr>
    </w:lvl>
    <w:lvl w:ilvl="5" w:tplc="04090005">
      <w:start w:val="1"/>
      <w:numFmt w:val="decimal"/>
      <w:lvlText w:val="%6."/>
      <w:lvlJc w:val="left"/>
      <w:pPr>
        <w:tabs>
          <w:tab w:val="num" w:pos="3600"/>
        </w:tabs>
        <w:ind w:left="3600" w:hanging="360"/>
      </w:pPr>
      <w:rPr>
        <w:rFonts w:cs="Times New Roman"/>
      </w:rPr>
    </w:lvl>
    <w:lvl w:ilvl="6" w:tplc="04090001">
      <w:start w:val="1"/>
      <w:numFmt w:val="decimal"/>
      <w:lvlText w:val="%7."/>
      <w:lvlJc w:val="left"/>
      <w:pPr>
        <w:tabs>
          <w:tab w:val="num" w:pos="4320"/>
        </w:tabs>
        <w:ind w:left="4320" w:hanging="360"/>
      </w:pPr>
      <w:rPr>
        <w:rFonts w:cs="Times New Roman"/>
      </w:rPr>
    </w:lvl>
    <w:lvl w:ilvl="7" w:tplc="04090003">
      <w:start w:val="1"/>
      <w:numFmt w:val="decimal"/>
      <w:lvlText w:val="%8."/>
      <w:lvlJc w:val="left"/>
      <w:pPr>
        <w:tabs>
          <w:tab w:val="num" w:pos="5040"/>
        </w:tabs>
        <w:ind w:left="5040" w:hanging="360"/>
      </w:pPr>
      <w:rPr>
        <w:rFonts w:cs="Times New Roman"/>
      </w:rPr>
    </w:lvl>
    <w:lvl w:ilvl="8" w:tplc="04090005">
      <w:start w:val="1"/>
      <w:numFmt w:val="decimal"/>
      <w:lvlText w:val="%9."/>
      <w:lvlJc w:val="left"/>
      <w:pPr>
        <w:tabs>
          <w:tab w:val="num" w:pos="5760"/>
        </w:tabs>
        <w:ind w:left="5760" w:hanging="360"/>
      </w:pPr>
      <w:rPr>
        <w:rFonts w:cs="Times New Roman"/>
      </w:rPr>
    </w:lvl>
  </w:abstractNum>
  <w:num w:numId="1">
    <w:abstractNumId w:val="37"/>
  </w:num>
  <w:num w:numId="2">
    <w:abstractNumId w:val="61"/>
  </w:num>
  <w:num w:numId="3">
    <w:abstractNumId w:val="14"/>
  </w:num>
  <w:num w:numId="4">
    <w:abstractNumId w:val="53"/>
  </w:num>
  <w:num w:numId="5">
    <w:abstractNumId w:val="5"/>
  </w:num>
  <w:num w:numId="6">
    <w:abstractNumId w:val="30"/>
  </w:num>
  <w:num w:numId="7">
    <w:abstractNumId w:val="15"/>
  </w:num>
  <w:num w:numId="8">
    <w:abstractNumId w:val="24"/>
  </w:num>
  <w:num w:numId="9">
    <w:abstractNumId w:val="38"/>
  </w:num>
  <w:num w:numId="10">
    <w:abstractNumId w:val="9"/>
  </w:num>
  <w:num w:numId="11">
    <w:abstractNumId w:val="59"/>
  </w:num>
  <w:num w:numId="12">
    <w:abstractNumId w:val="10"/>
  </w:num>
  <w:num w:numId="13">
    <w:abstractNumId w:val="18"/>
  </w:num>
  <w:num w:numId="14">
    <w:abstractNumId w:val="27"/>
  </w:num>
  <w:num w:numId="15">
    <w:abstractNumId w:val="64"/>
  </w:num>
  <w:num w:numId="16">
    <w:abstractNumId w:val="13"/>
  </w:num>
  <w:num w:numId="17">
    <w:abstractNumId w:val="62"/>
  </w:num>
  <w:num w:numId="18">
    <w:abstractNumId w:val="44"/>
  </w:num>
  <w:num w:numId="19">
    <w:abstractNumId w:val="3"/>
  </w:num>
  <w:num w:numId="20">
    <w:abstractNumId w:val="22"/>
  </w:num>
  <w:num w:numId="21">
    <w:abstractNumId w:val="47"/>
  </w:num>
  <w:num w:numId="22">
    <w:abstractNumId w:val="26"/>
  </w:num>
  <w:num w:numId="23">
    <w:abstractNumId w:val="28"/>
  </w:num>
  <w:num w:numId="24">
    <w:abstractNumId w:val="58"/>
  </w:num>
  <w:num w:numId="25">
    <w:abstractNumId w:val="49"/>
  </w:num>
  <w:num w:numId="26">
    <w:abstractNumId w:val="45"/>
  </w:num>
  <w:num w:numId="27">
    <w:abstractNumId w:val="46"/>
  </w:num>
  <w:num w:numId="28">
    <w:abstractNumId w:val="4"/>
  </w:num>
  <w:num w:numId="29">
    <w:abstractNumId w:val="2"/>
  </w:num>
  <w:num w:numId="30">
    <w:abstractNumId w:val="8"/>
  </w:num>
  <w:num w:numId="31">
    <w:abstractNumId w:val="12"/>
  </w:num>
  <w:num w:numId="32">
    <w:abstractNumId w:val="29"/>
  </w:num>
  <w:num w:numId="33">
    <w:abstractNumId w:val="31"/>
  </w:num>
  <w:num w:numId="34">
    <w:abstractNumId w:val="48"/>
  </w:num>
  <w:num w:numId="35">
    <w:abstractNumId w:val="23"/>
  </w:num>
  <w:num w:numId="36">
    <w:abstractNumId w:val="7"/>
  </w:num>
  <w:num w:numId="37">
    <w:abstractNumId w:val="42"/>
  </w:num>
  <w:num w:numId="38">
    <w:abstractNumId w:val="52"/>
  </w:num>
  <w:num w:numId="39">
    <w:abstractNumId w:val="41"/>
  </w:num>
  <w:num w:numId="40">
    <w:abstractNumId w:val="57"/>
  </w:num>
  <w:num w:numId="41">
    <w:abstractNumId w:val="55"/>
  </w:num>
  <w:num w:numId="42">
    <w:abstractNumId w:val="43"/>
  </w:num>
  <w:num w:numId="43">
    <w:abstractNumId w:val="33"/>
  </w:num>
  <w:num w:numId="44">
    <w:abstractNumId w:val="1"/>
  </w:num>
  <w:num w:numId="45">
    <w:abstractNumId w:val="25"/>
  </w:num>
  <w:num w:numId="46">
    <w:abstractNumId w:val="16"/>
  </w:num>
  <w:num w:numId="47">
    <w:abstractNumId w:val="0"/>
  </w:num>
  <w:num w:numId="48">
    <w:abstractNumId w:val="50"/>
  </w:num>
  <w:num w:numId="49">
    <w:abstractNumId w:val="21"/>
  </w:num>
  <w:num w:numId="50">
    <w:abstractNumId w:val="65"/>
  </w:num>
  <w:num w:numId="51">
    <w:abstractNumId w:val="66"/>
  </w:num>
  <w:num w:numId="52">
    <w:abstractNumId w:val="32"/>
  </w:num>
  <w:num w:numId="53">
    <w:abstractNumId w:val="51"/>
  </w:num>
  <w:num w:numId="5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0"/>
  </w:num>
  <w:num w:numId="56">
    <w:abstractNumId w:val="20"/>
  </w:num>
  <w:num w:numId="57">
    <w:abstractNumId w:val="34"/>
  </w:num>
  <w:num w:numId="58">
    <w:abstractNumId w:val="17"/>
  </w:num>
  <w:num w:numId="59">
    <w:abstractNumId w:val="36"/>
  </w:num>
  <w:num w:numId="60">
    <w:abstractNumId w:val="11"/>
  </w:num>
  <w:num w:numId="61">
    <w:abstractNumId w:val="56"/>
  </w:num>
  <w:num w:numId="62">
    <w:abstractNumId w:val="54"/>
  </w:num>
  <w:num w:numId="63">
    <w:abstractNumId w:val="40"/>
  </w:num>
  <w:num w:numId="64">
    <w:abstractNumId w:val="39"/>
  </w:num>
  <w:num w:numId="65">
    <w:abstractNumId w:val="63"/>
  </w:num>
  <w:num w:numId="66">
    <w:abstractNumId w:val="19"/>
  </w:num>
  <w:num w:numId="67">
    <w:abstractNumId w:val="6"/>
  </w:num>
  <w:num w:numId="68">
    <w:abstractNumId w:val="35"/>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rr, Kate">
    <w15:presenceInfo w15:providerId="AD" w15:userId="S-1-5-21-243891354-1137005509-1236795852-1304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10"/>
  <w:displayHorizontalDrawingGridEvery w:val="2"/>
  <w:noPunctuationKerning/>
  <w:characterSpacingControl w:val="doNotCompress"/>
  <w:hdrShapeDefaults>
    <o:shapedefaults v:ext="edit" spidmax="23554"/>
  </w:hdrShapeDefaults>
  <w:footnotePr>
    <w:footnote w:id="-1"/>
    <w:footnote w:id="0"/>
  </w:footnotePr>
  <w:endnotePr>
    <w:numFmt w:val="decimal"/>
    <w:endnote w:id="-1"/>
    <w:endnote w:id="0"/>
  </w:endnotePr>
  <w:compat/>
  <w:rsids>
    <w:rsidRoot w:val="008E314D"/>
    <w:rsid w:val="000025BB"/>
    <w:rsid w:val="00005DD4"/>
    <w:rsid w:val="00011BDE"/>
    <w:rsid w:val="00012621"/>
    <w:rsid w:val="000128B0"/>
    <w:rsid w:val="00015DF5"/>
    <w:rsid w:val="00020091"/>
    <w:rsid w:val="000211FA"/>
    <w:rsid w:val="00021FBE"/>
    <w:rsid w:val="00022A02"/>
    <w:rsid w:val="00023452"/>
    <w:rsid w:val="00023C84"/>
    <w:rsid w:val="000248C0"/>
    <w:rsid w:val="00026E16"/>
    <w:rsid w:val="00030935"/>
    <w:rsid w:val="00032F91"/>
    <w:rsid w:val="00034F6F"/>
    <w:rsid w:val="000363E2"/>
    <w:rsid w:val="00036C47"/>
    <w:rsid w:val="000373EC"/>
    <w:rsid w:val="000408EC"/>
    <w:rsid w:val="00040CAF"/>
    <w:rsid w:val="00042249"/>
    <w:rsid w:val="00042BF5"/>
    <w:rsid w:val="00044A0A"/>
    <w:rsid w:val="00047299"/>
    <w:rsid w:val="00047468"/>
    <w:rsid w:val="000474F0"/>
    <w:rsid w:val="00047C3C"/>
    <w:rsid w:val="00047E4C"/>
    <w:rsid w:val="00050852"/>
    <w:rsid w:val="00050C2F"/>
    <w:rsid w:val="000514D1"/>
    <w:rsid w:val="000530D4"/>
    <w:rsid w:val="00053E90"/>
    <w:rsid w:val="00060EAF"/>
    <w:rsid w:val="0006114C"/>
    <w:rsid w:val="00064F5E"/>
    <w:rsid w:val="0006624A"/>
    <w:rsid w:val="00066645"/>
    <w:rsid w:val="0006682E"/>
    <w:rsid w:val="00070B64"/>
    <w:rsid w:val="00071217"/>
    <w:rsid w:val="0007237E"/>
    <w:rsid w:val="00073652"/>
    <w:rsid w:val="00076CB8"/>
    <w:rsid w:val="00077F6A"/>
    <w:rsid w:val="0008050A"/>
    <w:rsid w:val="00082026"/>
    <w:rsid w:val="000837CA"/>
    <w:rsid w:val="00083AA1"/>
    <w:rsid w:val="00083C11"/>
    <w:rsid w:val="00084969"/>
    <w:rsid w:val="000867D6"/>
    <w:rsid w:val="00086B4D"/>
    <w:rsid w:val="00090DBD"/>
    <w:rsid w:val="000913DB"/>
    <w:rsid w:val="00091719"/>
    <w:rsid w:val="00091B1A"/>
    <w:rsid w:val="00093A9A"/>
    <w:rsid w:val="00095554"/>
    <w:rsid w:val="00096E5D"/>
    <w:rsid w:val="000A1A88"/>
    <w:rsid w:val="000A2783"/>
    <w:rsid w:val="000A2D17"/>
    <w:rsid w:val="000A615B"/>
    <w:rsid w:val="000B100D"/>
    <w:rsid w:val="000B10A3"/>
    <w:rsid w:val="000B2352"/>
    <w:rsid w:val="000B4BA2"/>
    <w:rsid w:val="000B5367"/>
    <w:rsid w:val="000B5DD7"/>
    <w:rsid w:val="000B738B"/>
    <w:rsid w:val="000B7B74"/>
    <w:rsid w:val="000C3004"/>
    <w:rsid w:val="000C3D39"/>
    <w:rsid w:val="000C5510"/>
    <w:rsid w:val="000D1181"/>
    <w:rsid w:val="000D1425"/>
    <w:rsid w:val="000D3519"/>
    <w:rsid w:val="000D3895"/>
    <w:rsid w:val="000D7072"/>
    <w:rsid w:val="000D7206"/>
    <w:rsid w:val="000D7416"/>
    <w:rsid w:val="000D7ED7"/>
    <w:rsid w:val="000E0F04"/>
    <w:rsid w:val="000E1492"/>
    <w:rsid w:val="000E1585"/>
    <w:rsid w:val="000E2E45"/>
    <w:rsid w:val="000E4BE0"/>
    <w:rsid w:val="000E4D68"/>
    <w:rsid w:val="000E67F9"/>
    <w:rsid w:val="000F06CD"/>
    <w:rsid w:val="000F156B"/>
    <w:rsid w:val="000F1BF9"/>
    <w:rsid w:val="000F27EE"/>
    <w:rsid w:val="000F3DB8"/>
    <w:rsid w:val="000F4C7F"/>
    <w:rsid w:val="000F5DC6"/>
    <w:rsid w:val="00100DD8"/>
    <w:rsid w:val="001016D2"/>
    <w:rsid w:val="00101DBE"/>
    <w:rsid w:val="0010217F"/>
    <w:rsid w:val="00102DD2"/>
    <w:rsid w:val="001051D3"/>
    <w:rsid w:val="0010596A"/>
    <w:rsid w:val="001059EA"/>
    <w:rsid w:val="0010682B"/>
    <w:rsid w:val="0010691E"/>
    <w:rsid w:val="00106F6F"/>
    <w:rsid w:val="00107F90"/>
    <w:rsid w:val="0011411A"/>
    <w:rsid w:val="001153E5"/>
    <w:rsid w:val="00117859"/>
    <w:rsid w:val="00117B43"/>
    <w:rsid w:val="00117BDB"/>
    <w:rsid w:val="001211CA"/>
    <w:rsid w:val="0012231C"/>
    <w:rsid w:val="001225B4"/>
    <w:rsid w:val="00122DAE"/>
    <w:rsid w:val="001231DB"/>
    <w:rsid w:val="00123537"/>
    <w:rsid w:val="0012499E"/>
    <w:rsid w:val="00126256"/>
    <w:rsid w:val="0012710E"/>
    <w:rsid w:val="001275C5"/>
    <w:rsid w:val="00127BD3"/>
    <w:rsid w:val="00127C9D"/>
    <w:rsid w:val="00131E2D"/>
    <w:rsid w:val="001320EB"/>
    <w:rsid w:val="00132F31"/>
    <w:rsid w:val="00134A37"/>
    <w:rsid w:val="00136A4C"/>
    <w:rsid w:val="0014063B"/>
    <w:rsid w:val="001407F2"/>
    <w:rsid w:val="00140865"/>
    <w:rsid w:val="00143F3C"/>
    <w:rsid w:val="0014647A"/>
    <w:rsid w:val="00147490"/>
    <w:rsid w:val="001476C3"/>
    <w:rsid w:val="00154FFA"/>
    <w:rsid w:val="00155B90"/>
    <w:rsid w:val="00157026"/>
    <w:rsid w:val="001601B3"/>
    <w:rsid w:val="00161213"/>
    <w:rsid w:val="00161A9E"/>
    <w:rsid w:val="00161E30"/>
    <w:rsid w:val="00161ED5"/>
    <w:rsid w:val="00162AE8"/>
    <w:rsid w:val="00162C13"/>
    <w:rsid w:val="0016441F"/>
    <w:rsid w:val="0016586A"/>
    <w:rsid w:val="001663DC"/>
    <w:rsid w:val="00167AB5"/>
    <w:rsid w:val="00170225"/>
    <w:rsid w:val="00171136"/>
    <w:rsid w:val="001720EC"/>
    <w:rsid w:val="00172FE2"/>
    <w:rsid w:val="00173CB3"/>
    <w:rsid w:val="001749BC"/>
    <w:rsid w:val="00180D48"/>
    <w:rsid w:val="00181CCF"/>
    <w:rsid w:val="00184798"/>
    <w:rsid w:val="00186264"/>
    <w:rsid w:val="00186F89"/>
    <w:rsid w:val="00186F8F"/>
    <w:rsid w:val="001908C8"/>
    <w:rsid w:val="001940FB"/>
    <w:rsid w:val="00197BAC"/>
    <w:rsid w:val="00197C63"/>
    <w:rsid w:val="00197CF5"/>
    <w:rsid w:val="001A0152"/>
    <w:rsid w:val="001A0393"/>
    <w:rsid w:val="001A1236"/>
    <w:rsid w:val="001A1616"/>
    <w:rsid w:val="001A2C8B"/>
    <w:rsid w:val="001A4281"/>
    <w:rsid w:val="001A478A"/>
    <w:rsid w:val="001A64E3"/>
    <w:rsid w:val="001A7DBA"/>
    <w:rsid w:val="001A7FE2"/>
    <w:rsid w:val="001B1461"/>
    <w:rsid w:val="001B215E"/>
    <w:rsid w:val="001B45F5"/>
    <w:rsid w:val="001B4748"/>
    <w:rsid w:val="001B57D8"/>
    <w:rsid w:val="001B5CF9"/>
    <w:rsid w:val="001B6951"/>
    <w:rsid w:val="001C0C73"/>
    <w:rsid w:val="001C21D9"/>
    <w:rsid w:val="001C264F"/>
    <w:rsid w:val="001C3226"/>
    <w:rsid w:val="001C4C16"/>
    <w:rsid w:val="001C5799"/>
    <w:rsid w:val="001C6099"/>
    <w:rsid w:val="001C7374"/>
    <w:rsid w:val="001C76D5"/>
    <w:rsid w:val="001D3542"/>
    <w:rsid w:val="001D3EDC"/>
    <w:rsid w:val="001D64D3"/>
    <w:rsid w:val="001E004F"/>
    <w:rsid w:val="001E00AC"/>
    <w:rsid w:val="001E0494"/>
    <w:rsid w:val="001E6AEF"/>
    <w:rsid w:val="001F0289"/>
    <w:rsid w:val="001F2F95"/>
    <w:rsid w:val="001F334D"/>
    <w:rsid w:val="001F3C7C"/>
    <w:rsid w:val="001F4763"/>
    <w:rsid w:val="001F4A92"/>
    <w:rsid w:val="001F5EE0"/>
    <w:rsid w:val="001F6E48"/>
    <w:rsid w:val="001F6E49"/>
    <w:rsid w:val="001F6F59"/>
    <w:rsid w:val="00201E5F"/>
    <w:rsid w:val="002030D5"/>
    <w:rsid w:val="002042AF"/>
    <w:rsid w:val="00205E2A"/>
    <w:rsid w:val="00210A4D"/>
    <w:rsid w:val="00210B80"/>
    <w:rsid w:val="0021229C"/>
    <w:rsid w:val="0021439D"/>
    <w:rsid w:val="002151F6"/>
    <w:rsid w:val="00216751"/>
    <w:rsid w:val="00216AD2"/>
    <w:rsid w:val="00217963"/>
    <w:rsid w:val="00224925"/>
    <w:rsid w:val="00225DCA"/>
    <w:rsid w:val="00227F98"/>
    <w:rsid w:val="0023179D"/>
    <w:rsid w:val="002322E0"/>
    <w:rsid w:val="00233386"/>
    <w:rsid w:val="00233BFB"/>
    <w:rsid w:val="00235976"/>
    <w:rsid w:val="00235FEA"/>
    <w:rsid w:val="0023695F"/>
    <w:rsid w:val="00243684"/>
    <w:rsid w:val="00243FC9"/>
    <w:rsid w:val="002442D3"/>
    <w:rsid w:val="0024468D"/>
    <w:rsid w:val="00245F0D"/>
    <w:rsid w:val="002473C8"/>
    <w:rsid w:val="00247B48"/>
    <w:rsid w:val="00247F52"/>
    <w:rsid w:val="00250617"/>
    <w:rsid w:val="002525EA"/>
    <w:rsid w:val="00253405"/>
    <w:rsid w:val="002542FD"/>
    <w:rsid w:val="0025516A"/>
    <w:rsid w:val="00255FA5"/>
    <w:rsid w:val="00257FC2"/>
    <w:rsid w:val="002620E7"/>
    <w:rsid w:val="00263972"/>
    <w:rsid w:val="00263C98"/>
    <w:rsid w:val="00270374"/>
    <w:rsid w:val="002708D3"/>
    <w:rsid w:val="00271552"/>
    <w:rsid w:val="00272ACD"/>
    <w:rsid w:val="00273C75"/>
    <w:rsid w:val="00274F77"/>
    <w:rsid w:val="00275982"/>
    <w:rsid w:val="0027683A"/>
    <w:rsid w:val="00277B51"/>
    <w:rsid w:val="002859BA"/>
    <w:rsid w:val="00286028"/>
    <w:rsid w:val="00286039"/>
    <w:rsid w:val="0028766A"/>
    <w:rsid w:val="00292D33"/>
    <w:rsid w:val="0029387F"/>
    <w:rsid w:val="002945F0"/>
    <w:rsid w:val="00297078"/>
    <w:rsid w:val="002973A5"/>
    <w:rsid w:val="002A1214"/>
    <w:rsid w:val="002A19F6"/>
    <w:rsid w:val="002A1C2E"/>
    <w:rsid w:val="002A21E9"/>
    <w:rsid w:val="002A36F3"/>
    <w:rsid w:val="002A47A8"/>
    <w:rsid w:val="002A51F6"/>
    <w:rsid w:val="002A7B09"/>
    <w:rsid w:val="002B0F9D"/>
    <w:rsid w:val="002B2DA4"/>
    <w:rsid w:val="002B34A5"/>
    <w:rsid w:val="002B3544"/>
    <w:rsid w:val="002B3773"/>
    <w:rsid w:val="002B379A"/>
    <w:rsid w:val="002B39EC"/>
    <w:rsid w:val="002B3A83"/>
    <w:rsid w:val="002B5B5F"/>
    <w:rsid w:val="002B7E0D"/>
    <w:rsid w:val="002C0724"/>
    <w:rsid w:val="002C0DB3"/>
    <w:rsid w:val="002C3D25"/>
    <w:rsid w:val="002C41DD"/>
    <w:rsid w:val="002C5405"/>
    <w:rsid w:val="002C590E"/>
    <w:rsid w:val="002C5B3F"/>
    <w:rsid w:val="002C69C6"/>
    <w:rsid w:val="002D0CDD"/>
    <w:rsid w:val="002D2A03"/>
    <w:rsid w:val="002D320D"/>
    <w:rsid w:val="002D56EB"/>
    <w:rsid w:val="002D70FA"/>
    <w:rsid w:val="002D7C1E"/>
    <w:rsid w:val="002D7F95"/>
    <w:rsid w:val="002E07A6"/>
    <w:rsid w:val="002E4B6D"/>
    <w:rsid w:val="002F1EBE"/>
    <w:rsid w:val="002F222D"/>
    <w:rsid w:val="002F2737"/>
    <w:rsid w:val="002F2FA7"/>
    <w:rsid w:val="002F368B"/>
    <w:rsid w:val="002F4466"/>
    <w:rsid w:val="002F6B99"/>
    <w:rsid w:val="00301D3E"/>
    <w:rsid w:val="00303117"/>
    <w:rsid w:val="00303259"/>
    <w:rsid w:val="003036A8"/>
    <w:rsid w:val="00306BAD"/>
    <w:rsid w:val="003105EE"/>
    <w:rsid w:val="00311630"/>
    <w:rsid w:val="003125DB"/>
    <w:rsid w:val="00312A2F"/>
    <w:rsid w:val="00313410"/>
    <w:rsid w:val="00316E1A"/>
    <w:rsid w:val="003174D4"/>
    <w:rsid w:val="003179A7"/>
    <w:rsid w:val="003179F7"/>
    <w:rsid w:val="00317B29"/>
    <w:rsid w:val="00320D7A"/>
    <w:rsid w:val="00320DFB"/>
    <w:rsid w:val="0032172E"/>
    <w:rsid w:val="00324BC6"/>
    <w:rsid w:val="003255AE"/>
    <w:rsid w:val="003279F5"/>
    <w:rsid w:val="00327D2D"/>
    <w:rsid w:val="00331174"/>
    <w:rsid w:val="003315A7"/>
    <w:rsid w:val="00332703"/>
    <w:rsid w:val="003342B6"/>
    <w:rsid w:val="00335BF3"/>
    <w:rsid w:val="00335E95"/>
    <w:rsid w:val="003374BA"/>
    <w:rsid w:val="00337798"/>
    <w:rsid w:val="00340ECF"/>
    <w:rsid w:val="00341484"/>
    <w:rsid w:val="00342350"/>
    <w:rsid w:val="003439D2"/>
    <w:rsid w:val="003440B3"/>
    <w:rsid w:val="00344FBA"/>
    <w:rsid w:val="003461A8"/>
    <w:rsid w:val="00350132"/>
    <w:rsid w:val="00350273"/>
    <w:rsid w:val="00350684"/>
    <w:rsid w:val="00354AB4"/>
    <w:rsid w:val="00356350"/>
    <w:rsid w:val="00357AF2"/>
    <w:rsid w:val="00361246"/>
    <w:rsid w:val="00361566"/>
    <w:rsid w:val="0036453B"/>
    <w:rsid w:val="003648F0"/>
    <w:rsid w:val="0036533B"/>
    <w:rsid w:val="00366203"/>
    <w:rsid w:val="00367076"/>
    <w:rsid w:val="0036742F"/>
    <w:rsid w:val="00370865"/>
    <w:rsid w:val="00371404"/>
    <w:rsid w:val="003716DB"/>
    <w:rsid w:val="003737D5"/>
    <w:rsid w:val="0037406F"/>
    <w:rsid w:val="00374963"/>
    <w:rsid w:val="003757C9"/>
    <w:rsid w:val="00381248"/>
    <w:rsid w:val="00381D5A"/>
    <w:rsid w:val="00381ED8"/>
    <w:rsid w:val="00385EB8"/>
    <w:rsid w:val="00386849"/>
    <w:rsid w:val="00396F0C"/>
    <w:rsid w:val="00397A2B"/>
    <w:rsid w:val="00397B61"/>
    <w:rsid w:val="00397D40"/>
    <w:rsid w:val="003A0F56"/>
    <w:rsid w:val="003A1E39"/>
    <w:rsid w:val="003A2BEF"/>
    <w:rsid w:val="003A5791"/>
    <w:rsid w:val="003A6AB5"/>
    <w:rsid w:val="003B19D3"/>
    <w:rsid w:val="003B39FB"/>
    <w:rsid w:val="003B445A"/>
    <w:rsid w:val="003B6C16"/>
    <w:rsid w:val="003C237A"/>
    <w:rsid w:val="003C441E"/>
    <w:rsid w:val="003C6C91"/>
    <w:rsid w:val="003C779D"/>
    <w:rsid w:val="003C7B01"/>
    <w:rsid w:val="003D323C"/>
    <w:rsid w:val="003D550D"/>
    <w:rsid w:val="003D6A7A"/>
    <w:rsid w:val="003D7216"/>
    <w:rsid w:val="003D741F"/>
    <w:rsid w:val="003E14A0"/>
    <w:rsid w:val="003E3E4A"/>
    <w:rsid w:val="003E4165"/>
    <w:rsid w:val="003E6252"/>
    <w:rsid w:val="003F0BCE"/>
    <w:rsid w:val="003F1B67"/>
    <w:rsid w:val="003F2922"/>
    <w:rsid w:val="003F4A2A"/>
    <w:rsid w:val="003F4A74"/>
    <w:rsid w:val="003F4DDC"/>
    <w:rsid w:val="003F5178"/>
    <w:rsid w:val="003F5A3D"/>
    <w:rsid w:val="003F5B9B"/>
    <w:rsid w:val="003F5E50"/>
    <w:rsid w:val="00402642"/>
    <w:rsid w:val="00403173"/>
    <w:rsid w:val="0040344C"/>
    <w:rsid w:val="0040416B"/>
    <w:rsid w:val="0040447F"/>
    <w:rsid w:val="0040738B"/>
    <w:rsid w:val="0040796B"/>
    <w:rsid w:val="00412155"/>
    <w:rsid w:val="00412184"/>
    <w:rsid w:val="0041512F"/>
    <w:rsid w:val="004153FA"/>
    <w:rsid w:val="00416CF6"/>
    <w:rsid w:val="00421C79"/>
    <w:rsid w:val="0042680A"/>
    <w:rsid w:val="004303C2"/>
    <w:rsid w:val="004326EC"/>
    <w:rsid w:val="00432B66"/>
    <w:rsid w:val="00433870"/>
    <w:rsid w:val="00434C38"/>
    <w:rsid w:val="00435B1D"/>
    <w:rsid w:val="00436E01"/>
    <w:rsid w:val="00440485"/>
    <w:rsid w:val="004422EE"/>
    <w:rsid w:val="004437DC"/>
    <w:rsid w:val="00446D3B"/>
    <w:rsid w:val="004478F1"/>
    <w:rsid w:val="004512D7"/>
    <w:rsid w:val="004512E2"/>
    <w:rsid w:val="004544D5"/>
    <w:rsid w:val="00460DD6"/>
    <w:rsid w:val="00460F88"/>
    <w:rsid w:val="004658B7"/>
    <w:rsid w:val="00465BE8"/>
    <w:rsid w:val="0046612F"/>
    <w:rsid w:val="00467B49"/>
    <w:rsid w:val="0047041E"/>
    <w:rsid w:val="00471919"/>
    <w:rsid w:val="004719AF"/>
    <w:rsid w:val="00472D85"/>
    <w:rsid w:val="00474744"/>
    <w:rsid w:val="00481CEC"/>
    <w:rsid w:val="00482488"/>
    <w:rsid w:val="00483DBC"/>
    <w:rsid w:val="00484D76"/>
    <w:rsid w:val="0048725E"/>
    <w:rsid w:val="00491130"/>
    <w:rsid w:val="00492D22"/>
    <w:rsid w:val="00495DCD"/>
    <w:rsid w:val="0049764A"/>
    <w:rsid w:val="004A78D5"/>
    <w:rsid w:val="004B0D7B"/>
    <w:rsid w:val="004B141C"/>
    <w:rsid w:val="004B192B"/>
    <w:rsid w:val="004B45BE"/>
    <w:rsid w:val="004B6027"/>
    <w:rsid w:val="004B6F1A"/>
    <w:rsid w:val="004C0DF8"/>
    <w:rsid w:val="004C242A"/>
    <w:rsid w:val="004C4663"/>
    <w:rsid w:val="004C502F"/>
    <w:rsid w:val="004C5947"/>
    <w:rsid w:val="004C76CF"/>
    <w:rsid w:val="004D172E"/>
    <w:rsid w:val="004D1D43"/>
    <w:rsid w:val="004D1E2D"/>
    <w:rsid w:val="004D1EDB"/>
    <w:rsid w:val="004D3950"/>
    <w:rsid w:val="004D3DAB"/>
    <w:rsid w:val="004E011F"/>
    <w:rsid w:val="004E2ABF"/>
    <w:rsid w:val="004E3DCD"/>
    <w:rsid w:val="004E530E"/>
    <w:rsid w:val="004E7AB8"/>
    <w:rsid w:val="004E7FFB"/>
    <w:rsid w:val="004F1303"/>
    <w:rsid w:val="004F265D"/>
    <w:rsid w:val="004F40CF"/>
    <w:rsid w:val="004F61D9"/>
    <w:rsid w:val="004F70BE"/>
    <w:rsid w:val="004F72B3"/>
    <w:rsid w:val="005002A5"/>
    <w:rsid w:val="005016F2"/>
    <w:rsid w:val="0050391E"/>
    <w:rsid w:val="00503E74"/>
    <w:rsid w:val="00505FF9"/>
    <w:rsid w:val="005104E6"/>
    <w:rsid w:val="005109FC"/>
    <w:rsid w:val="00513BAE"/>
    <w:rsid w:val="00513DA2"/>
    <w:rsid w:val="00514814"/>
    <w:rsid w:val="005150B6"/>
    <w:rsid w:val="0051689D"/>
    <w:rsid w:val="0052247D"/>
    <w:rsid w:val="00526514"/>
    <w:rsid w:val="00526F11"/>
    <w:rsid w:val="00527276"/>
    <w:rsid w:val="005272DA"/>
    <w:rsid w:val="0052747F"/>
    <w:rsid w:val="0053137E"/>
    <w:rsid w:val="0053176C"/>
    <w:rsid w:val="00533A41"/>
    <w:rsid w:val="00535875"/>
    <w:rsid w:val="00535C21"/>
    <w:rsid w:val="005375AE"/>
    <w:rsid w:val="00540164"/>
    <w:rsid w:val="005402F9"/>
    <w:rsid w:val="0054135E"/>
    <w:rsid w:val="00542743"/>
    <w:rsid w:val="00542DDC"/>
    <w:rsid w:val="005442EF"/>
    <w:rsid w:val="00544E70"/>
    <w:rsid w:val="00544EFA"/>
    <w:rsid w:val="00544FC9"/>
    <w:rsid w:val="00545777"/>
    <w:rsid w:val="00546125"/>
    <w:rsid w:val="00547781"/>
    <w:rsid w:val="00550D33"/>
    <w:rsid w:val="00552AD1"/>
    <w:rsid w:val="0055451D"/>
    <w:rsid w:val="00554959"/>
    <w:rsid w:val="00555949"/>
    <w:rsid w:val="00562114"/>
    <w:rsid w:val="00562277"/>
    <w:rsid w:val="0056290D"/>
    <w:rsid w:val="0056318E"/>
    <w:rsid w:val="00564269"/>
    <w:rsid w:val="0056742E"/>
    <w:rsid w:val="00570F72"/>
    <w:rsid w:val="0057129B"/>
    <w:rsid w:val="00571756"/>
    <w:rsid w:val="00573281"/>
    <w:rsid w:val="00575C46"/>
    <w:rsid w:val="00576A9E"/>
    <w:rsid w:val="005804FD"/>
    <w:rsid w:val="00580D95"/>
    <w:rsid w:val="00580DB8"/>
    <w:rsid w:val="005811BE"/>
    <w:rsid w:val="0058168A"/>
    <w:rsid w:val="00581EE6"/>
    <w:rsid w:val="00582FE7"/>
    <w:rsid w:val="0058397A"/>
    <w:rsid w:val="00584E65"/>
    <w:rsid w:val="005856B5"/>
    <w:rsid w:val="00585A01"/>
    <w:rsid w:val="005863BA"/>
    <w:rsid w:val="005868E4"/>
    <w:rsid w:val="00587CB9"/>
    <w:rsid w:val="00587E73"/>
    <w:rsid w:val="00591494"/>
    <w:rsid w:val="005948E0"/>
    <w:rsid w:val="0059741D"/>
    <w:rsid w:val="005979ED"/>
    <w:rsid w:val="005A0522"/>
    <w:rsid w:val="005A057D"/>
    <w:rsid w:val="005A0C22"/>
    <w:rsid w:val="005A0CB9"/>
    <w:rsid w:val="005A197A"/>
    <w:rsid w:val="005A20C5"/>
    <w:rsid w:val="005A294C"/>
    <w:rsid w:val="005A539B"/>
    <w:rsid w:val="005A567F"/>
    <w:rsid w:val="005A6E44"/>
    <w:rsid w:val="005B0335"/>
    <w:rsid w:val="005B328B"/>
    <w:rsid w:val="005B362A"/>
    <w:rsid w:val="005B39AD"/>
    <w:rsid w:val="005B649C"/>
    <w:rsid w:val="005B6732"/>
    <w:rsid w:val="005B6BE5"/>
    <w:rsid w:val="005B6F3A"/>
    <w:rsid w:val="005B7E53"/>
    <w:rsid w:val="005C2C3A"/>
    <w:rsid w:val="005C37E7"/>
    <w:rsid w:val="005C3D97"/>
    <w:rsid w:val="005C55C9"/>
    <w:rsid w:val="005C56D6"/>
    <w:rsid w:val="005C7DC2"/>
    <w:rsid w:val="005D0618"/>
    <w:rsid w:val="005D1037"/>
    <w:rsid w:val="005D1BEC"/>
    <w:rsid w:val="005D461E"/>
    <w:rsid w:val="005E25BB"/>
    <w:rsid w:val="005E2B9B"/>
    <w:rsid w:val="005E3A72"/>
    <w:rsid w:val="005E6BA9"/>
    <w:rsid w:val="005E6D6A"/>
    <w:rsid w:val="005E7C59"/>
    <w:rsid w:val="005F15E0"/>
    <w:rsid w:val="005F2E8F"/>
    <w:rsid w:val="006016FB"/>
    <w:rsid w:val="00602CF9"/>
    <w:rsid w:val="00603489"/>
    <w:rsid w:val="0060387E"/>
    <w:rsid w:val="00603D98"/>
    <w:rsid w:val="006043EC"/>
    <w:rsid w:val="0060543B"/>
    <w:rsid w:val="006063E1"/>
    <w:rsid w:val="006066AA"/>
    <w:rsid w:val="006066B2"/>
    <w:rsid w:val="00607F56"/>
    <w:rsid w:val="006111C0"/>
    <w:rsid w:val="00611521"/>
    <w:rsid w:val="006116DC"/>
    <w:rsid w:val="00611915"/>
    <w:rsid w:val="00611CBC"/>
    <w:rsid w:val="006136B8"/>
    <w:rsid w:val="00615482"/>
    <w:rsid w:val="0061605A"/>
    <w:rsid w:val="00616C00"/>
    <w:rsid w:val="00617110"/>
    <w:rsid w:val="006201D8"/>
    <w:rsid w:val="006232DB"/>
    <w:rsid w:val="006234EC"/>
    <w:rsid w:val="00623B87"/>
    <w:rsid w:val="00623D22"/>
    <w:rsid w:val="00624003"/>
    <w:rsid w:val="00624110"/>
    <w:rsid w:val="006248DE"/>
    <w:rsid w:val="00630468"/>
    <w:rsid w:val="006308F4"/>
    <w:rsid w:val="00630C29"/>
    <w:rsid w:val="0063101F"/>
    <w:rsid w:val="0063142B"/>
    <w:rsid w:val="00631891"/>
    <w:rsid w:val="00635A84"/>
    <w:rsid w:val="00636B3F"/>
    <w:rsid w:val="006446E1"/>
    <w:rsid w:val="006458FE"/>
    <w:rsid w:val="0064612E"/>
    <w:rsid w:val="00646931"/>
    <w:rsid w:val="00647720"/>
    <w:rsid w:val="00651963"/>
    <w:rsid w:val="00651F68"/>
    <w:rsid w:val="00654810"/>
    <w:rsid w:val="00657FE6"/>
    <w:rsid w:val="00660718"/>
    <w:rsid w:val="006608FB"/>
    <w:rsid w:val="006613F4"/>
    <w:rsid w:val="00661FB8"/>
    <w:rsid w:val="006624CF"/>
    <w:rsid w:val="0066337E"/>
    <w:rsid w:val="006641A7"/>
    <w:rsid w:val="00664B0F"/>
    <w:rsid w:val="00666A91"/>
    <w:rsid w:val="00667441"/>
    <w:rsid w:val="006675FF"/>
    <w:rsid w:val="006700AD"/>
    <w:rsid w:val="00671D60"/>
    <w:rsid w:val="0067581D"/>
    <w:rsid w:val="00675A6C"/>
    <w:rsid w:val="00676B5A"/>
    <w:rsid w:val="0068003B"/>
    <w:rsid w:val="00685380"/>
    <w:rsid w:val="0068579C"/>
    <w:rsid w:val="00692966"/>
    <w:rsid w:val="00692BD9"/>
    <w:rsid w:val="00696596"/>
    <w:rsid w:val="00697966"/>
    <w:rsid w:val="006A0A4D"/>
    <w:rsid w:val="006A15E3"/>
    <w:rsid w:val="006A1D30"/>
    <w:rsid w:val="006B0CF3"/>
    <w:rsid w:val="006B3651"/>
    <w:rsid w:val="006B3E4F"/>
    <w:rsid w:val="006B65DB"/>
    <w:rsid w:val="006C034C"/>
    <w:rsid w:val="006C2701"/>
    <w:rsid w:val="006C4482"/>
    <w:rsid w:val="006C4633"/>
    <w:rsid w:val="006C468C"/>
    <w:rsid w:val="006C46E5"/>
    <w:rsid w:val="006D3AF3"/>
    <w:rsid w:val="006D3D2D"/>
    <w:rsid w:val="006D52C5"/>
    <w:rsid w:val="006D7039"/>
    <w:rsid w:val="006E01AD"/>
    <w:rsid w:val="006E063A"/>
    <w:rsid w:val="006E10DD"/>
    <w:rsid w:val="006E1E5C"/>
    <w:rsid w:val="006E290A"/>
    <w:rsid w:val="006E4C96"/>
    <w:rsid w:val="006E57E9"/>
    <w:rsid w:val="006E5C70"/>
    <w:rsid w:val="006E7D39"/>
    <w:rsid w:val="006F1181"/>
    <w:rsid w:val="006F40C4"/>
    <w:rsid w:val="006F41F7"/>
    <w:rsid w:val="006F44B4"/>
    <w:rsid w:val="006F4D8A"/>
    <w:rsid w:val="006F723A"/>
    <w:rsid w:val="007009FF"/>
    <w:rsid w:val="00700F64"/>
    <w:rsid w:val="00700FAD"/>
    <w:rsid w:val="00701867"/>
    <w:rsid w:val="0070448C"/>
    <w:rsid w:val="00704F1F"/>
    <w:rsid w:val="00705C3D"/>
    <w:rsid w:val="007071F8"/>
    <w:rsid w:val="0071152C"/>
    <w:rsid w:val="00712331"/>
    <w:rsid w:val="007128B9"/>
    <w:rsid w:val="00712DA2"/>
    <w:rsid w:val="00712E16"/>
    <w:rsid w:val="00713F86"/>
    <w:rsid w:val="00714E2B"/>
    <w:rsid w:val="00717B4D"/>
    <w:rsid w:val="00720D18"/>
    <w:rsid w:val="00722212"/>
    <w:rsid w:val="007223F3"/>
    <w:rsid w:val="0072250B"/>
    <w:rsid w:val="007229CD"/>
    <w:rsid w:val="007229F7"/>
    <w:rsid w:val="00722D99"/>
    <w:rsid w:val="0072387D"/>
    <w:rsid w:val="007251DD"/>
    <w:rsid w:val="007267A3"/>
    <w:rsid w:val="0072696A"/>
    <w:rsid w:val="00727256"/>
    <w:rsid w:val="0073313C"/>
    <w:rsid w:val="00733764"/>
    <w:rsid w:val="00735718"/>
    <w:rsid w:val="00735B58"/>
    <w:rsid w:val="00735DD2"/>
    <w:rsid w:val="00736C15"/>
    <w:rsid w:val="00737225"/>
    <w:rsid w:val="007375D3"/>
    <w:rsid w:val="00740F7D"/>
    <w:rsid w:val="00741575"/>
    <w:rsid w:val="00741631"/>
    <w:rsid w:val="00741AA7"/>
    <w:rsid w:val="0074294D"/>
    <w:rsid w:val="00742CC5"/>
    <w:rsid w:val="007454C4"/>
    <w:rsid w:val="00745F60"/>
    <w:rsid w:val="007502E0"/>
    <w:rsid w:val="00750889"/>
    <w:rsid w:val="00751383"/>
    <w:rsid w:val="007527C0"/>
    <w:rsid w:val="007545DC"/>
    <w:rsid w:val="00755560"/>
    <w:rsid w:val="00755A71"/>
    <w:rsid w:val="00755ABA"/>
    <w:rsid w:val="007561A3"/>
    <w:rsid w:val="00756411"/>
    <w:rsid w:val="007573DE"/>
    <w:rsid w:val="007610D6"/>
    <w:rsid w:val="007618F5"/>
    <w:rsid w:val="00761BE3"/>
    <w:rsid w:val="007628FC"/>
    <w:rsid w:val="007642D3"/>
    <w:rsid w:val="00764408"/>
    <w:rsid w:val="0076447D"/>
    <w:rsid w:val="007651E6"/>
    <w:rsid w:val="00766002"/>
    <w:rsid w:val="007679DC"/>
    <w:rsid w:val="00770BE9"/>
    <w:rsid w:val="00772739"/>
    <w:rsid w:val="00772A64"/>
    <w:rsid w:val="00772E34"/>
    <w:rsid w:val="00776463"/>
    <w:rsid w:val="007779A4"/>
    <w:rsid w:val="00780945"/>
    <w:rsid w:val="0078123D"/>
    <w:rsid w:val="00781A66"/>
    <w:rsid w:val="00782D97"/>
    <w:rsid w:val="0078684F"/>
    <w:rsid w:val="007928CD"/>
    <w:rsid w:val="0079407D"/>
    <w:rsid w:val="00794082"/>
    <w:rsid w:val="0079470A"/>
    <w:rsid w:val="00795A53"/>
    <w:rsid w:val="00795DEB"/>
    <w:rsid w:val="00797939"/>
    <w:rsid w:val="007A0376"/>
    <w:rsid w:val="007A16E1"/>
    <w:rsid w:val="007A19A3"/>
    <w:rsid w:val="007A1EE2"/>
    <w:rsid w:val="007A561D"/>
    <w:rsid w:val="007A626A"/>
    <w:rsid w:val="007B34B0"/>
    <w:rsid w:val="007B4595"/>
    <w:rsid w:val="007B6FCD"/>
    <w:rsid w:val="007C01ED"/>
    <w:rsid w:val="007C0712"/>
    <w:rsid w:val="007C5207"/>
    <w:rsid w:val="007C59D2"/>
    <w:rsid w:val="007C65CE"/>
    <w:rsid w:val="007C6724"/>
    <w:rsid w:val="007C6FC2"/>
    <w:rsid w:val="007C7998"/>
    <w:rsid w:val="007D7421"/>
    <w:rsid w:val="007E1510"/>
    <w:rsid w:val="007E324B"/>
    <w:rsid w:val="007E41F3"/>
    <w:rsid w:val="007E5D21"/>
    <w:rsid w:val="007F23AF"/>
    <w:rsid w:val="007F44D5"/>
    <w:rsid w:val="00801F85"/>
    <w:rsid w:val="00801FD9"/>
    <w:rsid w:val="0080236C"/>
    <w:rsid w:val="00802E9B"/>
    <w:rsid w:val="00805605"/>
    <w:rsid w:val="00805993"/>
    <w:rsid w:val="0081228B"/>
    <w:rsid w:val="00812961"/>
    <w:rsid w:val="008138B4"/>
    <w:rsid w:val="00822E55"/>
    <w:rsid w:val="008234D3"/>
    <w:rsid w:val="00825092"/>
    <w:rsid w:val="00825D8A"/>
    <w:rsid w:val="00826664"/>
    <w:rsid w:val="00826AE2"/>
    <w:rsid w:val="00826BDC"/>
    <w:rsid w:val="00830336"/>
    <w:rsid w:val="00831B50"/>
    <w:rsid w:val="008341AA"/>
    <w:rsid w:val="00834845"/>
    <w:rsid w:val="00837D37"/>
    <w:rsid w:val="00841361"/>
    <w:rsid w:val="00841AE4"/>
    <w:rsid w:val="00842FF8"/>
    <w:rsid w:val="008438F0"/>
    <w:rsid w:val="00843D6B"/>
    <w:rsid w:val="0084609C"/>
    <w:rsid w:val="00847943"/>
    <w:rsid w:val="00847FF6"/>
    <w:rsid w:val="008502EB"/>
    <w:rsid w:val="00850436"/>
    <w:rsid w:val="00852884"/>
    <w:rsid w:val="008533C0"/>
    <w:rsid w:val="008534C3"/>
    <w:rsid w:val="0085373B"/>
    <w:rsid w:val="00853EF2"/>
    <w:rsid w:val="00856702"/>
    <w:rsid w:val="00856727"/>
    <w:rsid w:val="00860162"/>
    <w:rsid w:val="0086156D"/>
    <w:rsid w:val="00861AB8"/>
    <w:rsid w:val="00863615"/>
    <w:rsid w:val="008639CC"/>
    <w:rsid w:val="00864A3B"/>
    <w:rsid w:val="00865035"/>
    <w:rsid w:val="00865C7B"/>
    <w:rsid w:val="008664BF"/>
    <w:rsid w:val="00867B65"/>
    <w:rsid w:val="0087052B"/>
    <w:rsid w:val="00871068"/>
    <w:rsid w:val="00875082"/>
    <w:rsid w:val="0087620F"/>
    <w:rsid w:val="00881437"/>
    <w:rsid w:val="0088155A"/>
    <w:rsid w:val="0088427A"/>
    <w:rsid w:val="0088671C"/>
    <w:rsid w:val="008918DB"/>
    <w:rsid w:val="00892710"/>
    <w:rsid w:val="00893322"/>
    <w:rsid w:val="00894145"/>
    <w:rsid w:val="00896693"/>
    <w:rsid w:val="008970D2"/>
    <w:rsid w:val="008973CD"/>
    <w:rsid w:val="008A0DF1"/>
    <w:rsid w:val="008A206A"/>
    <w:rsid w:val="008A6738"/>
    <w:rsid w:val="008B0CD3"/>
    <w:rsid w:val="008B67AA"/>
    <w:rsid w:val="008B6874"/>
    <w:rsid w:val="008B7FB1"/>
    <w:rsid w:val="008C1BC0"/>
    <w:rsid w:val="008C4124"/>
    <w:rsid w:val="008C4609"/>
    <w:rsid w:val="008C59A4"/>
    <w:rsid w:val="008D44B8"/>
    <w:rsid w:val="008D70F6"/>
    <w:rsid w:val="008D72D2"/>
    <w:rsid w:val="008E0F64"/>
    <w:rsid w:val="008E14FD"/>
    <w:rsid w:val="008E26DB"/>
    <w:rsid w:val="008E29E7"/>
    <w:rsid w:val="008E314D"/>
    <w:rsid w:val="008E33C7"/>
    <w:rsid w:val="008E5267"/>
    <w:rsid w:val="008E55E1"/>
    <w:rsid w:val="008E5E43"/>
    <w:rsid w:val="008F02EE"/>
    <w:rsid w:val="008F1F4D"/>
    <w:rsid w:val="008F219B"/>
    <w:rsid w:val="008F4126"/>
    <w:rsid w:val="008F47D6"/>
    <w:rsid w:val="008F51E5"/>
    <w:rsid w:val="008F6067"/>
    <w:rsid w:val="008F72E6"/>
    <w:rsid w:val="008F762C"/>
    <w:rsid w:val="0090247C"/>
    <w:rsid w:val="00904A38"/>
    <w:rsid w:val="00906704"/>
    <w:rsid w:val="00907A34"/>
    <w:rsid w:val="0091151B"/>
    <w:rsid w:val="00914692"/>
    <w:rsid w:val="00916A52"/>
    <w:rsid w:val="00917215"/>
    <w:rsid w:val="009201C4"/>
    <w:rsid w:val="0092040E"/>
    <w:rsid w:val="00920E48"/>
    <w:rsid w:val="009216B3"/>
    <w:rsid w:val="00922F54"/>
    <w:rsid w:val="00923109"/>
    <w:rsid w:val="009248AB"/>
    <w:rsid w:val="009266F5"/>
    <w:rsid w:val="00926D67"/>
    <w:rsid w:val="009278E6"/>
    <w:rsid w:val="00930F83"/>
    <w:rsid w:val="00931979"/>
    <w:rsid w:val="00932B8D"/>
    <w:rsid w:val="00933F02"/>
    <w:rsid w:val="009400E1"/>
    <w:rsid w:val="00943F53"/>
    <w:rsid w:val="00944778"/>
    <w:rsid w:val="00945558"/>
    <w:rsid w:val="0094586D"/>
    <w:rsid w:val="00945CA1"/>
    <w:rsid w:val="00947213"/>
    <w:rsid w:val="00952586"/>
    <w:rsid w:val="00953000"/>
    <w:rsid w:val="009531D1"/>
    <w:rsid w:val="00953338"/>
    <w:rsid w:val="009551BB"/>
    <w:rsid w:val="0095674B"/>
    <w:rsid w:val="0096191C"/>
    <w:rsid w:val="00961FD9"/>
    <w:rsid w:val="00962267"/>
    <w:rsid w:val="0096553B"/>
    <w:rsid w:val="0096708B"/>
    <w:rsid w:val="00972625"/>
    <w:rsid w:val="00973CC6"/>
    <w:rsid w:val="00974604"/>
    <w:rsid w:val="00975366"/>
    <w:rsid w:val="009770B2"/>
    <w:rsid w:val="00977F8F"/>
    <w:rsid w:val="00980095"/>
    <w:rsid w:val="009801E3"/>
    <w:rsid w:val="00982DFB"/>
    <w:rsid w:val="00983ADD"/>
    <w:rsid w:val="00984B20"/>
    <w:rsid w:val="0098743C"/>
    <w:rsid w:val="0099157B"/>
    <w:rsid w:val="00991837"/>
    <w:rsid w:val="00992256"/>
    <w:rsid w:val="009928D0"/>
    <w:rsid w:val="009929AC"/>
    <w:rsid w:val="00993BE7"/>
    <w:rsid w:val="00993F24"/>
    <w:rsid w:val="009979F6"/>
    <w:rsid w:val="00997E6B"/>
    <w:rsid w:val="009A05BE"/>
    <w:rsid w:val="009A345F"/>
    <w:rsid w:val="009A4A36"/>
    <w:rsid w:val="009A72CF"/>
    <w:rsid w:val="009B15BA"/>
    <w:rsid w:val="009B3D10"/>
    <w:rsid w:val="009B6446"/>
    <w:rsid w:val="009B7655"/>
    <w:rsid w:val="009C033F"/>
    <w:rsid w:val="009C4956"/>
    <w:rsid w:val="009C5A18"/>
    <w:rsid w:val="009C7309"/>
    <w:rsid w:val="009C7E15"/>
    <w:rsid w:val="009D030F"/>
    <w:rsid w:val="009D3AE8"/>
    <w:rsid w:val="009D3B38"/>
    <w:rsid w:val="009D5584"/>
    <w:rsid w:val="009E1021"/>
    <w:rsid w:val="009E4EF8"/>
    <w:rsid w:val="009E5C05"/>
    <w:rsid w:val="009E709C"/>
    <w:rsid w:val="009E7CC3"/>
    <w:rsid w:val="009F1F5E"/>
    <w:rsid w:val="009F205A"/>
    <w:rsid w:val="009F6524"/>
    <w:rsid w:val="009F7ED6"/>
    <w:rsid w:val="00A016EA"/>
    <w:rsid w:val="00A020BB"/>
    <w:rsid w:val="00A02251"/>
    <w:rsid w:val="00A027C6"/>
    <w:rsid w:val="00A02DB2"/>
    <w:rsid w:val="00A0473C"/>
    <w:rsid w:val="00A05E0B"/>
    <w:rsid w:val="00A0669A"/>
    <w:rsid w:val="00A10B00"/>
    <w:rsid w:val="00A118A3"/>
    <w:rsid w:val="00A11F73"/>
    <w:rsid w:val="00A11FD3"/>
    <w:rsid w:val="00A12DB9"/>
    <w:rsid w:val="00A1337B"/>
    <w:rsid w:val="00A14225"/>
    <w:rsid w:val="00A14613"/>
    <w:rsid w:val="00A16600"/>
    <w:rsid w:val="00A20D86"/>
    <w:rsid w:val="00A25BCB"/>
    <w:rsid w:val="00A268B9"/>
    <w:rsid w:val="00A30FE9"/>
    <w:rsid w:val="00A32427"/>
    <w:rsid w:val="00A332D2"/>
    <w:rsid w:val="00A335BF"/>
    <w:rsid w:val="00A33E31"/>
    <w:rsid w:val="00A34069"/>
    <w:rsid w:val="00A347BB"/>
    <w:rsid w:val="00A357A2"/>
    <w:rsid w:val="00A36847"/>
    <w:rsid w:val="00A37CC4"/>
    <w:rsid w:val="00A41374"/>
    <w:rsid w:val="00A425D3"/>
    <w:rsid w:val="00A43C2A"/>
    <w:rsid w:val="00A44055"/>
    <w:rsid w:val="00A473C5"/>
    <w:rsid w:val="00A479CA"/>
    <w:rsid w:val="00A47BE0"/>
    <w:rsid w:val="00A51A6B"/>
    <w:rsid w:val="00A53C45"/>
    <w:rsid w:val="00A56C0B"/>
    <w:rsid w:val="00A60172"/>
    <w:rsid w:val="00A61D21"/>
    <w:rsid w:val="00A62048"/>
    <w:rsid w:val="00A62457"/>
    <w:rsid w:val="00A70909"/>
    <w:rsid w:val="00A7283B"/>
    <w:rsid w:val="00A72D75"/>
    <w:rsid w:val="00A73F77"/>
    <w:rsid w:val="00A74141"/>
    <w:rsid w:val="00A7596A"/>
    <w:rsid w:val="00A772AB"/>
    <w:rsid w:val="00A777F4"/>
    <w:rsid w:val="00A7792B"/>
    <w:rsid w:val="00A80BF9"/>
    <w:rsid w:val="00A84316"/>
    <w:rsid w:val="00A84C3B"/>
    <w:rsid w:val="00A86164"/>
    <w:rsid w:val="00A86174"/>
    <w:rsid w:val="00A862A3"/>
    <w:rsid w:val="00A87615"/>
    <w:rsid w:val="00A9116F"/>
    <w:rsid w:val="00A93828"/>
    <w:rsid w:val="00A93B41"/>
    <w:rsid w:val="00A94E9C"/>
    <w:rsid w:val="00A9507F"/>
    <w:rsid w:val="00A96EF8"/>
    <w:rsid w:val="00A9708E"/>
    <w:rsid w:val="00A97C7E"/>
    <w:rsid w:val="00AA0029"/>
    <w:rsid w:val="00AA05E1"/>
    <w:rsid w:val="00AA1241"/>
    <w:rsid w:val="00AA6BC1"/>
    <w:rsid w:val="00AB36BC"/>
    <w:rsid w:val="00AB5A26"/>
    <w:rsid w:val="00AC081B"/>
    <w:rsid w:val="00AC0AE7"/>
    <w:rsid w:val="00AC1886"/>
    <w:rsid w:val="00AC19E9"/>
    <w:rsid w:val="00AC1CBC"/>
    <w:rsid w:val="00AC25F2"/>
    <w:rsid w:val="00AC2BBA"/>
    <w:rsid w:val="00AC37C6"/>
    <w:rsid w:val="00AC4A16"/>
    <w:rsid w:val="00AC5FA6"/>
    <w:rsid w:val="00AC6E55"/>
    <w:rsid w:val="00AD27DC"/>
    <w:rsid w:val="00AD2942"/>
    <w:rsid w:val="00AD35E9"/>
    <w:rsid w:val="00AD3BAD"/>
    <w:rsid w:val="00AD4189"/>
    <w:rsid w:val="00AD4751"/>
    <w:rsid w:val="00AD549F"/>
    <w:rsid w:val="00AD5CF8"/>
    <w:rsid w:val="00AD627B"/>
    <w:rsid w:val="00AD6AA4"/>
    <w:rsid w:val="00AE05BD"/>
    <w:rsid w:val="00AE0E86"/>
    <w:rsid w:val="00AE2853"/>
    <w:rsid w:val="00AE41A1"/>
    <w:rsid w:val="00AE4FB8"/>
    <w:rsid w:val="00AE5530"/>
    <w:rsid w:val="00AE691A"/>
    <w:rsid w:val="00AF1BEE"/>
    <w:rsid w:val="00AF1DA3"/>
    <w:rsid w:val="00AF433D"/>
    <w:rsid w:val="00AF4374"/>
    <w:rsid w:val="00AF4D0A"/>
    <w:rsid w:val="00AF5695"/>
    <w:rsid w:val="00B000B1"/>
    <w:rsid w:val="00B04121"/>
    <w:rsid w:val="00B047C0"/>
    <w:rsid w:val="00B0561D"/>
    <w:rsid w:val="00B058A8"/>
    <w:rsid w:val="00B05D3F"/>
    <w:rsid w:val="00B07C26"/>
    <w:rsid w:val="00B07E8C"/>
    <w:rsid w:val="00B11378"/>
    <w:rsid w:val="00B123AB"/>
    <w:rsid w:val="00B12431"/>
    <w:rsid w:val="00B13205"/>
    <w:rsid w:val="00B13BE2"/>
    <w:rsid w:val="00B13FA8"/>
    <w:rsid w:val="00B14818"/>
    <w:rsid w:val="00B1500A"/>
    <w:rsid w:val="00B15040"/>
    <w:rsid w:val="00B16593"/>
    <w:rsid w:val="00B1757D"/>
    <w:rsid w:val="00B202C3"/>
    <w:rsid w:val="00B21975"/>
    <w:rsid w:val="00B23853"/>
    <w:rsid w:val="00B23EFE"/>
    <w:rsid w:val="00B24EBC"/>
    <w:rsid w:val="00B254E1"/>
    <w:rsid w:val="00B279B4"/>
    <w:rsid w:val="00B30178"/>
    <w:rsid w:val="00B30D2D"/>
    <w:rsid w:val="00B31E9E"/>
    <w:rsid w:val="00B3323C"/>
    <w:rsid w:val="00B33C66"/>
    <w:rsid w:val="00B439E0"/>
    <w:rsid w:val="00B43A0E"/>
    <w:rsid w:val="00B44212"/>
    <w:rsid w:val="00B443E1"/>
    <w:rsid w:val="00B4600B"/>
    <w:rsid w:val="00B46FAE"/>
    <w:rsid w:val="00B47EFE"/>
    <w:rsid w:val="00B52629"/>
    <w:rsid w:val="00B53C68"/>
    <w:rsid w:val="00B567C6"/>
    <w:rsid w:val="00B61321"/>
    <w:rsid w:val="00B63A6E"/>
    <w:rsid w:val="00B63B12"/>
    <w:rsid w:val="00B64CD6"/>
    <w:rsid w:val="00B66137"/>
    <w:rsid w:val="00B67CBD"/>
    <w:rsid w:val="00B7194B"/>
    <w:rsid w:val="00B74CBA"/>
    <w:rsid w:val="00B76427"/>
    <w:rsid w:val="00B76C66"/>
    <w:rsid w:val="00B80029"/>
    <w:rsid w:val="00B80875"/>
    <w:rsid w:val="00B81373"/>
    <w:rsid w:val="00B81C31"/>
    <w:rsid w:val="00B81DCB"/>
    <w:rsid w:val="00B8322F"/>
    <w:rsid w:val="00B856EF"/>
    <w:rsid w:val="00B871C9"/>
    <w:rsid w:val="00B87A5E"/>
    <w:rsid w:val="00B93273"/>
    <w:rsid w:val="00B93636"/>
    <w:rsid w:val="00B95A84"/>
    <w:rsid w:val="00B95DAC"/>
    <w:rsid w:val="00B95EBF"/>
    <w:rsid w:val="00B96176"/>
    <w:rsid w:val="00BA0701"/>
    <w:rsid w:val="00BA158F"/>
    <w:rsid w:val="00BA1922"/>
    <w:rsid w:val="00BA3DAC"/>
    <w:rsid w:val="00BA43E6"/>
    <w:rsid w:val="00BA4683"/>
    <w:rsid w:val="00BA692E"/>
    <w:rsid w:val="00BA725E"/>
    <w:rsid w:val="00BA7D5C"/>
    <w:rsid w:val="00BB049D"/>
    <w:rsid w:val="00BB44E6"/>
    <w:rsid w:val="00BB6030"/>
    <w:rsid w:val="00BB7834"/>
    <w:rsid w:val="00BC074D"/>
    <w:rsid w:val="00BC1245"/>
    <w:rsid w:val="00BC1DA1"/>
    <w:rsid w:val="00BC42AD"/>
    <w:rsid w:val="00BC61F6"/>
    <w:rsid w:val="00BC6806"/>
    <w:rsid w:val="00BC7421"/>
    <w:rsid w:val="00BD25DB"/>
    <w:rsid w:val="00BD3620"/>
    <w:rsid w:val="00BD3BDB"/>
    <w:rsid w:val="00BD48BF"/>
    <w:rsid w:val="00BD4A22"/>
    <w:rsid w:val="00BD7ED0"/>
    <w:rsid w:val="00BE07AB"/>
    <w:rsid w:val="00BE10F0"/>
    <w:rsid w:val="00BE1A56"/>
    <w:rsid w:val="00BE267E"/>
    <w:rsid w:val="00BE326E"/>
    <w:rsid w:val="00BE38AF"/>
    <w:rsid w:val="00BE67A1"/>
    <w:rsid w:val="00BF175B"/>
    <w:rsid w:val="00BF2307"/>
    <w:rsid w:val="00BF77F4"/>
    <w:rsid w:val="00C00A56"/>
    <w:rsid w:val="00C010B8"/>
    <w:rsid w:val="00C017DC"/>
    <w:rsid w:val="00C03D0C"/>
    <w:rsid w:val="00C04242"/>
    <w:rsid w:val="00C0530D"/>
    <w:rsid w:val="00C06226"/>
    <w:rsid w:val="00C07B76"/>
    <w:rsid w:val="00C15FFE"/>
    <w:rsid w:val="00C16CDF"/>
    <w:rsid w:val="00C16F93"/>
    <w:rsid w:val="00C17D98"/>
    <w:rsid w:val="00C20579"/>
    <w:rsid w:val="00C2196D"/>
    <w:rsid w:val="00C25E2C"/>
    <w:rsid w:val="00C25E9B"/>
    <w:rsid w:val="00C27B42"/>
    <w:rsid w:val="00C3474D"/>
    <w:rsid w:val="00C4025B"/>
    <w:rsid w:val="00C41080"/>
    <w:rsid w:val="00C41146"/>
    <w:rsid w:val="00C412C4"/>
    <w:rsid w:val="00C44640"/>
    <w:rsid w:val="00C45877"/>
    <w:rsid w:val="00C45A64"/>
    <w:rsid w:val="00C45AC3"/>
    <w:rsid w:val="00C509C9"/>
    <w:rsid w:val="00C5344F"/>
    <w:rsid w:val="00C542E4"/>
    <w:rsid w:val="00C55B6A"/>
    <w:rsid w:val="00C562EC"/>
    <w:rsid w:val="00C609A7"/>
    <w:rsid w:val="00C613DE"/>
    <w:rsid w:val="00C613E4"/>
    <w:rsid w:val="00C63E87"/>
    <w:rsid w:val="00C64026"/>
    <w:rsid w:val="00C651E5"/>
    <w:rsid w:val="00C65821"/>
    <w:rsid w:val="00C6629C"/>
    <w:rsid w:val="00C66816"/>
    <w:rsid w:val="00C67A2E"/>
    <w:rsid w:val="00C67E18"/>
    <w:rsid w:val="00C71A92"/>
    <w:rsid w:val="00C71E9E"/>
    <w:rsid w:val="00C73185"/>
    <w:rsid w:val="00C74704"/>
    <w:rsid w:val="00C75272"/>
    <w:rsid w:val="00C762F3"/>
    <w:rsid w:val="00C8480D"/>
    <w:rsid w:val="00C8584A"/>
    <w:rsid w:val="00C85CD0"/>
    <w:rsid w:val="00C85DEF"/>
    <w:rsid w:val="00C8606B"/>
    <w:rsid w:val="00C877D4"/>
    <w:rsid w:val="00C90AE3"/>
    <w:rsid w:val="00C91B81"/>
    <w:rsid w:val="00C92CA8"/>
    <w:rsid w:val="00C92F97"/>
    <w:rsid w:val="00C946FF"/>
    <w:rsid w:val="00C94EA5"/>
    <w:rsid w:val="00C9530A"/>
    <w:rsid w:val="00C96E5A"/>
    <w:rsid w:val="00C97422"/>
    <w:rsid w:val="00CA2AD4"/>
    <w:rsid w:val="00CA2E23"/>
    <w:rsid w:val="00CA3468"/>
    <w:rsid w:val="00CA3BB2"/>
    <w:rsid w:val="00CA3C70"/>
    <w:rsid w:val="00CA6162"/>
    <w:rsid w:val="00CA65B7"/>
    <w:rsid w:val="00CB0803"/>
    <w:rsid w:val="00CB24CA"/>
    <w:rsid w:val="00CB3330"/>
    <w:rsid w:val="00CB564A"/>
    <w:rsid w:val="00CB60CF"/>
    <w:rsid w:val="00CC045C"/>
    <w:rsid w:val="00CC24AC"/>
    <w:rsid w:val="00CC4669"/>
    <w:rsid w:val="00CC4C18"/>
    <w:rsid w:val="00CC4C53"/>
    <w:rsid w:val="00CC5131"/>
    <w:rsid w:val="00CC5CBE"/>
    <w:rsid w:val="00CC6C86"/>
    <w:rsid w:val="00CC71BF"/>
    <w:rsid w:val="00CC7B16"/>
    <w:rsid w:val="00CD02AB"/>
    <w:rsid w:val="00CD11BC"/>
    <w:rsid w:val="00CD29BD"/>
    <w:rsid w:val="00CD3AAA"/>
    <w:rsid w:val="00CD64C9"/>
    <w:rsid w:val="00CD6ECC"/>
    <w:rsid w:val="00CE01BB"/>
    <w:rsid w:val="00CE08C6"/>
    <w:rsid w:val="00CE24FA"/>
    <w:rsid w:val="00CE2CAB"/>
    <w:rsid w:val="00CE3270"/>
    <w:rsid w:val="00CE758F"/>
    <w:rsid w:val="00CF111D"/>
    <w:rsid w:val="00CF15DC"/>
    <w:rsid w:val="00CF486A"/>
    <w:rsid w:val="00CF650E"/>
    <w:rsid w:val="00CF7CE0"/>
    <w:rsid w:val="00D00714"/>
    <w:rsid w:val="00D013FE"/>
    <w:rsid w:val="00D025CA"/>
    <w:rsid w:val="00D03665"/>
    <w:rsid w:val="00D04723"/>
    <w:rsid w:val="00D054F0"/>
    <w:rsid w:val="00D05A95"/>
    <w:rsid w:val="00D072F9"/>
    <w:rsid w:val="00D10F0C"/>
    <w:rsid w:val="00D12D20"/>
    <w:rsid w:val="00D1349D"/>
    <w:rsid w:val="00D14E17"/>
    <w:rsid w:val="00D1536B"/>
    <w:rsid w:val="00D163E6"/>
    <w:rsid w:val="00D1655D"/>
    <w:rsid w:val="00D17C06"/>
    <w:rsid w:val="00D21BCE"/>
    <w:rsid w:val="00D229BE"/>
    <w:rsid w:val="00D2484F"/>
    <w:rsid w:val="00D25492"/>
    <w:rsid w:val="00D26844"/>
    <w:rsid w:val="00D27D7A"/>
    <w:rsid w:val="00D306EE"/>
    <w:rsid w:val="00D30C39"/>
    <w:rsid w:val="00D31CF0"/>
    <w:rsid w:val="00D33B6A"/>
    <w:rsid w:val="00D3573A"/>
    <w:rsid w:val="00D411FD"/>
    <w:rsid w:val="00D41873"/>
    <w:rsid w:val="00D46561"/>
    <w:rsid w:val="00D46AA6"/>
    <w:rsid w:val="00D474B9"/>
    <w:rsid w:val="00D47650"/>
    <w:rsid w:val="00D47AE3"/>
    <w:rsid w:val="00D47C8F"/>
    <w:rsid w:val="00D50BAC"/>
    <w:rsid w:val="00D511FA"/>
    <w:rsid w:val="00D51CCA"/>
    <w:rsid w:val="00D54856"/>
    <w:rsid w:val="00D549BC"/>
    <w:rsid w:val="00D56980"/>
    <w:rsid w:val="00D570F6"/>
    <w:rsid w:val="00D579DB"/>
    <w:rsid w:val="00D6070A"/>
    <w:rsid w:val="00D62017"/>
    <w:rsid w:val="00D64C1F"/>
    <w:rsid w:val="00D64EF1"/>
    <w:rsid w:val="00D655DC"/>
    <w:rsid w:val="00D65F45"/>
    <w:rsid w:val="00D66B0B"/>
    <w:rsid w:val="00D66D36"/>
    <w:rsid w:val="00D67985"/>
    <w:rsid w:val="00D70825"/>
    <w:rsid w:val="00D72039"/>
    <w:rsid w:val="00D73072"/>
    <w:rsid w:val="00D750D8"/>
    <w:rsid w:val="00D7570C"/>
    <w:rsid w:val="00D76049"/>
    <w:rsid w:val="00D762C6"/>
    <w:rsid w:val="00D76899"/>
    <w:rsid w:val="00D77E2D"/>
    <w:rsid w:val="00D77E63"/>
    <w:rsid w:val="00D8293F"/>
    <w:rsid w:val="00D82D14"/>
    <w:rsid w:val="00D90587"/>
    <w:rsid w:val="00D913AC"/>
    <w:rsid w:val="00D9590D"/>
    <w:rsid w:val="00D97964"/>
    <w:rsid w:val="00DA1CB2"/>
    <w:rsid w:val="00DA203F"/>
    <w:rsid w:val="00DA525A"/>
    <w:rsid w:val="00DB0332"/>
    <w:rsid w:val="00DB0BBF"/>
    <w:rsid w:val="00DB0DA5"/>
    <w:rsid w:val="00DB2127"/>
    <w:rsid w:val="00DB22BA"/>
    <w:rsid w:val="00DB2583"/>
    <w:rsid w:val="00DB3577"/>
    <w:rsid w:val="00DB3986"/>
    <w:rsid w:val="00DB3FD1"/>
    <w:rsid w:val="00DB446A"/>
    <w:rsid w:val="00DB4572"/>
    <w:rsid w:val="00DB7A1B"/>
    <w:rsid w:val="00DC0BDF"/>
    <w:rsid w:val="00DC1090"/>
    <w:rsid w:val="00DC21C1"/>
    <w:rsid w:val="00DC2E38"/>
    <w:rsid w:val="00DC3A9D"/>
    <w:rsid w:val="00DC52FB"/>
    <w:rsid w:val="00DC5359"/>
    <w:rsid w:val="00DC57D3"/>
    <w:rsid w:val="00DC6609"/>
    <w:rsid w:val="00DC716E"/>
    <w:rsid w:val="00DC75DD"/>
    <w:rsid w:val="00DC7B12"/>
    <w:rsid w:val="00DD119D"/>
    <w:rsid w:val="00DD1C30"/>
    <w:rsid w:val="00DD1F85"/>
    <w:rsid w:val="00DD31F3"/>
    <w:rsid w:val="00DD3978"/>
    <w:rsid w:val="00DD5748"/>
    <w:rsid w:val="00DD62ED"/>
    <w:rsid w:val="00DD6526"/>
    <w:rsid w:val="00DD6ABE"/>
    <w:rsid w:val="00DD6EA0"/>
    <w:rsid w:val="00DD7A40"/>
    <w:rsid w:val="00DD7C29"/>
    <w:rsid w:val="00DD7CAB"/>
    <w:rsid w:val="00DE0C5D"/>
    <w:rsid w:val="00DE13FA"/>
    <w:rsid w:val="00DE18B4"/>
    <w:rsid w:val="00DE1E75"/>
    <w:rsid w:val="00DE2C67"/>
    <w:rsid w:val="00DE5BAA"/>
    <w:rsid w:val="00DE70D9"/>
    <w:rsid w:val="00DF0073"/>
    <w:rsid w:val="00DF0F80"/>
    <w:rsid w:val="00DF1F62"/>
    <w:rsid w:val="00DF446C"/>
    <w:rsid w:val="00DF65F9"/>
    <w:rsid w:val="00DF71F0"/>
    <w:rsid w:val="00E0429C"/>
    <w:rsid w:val="00E062BB"/>
    <w:rsid w:val="00E070A1"/>
    <w:rsid w:val="00E0787C"/>
    <w:rsid w:val="00E130CA"/>
    <w:rsid w:val="00E149B8"/>
    <w:rsid w:val="00E14CC7"/>
    <w:rsid w:val="00E1561A"/>
    <w:rsid w:val="00E15AC6"/>
    <w:rsid w:val="00E164CF"/>
    <w:rsid w:val="00E17B87"/>
    <w:rsid w:val="00E21748"/>
    <w:rsid w:val="00E218DB"/>
    <w:rsid w:val="00E2267F"/>
    <w:rsid w:val="00E22DD9"/>
    <w:rsid w:val="00E2525C"/>
    <w:rsid w:val="00E26324"/>
    <w:rsid w:val="00E30975"/>
    <w:rsid w:val="00E31EBA"/>
    <w:rsid w:val="00E31ECF"/>
    <w:rsid w:val="00E33A20"/>
    <w:rsid w:val="00E40757"/>
    <w:rsid w:val="00E419BA"/>
    <w:rsid w:val="00E41AF6"/>
    <w:rsid w:val="00E41B6E"/>
    <w:rsid w:val="00E42843"/>
    <w:rsid w:val="00E434F6"/>
    <w:rsid w:val="00E43DA0"/>
    <w:rsid w:val="00E4631D"/>
    <w:rsid w:val="00E47390"/>
    <w:rsid w:val="00E473CE"/>
    <w:rsid w:val="00E50A71"/>
    <w:rsid w:val="00E510E1"/>
    <w:rsid w:val="00E51112"/>
    <w:rsid w:val="00E523C9"/>
    <w:rsid w:val="00E5342D"/>
    <w:rsid w:val="00E560FD"/>
    <w:rsid w:val="00E57018"/>
    <w:rsid w:val="00E60DA6"/>
    <w:rsid w:val="00E61082"/>
    <w:rsid w:val="00E623DC"/>
    <w:rsid w:val="00E626EB"/>
    <w:rsid w:val="00E62C3E"/>
    <w:rsid w:val="00E6414B"/>
    <w:rsid w:val="00E64A0A"/>
    <w:rsid w:val="00E65F9C"/>
    <w:rsid w:val="00E67CE0"/>
    <w:rsid w:val="00E71FCE"/>
    <w:rsid w:val="00E73DC6"/>
    <w:rsid w:val="00E74DE0"/>
    <w:rsid w:val="00E74F4B"/>
    <w:rsid w:val="00E75E29"/>
    <w:rsid w:val="00E75FB5"/>
    <w:rsid w:val="00E77FC5"/>
    <w:rsid w:val="00E81064"/>
    <w:rsid w:val="00E81B65"/>
    <w:rsid w:val="00E82C9B"/>
    <w:rsid w:val="00E84765"/>
    <w:rsid w:val="00E847D1"/>
    <w:rsid w:val="00E87621"/>
    <w:rsid w:val="00E90ED4"/>
    <w:rsid w:val="00E95ACC"/>
    <w:rsid w:val="00EA03F1"/>
    <w:rsid w:val="00EA16D0"/>
    <w:rsid w:val="00EA1B90"/>
    <w:rsid w:val="00EA6976"/>
    <w:rsid w:val="00EA7250"/>
    <w:rsid w:val="00EB0ABC"/>
    <w:rsid w:val="00EB155B"/>
    <w:rsid w:val="00EB3471"/>
    <w:rsid w:val="00EB34FD"/>
    <w:rsid w:val="00EB3D1F"/>
    <w:rsid w:val="00EC0C12"/>
    <w:rsid w:val="00EC6767"/>
    <w:rsid w:val="00EC70B2"/>
    <w:rsid w:val="00ED294A"/>
    <w:rsid w:val="00ED2A75"/>
    <w:rsid w:val="00ED2D29"/>
    <w:rsid w:val="00EE0456"/>
    <w:rsid w:val="00EE2CC8"/>
    <w:rsid w:val="00EE3F47"/>
    <w:rsid w:val="00EE541D"/>
    <w:rsid w:val="00EE72C0"/>
    <w:rsid w:val="00EF02CB"/>
    <w:rsid w:val="00EF3EE3"/>
    <w:rsid w:val="00EF469C"/>
    <w:rsid w:val="00EF61DD"/>
    <w:rsid w:val="00EF7955"/>
    <w:rsid w:val="00F04364"/>
    <w:rsid w:val="00F04EDB"/>
    <w:rsid w:val="00F05D22"/>
    <w:rsid w:val="00F05D3C"/>
    <w:rsid w:val="00F100B4"/>
    <w:rsid w:val="00F151A6"/>
    <w:rsid w:val="00F157E2"/>
    <w:rsid w:val="00F20D5C"/>
    <w:rsid w:val="00F2296B"/>
    <w:rsid w:val="00F25849"/>
    <w:rsid w:val="00F26580"/>
    <w:rsid w:val="00F310C8"/>
    <w:rsid w:val="00F32495"/>
    <w:rsid w:val="00F329D4"/>
    <w:rsid w:val="00F34975"/>
    <w:rsid w:val="00F35621"/>
    <w:rsid w:val="00F371CB"/>
    <w:rsid w:val="00F4044D"/>
    <w:rsid w:val="00F411A2"/>
    <w:rsid w:val="00F444E4"/>
    <w:rsid w:val="00F45124"/>
    <w:rsid w:val="00F465C0"/>
    <w:rsid w:val="00F5032B"/>
    <w:rsid w:val="00F51149"/>
    <w:rsid w:val="00F51908"/>
    <w:rsid w:val="00F51C2E"/>
    <w:rsid w:val="00F53FC9"/>
    <w:rsid w:val="00F54179"/>
    <w:rsid w:val="00F54F60"/>
    <w:rsid w:val="00F57023"/>
    <w:rsid w:val="00F64B61"/>
    <w:rsid w:val="00F6738D"/>
    <w:rsid w:val="00F714E8"/>
    <w:rsid w:val="00F73635"/>
    <w:rsid w:val="00F7469E"/>
    <w:rsid w:val="00F75D73"/>
    <w:rsid w:val="00F76B10"/>
    <w:rsid w:val="00F772DD"/>
    <w:rsid w:val="00F808BF"/>
    <w:rsid w:val="00F967E2"/>
    <w:rsid w:val="00FA019B"/>
    <w:rsid w:val="00FA01C1"/>
    <w:rsid w:val="00FA02C4"/>
    <w:rsid w:val="00FA2D50"/>
    <w:rsid w:val="00FA69B1"/>
    <w:rsid w:val="00FB19D8"/>
    <w:rsid w:val="00FB4BE7"/>
    <w:rsid w:val="00FB5E32"/>
    <w:rsid w:val="00FC57BC"/>
    <w:rsid w:val="00FC6E7B"/>
    <w:rsid w:val="00FC7427"/>
    <w:rsid w:val="00FC7E10"/>
    <w:rsid w:val="00FD01CA"/>
    <w:rsid w:val="00FD09BA"/>
    <w:rsid w:val="00FD2484"/>
    <w:rsid w:val="00FD4B8F"/>
    <w:rsid w:val="00FD60CF"/>
    <w:rsid w:val="00FD67B1"/>
    <w:rsid w:val="00FE1088"/>
    <w:rsid w:val="00FE192D"/>
    <w:rsid w:val="00FE20BC"/>
    <w:rsid w:val="00FE697E"/>
    <w:rsid w:val="00FE7761"/>
    <w:rsid w:val="00FF387E"/>
    <w:rsid w:val="00FF4656"/>
    <w:rsid w:val="00FF74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header" w:uiPriority="99"/>
    <w:lsdException w:name="footer" w:uiPriority="99"/>
    <w:lsdException w:name="caption" w:qFormat="1"/>
    <w:lsdException w:name="footnote reference" w:uiPriority="99"/>
    <w:lsdException w:name="pag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14D"/>
    <w:pPr>
      <w:spacing w:after="200" w:line="276" w:lineRule="auto"/>
    </w:pPr>
    <w:rPr>
      <w:rFonts w:asciiTheme="minorHAnsi" w:eastAsiaTheme="minorHAnsi" w:hAnsiTheme="minorHAnsi" w:cstheme="minorBidi"/>
      <w:sz w:val="22"/>
      <w:szCs w:val="22"/>
    </w:rPr>
  </w:style>
  <w:style w:type="paragraph" w:styleId="Heading2">
    <w:name w:val="heading 2"/>
    <w:basedOn w:val="Normal"/>
    <w:next w:val="Normal"/>
    <w:link w:val="Heading2Char"/>
    <w:unhideWhenUsed/>
    <w:qFormat/>
    <w:rsid w:val="007A19A3"/>
    <w:pPr>
      <w:keepNext/>
      <w:keepLines/>
      <w:numPr>
        <w:ilvl w:val="1"/>
        <w:numId w:val="37"/>
      </w:numPr>
      <w:tabs>
        <w:tab w:val="num" w:pos="360"/>
      </w:tabs>
      <w:spacing w:before="200" w:after="0" w:line="240" w:lineRule="auto"/>
      <w:ind w:left="0" w:firstLine="0"/>
      <w:outlineLvl w:val="1"/>
    </w:pPr>
    <w:rPr>
      <w:rFonts w:ascii="Cambria" w:eastAsia="MS Gothic"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next w:val="Normal"/>
    <w:link w:val="SectionChar"/>
    <w:qFormat/>
    <w:rsid w:val="008E314D"/>
    <w:pPr>
      <w:keepNext/>
      <w:pageBreakBefore/>
      <w:pBdr>
        <w:bottom w:val="single" w:sz="4" w:space="1" w:color="auto"/>
      </w:pBdr>
    </w:pPr>
    <w:rPr>
      <w:sz w:val="36"/>
    </w:rPr>
  </w:style>
  <w:style w:type="character" w:customStyle="1" w:styleId="SectionChar">
    <w:name w:val="Section Char"/>
    <w:basedOn w:val="DefaultParagraphFont"/>
    <w:link w:val="Section"/>
    <w:rsid w:val="008E314D"/>
    <w:rPr>
      <w:rFonts w:asciiTheme="minorHAnsi" w:eastAsiaTheme="minorHAnsi" w:hAnsiTheme="minorHAnsi" w:cstheme="minorBidi"/>
      <w:sz w:val="36"/>
      <w:szCs w:val="22"/>
    </w:rPr>
  </w:style>
  <w:style w:type="paragraph" w:customStyle="1" w:styleId="Subsection">
    <w:name w:val="Subsection"/>
    <w:basedOn w:val="Normal"/>
    <w:next w:val="Normal"/>
    <w:link w:val="SubsectionChar"/>
    <w:qFormat/>
    <w:rsid w:val="008E314D"/>
    <w:pPr>
      <w:keepNext/>
      <w:spacing w:before="200"/>
    </w:pPr>
    <w:rPr>
      <w:b/>
      <w:sz w:val="28"/>
    </w:rPr>
  </w:style>
  <w:style w:type="character" w:customStyle="1" w:styleId="SubsectionChar">
    <w:name w:val="Subsection Char"/>
    <w:basedOn w:val="DefaultParagraphFont"/>
    <w:link w:val="Subsection"/>
    <w:rsid w:val="008E314D"/>
    <w:rPr>
      <w:rFonts w:asciiTheme="minorHAnsi" w:eastAsiaTheme="minorHAnsi" w:hAnsiTheme="minorHAnsi" w:cstheme="minorBidi"/>
      <w:b/>
      <w:sz w:val="28"/>
      <w:szCs w:val="22"/>
    </w:rPr>
  </w:style>
  <w:style w:type="paragraph" w:customStyle="1" w:styleId="Standard">
    <w:name w:val="Standard"/>
    <w:basedOn w:val="Normal"/>
    <w:link w:val="StandardChar"/>
    <w:qFormat/>
    <w:rsid w:val="008E314D"/>
    <w:pPr>
      <w:widowControl w:val="0"/>
      <w:spacing w:before="240" w:after="0"/>
      <w:contextualSpacing/>
    </w:pPr>
    <w:rPr>
      <w:rFonts w:eastAsia="Cambria" w:cstheme="minorHAnsi"/>
      <w:b/>
      <w:bCs/>
      <w:i/>
      <w:iCs/>
      <w:sz w:val="24"/>
      <w:szCs w:val="24"/>
    </w:rPr>
  </w:style>
  <w:style w:type="character" w:customStyle="1" w:styleId="StandardChar">
    <w:name w:val="Standard Char"/>
    <w:basedOn w:val="DefaultParagraphFont"/>
    <w:link w:val="Standard"/>
    <w:rsid w:val="008E314D"/>
    <w:rPr>
      <w:rFonts w:asciiTheme="minorHAnsi" w:eastAsia="Cambria" w:hAnsiTheme="minorHAnsi" w:cstheme="minorHAnsi"/>
      <w:b/>
      <w:bCs/>
      <w:i/>
      <w:iCs/>
      <w:sz w:val="24"/>
      <w:szCs w:val="24"/>
    </w:rPr>
  </w:style>
  <w:style w:type="paragraph" w:styleId="TOC1">
    <w:name w:val="toc 1"/>
    <w:basedOn w:val="Normal"/>
    <w:next w:val="Normal"/>
    <w:autoRedefine/>
    <w:uiPriority w:val="39"/>
    <w:rsid w:val="008E314D"/>
    <w:pPr>
      <w:tabs>
        <w:tab w:val="right" w:leader="dot" w:pos="9350"/>
      </w:tabs>
    </w:pPr>
    <w:rPr>
      <w:noProof/>
    </w:rPr>
  </w:style>
  <w:style w:type="paragraph" w:customStyle="1" w:styleId="Subsection2">
    <w:name w:val="Subsection2"/>
    <w:basedOn w:val="Normal"/>
    <w:link w:val="Subsection2Char"/>
    <w:qFormat/>
    <w:rsid w:val="008E314D"/>
    <w:rPr>
      <w:b/>
    </w:rPr>
  </w:style>
  <w:style w:type="character" w:customStyle="1" w:styleId="Subsection2Char">
    <w:name w:val="Subsection2 Char"/>
    <w:basedOn w:val="DefaultParagraphFont"/>
    <w:link w:val="Subsection2"/>
    <w:rsid w:val="008E314D"/>
    <w:rPr>
      <w:rFonts w:asciiTheme="minorHAnsi" w:eastAsiaTheme="minorHAnsi" w:hAnsiTheme="minorHAnsi" w:cstheme="minorBidi"/>
      <w:b/>
      <w:sz w:val="22"/>
      <w:szCs w:val="22"/>
    </w:rPr>
  </w:style>
  <w:style w:type="character" w:customStyle="1" w:styleId="FooterChar">
    <w:name w:val="Footer Char"/>
    <w:basedOn w:val="DefaultParagraphFont"/>
    <w:link w:val="Footer"/>
    <w:uiPriority w:val="99"/>
    <w:rsid w:val="008E314D"/>
    <w:rPr>
      <w:kern w:val="28"/>
      <w:sz w:val="24"/>
      <w:szCs w:val="24"/>
    </w:rPr>
  </w:style>
  <w:style w:type="paragraph" w:styleId="Footer">
    <w:name w:val="footer"/>
    <w:basedOn w:val="Normal"/>
    <w:link w:val="FooterChar"/>
    <w:uiPriority w:val="99"/>
    <w:unhideWhenUsed/>
    <w:rsid w:val="008E314D"/>
    <w:pPr>
      <w:widowControl w:val="0"/>
      <w:tabs>
        <w:tab w:val="center" w:pos="4680"/>
        <w:tab w:val="right" w:pos="9360"/>
      </w:tabs>
      <w:overflowPunct w:val="0"/>
      <w:adjustRightInd w:val="0"/>
      <w:spacing w:after="0" w:line="240" w:lineRule="auto"/>
    </w:pPr>
    <w:rPr>
      <w:rFonts w:ascii="Times New Roman" w:eastAsia="Times New Roman" w:hAnsi="Times New Roman" w:cs="Times New Roman"/>
      <w:kern w:val="28"/>
      <w:sz w:val="24"/>
      <w:szCs w:val="24"/>
    </w:rPr>
  </w:style>
  <w:style w:type="character" w:customStyle="1" w:styleId="FooterChar1">
    <w:name w:val="Footer Char1"/>
    <w:basedOn w:val="DefaultParagraphFont"/>
    <w:rsid w:val="008E314D"/>
    <w:rPr>
      <w:rFonts w:asciiTheme="minorHAnsi" w:eastAsiaTheme="minorHAnsi" w:hAnsiTheme="minorHAnsi" w:cstheme="minorBidi"/>
      <w:sz w:val="22"/>
      <w:szCs w:val="22"/>
    </w:rPr>
  </w:style>
  <w:style w:type="character" w:styleId="Hyperlink">
    <w:name w:val="Hyperlink"/>
    <w:basedOn w:val="DefaultParagraphFont"/>
    <w:uiPriority w:val="99"/>
    <w:unhideWhenUsed/>
    <w:rsid w:val="008E314D"/>
    <w:rPr>
      <w:color w:val="0000FF" w:themeColor="hyperlink"/>
      <w:u w:val="single"/>
    </w:rPr>
  </w:style>
  <w:style w:type="paragraph" w:styleId="BalloonText">
    <w:name w:val="Balloon Text"/>
    <w:basedOn w:val="Normal"/>
    <w:link w:val="BalloonTextChar"/>
    <w:uiPriority w:val="99"/>
    <w:rsid w:val="008E31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E314D"/>
    <w:rPr>
      <w:rFonts w:ascii="Tahoma" w:eastAsiaTheme="minorHAnsi" w:hAnsi="Tahoma" w:cs="Tahoma"/>
      <w:sz w:val="16"/>
      <w:szCs w:val="16"/>
    </w:rPr>
  </w:style>
  <w:style w:type="numbering" w:customStyle="1" w:styleId="NoList1">
    <w:name w:val="No List1"/>
    <w:next w:val="NoList"/>
    <w:uiPriority w:val="99"/>
    <w:semiHidden/>
    <w:unhideWhenUsed/>
    <w:rsid w:val="002F1EBE"/>
  </w:style>
  <w:style w:type="table" w:styleId="TableGrid">
    <w:name w:val="Table Grid"/>
    <w:basedOn w:val="TableNormal"/>
    <w:rsid w:val="002F1E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Title"/>
    <w:basedOn w:val="Normal"/>
    <w:link w:val="TableTitleChar"/>
    <w:qFormat/>
    <w:rsid w:val="002F1EBE"/>
    <w:pPr>
      <w:spacing w:after="0"/>
      <w:jc w:val="center"/>
    </w:pPr>
    <w:rPr>
      <w:b/>
      <w:sz w:val="20"/>
    </w:rPr>
  </w:style>
  <w:style w:type="character" w:customStyle="1" w:styleId="TableTitleChar">
    <w:name w:val="TableTitle Char"/>
    <w:basedOn w:val="DefaultParagraphFont"/>
    <w:link w:val="TableTitle"/>
    <w:rsid w:val="002F1EBE"/>
    <w:rPr>
      <w:rFonts w:asciiTheme="minorHAnsi" w:eastAsiaTheme="minorHAnsi" w:hAnsiTheme="minorHAnsi" w:cstheme="minorBidi"/>
      <w:b/>
      <w:szCs w:val="22"/>
    </w:rPr>
  </w:style>
  <w:style w:type="table" w:customStyle="1" w:styleId="TableGrid1">
    <w:name w:val="Table Grid1"/>
    <w:basedOn w:val="TableNormal"/>
    <w:next w:val="TableGrid"/>
    <w:rsid w:val="002F1EB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2F1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EBE"/>
    <w:rPr>
      <w:rFonts w:asciiTheme="minorHAnsi" w:eastAsiaTheme="minorHAnsi" w:hAnsiTheme="minorHAnsi" w:cstheme="minorBidi"/>
      <w:sz w:val="22"/>
      <w:szCs w:val="22"/>
    </w:rPr>
  </w:style>
  <w:style w:type="paragraph" w:styleId="ListParagraph">
    <w:name w:val="List Paragraph"/>
    <w:basedOn w:val="Normal"/>
    <w:link w:val="ListParagraphChar"/>
    <w:uiPriority w:val="34"/>
    <w:qFormat/>
    <w:rsid w:val="00350132"/>
    <w:pPr>
      <w:ind w:left="720"/>
      <w:contextualSpacing/>
    </w:pPr>
  </w:style>
  <w:style w:type="character" w:styleId="CommentReference">
    <w:name w:val="annotation reference"/>
    <w:basedOn w:val="DefaultParagraphFont"/>
    <w:unhideWhenUsed/>
    <w:rsid w:val="007C01ED"/>
    <w:rPr>
      <w:sz w:val="16"/>
      <w:szCs w:val="16"/>
    </w:rPr>
  </w:style>
  <w:style w:type="paragraph" w:styleId="CommentText">
    <w:name w:val="annotation text"/>
    <w:basedOn w:val="Normal"/>
    <w:link w:val="CommentTextChar"/>
    <w:unhideWhenUsed/>
    <w:rsid w:val="007C01ED"/>
    <w:pPr>
      <w:spacing w:line="240" w:lineRule="auto"/>
    </w:pPr>
    <w:rPr>
      <w:sz w:val="20"/>
      <w:szCs w:val="20"/>
    </w:rPr>
  </w:style>
  <w:style w:type="character" w:customStyle="1" w:styleId="CommentTextChar">
    <w:name w:val="Comment Text Char"/>
    <w:basedOn w:val="DefaultParagraphFont"/>
    <w:link w:val="CommentText"/>
    <w:rsid w:val="007C01ED"/>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unhideWhenUsed/>
    <w:rsid w:val="007C01ED"/>
    <w:rPr>
      <w:b/>
      <w:bCs/>
    </w:rPr>
  </w:style>
  <w:style w:type="character" w:customStyle="1" w:styleId="CommentSubjectChar">
    <w:name w:val="Comment Subject Char"/>
    <w:basedOn w:val="CommentTextChar"/>
    <w:link w:val="CommentSubject"/>
    <w:uiPriority w:val="99"/>
    <w:rsid w:val="007C01ED"/>
    <w:rPr>
      <w:rFonts w:asciiTheme="minorHAnsi" w:eastAsiaTheme="minorHAnsi" w:hAnsiTheme="minorHAnsi" w:cstheme="minorBidi"/>
      <w:b/>
      <w:bCs/>
    </w:rPr>
  </w:style>
  <w:style w:type="table" w:customStyle="1" w:styleId="TableGrid2">
    <w:name w:val="Table Grid2"/>
    <w:basedOn w:val="TableNormal"/>
    <w:next w:val="TableGrid"/>
    <w:uiPriority w:val="59"/>
    <w:rsid w:val="003F0BC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3F0BC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D21BC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B43A0E"/>
    <w:pPr>
      <w:spacing w:after="0" w:line="240" w:lineRule="auto"/>
    </w:pPr>
    <w:rPr>
      <w:sz w:val="24"/>
      <w:szCs w:val="24"/>
    </w:rPr>
  </w:style>
  <w:style w:type="character" w:customStyle="1" w:styleId="FootnoteTextChar">
    <w:name w:val="Footnote Text Char"/>
    <w:basedOn w:val="DefaultParagraphFont"/>
    <w:link w:val="FootnoteText"/>
    <w:uiPriority w:val="99"/>
    <w:rsid w:val="00B43A0E"/>
    <w:rPr>
      <w:rFonts w:asciiTheme="minorHAnsi" w:eastAsiaTheme="minorHAnsi" w:hAnsiTheme="minorHAnsi" w:cstheme="minorBidi"/>
      <w:sz w:val="24"/>
      <w:szCs w:val="24"/>
    </w:rPr>
  </w:style>
  <w:style w:type="character" w:styleId="FootnoteReference">
    <w:name w:val="footnote reference"/>
    <w:basedOn w:val="DefaultParagraphFont"/>
    <w:uiPriority w:val="99"/>
    <w:unhideWhenUsed/>
    <w:rsid w:val="00B43A0E"/>
    <w:rPr>
      <w:vertAlign w:val="superscript"/>
    </w:rPr>
  </w:style>
  <w:style w:type="paragraph" w:styleId="NormalWeb">
    <w:name w:val="Normal (Web)"/>
    <w:basedOn w:val="Normal"/>
    <w:uiPriority w:val="99"/>
    <w:unhideWhenUsed/>
    <w:rsid w:val="006458FE"/>
    <w:pPr>
      <w:spacing w:before="100" w:beforeAutospacing="1" w:after="100" w:afterAutospacing="1" w:line="240" w:lineRule="auto"/>
    </w:pPr>
    <w:rPr>
      <w:rFonts w:ascii="Times" w:eastAsiaTheme="minorEastAsia" w:hAnsi="Times" w:cs="Times New Roman"/>
      <w:sz w:val="20"/>
      <w:szCs w:val="20"/>
    </w:rPr>
  </w:style>
  <w:style w:type="character" w:customStyle="1" w:styleId="ListParagraphChar">
    <w:name w:val="List Paragraph Char"/>
    <w:link w:val="ListParagraph"/>
    <w:uiPriority w:val="34"/>
    <w:locked/>
    <w:rsid w:val="00F04EDB"/>
    <w:rPr>
      <w:rFonts w:asciiTheme="minorHAnsi" w:eastAsiaTheme="minorHAnsi" w:hAnsiTheme="minorHAnsi" w:cstheme="minorBidi"/>
      <w:sz w:val="22"/>
      <w:szCs w:val="22"/>
    </w:rPr>
  </w:style>
  <w:style w:type="character" w:styleId="Emphasis">
    <w:name w:val="Emphasis"/>
    <w:basedOn w:val="DefaultParagraphFont"/>
    <w:rsid w:val="00580DB8"/>
    <w:rPr>
      <w:i/>
      <w:iCs/>
    </w:rPr>
  </w:style>
  <w:style w:type="paragraph" w:styleId="BodyTextIndent">
    <w:name w:val="Body Text Indent"/>
    <w:basedOn w:val="Normal"/>
    <w:link w:val="BodyTextIndentChar"/>
    <w:rsid w:val="00580DB8"/>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80DB8"/>
    <w:rPr>
      <w:sz w:val="24"/>
      <w:szCs w:val="24"/>
    </w:rPr>
  </w:style>
  <w:style w:type="paragraph" w:styleId="Revision">
    <w:name w:val="Revision"/>
    <w:hidden/>
    <w:uiPriority w:val="99"/>
    <w:semiHidden/>
    <w:rsid w:val="00580DB8"/>
    <w:rPr>
      <w:sz w:val="24"/>
      <w:szCs w:val="24"/>
    </w:rPr>
  </w:style>
  <w:style w:type="character" w:styleId="Strong">
    <w:name w:val="Strong"/>
    <w:basedOn w:val="DefaultParagraphFont"/>
    <w:uiPriority w:val="22"/>
    <w:qFormat/>
    <w:rsid w:val="00580DB8"/>
    <w:rPr>
      <w:b/>
      <w:bCs/>
    </w:rPr>
  </w:style>
  <w:style w:type="character" w:styleId="FollowedHyperlink">
    <w:name w:val="FollowedHyperlink"/>
    <w:basedOn w:val="DefaultParagraphFont"/>
    <w:rsid w:val="00580DB8"/>
    <w:rPr>
      <w:color w:val="800080" w:themeColor="followedHyperlink"/>
      <w:u w:val="single"/>
    </w:rPr>
  </w:style>
  <w:style w:type="character" w:customStyle="1" w:styleId="Heading2Char">
    <w:name w:val="Heading 2 Char"/>
    <w:basedOn w:val="DefaultParagraphFont"/>
    <w:link w:val="Heading2"/>
    <w:rsid w:val="007A19A3"/>
    <w:rPr>
      <w:rFonts w:ascii="Cambria" w:eastAsia="MS Gothic" w:hAnsi="Cambria"/>
      <w:b/>
      <w:bCs/>
      <w:color w:val="4F81BD"/>
      <w:sz w:val="26"/>
      <w:szCs w:val="26"/>
    </w:rPr>
  </w:style>
  <w:style w:type="character" w:customStyle="1" w:styleId="apple-converted-space">
    <w:name w:val="apple-converted-space"/>
    <w:rsid w:val="007A19A3"/>
  </w:style>
  <w:style w:type="paragraph" w:customStyle="1" w:styleId="Normal1">
    <w:name w:val="Normal1"/>
    <w:rsid w:val="00826BDC"/>
    <w:pPr>
      <w:spacing w:line="276" w:lineRule="auto"/>
    </w:pPr>
    <w:rPr>
      <w:rFonts w:ascii="Arial" w:eastAsia="Arial" w:hAnsi="Arial" w:cs="Arial"/>
      <w:color w:val="000000"/>
      <w:sz w:val="22"/>
      <w:szCs w:val="22"/>
    </w:rPr>
  </w:style>
  <w:style w:type="character" w:styleId="PageNumber">
    <w:name w:val="page number"/>
    <w:basedOn w:val="DefaultParagraphFont"/>
    <w:uiPriority w:val="99"/>
    <w:semiHidden/>
    <w:unhideWhenUsed/>
    <w:rsid w:val="008502EB"/>
  </w:style>
  <w:style w:type="table" w:customStyle="1" w:styleId="TableGrid5">
    <w:name w:val="Table Grid5"/>
    <w:basedOn w:val="TableNormal"/>
    <w:next w:val="TableGrid"/>
    <w:uiPriority w:val="59"/>
    <w:rsid w:val="008502E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502E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8502E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8502E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8502E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8502E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8502E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8502E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8502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8502E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8502E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8502E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8502E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8502E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8502E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8502E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8502E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8502E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rsid w:val="008502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rsid w:val="008502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8502E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8502E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59"/>
    <w:rsid w:val="008502E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rsid w:val="008502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rsid w:val="008502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502EB"/>
    <w:pPr>
      <w:autoSpaceDE w:val="0"/>
      <w:autoSpaceDN w:val="0"/>
      <w:adjustRightInd w:val="0"/>
    </w:pPr>
    <w:rPr>
      <w:color w:val="000000"/>
      <w:sz w:val="24"/>
      <w:szCs w:val="24"/>
    </w:rPr>
  </w:style>
  <w:style w:type="paragraph" w:styleId="EndnoteText">
    <w:name w:val="endnote text"/>
    <w:basedOn w:val="Normal"/>
    <w:link w:val="EndnoteTextChar"/>
    <w:uiPriority w:val="99"/>
    <w:semiHidden/>
    <w:unhideWhenUsed/>
    <w:rsid w:val="008502E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502EB"/>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8502EB"/>
    <w:rPr>
      <w:vertAlign w:val="superscript"/>
    </w:rPr>
  </w:style>
</w:styles>
</file>

<file path=word/webSettings.xml><?xml version="1.0" encoding="utf-8"?>
<w:webSettings xmlns:r="http://schemas.openxmlformats.org/officeDocument/2006/relationships" xmlns:w="http://schemas.openxmlformats.org/wordprocessingml/2006/main">
  <w:divs>
    <w:div w:id="195969642">
      <w:bodyDiv w:val="1"/>
      <w:marLeft w:val="0"/>
      <w:marRight w:val="0"/>
      <w:marTop w:val="0"/>
      <w:marBottom w:val="0"/>
      <w:divBdr>
        <w:top w:val="none" w:sz="0" w:space="0" w:color="auto"/>
        <w:left w:val="none" w:sz="0" w:space="0" w:color="auto"/>
        <w:bottom w:val="none" w:sz="0" w:space="0" w:color="auto"/>
        <w:right w:val="none" w:sz="0" w:space="0" w:color="auto"/>
      </w:divBdr>
    </w:div>
    <w:div w:id="480804827">
      <w:bodyDiv w:val="1"/>
      <w:marLeft w:val="0"/>
      <w:marRight w:val="0"/>
      <w:marTop w:val="0"/>
      <w:marBottom w:val="0"/>
      <w:divBdr>
        <w:top w:val="none" w:sz="0" w:space="0" w:color="auto"/>
        <w:left w:val="none" w:sz="0" w:space="0" w:color="auto"/>
        <w:bottom w:val="none" w:sz="0" w:space="0" w:color="auto"/>
        <w:right w:val="none" w:sz="0" w:space="0" w:color="auto"/>
      </w:divBdr>
    </w:div>
    <w:div w:id="909577874">
      <w:bodyDiv w:val="1"/>
      <w:marLeft w:val="0"/>
      <w:marRight w:val="0"/>
      <w:marTop w:val="0"/>
      <w:marBottom w:val="0"/>
      <w:divBdr>
        <w:top w:val="none" w:sz="0" w:space="0" w:color="auto"/>
        <w:left w:val="none" w:sz="0" w:space="0" w:color="auto"/>
        <w:bottom w:val="none" w:sz="0" w:space="0" w:color="auto"/>
        <w:right w:val="none" w:sz="0" w:space="0" w:color="auto"/>
      </w:divBdr>
    </w:div>
    <w:div w:id="982389410">
      <w:bodyDiv w:val="1"/>
      <w:marLeft w:val="0"/>
      <w:marRight w:val="0"/>
      <w:marTop w:val="0"/>
      <w:marBottom w:val="0"/>
      <w:divBdr>
        <w:top w:val="none" w:sz="0" w:space="0" w:color="auto"/>
        <w:left w:val="none" w:sz="0" w:space="0" w:color="auto"/>
        <w:bottom w:val="none" w:sz="0" w:space="0" w:color="auto"/>
        <w:right w:val="none" w:sz="0" w:space="0" w:color="auto"/>
      </w:divBdr>
    </w:div>
    <w:div w:id="1183324311">
      <w:bodyDiv w:val="1"/>
      <w:marLeft w:val="0"/>
      <w:marRight w:val="0"/>
      <w:marTop w:val="0"/>
      <w:marBottom w:val="0"/>
      <w:divBdr>
        <w:top w:val="none" w:sz="0" w:space="0" w:color="auto"/>
        <w:left w:val="none" w:sz="0" w:space="0" w:color="auto"/>
        <w:bottom w:val="none" w:sz="0" w:space="0" w:color="auto"/>
        <w:right w:val="none" w:sz="0" w:space="0" w:color="auto"/>
      </w:divBdr>
    </w:div>
    <w:div w:id="1350178778">
      <w:bodyDiv w:val="1"/>
      <w:marLeft w:val="0"/>
      <w:marRight w:val="0"/>
      <w:marTop w:val="0"/>
      <w:marBottom w:val="0"/>
      <w:divBdr>
        <w:top w:val="none" w:sz="0" w:space="0" w:color="auto"/>
        <w:left w:val="none" w:sz="0" w:space="0" w:color="auto"/>
        <w:bottom w:val="none" w:sz="0" w:space="0" w:color="auto"/>
        <w:right w:val="none" w:sz="0" w:space="0" w:color="auto"/>
      </w:divBdr>
    </w:div>
    <w:div w:id="1409419833">
      <w:bodyDiv w:val="1"/>
      <w:marLeft w:val="0"/>
      <w:marRight w:val="0"/>
      <w:marTop w:val="0"/>
      <w:marBottom w:val="0"/>
      <w:divBdr>
        <w:top w:val="none" w:sz="0" w:space="0" w:color="auto"/>
        <w:left w:val="none" w:sz="0" w:space="0" w:color="auto"/>
        <w:bottom w:val="none" w:sz="0" w:space="0" w:color="auto"/>
        <w:right w:val="none" w:sz="0" w:space="0" w:color="auto"/>
      </w:divBdr>
    </w:div>
    <w:div w:id="188948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hyperlink" TargetMode="External" Target="http://www.doe.mass.edu"/>
  <Relationship Id="rId12" Type="http://schemas.openxmlformats.org/officeDocument/2006/relationships/image" Target="media/image1.png"/>
  <Relationship Id="rId13" Type="http://schemas.openxmlformats.org/officeDocument/2006/relationships/hyperlink" TargetMode="External" Target="http://www.doe.mass.edu"/>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image" Target="media/image3.png"/>
  <Relationship Id="rId17" Type="http://schemas.openxmlformats.org/officeDocument/2006/relationships/hyperlink" TargetMode="External" Target="http://www.doe.mass.edu/apa/dart/default.html"/>
  <Relationship Id="rId18" Type="http://schemas.openxmlformats.org/officeDocument/2006/relationships/hyperlink" TargetMode="External" Target="http://www.masc.org/field-services/district-governance-project"/>
  <Relationship Id="rId19" Type="http://schemas.openxmlformats.org/officeDocument/2006/relationships/hyperlink" TargetMode="External" Target="http://www.timeandlearning.org/publications/time-deeper-learning"/>
  <Relationship Id="rId2" Type="http://schemas.openxmlformats.org/officeDocument/2006/relationships/customXml" Target="../customXml/item2.xml"/>
  <Relationship Id="rId20" Type="http://schemas.openxmlformats.org/officeDocument/2006/relationships/hyperlink" TargetMode="External" Target="http://www.timeandlearning.org/school-resources/time-teachers"/>
  <Relationship Id="rId21" Type="http://schemas.openxmlformats.org/officeDocument/2006/relationships/hyperlink" TargetMode="External" Target="http://www.doe.mass.edu/candi/model/MCUtemplate.pdf"/>
  <Relationship Id="rId22" Type="http://schemas.openxmlformats.org/officeDocument/2006/relationships/hyperlink" TargetMode="External" Target="http://www.doe.mass.edu/candi/model/rubrics/"/>
  <Relationship Id="rId23" Type="http://schemas.openxmlformats.org/officeDocument/2006/relationships/hyperlink" TargetMode="External" Target="http://www.doe.mass.edu/boe/docs/FY2017/2017-03/item3-ELA-Revisions.docx"/>
  <Relationship Id="rId24" Type="http://schemas.openxmlformats.org/officeDocument/2006/relationships/hyperlink" TargetMode="External" Target="http://www.doe.mass.edu/boe/docs/FY2017/2017-03/item3-Math-Revisions.docx"/>
  <Relationship Id="rId25" Type="http://schemas.openxmlformats.org/officeDocument/2006/relationships/hyperlink" TargetMode="External" Target="http://www.doe.mass.edu/STEM/Standards-BasedClassroom.pdf"/>
  <Relationship Id="rId26" Type="http://schemas.openxmlformats.org/officeDocument/2006/relationships/hyperlink" TargetMode="External" Target="http://www.doe.mass.edu/STEM/news07/mathclass_char.pdf"/>
  <Relationship Id="rId27" Type="http://schemas.openxmlformats.org/officeDocument/2006/relationships/hyperlink" TargetMode="External" Target="http://www.doe.mass.edu/edeval/resources/calibration/"/>
  <Relationship Id="rId28" Type="http://schemas.openxmlformats.org/officeDocument/2006/relationships/hyperlink" TargetMode="External" Target="http://www.doe.mass.edu/edeval/resources/calibration/tool/"/>
  <Relationship Id="rId29" Type="http://schemas.openxmlformats.org/officeDocument/2006/relationships/hyperlink" TargetMode="External" Target="http://www.doe.mass.edu/edeval/ddm/webinar/PartI-GapAnalysis.pdf"/>
  <Relationship Id="rId3" Type="http://schemas.openxmlformats.org/officeDocument/2006/relationships/customXml" Target="../customXml/item3.xml"/>
  <Relationship Id="rId30" Type="http://schemas.openxmlformats.org/officeDocument/2006/relationships/hyperlink" TargetMode="External" Target="http://www.mass.gov/edu/government/departments-and-boards/ese/programs/accountability/tools-and-resources/district-analysis-review-and-assistance/leadership-and-governance.html"/>
  <Relationship Id="rId31" Type="http://schemas.openxmlformats.org/officeDocument/2006/relationships/hyperlink" TargetMode="External" Target="http://www.doe.mass.edu/edeval/resources/implementation/TeachersSurvey.pdf"/>
  <Relationship Id="rId32" Type="http://schemas.openxmlformats.org/officeDocument/2006/relationships/hyperlink" TargetMode="External" Target="http://www.doe.mass.edu/edeval/resources/implementation/AdministratorsSurvey.pdf"/>
  <Relationship Id="rId33" Type="http://schemas.openxmlformats.org/officeDocument/2006/relationships/hyperlink" TargetMode="External" Target="http://www.doe.mass.edu/candi/observation/"/>
  <Relationship Id="rId34" Type="http://schemas.openxmlformats.org/officeDocument/2006/relationships/hyperlink" TargetMode="External" Target="http://www.doe.mass.edu/edeval/resources/calibration/tool/"/>
  <Relationship Id="rId35" Type="http://schemas.openxmlformats.org/officeDocument/2006/relationships/hyperlink" TargetMode="External" Target="http://www.mass.gov/edu/docs/ese/accountability/dsac/professional-development-self-assessment-guide.pdf"/>
  <Relationship Id="rId36" Type="http://schemas.openxmlformats.org/officeDocument/2006/relationships/hyperlink" TargetMode="External" Target="http://www.doe.mass.edu/pd/standards.pdf"/>
  <Relationship Id="rId37" Type="http://schemas.openxmlformats.org/officeDocument/2006/relationships/hyperlink" TargetMode="External" Target="https://youtube/zhuFio08GbQ"/>
  <Relationship Id="rId38" Type="http://schemas.openxmlformats.org/officeDocument/2006/relationships/hyperlink" TargetMode="External" Target="http://www.mass.gov/ese/mtss"/>
  <Relationship Id="rId39" Type="http://schemas.openxmlformats.org/officeDocument/2006/relationships/hyperlink" TargetMode="External" Target="http://www.doe.mass.edu/finance/sbuilding/"/>
  <Relationship Id="rId4" Type="http://schemas.openxmlformats.org/officeDocument/2006/relationships/customXml" Target="../customXml/item4.xml"/>
  <Relationship Id="rId40" Type="http://schemas.openxmlformats.org/officeDocument/2006/relationships/hyperlink" TargetMode="External" Target="http://nces.ed.gov/pubsearch/pubsinfo.asp?pubid=2003347"/>
  <Relationship Id="rId41" Type="http://schemas.openxmlformats.org/officeDocument/2006/relationships/hyperlink" TargetMode="External" Target="http://www.mass.gov/eohhs/gov/departments/dph/programs/environmental-health/exposure-topics/iaq/iaq-methods/the-mass-school-checklist.html"/>
  <Relationship Id="rId42" Type="http://schemas.openxmlformats.org/officeDocument/2006/relationships/hyperlink" TargetMode="External" Target="http://www.doe.mass.edu/finance/sbuilding/GreenRibbon/ResourcesGuide.pdf"/>
  <Relationship Id="rId43" Type="http://schemas.openxmlformats.org/officeDocument/2006/relationships/hyperlink" TargetMode="External" Target="http://www2.ed.gov/about/inits/ed/green-strides/resources.html"/>
  <Relationship Id="rId44" Type="http://schemas.openxmlformats.org/officeDocument/2006/relationships/hyperlink" TargetMode="External" Target="https://www.massenergyinsight.net/home"/>
  <Relationship Id="rId45" Type="http://schemas.openxmlformats.org/officeDocument/2006/relationships/footer" Target="footer1.xml"/>
  <Relationship Id="rId46" Type="http://schemas.openxmlformats.org/officeDocument/2006/relationships/hyperlink" TargetMode="External" Target="http://www.doe.mass.edu/finance/statistics/ppx.html"/>
  <Relationship Id="rId47" Type="http://schemas.openxmlformats.org/officeDocument/2006/relationships/footer" Target="footer2.xml"/>
  <Relationship Id="rId48" Type="http://schemas.openxmlformats.org/officeDocument/2006/relationships/footer" Target="footer3.xml"/>
  <Relationship Id="rId49" Type="http://schemas.openxmlformats.org/officeDocument/2006/relationships/image" Target="media/image4.emf"/>
  <Relationship Id="rId5" Type="http://schemas.openxmlformats.org/officeDocument/2006/relationships/numbering" Target="numbering.xml"/>
  <Relationship Id="rId50" Type="http://schemas.openxmlformats.org/officeDocument/2006/relationships/package" Target="embeddings/Microsoft_Office_Word_Document1.docx"/>
  <Relationship Id="rId51" Type="http://schemas.openxmlformats.org/officeDocument/2006/relationships/fontTable" Target="fontTable.xml"/>
  <Relationship Id="rId52" Type="http://schemas.openxmlformats.org/officeDocument/2006/relationships/theme" Target="theme/theme1.xml"/>
  <Relationship Id="rId54" Type="http://schemas.microsoft.com/office/2011/relationships/commentsExtended" Target="commentsExtended.xml"/>
  <Relationship Id="rId55" Type="http://schemas.microsoft.com/office/2011/relationships/people" Target="people.xml"/>
  <Relationship Id="rId56" Type="http://schemas.openxmlformats.org/officeDocument/2006/relationships/customXml" Target="../customXml/item5.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doe.mass.edu/boe/docs/FY2017/2017-03/item3.html"/>
  <Relationship Id="rId2" Type="http://schemas.openxmlformats.org/officeDocument/2006/relationships/hyperlink" TargetMode="External" Target="http://www.doe.mass.edu/lawsregs/603cmr35.html?section=03"/>
  <Relationship Id="rId3" Type="http://schemas.openxmlformats.org/officeDocument/2006/relationships/hyperlink" TargetMode="External" Target="http://www.doe.mass.edu/lawsregs/603cmr35.html?section=04"/>
  <Relationship Id="rId4" Type="http://schemas.openxmlformats.org/officeDocument/2006/relationships/hyperlink" TargetMode="External" Target="http://www.doe.mass.edu/boe/docs/FY2017/2017-02/item6.html"/>
</Relationships>

</file>

<file path=word/_rels/header2.xml.rels><?xml version="1.0" encoding="UTF-8"?>

<Relationships xmlns="http://schemas.openxmlformats.org/package/2006/relationships">
  <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DropOffZoneRoutingForm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DESE-231-33789</_dlc_DocId>
    <_dlc_DocIdUrl xmlns="733efe1c-5bbe-4968-87dc-d400e65c879f">
      <Url>https://sharepoint.doemass.org/ese/webteam/cps/_layouts/DocIdRedir.aspx?ID=DESE-231-33789</Url>
      <Description>DESE-231-33789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DECEF1-47D9-4C2B-9B4E-3A0BFF769440}"/>
</file>

<file path=customXml/itemProps2.xml><?xml version="1.0" encoding="utf-8"?>
<ds:datastoreItem xmlns:ds="http://schemas.openxmlformats.org/officeDocument/2006/customXml" ds:itemID="{DECED4A4-E323-47AA-BEF3-9A1B78144C4A}"/>
</file>

<file path=customXml/itemProps3.xml><?xml version="1.0" encoding="utf-8"?>
<ds:datastoreItem xmlns:ds="http://schemas.openxmlformats.org/officeDocument/2006/customXml" ds:itemID="{176DFC85-3D5E-4B34-B557-A3E471DB75DD}"/>
</file>

<file path=customXml/itemProps4.xml><?xml version="1.0" encoding="utf-8"?>
<ds:datastoreItem xmlns:ds="http://schemas.openxmlformats.org/officeDocument/2006/customXml" ds:itemID="{642BBA46-623E-4740-AAB6-01824C52AFD7}"/>
</file>

<file path=customXml/itemProps5.xml><?xml version="1.0" encoding="utf-8"?>
<ds:datastoreItem xmlns:ds="http://schemas.openxmlformats.org/officeDocument/2006/customXml" ds:itemID="{8D54E7BF-457E-4E88-A83D-C9FE0F6653C1}"/>
</file>

<file path=docProps/app.xml><?xml version="1.0" encoding="utf-8"?>
<Properties xmlns="http://schemas.openxmlformats.org/officeDocument/2006/extended-properties" xmlns:vt="http://schemas.openxmlformats.org/officeDocument/2006/docPropsVTypes">
  <Template>Normal</Template>
  <TotalTime>0</TotalTime>
  <Pages>86</Pages>
  <Words>36695</Words>
  <Characters>197424</Characters>
  <Application>Microsoft Office Word</Application>
  <DocSecurity>0</DocSecurity>
  <Lines>7896</Lines>
  <Paragraphs>1708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232411</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2017-06-09T13:10:00Z</dcterms:created>
  <dc:creator>Catherine Sullivan</dc:creator>
  <lastModifiedBy>xsj</lastModifiedBy>
  <lastPrinted>2017-06-06T16:41:00Z</lastPrinted>
  <dcterms:modified xsi:type="dcterms:W3CDTF">2017-06-09T13:10:00Z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0x010100524261BFE874874F899C38CF9C771BFF</vt:lpwstr>
  </property>
  <property fmtid="{D5CDD505-2E9C-101B-9397-08002B2CF9AE}" pid="3" name="Client Name">
    <vt:lpwstr>39;#MA DESE|847727f9-e323-4eef-b2f2-e09a97a5fe1a</vt:lpwstr>
  </property>
  <property fmtid="{D5CDD505-2E9C-101B-9397-08002B2CF9AE}" pid="4" name="_dlc_DocIdItemGuid">
    <vt:lpwstr>3fa4e26c-6c42-4c74-8c34-b6f18639bf4a</vt:lpwstr>
  </property>
</Properties>
</file>