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theme/themeOverride1.xml" ContentType="application/vnd.openxmlformats-officedocument.themeOverride+xml"/>
  <Override PartName="/word/theme/themeOverride2.xml" ContentType="application/vnd.openxmlformats-officedocument.themeOverrid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DFD" w:rsidRPr="00781EFE" w:rsidRDefault="002F0DFD" w:rsidP="002F0DFD">
      <w:pPr>
        <w:keepNext/>
        <w:keepLines/>
        <w:spacing w:before="120" w:after="0" w:line="240" w:lineRule="auto"/>
        <w:jc w:val="center"/>
        <w:outlineLvl w:val="0"/>
        <w:rPr>
          <w:rFonts w:asciiTheme="majorHAnsi" w:eastAsiaTheme="majorEastAsia" w:hAnsiTheme="majorHAnsi" w:cs="Times New Roman"/>
          <w:b/>
          <w:bCs/>
          <w:color w:val="1F497D" w:themeColor="text2"/>
          <w:sz w:val="28"/>
          <w:szCs w:val="28"/>
        </w:rPr>
      </w:pPr>
      <w:bookmarkStart w:id="0" w:name="_Toc393809639"/>
      <w:bookmarkStart w:id="1" w:name="_GoBack"/>
      <w:bookmarkEnd w:id="1"/>
      <w:r>
        <w:rPr>
          <w:rFonts w:asciiTheme="majorHAnsi" w:eastAsiaTheme="majorEastAsia" w:hAnsiTheme="majorHAnsi" w:cs="Times New Roman"/>
          <w:b/>
          <w:bCs/>
          <w:color w:val="1F497D" w:themeColor="text2"/>
          <w:sz w:val="28"/>
          <w:szCs w:val="28"/>
        </w:rPr>
        <w:t>Data F</w:t>
      </w:r>
      <w:r w:rsidR="007A3D4F">
        <w:rPr>
          <w:rFonts w:asciiTheme="majorHAnsi" w:eastAsiaTheme="majorEastAsia" w:hAnsiTheme="majorHAnsi" w:cs="Times New Roman"/>
          <w:b/>
          <w:bCs/>
          <w:color w:val="1F497D" w:themeColor="text2"/>
          <w:sz w:val="28"/>
          <w:szCs w:val="28"/>
        </w:rPr>
        <w:t xml:space="preserve">igures/Tables: </w:t>
      </w:r>
      <w:r>
        <w:rPr>
          <w:rFonts w:asciiTheme="majorHAnsi" w:eastAsiaTheme="majorEastAsia" w:hAnsiTheme="majorHAnsi" w:cs="Times New Roman"/>
          <w:b/>
          <w:bCs/>
          <w:color w:val="1F497D" w:themeColor="text2"/>
          <w:sz w:val="28"/>
          <w:szCs w:val="28"/>
        </w:rPr>
        <w:t xml:space="preserve"> </w:t>
      </w:r>
    </w:p>
    <w:p w:rsidR="002F0DFD" w:rsidRDefault="002F0DFD" w:rsidP="002F0DFD">
      <w:pPr>
        <w:keepNext/>
        <w:keepLines/>
        <w:spacing w:before="120" w:after="0" w:line="240" w:lineRule="auto"/>
        <w:jc w:val="center"/>
        <w:outlineLvl w:val="0"/>
        <w:rPr>
          <w:rFonts w:asciiTheme="majorHAnsi" w:eastAsiaTheme="majorEastAsia" w:hAnsiTheme="majorHAnsi" w:cs="Times New Roman"/>
          <w:b/>
          <w:bCs/>
          <w:color w:val="1F497D" w:themeColor="text2"/>
          <w:sz w:val="28"/>
          <w:szCs w:val="28"/>
        </w:rPr>
      </w:pPr>
      <w:r w:rsidRPr="00781EFE">
        <w:rPr>
          <w:rFonts w:asciiTheme="majorHAnsi" w:eastAsiaTheme="majorEastAsia" w:hAnsiTheme="majorHAnsi" w:cs="Times New Roman"/>
          <w:b/>
          <w:bCs/>
          <w:color w:val="1F497D" w:themeColor="text2"/>
          <w:sz w:val="28"/>
          <w:szCs w:val="28"/>
        </w:rPr>
        <w:t>Work-Related Asthma</w:t>
      </w:r>
      <w:r>
        <w:rPr>
          <w:rFonts w:asciiTheme="majorHAnsi" w:eastAsiaTheme="majorEastAsia" w:hAnsiTheme="majorHAnsi" w:cs="Times New Roman"/>
          <w:b/>
          <w:bCs/>
          <w:color w:val="1F497D" w:themeColor="text2"/>
          <w:sz w:val="28"/>
          <w:szCs w:val="28"/>
        </w:rPr>
        <w:t xml:space="preserve"> in</w:t>
      </w:r>
      <w:r w:rsidR="00ED4806">
        <w:rPr>
          <w:rFonts w:asciiTheme="majorHAnsi" w:eastAsiaTheme="majorEastAsia" w:hAnsiTheme="majorHAnsi" w:cs="Times New Roman"/>
          <w:b/>
          <w:bCs/>
          <w:color w:val="1F497D" w:themeColor="text2"/>
          <w:sz w:val="28"/>
          <w:szCs w:val="28"/>
        </w:rPr>
        <w:t xml:space="preserve"> the Asthma Call-Back Survey</w:t>
      </w:r>
      <w:r w:rsidR="00BD5A66">
        <w:rPr>
          <w:rFonts w:asciiTheme="majorHAnsi" w:eastAsiaTheme="majorEastAsia" w:hAnsiTheme="majorHAnsi" w:cs="Times New Roman"/>
          <w:b/>
          <w:bCs/>
          <w:color w:val="1F497D" w:themeColor="text2"/>
          <w:sz w:val="28"/>
          <w:szCs w:val="28"/>
        </w:rPr>
        <w:t xml:space="preserve"> </w:t>
      </w:r>
      <w:r w:rsidR="00781EFE" w:rsidRPr="00781EFE">
        <w:rPr>
          <w:rFonts w:asciiTheme="majorHAnsi" w:eastAsiaTheme="majorEastAsia" w:hAnsiTheme="majorHAnsi" w:cs="Times New Roman"/>
          <w:b/>
          <w:bCs/>
          <w:color w:val="1F497D" w:themeColor="text2"/>
          <w:sz w:val="28"/>
          <w:szCs w:val="28"/>
        </w:rPr>
        <w:t xml:space="preserve"> </w:t>
      </w:r>
    </w:p>
    <w:bookmarkEnd w:id="0"/>
    <w:p w:rsidR="00781EFE" w:rsidRPr="00781EFE" w:rsidRDefault="00781EFE" w:rsidP="00781EF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tbl>
      <w:tblPr>
        <w:tblW w:w="10275" w:type="dxa"/>
        <w:tblInd w:w="93" w:type="dxa"/>
        <w:tblLook w:val="04A0" w:firstRow="1" w:lastRow="0" w:firstColumn="1" w:lastColumn="0" w:noHBand="0" w:noVBand="1"/>
      </w:tblPr>
      <w:tblGrid>
        <w:gridCol w:w="10275"/>
      </w:tblGrid>
      <w:tr w:rsidR="00781EFE" w:rsidRPr="00781EFE" w:rsidTr="00B135C8">
        <w:trPr>
          <w:trHeight w:val="255"/>
        </w:trPr>
        <w:tc>
          <w:tcPr>
            <w:tcW w:w="102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81EFE" w:rsidRPr="00781EFE" w:rsidRDefault="00781EFE" w:rsidP="00B135C8">
            <w:pPr>
              <w:keepNext/>
              <w:keepLines/>
              <w:tabs>
                <w:tab w:val="left" w:pos="9357"/>
              </w:tabs>
              <w:spacing w:before="120" w:after="0" w:line="240" w:lineRule="auto"/>
              <w:ind w:right="702"/>
              <w:outlineLvl w:val="2"/>
              <w:rPr>
                <w:rFonts w:asciiTheme="majorHAnsi" w:eastAsiaTheme="majorEastAsia" w:hAnsiTheme="majorHAnsi" w:cs="Times New Roman"/>
                <w:b/>
                <w:bCs/>
                <w:sz w:val="24"/>
                <w:szCs w:val="24"/>
              </w:rPr>
            </w:pPr>
            <w:bookmarkStart w:id="2" w:name="_Toc393809645"/>
            <w:r w:rsidRPr="00781EFE">
              <w:rPr>
                <w:rFonts w:asciiTheme="majorHAnsi" w:eastAsiaTheme="majorEastAsia" w:hAnsiTheme="majorHAnsi" w:cs="Times New Roman"/>
                <w:b/>
                <w:bCs/>
                <w:sz w:val="24"/>
                <w:szCs w:val="24"/>
              </w:rPr>
              <w:t>Figure 1</w:t>
            </w:r>
            <w:r w:rsidR="002F0DFD">
              <w:rPr>
                <w:rFonts w:asciiTheme="majorHAnsi" w:eastAsiaTheme="majorEastAsia" w:hAnsiTheme="majorHAnsi" w:cs="Times New Roman"/>
                <w:b/>
                <w:bCs/>
                <w:sz w:val="24"/>
                <w:szCs w:val="24"/>
              </w:rPr>
              <w:t>.</w:t>
            </w:r>
            <w:r w:rsidRPr="00781EFE">
              <w:rPr>
                <w:rFonts w:asciiTheme="majorHAnsi" w:eastAsiaTheme="majorEastAsia" w:hAnsiTheme="majorHAnsi" w:cs="Times New Roman"/>
                <w:b/>
                <w:bCs/>
                <w:sz w:val="24"/>
                <w:szCs w:val="24"/>
              </w:rPr>
              <w:t xml:space="preserve"> </w:t>
            </w:r>
            <w:r w:rsidR="004A1781">
              <w:rPr>
                <w:rFonts w:asciiTheme="majorHAnsi" w:eastAsiaTheme="majorEastAsia" w:hAnsiTheme="majorHAnsi" w:cs="Times New Roman"/>
                <w:b/>
                <w:bCs/>
                <w:sz w:val="24"/>
                <w:szCs w:val="24"/>
              </w:rPr>
              <w:t>Work-Related Asthma among</w:t>
            </w:r>
            <w:r w:rsidRPr="00781EFE">
              <w:rPr>
                <w:rFonts w:asciiTheme="majorHAnsi" w:eastAsiaTheme="majorEastAsia" w:hAnsiTheme="majorHAnsi" w:cs="Times New Roman"/>
                <w:b/>
                <w:bCs/>
                <w:sz w:val="24"/>
                <w:szCs w:val="24"/>
              </w:rPr>
              <w:t xml:space="preserve"> Ever-Employed Adults with Current Asthma</w:t>
            </w:r>
            <w:r w:rsidR="004A1781">
              <w:rPr>
                <w:rFonts w:asciiTheme="majorHAnsi" w:eastAsiaTheme="majorEastAsia" w:hAnsiTheme="majorHAnsi" w:cs="Times New Roman"/>
                <w:b/>
                <w:bCs/>
                <w:sz w:val="24"/>
                <w:szCs w:val="24"/>
              </w:rPr>
              <w:t>,</w:t>
            </w:r>
            <w:r w:rsidRPr="00781EFE">
              <w:rPr>
                <w:rFonts w:asciiTheme="majorHAnsi" w:eastAsiaTheme="majorEastAsia" w:hAnsiTheme="majorHAnsi" w:cs="Times New Roman"/>
                <w:b/>
                <w:bCs/>
                <w:sz w:val="24"/>
                <w:szCs w:val="24"/>
              </w:rPr>
              <w:t xml:space="preserve"> Massachusetts, 2006-2010</w:t>
            </w:r>
            <w:bookmarkEnd w:id="2"/>
          </w:p>
          <w:p w:rsidR="00781EFE" w:rsidRPr="00781EFE" w:rsidRDefault="00781EFE" w:rsidP="00781EFE">
            <w:pPr>
              <w:spacing w:after="0" w:line="240" w:lineRule="auto"/>
              <w:ind w:left="72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:rsidR="00781EFE" w:rsidRPr="00781EFE" w:rsidRDefault="00781EFE" w:rsidP="00781E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81E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935BA31" wp14:editId="1D34E283">
                  <wp:extent cx="6372225" cy="2628900"/>
                  <wp:effectExtent l="0" t="0" r="0" b="0"/>
                  <wp:docPr id="1" name="Chart 2" descr="&#10;Asthma&#10;caused/aggravated&#10;any job 40.9%&#10;&#10;Asthma&#10;caused/aggravated&#10;previous job 30.7%&#10;&#10;Asthma&#10;caused/aggravated&#10;current job 16.0%&#10;&#10;Told to or by health&#10;professional asthma&#10;related to work 9.8%&#10;&#10;Changed or quit job&#10;due to asthma 6.1%" title="Figure 1. Work-Related Asthma among Ever-Employed Adults with Current Asthma, Massachusetts, 2006-20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  <w:p w:rsidR="00781EFE" w:rsidRPr="00781EFE" w:rsidRDefault="00781EFE" w:rsidP="00781EFE">
            <w:pPr>
              <w:spacing w:after="0" w:line="240" w:lineRule="auto"/>
              <w:ind w:left="72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781EFE" w:rsidRPr="00781EFE" w:rsidTr="00B135C8">
        <w:trPr>
          <w:trHeight w:val="255"/>
        </w:trPr>
        <w:tc>
          <w:tcPr>
            <w:tcW w:w="1027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1EFE" w:rsidRPr="00781EFE" w:rsidRDefault="00781EFE" w:rsidP="00781E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</w:tbl>
    <w:tbl>
      <w:tblPr>
        <w:tblStyle w:val="TableGrid"/>
        <w:tblW w:w="828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1170"/>
        <w:gridCol w:w="1080"/>
        <w:gridCol w:w="1350"/>
      </w:tblGrid>
      <w:tr w:rsidR="00781EFE" w:rsidRPr="003961C2" w:rsidTr="007F3C3A">
        <w:trPr>
          <w:trHeight w:hRule="exact" w:val="451"/>
        </w:trPr>
        <w:tc>
          <w:tcPr>
            <w:tcW w:w="4680" w:type="dxa"/>
            <w:tcBorders>
              <w:top w:val="single" w:sz="12" w:space="0" w:color="auto"/>
              <w:bottom w:val="single" w:sz="12" w:space="0" w:color="auto"/>
              <w:right w:val="nil"/>
            </w:tcBorders>
            <w:noWrap/>
            <w:vAlign w:val="center"/>
            <w:hideMark/>
          </w:tcPr>
          <w:p w:rsidR="00781EFE" w:rsidRPr="003961C2" w:rsidRDefault="00A140F5" w:rsidP="00B135C8">
            <w:pPr>
              <w:spacing w:before="20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Work-Related Asthma Indicator</w:t>
            </w:r>
          </w:p>
        </w:tc>
        <w:tc>
          <w:tcPr>
            <w:tcW w:w="117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781EFE" w:rsidRPr="003961C2" w:rsidRDefault="00781EFE" w:rsidP="00781EFE">
            <w:pPr>
              <w:spacing w:before="20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  <w:vertAlign w:val="superscript"/>
              </w:rPr>
            </w:pPr>
            <w:r w:rsidRPr="003961C2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N</w:t>
            </w:r>
            <w:r w:rsidRPr="003961C2">
              <w:rPr>
                <w:rFonts w:asciiTheme="majorHAnsi" w:hAnsiTheme="majorHAnsi" w:cs="Arial"/>
                <w:b/>
                <w:bCs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108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781EFE" w:rsidRPr="003961C2" w:rsidRDefault="00781EFE" w:rsidP="00781EFE">
            <w:pPr>
              <w:spacing w:before="20"/>
              <w:jc w:val="center"/>
              <w:rPr>
                <w:rFonts w:asciiTheme="majorHAnsi" w:hAnsiTheme="majorHAnsi" w:cs="Arial"/>
                <w:b/>
                <w:sz w:val="18"/>
                <w:szCs w:val="18"/>
                <w:vertAlign w:val="superscript"/>
              </w:rPr>
            </w:pPr>
            <w:r w:rsidRPr="003961C2">
              <w:rPr>
                <w:rFonts w:asciiTheme="majorHAnsi" w:hAnsiTheme="majorHAnsi" w:cs="Arial"/>
                <w:b/>
                <w:sz w:val="18"/>
                <w:szCs w:val="18"/>
              </w:rPr>
              <w:t>%</w:t>
            </w:r>
            <w:r w:rsidRPr="003961C2">
              <w:rPr>
                <w:rFonts w:asciiTheme="majorHAnsi" w:hAnsiTheme="majorHAnsi" w:cs="Arial"/>
                <w:b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350" w:type="dxa"/>
            <w:tcBorders>
              <w:top w:val="single" w:sz="12" w:space="0" w:color="auto"/>
              <w:left w:val="nil"/>
              <w:bottom w:val="single" w:sz="12" w:space="0" w:color="auto"/>
            </w:tcBorders>
            <w:noWrap/>
            <w:vAlign w:val="center"/>
            <w:hideMark/>
          </w:tcPr>
          <w:p w:rsidR="00781EFE" w:rsidRPr="003961C2" w:rsidRDefault="00781EFE" w:rsidP="00781EFE">
            <w:pPr>
              <w:spacing w:before="20"/>
              <w:rPr>
                <w:rFonts w:asciiTheme="majorHAnsi" w:hAnsiTheme="majorHAnsi" w:cs="Arial"/>
                <w:b/>
                <w:sz w:val="18"/>
                <w:szCs w:val="18"/>
                <w:vertAlign w:val="superscript"/>
              </w:rPr>
            </w:pPr>
            <w:r w:rsidRPr="003961C2">
              <w:rPr>
                <w:rFonts w:asciiTheme="majorHAnsi" w:hAnsiTheme="majorHAnsi" w:cs="Arial"/>
                <w:b/>
                <w:sz w:val="18"/>
                <w:szCs w:val="18"/>
              </w:rPr>
              <w:t xml:space="preserve">     95% CI</w:t>
            </w:r>
            <w:r w:rsidRPr="003961C2">
              <w:rPr>
                <w:rFonts w:asciiTheme="majorHAnsi" w:hAnsiTheme="majorHAnsi" w:cs="Arial"/>
                <w:b/>
                <w:sz w:val="18"/>
                <w:szCs w:val="18"/>
                <w:vertAlign w:val="superscript"/>
              </w:rPr>
              <w:t>3</w:t>
            </w:r>
          </w:p>
        </w:tc>
      </w:tr>
      <w:tr w:rsidR="00781EFE" w:rsidRPr="003961C2" w:rsidTr="007F3C3A">
        <w:trPr>
          <w:trHeight w:hRule="exact" w:val="259"/>
        </w:trPr>
        <w:tc>
          <w:tcPr>
            <w:tcW w:w="4680" w:type="dxa"/>
            <w:tcBorders>
              <w:top w:val="single" w:sz="12" w:space="0" w:color="auto"/>
              <w:bottom w:val="nil"/>
              <w:right w:val="nil"/>
            </w:tcBorders>
            <w:noWrap/>
            <w:vAlign w:val="center"/>
            <w:hideMark/>
          </w:tcPr>
          <w:p w:rsidR="00781EFE" w:rsidRPr="003961C2" w:rsidRDefault="00781EFE" w:rsidP="00781EFE">
            <w:pPr>
              <w:spacing w:before="20"/>
              <w:rPr>
                <w:rFonts w:asciiTheme="majorHAnsi" w:hAnsiTheme="majorHAnsi" w:cs="Arial"/>
                <w:sz w:val="18"/>
                <w:szCs w:val="18"/>
              </w:rPr>
            </w:pPr>
            <w:r w:rsidRPr="003961C2">
              <w:rPr>
                <w:rFonts w:asciiTheme="majorHAnsi" w:hAnsiTheme="majorHAnsi" w:cs="Arial"/>
                <w:sz w:val="18"/>
                <w:szCs w:val="18"/>
              </w:rPr>
              <w:t>Asthma caused</w:t>
            </w:r>
            <w:r w:rsidR="008430BE" w:rsidRPr="003961C2">
              <w:rPr>
                <w:rFonts w:asciiTheme="majorHAnsi" w:hAnsiTheme="majorHAnsi" w:cs="Arial"/>
                <w:sz w:val="18"/>
                <w:szCs w:val="18"/>
              </w:rPr>
              <w:t xml:space="preserve"> or </w:t>
            </w:r>
            <w:r w:rsidRPr="003961C2">
              <w:rPr>
                <w:rFonts w:asciiTheme="majorHAnsi" w:hAnsiTheme="majorHAnsi" w:cs="Arial"/>
                <w:sz w:val="18"/>
                <w:szCs w:val="18"/>
              </w:rPr>
              <w:t xml:space="preserve">aggravated </w:t>
            </w:r>
            <w:r w:rsidR="008430BE" w:rsidRPr="003961C2">
              <w:rPr>
                <w:rFonts w:asciiTheme="majorHAnsi" w:hAnsiTheme="majorHAnsi" w:cs="Arial"/>
                <w:sz w:val="18"/>
                <w:szCs w:val="18"/>
              </w:rPr>
              <w:t xml:space="preserve">by </w:t>
            </w:r>
            <w:r w:rsidRPr="003961C2">
              <w:rPr>
                <w:rFonts w:asciiTheme="majorHAnsi" w:hAnsiTheme="majorHAnsi" w:cs="Arial"/>
                <w:sz w:val="18"/>
                <w:szCs w:val="18"/>
              </w:rPr>
              <w:t>any job</w:t>
            </w:r>
          </w:p>
        </w:tc>
        <w:tc>
          <w:tcPr>
            <w:tcW w:w="1170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781EFE" w:rsidRPr="003961C2" w:rsidRDefault="00781EFE" w:rsidP="00781EFE">
            <w:pPr>
              <w:spacing w:before="20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3961C2">
              <w:rPr>
                <w:rFonts w:asciiTheme="majorHAnsi" w:hAnsiTheme="majorHAnsi" w:cs="Arial"/>
                <w:sz w:val="18"/>
                <w:szCs w:val="18"/>
              </w:rPr>
              <w:t>1,049</w:t>
            </w:r>
          </w:p>
        </w:tc>
        <w:tc>
          <w:tcPr>
            <w:tcW w:w="1080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781EFE" w:rsidRPr="003961C2" w:rsidRDefault="00781EFE" w:rsidP="00781EFE">
            <w:pPr>
              <w:spacing w:before="20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3961C2">
              <w:rPr>
                <w:rFonts w:asciiTheme="majorHAnsi" w:hAnsiTheme="majorHAnsi" w:cs="Arial"/>
                <w:sz w:val="18"/>
                <w:szCs w:val="18"/>
              </w:rPr>
              <w:t>40.9</w:t>
            </w:r>
          </w:p>
        </w:tc>
        <w:tc>
          <w:tcPr>
            <w:tcW w:w="1350" w:type="dxa"/>
            <w:tcBorders>
              <w:top w:val="single" w:sz="12" w:space="0" w:color="auto"/>
              <w:left w:val="nil"/>
              <w:bottom w:val="nil"/>
            </w:tcBorders>
            <w:noWrap/>
            <w:vAlign w:val="center"/>
            <w:hideMark/>
          </w:tcPr>
          <w:p w:rsidR="00781EFE" w:rsidRPr="003961C2" w:rsidRDefault="00781EFE" w:rsidP="00781EFE">
            <w:pPr>
              <w:spacing w:before="20"/>
              <w:rPr>
                <w:rFonts w:asciiTheme="majorHAnsi" w:hAnsiTheme="majorHAnsi" w:cs="Arial"/>
                <w:sz w:val="18"/>
                <w:szCs w:val="18"/>
              </w:rPr>
            </w:pPr>
            <w:r w:rsidRPr="003961C2">
              <w:rPr>
                <w:rFonts w:asciiTheme="majorHAnsi" w:hAnsiTheme="majorHAnsi" w:cs="Arial"/>
                <w:sz w:val="18"/>
                <w:szCs w:val="18"/>
              </w:rPr>
              <w:t xml:space="preserve">   35.5 - 46.2</w:t>
            </w:r>
          </w:p>
        </w:tc>
      </w:tr>
      <w:tr w:rsidR="00781EFE" w:rsidRPr="003961C2" w:rsidTr="007F3C3A">
        <w:trPr>
          <w:trHeight w:hRule="exact" w:val="259"/>
        </w:trPr>
        <w:tc>
          <w:tcPr>
            <w:tcW w:w="4680" w:type="dxa"/>
            <w:tcBorders>
              <w:top w:val="nil"/>
              <w:bottom w:val="nil"/>
              <w:right w:val="nil"/>
            </w:tcBorders>
            <w:noWrap/>
            <w:vAlign w:val="center"/>
            <w:hideMark/>
          </w:tcPr>
          <w:p w:rsidR="00781EFE" w:rsidRPr="003961C2" w:rsidRDefault="00781EFE" w:rsidP="00781EFE">
            <w:pPr>
              <w:spacing w:before="20"/>
              <w:rPr>
                <w:rFonts w:asciiTheme="majorHAnsi" w:hAnsiTheme="majorHAnsi" w:cs="Arial"/>
                <w:sz w:val="18"/>
                <w:szCs w:val="18"/>
              </w:rPr>
            </w:pPr>
            <w:r w:rsidRPr="003961C2">
              <w:rPr>
                <w:rFonts w:asciiTheme="majorHAnsi" w:hAnsiTheme="majorHAnsi" w:cs="Arial"/>
                <w:sz w:val="18"/>
                <w:szCs w:val="18"/>
              </w:rPr>
              <w:t>Asthma caused</w:t>
            </w:r>
            <w:r w:rsidR="008430BE" w:rsidRPr="003961C2">
              <w:rPr>
                <w:rFonts w:asciiTheme="majorHAnsi" w:hAnsiTheme="majorHAnsi" w:cs="Arial"/>
                <w:sz w:val="18"/>
                <w:szCs w:val="18"/>
              </w:rPr>
              <w:t xml:space="preserve"> or </w:t>
            </w:r>
            <w:r w:rsidRPr="003961C2">
              <w:rPr>
                <w:rFonts w:asciiTheme="majorHAnsi" w:hAnsiTheme="majorHAnsi" w:cs="Arial"/>
                <w:sz w:val="18"/>
                <w:szCs w:val="18"/>
              </w:rPr>
              <w:t xml:space="preserve">aggravated </w:t>
            </w:r>
            <w:r w:rsidR="008430BE" w:rsidRPr="003961C2">
              <w:rPr>
                <w:rFonts w:asciiTheme="majorHAnsi" w:hAnsiTheme="majorHAnsi" w:cs="Arial"/>
                <w:sz w:val="18"/>
                <w:szCs w:val="18"/>
              </w:rPr>
              <w:t xml:space="preserve">by </w:t>
            </w:r>
            <w:r w:rsidRPr="003961C2">
              <w:rPr>
                <w:rFonts w:asciiTheme="majorHAnsi" w:hAnsiTheme="majorHAnsi" w:cs="Arial"/>
                <w:sz w:val="18"/>
                <w:szCs w:val="18"/>
              </w:rPr>
              <w:t>previous job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81EFE" w:rsidRPr="003961C2" w:rsidRDefault="00781EFE" w:rsidP="00781EFE">
            <w:pPr>
              <w:spacing w:before="20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3961C2">
              <w:rPr>
                <w:rFonts w:asciiTheme="majorHAnsi" w:hAnsiTheme="majorHAnsi" w:cs="Arial"/>
                <w:sz w:val="18"/>
                <w:szCs w:val="18"/>
              </w:rPr>
              <w:t>1,060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81EFE" w:rsidRPr="003961C2" w:rsidRDefault="00781EFE" w:rsidP="00781EFE">
            <w:pPr>
              <w:spacing w:before="20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3961C2">
              <w:rPr>
                <w:rFonts w:asciiTheme="majorHAnsi" w:hAnsiTheme="majorHAnsi" w:cs="Arial"/>
                <w:sz w:val="18"/>
                <w:szCs w:val="18"/>
              </w:rPr>
              <w:t>30.7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</w:tcBorders>
            <w:noWrap/>
            <w:vAlign w:val="center"/>
            <w:hideMark/>
          </w:tcPr>
          <w:p w:rsidR="00781EFE" w:rsidRPr="003961C2" w:rsidRDefault="00781EFE" w:rsidP="00781EFE">
            <w:pPr>
              <w:spacing w:before="20"/>
              <w:rPr>
                <w:rFonts w:asciiTheme="majorHAnsi" w:hAnsiTheme="majorHAnsi" w:cs="Arial"/>
                <w:sz w:val="18"/>
                <w:szCs w:val="18"/>
              </w:rPr>
            </w:pPr>
            <w:r w:rsidRPr="003961C2">
              <w:rPr>
                <w:rFonts w:asciiTheme="majorHAnsi" w:hAnsiTheme="majorHAnsi" w:cs="Arial"/>
                <w:sz w:val="18"/>
                <w:szCs w:val="18"/>
              </w:rPr>
              <w:t xml:space="preserve">   25.6 - 35.8</w:t>
            </w:r>
          </w:p>
        </w:tc>
      </w:tr>
      <w:tr w:rsidR="00781EFE" w:rsidRPr="003961C2" w:rsidTr="007F3C3A">
        <w:trPr>
          <w:trHeight w:hRule="exact" w:val="259"/>
        </w:trPr>
        <w:tc>
          <w:tcPr>
            <w:tcW w:w="4680" w:type="dxa"/>
            <w:tcBorders>
              <w:top w:val="nil"/>
              <w:bottom w:val="nil"/>
              <w:right w:val="nil"/>
            </w:tcBorders>
            <w:noWrap/>
            <w:vAlign w:val="center"/>
            <w:hideMark/>
          </w:tcPr>
          <w:p w:rsidR="00781EFE" w:rsidRPr="003961C2" w:rsidRDefault="00781EFE" w:rsidP="00781EFE">
            <w:pPr>
              <w:spacing w:before="20"/>
              <w:rPr>
                <w:rFonts w:asciiTheme="majorHAnsi" w:hAnsiTheme="majorHAnsi" w:cs="Arial"/>
                <w:sz w:val="18"/>
                <w:szCs w:val="18"/>
              </w:rPr>
            </w:pPr>
            <w:r w:rsidRPr="003961C2">
              <w:rPr>
                <w:rFonts w:asciiTheme="majorHAnsi" w:hAnsiTheme="majorHAnsi" w:cs="Arial"/>
                <w:sz w:val="18"/>
                <w:szCs w:val="18"/>
              </w:rPr>
              <w:t>Asthma caused</w:t>
            </w:r>
            <w:r w:rsidR="008430BE" w:rsidRPr="003961C2">
              <w:rPr>
                <w:rFonts w:asciiTheme="majorHAnsi" w:hAnsiTheme="majorHAnsi" w:cs="Arial"/>
                <w:sz w:val="18"/>
                <w:szCs w:val="18"/>
              </w:rPr>
              <w:t xml:space="preserve"> or </w:t>
            </w:r>
            <w:r w:rsidRPr="003961C2">
              <w:rPr>
                <w:rFonts w:asciiTheme="majorHAnsi" w:hAnsiTheme="majorHAnsi" w:cs="Arial"/>
                <w:sz w:val="18"/>
                <w:szCs w:val="18"/>
              </w:rPr>
              <w:t xml:space="preserve">aggravated </w:t>
            </w:r>
            <w:r w:rsidR="008430BE" w:rsidRPr="003961C2">
              <w:rPr>
                <w:rFonts w:asciiTheme="majorHAnsi" w:hAnsiTheme="majorHAnsi" w:cs="Arial"/>
                <w:sz w:val="18"/>
                <w:szCs w:val="18"/>
              </w:rPr>
              <w:t xml:space="preserve">by </w:t>
            </w:r>
            <w:r w:rsidRPr="003961C2">
              <w:rPr>
                <w:rFonts w:asciiTheme="majorHAnsi" w:hAnsiTheme="majorHAnsi" w:cs="Arial"/>
                <w:sz w:val="18"/>
                <w:szCs w:val="18"/>
              </w:rPr>
              <w:t>current job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81EFE" w:rsidRPr="003961C2" w:rsidRDefault="00781EFE" w:rsidP="00781EFE">
            <w:pPr>
              <w:spacing w:before="20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3961C2">
              <w:rPr>
                <w:rFonts w:asciiTheme="majorHAnsi" w:hAnsiTheme="majorHAnsi" w:cs="Arial"/>
                <w:sz w:val="18"/>
                <w:szCs w:val="18"/>
              </w:rPr>
              <w:t>1,110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81EFE" w:rsidRPr="003961C2" w:rsidRDefault="00781EFE" w:rsidP="00781EFE">
            <w:pPr>
              <w:spacing w:before="20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3961C2">
              <w:rPr>
                <w:rFonts w:asciiTheme="majorHAnsi" w:hAnsiTheme="majorHAnsi" w:cs="Arial"/>
                <w:sz w:val="18"/>
                <w:szCs w:val="18"/>
              </w:rPr>
              <w:t>16.0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</w:tcBorders>
            <w:noWrap/>
            <w:vAlign w:val="center"/>
            <w:hideMark/>
          </w:tcPr>
          <w:p w:rsidR="00781EFE" w:rsidRPr="003961C2" w:rsidRDefault="00781EFE" w:rsidP="00781EFE">
            <w:pPr>
              <w:spacing w:before="20"/>
              <w:rPr>
                <w:rFonts w:asciiTheme="majorHAnsi" w:hAnsiTheme="majorHAnsi" w:cs="Arial"/>
                <w:sz w:val="18"/>
                <w:szCs w:val="18"/>
              </w:rPr>
            </w:pPr>
            <w:r w:rsidRPr="003961C2">
              <w:rPr>
                <w:rFonts w:asciiTheme="majorHAnsi" w:hAnsiTheme="majorHAnsi" w:cs="Arial"/>
                <w:sz w:val="18"/>
                <w:szCs w:val="18"/>
              </w:rPr>
              <w:t xml:space="preserve">   12.3 - 19.6</w:t>
            </w:r>
          </w:p>
        </w:tc>
      </w:tr>
      <w:tr w:rsidR="00781EFE" w:rsidRPr="003961C2" w:rsidTr="007F3C3A">
        <w:trPr>
          <w:trHeight w:hRule="exact" w:val="259"/>
        </w:trPr>
        <w:tc>
          <w:tcPr>
            <w:tcW w:w="4680" w:type="dxa"/>
            <w:tcBorders>
              <w:top w:val="nil"/>
              <w:bottom w:val="nil"/>
              <w:right w:val="nil"/>
            </w:tcBorders>
            <w:noWrap/>
            <w:vAlign w:val="center"/>
            <w:hideMark/>
          </w:tcPr>
          <w:p w:rsidR="00781EFE" w:rsidRPr="003961C2" w:rsidRDefault="00781EFE" w:rsidP="00781EFE">
            <w:pPr>
              <w:spacing w:before="20"/>
              <w:rPr>
                <w:rFonts w:asciiTheme="majorHAnsi" w:hAnsiTheme="majorHAnsi" w:cs="Arial"/>
                <w:sz w:val="18"/>
                <w:szCs w:val="18"/>
              </w:rPr>
            </w:pPr>
            <w:r w:rsidRPr="003961C2">
              <w:rPr>
                <w:rFonts w:asciiTheme="majorHAnsi" w:hAnsiTheme="majorHAnsi" w:cs="Arial"/>
                <w:sz w:val="18"/>
                <w:szCs w:val="18"/>
              </w:rPr>
              <w:t>Told to or by health professional asthma related to work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81EFE" w:rsidRPr="003961C2" w:rsidRDefault="00781EFE" w:rsidP="00781EFE">
            <w:pPr>
              <w:spacing w:before="20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3961C2">
              <w:rPr>
                <w:rFonts w:asciiTheme="majorHAnsi" w:hAnsiTheme="majorHAnsi" w:cs="Arial"/>
                <w:sz w:val="18"/>
                <w:szCs w:val="18"/>
              </w:rPr>
              <w:t>1,123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81EFE" w:rsidRPr="003961C2" w:rsidRDefault="00781EFE" w:rsidP="00781EFE">
            <w:pPr>
              <w:spacing w:before="20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3961C2">
              <w:rPr>
                <w:rFonts w:asciiTheme="majorHAnsi" w:hAnsiTheme="majorHAnsi" w:cs="Arial"/>
                <w:sz w:val="18"/>
                <w:szCs w:val="18"/>
              </w:rPr>
              <w:t>9.8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</w:tcBorders>
            <w:noWrap/>
            <w:vAlign w:val="center"/>
            <w:hideMark/>
          </w:tcPr>
          <w:p w:rsidR="00781EFE" w:rsidRPr="003961C2" w:rsidRDefault="00781EFE" w:rsidP="00781EFE">
            <w:pPr>
              <w:spacing w:before="20"/>
              <w:rPr>
                <w:rFonts w:asciiTheme="majorHAnsi" w:hAnsiTheme="majorHAnsi" w:cs="Arial"/>
                <w:sz w:val="18"/>
                <w:szCs w:val="18"/>
              </w:rPr>
            </w:pPr>
            <w:r w:rsidRPr="003961C2">
              <w:rPr>
                <w:rFonts w:asciiTheme="majorHAnsi" w:hAnsiTheme="majorHAnsi" w:cs="Arial"/>
                <w:sz w:val="18"/>
                <w:szCs w:val="18"/>
              </w:rPr>
              <w:t xml:space="preserve">     7.3 - 12.2</w:t>
            </w:r>
          </w:p>
        </w:tc>
      </w:tr>
      <w:tr w:rsidR="00781EFE" w:rsidRPr="003961C2" w:rsidTr="007F3C3A">
        <w:trPr>
          <w:trHeight w:hRule="exact" w:val="259"/>
        </w:trPr>
        <w:tc>
          <w:tcPr>
            <w:tcW w:w="4680" w:type="dxa"/>
            <w:tcBorders>
              <w:top w:val="nil"/>
              <w:bottom w:val="nil"/>
              <w:right w:val="nil"/>
            </w:tcBorders>
            <w:noWrap/>
            <w:vAlign w:val="center"/>
            <w:hideMark/>
          </w:tcPr>
          <w:p w:rsidR="00781EFE" w:rsidRPr="003961C2" w:rsidRDefault="00781EFE" w:rsidP="00781EFE">
            <w:pPr>
              <w:spacing w:before="20"/>
              <w:rPr>
                <w:rFonts w:asciiTheme="majorHAnsi" w:hAnsiTheme="majorHAnsi" w:cs="Arial"/>
                <w:sz w:val="18"/>
                <w:szCs w:val="18"/>
              </w:rPr>
            </w:pPr>
            <w:r w:rsidRPr="003961C2">
              <w:rPr>
                <w:rFonts w:asciiTheme="majorHAnsi" w:hAnsiTheme="majorHAnsi" w:cs="Arial"/>
                <w:sz w:val="18"/>
                <w:szCs w:val="18"/>
              </w:rPr>
              <w:t>Changed or quit job due to asthma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81EFE" w:rsidRPr="003961C2" w:rsidRDefault="00781EFE" w:rsidP="00781EFE">
            <w:pPr>
              <w:spacing w:before="20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3961C2">
              <w:rPr>
                <w:rFonts w:asciiTheme="majorHAnsi" w:hAnsiTheme="majorHAnsi" w:cs="Arial"/>
                <w:sz w:val="18"/>
                <w:szCs w:val="18"/>
              </w:rPr>
              <w:t>1,120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81EFE" w:rsidRPr="003961C2" w:rsidRDefault="00781EFE" w:rsidP="00781EFE">
            <w:pPr>
              <w:spacing w:before="20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3961C2">
              <w:rPr>
                <w:rFonts w:asciiTheme="majorHAnsi" w:hAnsiTheme="majorHAnsi" w:cs="Arial"/>
                <w:sz w:val="18"/>
                <w:szCs w:val="18"/>
              </w:rPr>
              <w:t>6.1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</w:tcBorders>
            <w:noWrap/>
            <w:vAlign w:val="center"/>
            <w:hideMark/>
          </w:tcPr>
          <w:p w:rsidR="00781EFE" w:rsidRPr="003961C2" w:rsidRDefault="00781EFE" w:rsidP="00781EFE">
            <w:pPr>
              <w:spacing w:before="20"/>
              <w:rPr>
                <w:rFonts w:asciiTheme="majorHAnsi" w:hAnsiTheme="majorHAnsi" w:cs="Arial"/>
                <w:sz w:val="18"/>
                <w:szCs w:val="18"/>
              </w:rPr>
            </w:pPr>
            <w:r w:rsidRPr="003961C2">
              <w:rPr>
                <w:rFonts w:asciiTheme="majorHAnsi" w:hAnsiTheme="majorHAnsi" w:cs="Arial"/>
                <w:sz w:val="18"/>
                <w:szCs w:val="18"/>
              </w:rPr>
              <w:t xml:space="preserve">     4.0 -   8.2</w:t>
            </w:r>
          </w:p>
        </w:tc>
      </w:tr>
      <w:tr w:rsidR="00781EFE" w:rsidRPr="003961C2" w:rsidTr="007F3C3A">
        <w:trPr>
          <w:trHeight w:hRule="exact" w:val="259"/>
        </w:trPr>
        <w:tc>
          <w:tcPr>
            <w:tcW w:w="4680" w:type="dxa"/>
            <w:tcBorders>
              <w:top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:rsidR="00781EFE" w:rsidRPr="003961C2" w:rsidRDefault="00781EFE" w:rsidP="00781EFE">
            <w:pPr>
              <w:spacing w:before="20"/>
              <w:rPr>
                <w:rFonts w:asciiTheme="majorHAnsi" w:hAnsiTheme="majorHAnsi" w:cs="Arial"/>
                <w:sz w:val="18"/>
                <w:szCs w:val="18"/>
              </w:rPr>
            </w:pPr>
            <w:r w:rsidRPr="003961C2">
              <w:rPr>
                <w:rFonts w:asciiTheme="majorHAnsi" w:hAnsiTheme="majorHAnsi" w:cs="Arial"/>
                <w:sz w:val="18"/>
                <w:szCs w:val="18"/>
              </w:rPr>
              <w:t>Told by health professional asthma related to work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:rsidR="00781EFE" w:rsidRPr="003961C2" w:rsidRDefault="00781EFE" w:rsidP="00781EFE">
            <w:pPr>
              <w:spacing w:before="20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3961C2">
              <w:rPr>
                <w:rFonts w:asciiTheme="majorHAnsi" w:hAnsiTheme="majorHAnsi" w:cs="Arial"/>
                <w:sz w:val="18"/>
                <w:szCs w:val="18"/>
              </w:rPr>
              <w:t>1,121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:rsidR="00781EFE" w:rsidRPr="003961C2" w:rsidRDefault="00781EFE" w:rsidP="00781EFE">
            <w:pPr>
              <w:spacing w:before="20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3961C2">
              <w:rPr>
                <w:rFonts w:asciiTheme="majorHAnsi" w:hAnsiTheme="majorHAnsi" w:cs="Arial"/>
                <w:sz w:val="18"/>
                <w:szCs w:val="18"/>
              </w:rPr>
              <w:t>5.1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12" w:space="0" w:color="auto"/>
            </w:tcBorders>
            <w:noWrap/>
            <w:vAlign w:val="center"/>
            <w:hideMark/>
          </w:tcPr>
          <w:p w:rsidR="00781EFE" w:rsidRPr="003961C2" w:rsidRDefault="00781EFE" w:rsidP="00781EFE">
            <w:pPr>
              <w:spacing w:before="20"/>
              <w:rPr>
                <w:rFonts w:asciiTheme="majorHAnsi" w:hAnsiTheme="majorHAnsi" w:cs="Arial"/>
                <w:sz w:val="18"/>
                <w:szCs w:val="18"/>
              </w:rPr>
            </w:pPr>
            <w:r w:rsidRPr="003961C2">
              <w:rPr>
                <w:rFonts w:asciiTheme="majorHAnsi" w:hAnsiTheme="majorHAnsi" w:cs="Arial"/>
                <w:sz w:val="18"/>
                <w:szCs w:val="18"/>
              </w:rPr>
              <w:t xml:space="preserve">     3.1 -   7.0</w:t>
            </w:r>
          </w:p>
        </w:tc>
      </w:tr>
    </w:tbl>
    <w:p w:rsidR="00781EFE" w:rsidRPr="003961C2" w:rsidRDefault="00781EFE" w:rsidP="00B135C8">
      <w:pPr>
        <w:spacing w:after="0" w:line="240" w:lineRule="auto"/>
        <w:rPr>
          <w:rFonts w:asciiTheme="majorHAnsi" w:eastAsia="Times New Roman" w:hAnsiTheme="majorHAnsi" w:cs="Arial"/>
          <w:sz w:val="16"/>
          <w:szCs w:val="16"/>
        </w:rPr>
      </w:pPr>
      <w:r w:rsidRPr="003961C2">
        <w:rPr>
          <w:rFonts w:asciiTheme="majorHAnsi" w:eastAsia="Times New Roman" w:hAnsiTheme="majorHAnsi" w:cs="Arial"/>
          <w:sz w:val="16"/>
          <w:szCs w:val="16"/>
        </w:rPr>
        <w:t xml:space="preserve">1 Sample size is the number of respondents who answered the corresponding questions(s). </w:t>
      </w:r>
    </w:p>
    <w:p w:rsidR="00781EFE" w:rsidRPr="003961C2" w:rsidRDefault="00781EFE" w:rsidP="00B135C8">
      <w:pPr>
        <w:spacing w:after="0" w:line="240" w:lineRule="auto"/>
        <w:rPr>
          <w:rFonts w:asciiTheme="majorHAnsi" w:eastAsia="Times New Roman" w:hAnsiTheme="majorHAnsi" w:cs="Arial"/>
          <w:sz w:val="16"/>
          <w:szCs w:val="16"/>
        </w:rPr>
      </w:pPr>
      <w:r w:rsidRPr="003961C2">
        <w:rPr>
          <w:rFonts w:asciiTheme="majorHAnsi" w:eastAsia="Times New Roman" w:hAnsiTheme="majorHAnsi" w:cs="Arial"/>
          <w:sz w:val="16"/>
          <w:szCs w:val="16"/>
        </w:rPr>
        <w:t xml:space="preserve">2 Percent is weighted to population characteristics. </w:t>
      </w:r>
    </w:p>
    <w:p w:rsidR="00781EFE" w:rsidRPr="003961C2" w:rsidRDefault="00781EFE" w:rsidP="00B135C8">
      <w:pPr>
        <w:spacing w:after="0" w:line="240" w:lineRule="auto"/>
        <w:rPr>
          <w:rFonts w:asciiTheme="majorHAnsi" w:eastAsia="Times New Roman" w:hAnsiTheme="majorHAnsi" w:cs="Arial"/>
          <w:sz w:val="16"/>
          <w:szCs w:val="16"/>
        </w:rPr>
      </w:pPr>
      <w:proofErr w:type="gramStart"/>
      <w:r w:rsidRPr="003961C2">
        <w:rPr>
          <w:rFonts w:asciiTheme="majorHAnsi" w:eastAsia="Times New Roman" w:hAnsiTheme="majorHAnsi" w:cs="Arial"/>
          <w:sz w:val="16"/>
          <w:szCs w:val="16"/>
        </w:rPr>
        <w:t>3 95% Confidence Interval.</w:t>
      </w:r>
      <w:proofErr w:type="gramEnd"/>
    </w:p>
    <w:p w:rsidR="00781EFE" w:rsidRDefault="00781EFE" w:rsidP="00113CAF">
      <w:pPr>
        <w:spacing w:after="360" w:line="240" w:lineRule="auto"/>
        <w:contextualSpacing/>
        <w:rPr>
          <w:rFonts w:asciiTheme="majorHAnsi" w:eastAsia="Times New Roman" w:hAnsiTheme="majorHAnsi" w:cs="Arial"/>
          <w:sz w:val="16"/>
          <w:szCs w:val="16"/>
        </w:rPr>
      </w:pPr>
      <w:r w:rsidRPr="003961C2">
        <w:rPr>
          <w:rFonts w:asciiTheme="majorHAnsi" w:eastAsia="Times New Roman" w:hAnsiTheme="majorHAnsi" w:cs="Arial"/>
          <w:sz w:val="16"/>
          <w:szCs w:val="16"/>
        </w:rPr>
        <w:t>Data Source: 2006-2010 BRFSS Adult Asthma Call-back Survey, Massachusetts Department of Public Health</w:t>
      </w:r>
    </w:p>
    <w:p w:rsidR="00113CAF" w:rsidRDefault="00113CAF" w:rsidP="00113CAF">
      <w:pPr>
        <w:spacing w:after="360" w:line="240" w:lineRule="auto"/>
        <w:contextualSpacing/>
        <w:rPr>
          <w:rFonts w:asciiTheme="majorHAnsi" w:eastAsia="Times New Roman" w:hAnsiTheme="majorHAnsi" w:cs="Arial"/>
          <w:sz w:val="16"/>
          <w:szCs w:val="16"/>
        </w:rPr>
      </w:pPr>
    </w:p>
    <w:p w:rsidR="00113CAF" w:rsidRDefault="00113CAF" w:rsidP="00113CAF">
      <w:pPr>
        <w:spacing w:after="360" w:line="240" w:lineRule="auto"/>
        <w:contextualSpacing/>
        <w:rPr>
          <w:rFonts w:asciiTheme="majorHAnsi" w:eastAsia="Times New Roman" w:hAnsiTheme="majorHAnsi" w:cs="Arial"/>
          <w:sz w:val="16"/>
          <w:szCs w:val="16"/>
        </w:rPr>
      </w:pPr>
    </w:p>
    <w:p w:rsidR="00113CAF" w:rsidRDefault="00113CAF" w:rsidP="00113CAF">
      <w:pPr>
        <w:spacing w:after="360" w:line="240" w:lineRule="auto"/>
        <w:contextualSpacing/>
        <w:rPr>
          <w:rFonts w:asciiTheme="majorHAnsi" w:eastAsia="Times New Roman" w:hAnsiTheme="majorHAnsi" w:cs="Arial"/>
          <w:sz w:val="16"/>
          <w:szCs w:val="16"/>
        </w:rPr>
      </w:pPr>
    </w:p>
    <w:p w:rsidR="00113CAF" w:rsidRDefault="00113CAF" w:rsidP="00113CAF">
      <w:pPr>
        <w:spacing w:after="360" w:line="240" w:lineRule="auto"/>
        <w:contextualSpacing/>
        <w:rPr>
          <w:rFonts w:asciiTheme="majorHAnsi" w:eastAsia="Times New Roman" w:hAnsiTheme="majorHAnsi" w:cs="Arial"/>
          <w:sz w:val="16"/>
          <w:szCs w:val="16"/>
        </w:rPr>
      </w:pPr>
    </w:p>
    <w:p w:rsidR="00113CAF" w:rsidRDefault="00113CAF" w:rsidP="00113CAF">
      <w:pPr>
        <w:spacing w:after="360" w:line="240" w:lineRule="auto"/>
        <w:contextualSpacing/>
        <w:rPr>
          <w:rFonts w:asciiTheme="majorHAnsi" w:eastAsia="Times New Roman" w:hAnsiTheme="majorHAnsi" w:cs="Arial"/>
          <w:sz w:val="16"/>
          <w:szCs w:val="16"/>
        </w:rPr>
      </w:pPr>
    </w:p>
    <w:p w:rsidR="00113CAF" w:rsidRDefault="00113CAF" w:rsidP="00113CAF">
      <w:pPr>
        <w:spacing w:after="360" w:line="240" w:lineRule="auto"/>
        <w:contextualSpacing/>
        <w:rPr>
          <w:rFonts w:asciiTheme="majorHAnsi" w:eastAsia="Times New Roman" w:hAnsiTheme="majorHAnsi" w:cs="Arial"/>
          <w:sz w:val="16"/>
          <w:szCs w:val="16"/>
        </w:rPr>
      </w:pPr>
    </w:p>
    <w:p w:rsidR="00113CAF" w:rsidRDefault="00113CAF" w:rsidP="00113CAF">
      <w:pPr>
        <w:spacing w:after="360" w:line="240" w:lineRule="auto"/>
        <w:contextualSpacing/>
        <w:rPr>
          <w:rFonts w:asciiTheme="majorHAnsi" w:eastAsia="Times New Roman" w:hAnsiTheme="majorHAnsi" w:cs="Arial"/>
          <w:sz w:val="16"/>
          <w:szCs w:val="16"/>
        </w:rPr>
      </w:pPr>
    </w:p>
    <w:p w:rsidR="00113CAF" w:rsidRDefault="00113CAF" w:rsidP="00113CAF">
      <w:pPr>
        <w:spacing w:after="360" w:line="240" w:lineRule="auto"/>
        <w:contextualSpacing/>
        <w:rPr>
          <w:rFonts w:asciiTheme="majorHAnsi" w:eastAsia="Times New Roman" w:hAnsiTheme="majorHAnsi" w:cs="Arial"/>
          <w:sz w:val="16"/>
          <w:szCs w:val="16"/>
        </w:rPr>
      </w:pPr>
    </w:p>
    <w:p w:rsidR="00113CAF" w:rsidRDefault="00113CAF" w:rsidP="00113CAF">
      <w:pPr>
        <w:spacing w:after="360" w:line="240" w:lineRule="auto"/>
        <w:contextualSpacing/>
        <w:rPr>
          <w:rFonts w:asciiTheme="majorHAnsi" w:eastAsia="Times New Roman" w:hAnsiTheme="majorHAnsi" w:cs="Arial"/>
          <w:sz w:val="16"/>
          <w:szCs w:val="16"/>
        </w:rPr>
      </w:pPr>
    </w:p>
    <w:p w:rsidR="00113CAF" w:rsidRDefault="00113CAF" w:rsidP="00113CAF">
      <w:pPr>
        <w:spacing w:after="360" w:line="240" w:lineRule="auto"/>
        <w:contextualSpacing/>
        <w:rPr>
          <w:rFonts w:asciiTheme="majorHAnsi" w:eastAsia="Times New Roman" w:hAnsiTheme="majorHAnsi" w:cs="Arial"/>
          <w:sz w:val="16"/>
          <w:szCs w:val="16"/>
        </w:rPr>
      </w:pPr>
    </w:p>
    <w:p w:rsidR="00113CAF" w:rsidRDefault="00113CAF" w:rsidP="00113CAF">
      <w:pPr>
        <w:spacing w:after="360" w:line="240" w:lineRule="auto"/>
        <w:contextualSpacing/>
        <w:rPr>
          <w:rFonts w:asciiTheme="majorHAnsi" w:eastAsia="Times New Roman" w:hAnsiTheme="majorHAnsi" w:cs="Arial"/>
          <w:sz w:val="16"/>
          <w:szCs w:val="16"/>
        </w:rPr>
      </w:pPr>
    </w:p>
    <w:p w:rsidR="00113CAF" w:rsidRDefault="00113CAF" w:rsidP="00113CAF">
      <w:pPr>
        <w:spacing w:after="360" w:line="240" w:lineRule="auto"/>
        <w:contextualSpacing/>
        <w:rPr>
          <w:rFonts w:asciiTheme="majorHAnsi" w:eastAsia="Times New Roman" w:hAnsiTheme="majorHAnsi" w:cs="Arial"/>
          <w:sz w:val="16"/>
          <w:szCs w:val="16"/>
        </w:rPr>
      </w:pPr>
    </w:p>
    <w:p w:rsidR="00113CAF" w:rsidRDefault="00113CAF" w:rsidP="00113CAF">
      <w:pPr>
        <w:spacing w:after="360" w:line="240" w:lineRule="auto"/>
        <w:contextualSpacing/>
        <w:rPr>
          <w:rFonts w:asciiTheme="majorHAnsi" w:eastAsia="Times New Roman" w:hAnsiTheme="majorHAnsi" w:cs="Arial"/>
          <w:sz w:val="16"/>
          <w:szCs w:val="16"/>
        </w:rPr>
      </w:pPr>
    </w:p>
    <w:p w:rsidR="00113CAF" w:rsidRDefault="00113CAF" w:rsidP="00113CAF">
      <w:pPr>
        <w:spacing w:after="360" w:line="240" w:lineRule="auto"/>
        <w:contextualSpacing/>
        <w:rPr>
          <w:rFonts w:asciiTheme="majorHAnsi" w:eastAsia="Times New Roman" w:hAnsiTheme="majorHAnsi" w:cs="Arial"/>
          <w:sz w:val="16"/>
          <w:szCs w:val="16"/>
        </w:rPr>
      </w:pPr>
    </w:p>
    <w:p w:rsidR="00113CAF" w:rsidRDefault="00113CAF" w:rsidP="00113CAF">
      <w:pPr>
        <w:spacing w:after="360" w:line="240" w:lineRule="auto"/>
        <w:contextualSpacing/>
        <w:rPr>
          <w:rFonts w:asciiTheme="majorHAnsi" w:eastAsia="Times New Roman" w:hAnsiTheme="majorHAnsi" w:cs="Arial"/>
          <w:sz w:val="16"/>
          <w:szCs w:val="16"/>
        </w:rPr>
      </w:pPr>
    </w:p>
    <w:p w:rsidR="00113CAF" w:rsidRDefault="00113CAF" w:rsidP="00113CAF">
      <w:pPr>
        <w:spacing w:after="360" w:line="240" w:lineRule="auto"/>
        <w:contextualSpacing/>
        <w:rPr>
          <w:rFonts w:asciiTheme="majorHAnsi" w:eastAsia="Times New Roman" w:hAnsiTheme="majorHAnsi" w:cs="Arial"/>
          <w:sz w:val="16"/>
          <w:szCs w:val="16"/>
        </w:rPr>
      </w:pPr>
    </w:p>
    <w:p w:rsidR="00113CAF" w:rsidRDefault="00113CAF" w:rsidP="00113CAF">
      <w:pPr>
        <w:spacing w:after="360" w:line="240" w:lineRule="auto"/>
        <w:contextualSpacing/>
        <w:rPr>
          <w:rFonts w:asciiTheme="majorHAnsi" w:eastAsia="Times New Roman" w:hAnsiTheme="majorHAnsi" w:cs="Arial"/>
          <w:sz w:val="16"/>
          <w:szCs w:val="16"/>
        </w:rPr>
      </w:pPr>
    </w:p>
    <w:p w:rsidR="00113CAF" w:rsidRDefault="00113CAF" w:rsidP="00113CAF">
      <w:pPr>
        <w:spacing w:after="360" w:line="240" w:lineRule="auto"/>
        <w:contextualSpacing/>
        <w:rPr>
          <w:rFonts w:asciiTheme="majorHAnsi" w:eastAsia="Times New Roman" w:hAnsiTheme="majorHAnsi" w:cs="Arial"/>
          <w:sz w:val="16"/>
          <w:szCs w:val="16"/>
        </w:rPr>
      </w:pPr>
    </w:p>
    <w:p w:rsidR="00113CAF" w:rsidRDefault="00113CAF" w:rsidP="00113CAF">
      <w:pPr>
        <w:spacing w:after="360" w:line="240" w:lineRule="auto"/>
        <w:contextualSpacing/>
        <w:rPr>
          <w:rFonts w:asciiTheme="majorHAnsi" w:eastAsia="Times New Roman" w:hAnsiTheme="majorHAnsi" w:cs="Arial"/>
          <w:sz w:val="16"/>
          <w:szCs w:val="16"/>
        </w:rPr>
      </w:pPr>
    </w:p>
    <w:p w:rsidR="00781EFE" w:rsidRPr="00781EFE" w:rsidRDefault="00781EFE" w:rsidP="003961C2">
      <w:pPr>
        <w:keepNext/>
        <w:keepLines/>
        <w:spacing w:before="200" w:after="0" w:line="240" w:lineRule="auto"/>
        <w:outlineLvl w:val="2"/>
        <w:rPr>
          <w:rFonts w:asciiTheme="majorHAnsi" w:eastAsiaTheme="majorEastAsia" w:hAnsiTheme="majorHAnsi" w:cs="Times New Roman"/>
          <w:b/>
          <w:bCs/>
          <w:sz w:val="24"/>
          <w:szCs w:val="24"/>
        </w:rPr>
      </w:pPr>
      <w:bookmarkStart w:id="3" w:name="_Toc393809646"/>
      <w:proofErr w:type="gramStart"/>
      <w:r w:rsidRPr="00781EFE">
        <w:rPr>
          <w:rFonts w:asciiTheme="majorHAnsi" w:eastAsiaTheme="majorEastAsia" w:hAnsiTheme="majorHAnsi" w:cs="Times New Roman"/>
          <w:b/>
          <w:bCs/>
          <w:sz w:val="24"/>
          <w:szCs w:val="24"/>
        </w:rPr>
        <w:lastRenderedPageBreak/>
        <w:t>Figure</w:t>
      </w:r>
      <w:r w:rsidR="00ED4806">
        <w:rPr>
          <w:rFonts w:asciiTheme="majorHAnsi" w:eastAsiaTheme="majorEastAsia" w:hAnsiTheme="majorHAnsi" w:cs="Times New Roman"/>
          <w:b/>
          <w:bCs/>
          <w:sz w:val="24"/>
          <w:szCs w:val="24"/>
        </w:rPr>
        <w:t xml:space="preserve"> </w:t>
      </w:r>
      <w:r w:rsidR="002F0DFD">
        <w:rPr>
          <w:rFonts w:asciiTheme="majorHAnsi" w:eastAsiaTheme="majorEastAsia" w:hAnsiTheme="majorHAnsi" w:cs="Times New Roman"/>
          <w:b/>
          <w:bCs/>
          <w:sz w:val="24"/>
          <w:szCs w:val="24"/>
        </w:rPr>
        <w:t>2.</w:t>
      </w:r>
      <w:proofErr w:type="gramEnd"/>
      <w:r w:rsidR="002F0DFD">
        <w:rPr>
          <w:rFonts w:asciiTheme="majorHAnsi" w:eastAsiaTheme="majorEastAsia" w:hAnsiTheme="majorHAnsi" w:cs="Times New Roman"/>
          <w:b/>
          <w:bCs/>
          <w:sz w:val="24"/>
          <w:szCs w:val="24"/>
        </w:rPr>
        <w:t xml:space="preserve"> </w:t>
      </w:r>
      <w:r w:rsidRPr="00781EFE">
        <w:rPr>
          <w:rFonts w:asciiTheme="majorHAnsi" w:eastAsiaTheme="majorEastAsia" w:hAnsiTheme="majorHAnsi" w:cs="Times New Roman"/>
          <w:b/>
          <w:bCs/>
          <w:sz w:val="24"/>
          <w:szCs w:val="24"/>
        </w:rPr>
        <w:t xml:space="preserve"> Asthma Impact/Impairment among Ever-Employed Adults with Current </w:t>
      </w:r>
      <w:r w:rsidR="00564444">
        <w:rPr>
          <w:rFonts w:asciiTheme="majorHAnsi" w:eastAsiaTheme="majorEastAsia" w:hAnsiTheme="majorHAnsi" w:cs="Times New Roman"/>
          <w:b/>
          <w:bCs/>
          <w:sz w:val="24"/>
          <w:szCs w:val="24"/>
        </w:rPr>
        <w:t>A</w:t>
      </w:r>
      <w:r w:rsidRPr="00781EFE">
        <w:rPr>
          <w:rFonts w:asciiTheme="majorHAnsi" w:eastAsiaTheme="majorEastAsia" w:hAnsiTheme="majorHAnsi" w:cs="Times New Roman"/>
          <w:b/>
          <w:bCs/>
          <w:sz w:val="24"/>
          <w:szCs w:val="24"/>
        </w:rPr>
        <w:t>sthma</w:t>
      </w:r>
      <w:r w:rsidR="00777653">
        <w:rPr>
          <w:rFonts w:asciiTheme="majorHAnsi" w:eastAsiaTheme="majorEastAsia" w:hAnsiTheme="majorHAnsi" w:cs="Times New Roman"/>
          <w:b/>
          <w:bCs/>
          <w:sz w:val="24"/>
          <w:szCs w:val="24"/>
        </w:rPr>
        <w:t xml:space="preserve"> by Work-Related Asthma (WRA) Status</w:t>
      </w:r>
      <w:r w:rsidRPr="00781EFE">
        <w:rPr>
          <w:rFonts w:asciiTheme="majorHAnsi" w:eastAsiaTheme="majorEastAsia" w:hAnsiTheme="majorHAnsi" w:cs="Times New Roman"/>
          <w:b/>
          <w:bCs/>
          <w:sz w:val="24"/>
          <w:szCs w:val="24"/>
        </w:rPr>
        <w:t>, Massachusetts, 2006-2010</w:t>
      </w:r>
      <w:bookmarkEnd w:id="3"/>
    </w:p>
    <w:p w:rsidR="00781EFE" w:rsidRPr="00781EFE" w:rsidRDefault="00781EFE" w:rsidP="00781EFE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781EFE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2109016" wp14:editId="0074A03F">
            <wp:extent cx="5924550" cy="3124200"/>
            <wp:effectExtent l="0" t="0" r="0" b="0"/>
            <wp:docPr id="2" name="Chart 3" descr="Asthma symptoms,&#10;past 30 days &#10;WRA 70.0%&#10;Non-WRA 64.4%&#10;&#10;Sleep disturbed&#10;from asthma, past&#10;30 days&#10;WRA 26.7%&#10;Non-WRA 21.7%&#10;&#10;Had asthma attack,&#10;past 12 months&#10;WRA 56.6%&#10;Non-WRA47.8%&#10;&#10;Asthma limited&#10;usual activities, past&#10;12 months&#10;WRA 65.1%&#10;Non-WRA 55.1%&#10;&#10;Had ED visit or&#10;other urgent care&#10;visit for asthma,&#10;past 12 months&#10;WRA 13.8%&#10;Non-WRA 12.0%" title="Figure 2.  Asthma Impact/Impairment among Ever-Employed Adults with Current Asthma by Work-Related Asthma (WRA) Status, Massachusetts, 2006-20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781EFE" w:rsidRPr="00781EFE" w:rsidRDefault="00781EFE" w:rsidP="00781EFE">
      <w:pPr>
        <w:spacing w:after="0" w:line="240" w:lineRule="auto"/>
        <w:ind w:left="720"/>
        <w:rPr>
          <w:rFonts w:ascii="Arial" w:eastAsia="Times New Roman" w:hAnsi="Arial" w:cs="Arial"/>
          <w:b/>
          <w:bCs/>
          <w:sz w:val="20"/>
          <w:szCs w:val="20"/>
        </w:rPr>
      </w:pPr>
    </w:p>
    <w:tbl>
      <w:tblPr>
        <w:tblW w:w="8640" w:type="dxa"/>
        <w:tblBorders>
          <w:top w:val="single" w:sz="12" w:space="0" w:color="auto"/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90"/>
        <w:gridCol w:w="720"/>
        <w:gridCol w:w="630"/>
        <w:gridCol w:w="1080"/>
        <w:gridCol w:w="720"/>
        <w:gridCol w:w="720"/>
        <w:gridCol w:w="1080"/>
      </w:tblGrid>
      <w:tr w:rsidR="00781EFE" w:rsidRPr="003961C2" w:rsidTr="007F3C3A">
        <w:trPr>
          <w:trHeight w:val="255"/>
        </w:trPr>
        <w:tc>
          <w:tcPr>
            <w:tcW w:w="3690" w:type="dxa"/>
            <w:tcBorders>
              <w:top w:val="single" w:sz="12" w:space="0" w:color="auto"/>
              <w:bottom w:val="nil"/>
            </w:tcBorders>
            <w:noWrap/>
            <w:vAlign w:val="bottom"/>
            <w:hideMark/>
          </w:tcPr>
          <w:p w:rsidR="00781EFE" w:rsidRPr="003961C2" w:rsidRDefault="00781EFE" w:rsidP="00781EFE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</w:rPr>
            </w:pPr>
          </w:p>
        </w:tc>
        <w:tc>
          <w:tcPr>
            <w:tcW w:w="2430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bottom"/>
            <w:hideMark/>
          </w:tcPr>
          <w:p w:rsidR="00781EFE" w:rsidRPr="003961C2" w:rsidRDefault="00781EFE" w:rsidP="00781EFE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</w:rPr>
            </w:pPr>
            <w:r w:rsidRPr="003961C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</w:rPr>
              <w:t>WRA</w:t>
            </w:r>
          </w:p>
        </w:tc>
        <w:tc>
          <w:tcPr>
            <w:tcW w:w="2520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bottom"/>
            <w:hideMark/>
          </w:tcPr>
          <w:p w:rsidR="00781EFE" w:rsidRPr="003961C2" w:rsidRDefault="00781EFE" w:rsidP="00781EFE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vertAlign w:val="superscript"/>
              </w:rPr>
            </w:pPr>
            <w:r w:rsidRPr="003961C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</w:rPr>
              <w:t>Non-WRA</w:t>
            </w:r>
          </w:p>
        </w:tc>
      </w:tr>
      <w:tr w:rsidR="00781EFE" w:rsidRPr="003961C2" w:rsidTr="007F3C3A">
        <w:trPr>
          <w:trHeight w:val="472"/>
        </w:trPr>
        <w:tc>
          <w:tcPr>
            <w:tcW w:w="3690" w:type="dxa"/>
            <w:tcBorders>
              <w:top w:val="nil"/>
              <w:right w:val="nil"/>
            </w:tcBorders>
            <w:noWrap/>
            <w:vAlign w:val="center"/>
            <w:hideMark/>
          </w:tcPr>
          <w:p w:rsidR="00781EFE" w:rsidRPr="003961C2" w:rsidRDefault="00781EFE" w:rsidP="00781EFE">
            <w:pPr>
              <w:spacing w:after="0" w:line="240" w:lineRule="auto"/>
              <w:rPr>
                <w:rFonts w:asciiTheme="majorHAnsi" w:eastAsia="Times New Roman" w:hAnsiTheme="majorHAnsi" w:cs="Arial"/>
                <w:b/>
                <w:sz w:val="18"/>
                <w:szCs w:val="18"/>
              </w:rPr>
            </w:pPr>
            <w:r w:rsidRPr="003961C2">
              <w:rPr>
                <w:rFonts w:asciiTheme="majorHAnsi" w:eastAsia="Times New Roman" w:hAnsiTheme="majorHAnsi" w:cs="Arial"/>
                <w:b/>
                <w:sz w:val="18"/>
                <w:szCs w:val="18"/>
              </w:rPr>
              <w:t xml:space="preserve">Asthma </w:t>
            </w:r>
            <w:r w:rsidR="00564444">
              <w:rPr>
                <w:rFonts w:asciiTheme="majorHAnsi" w:eastAsia="Times New Roman" w:hAnsiTheme="majorHAnsi" w:cs="Arial"/>
                <w:b/>
                <w:sz w:val="18"/>
                <w:szCs w:val="18"/>
              </w:rPr>
              <w:t>Impact/</w:t>
            </w:r>
            <w:r w:rsidRPr="003961C2">
              <w:rPr>
                <w:rFonts w:asciiTheme="majorHAnsi" w:eastAsia="Times New Roman" w:hAnsiTheme="majorHAnsi" w:cs="Arial"/>
                <w:b/>
                <w:sz w:val="18"/>
                <w:szCs w:val="18"/>
              </w:rPr>
              <w:t>Impairment Measure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781EFE" w:rsidRPr="003961C2" w:rsidRDefault="00781EFE" w:rsidP="00781EFE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vertAlign w:val="superscript"/>
              </w:rPr>
            </w:pPr>
            <w:r w:rsidRPr="003961C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</w:rPr>
              <w:t>N</w:t>
            </w:r>
            <w:r w:rsidRPr="003961C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781EFE" w:rsidRPr="003961C2" w:rsidRDefault="00781EFE" w:rsidP="00781EFE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vertAlign w:val="superscript"/>
              </w:rPr>
            </w:pPr>
            <w:r w:rsidRPr="003961C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</w:rPr>
              <w:t>%</w:t>
            </w:r>
            <w:r w:rsidRPr="003961C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781EFE" w:rsidRPr="003961C2" w:rsidRDefault="00781EFE" w:rsidP="00781EFE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vertAlign w:val="superscript"/>
              </w:rPr>
            </w:pPr>
            <w:r w:rsidRPr="003961C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</w:rPr>
              <w:t>95% CI</w:t>
            </w:r>
            <w:r w:rsidRPr="003961C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781EFE" w:rsidRPr="003961C2" w:rsidRDefault="00781EFE" w:rsidP="00781EFE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vertAlign w:val="superscript"/>
              </w:rPr>
            </w:pPr>
            <w:r w:rsidRPr="003961C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</w:rPr>
              <w:t>N</w:t>
            </w:r>
            <w:r w:rsidRPr="003961C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781EFE" w:rsidRPr="003961C2" w:rsidRDefault="00781EFE" w:rsidP="00781EFE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vertAlign w:val="superscript"/>
              </w:rPr>
            </w:pPr>
            <w:r w:rsidRPr="003961C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</w:rPr>
              <w:t>%</w:t>
            </w:r>
            <w:r w:rsidRPr="003961C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781EFE" w:rsidRPr="003961C2" w:rsidRDefault="00781EFE" w:rsidP="00781EFE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vertAlign w:val="superscript"/>
              </w:rPr>
            </w:pPr>
            <w:r w:rsidRPr="003961C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</w:rPr>
              <w:t>95% CI</w:t>
            </w:r>
            <w:r w:rsidRPr="003961C2">
              <w:rPr>
                <w:rFonts w:asciiTheme="majorHAnsi" w:eastAsia="Times New Roman" w:hAnsiTheme="majorHAnsi" w:cs="Arial"/>
                <w:b/>
                <w:bCs/>
                <w:sz w:val="18"/>
                <w:szCs w:val="18"/>
                <w:vertAlign w:val="superscript"/>
              </w:rPr>
              <w:t>3</w:t>
            </w:r>
          </w:p>
        </w:tc>
      </w:tr>
      <w:tr w:rsidR="00781EFE" w:rsidRPr="003961C2" w:rsidTr="007F3C3A">
        <w:trPr>
          <w:trHeight w:val="315"/>
        </w:trPr>
        <w:tc>
          <w:tcPr>
            <w:tcW w:w="3690" w:type="dxa"/>
            <w:tcBorders>
              <w:top w:val="single" w:sz="12" w:space="0" w:color="auto"/>
            </w:tcBorders>
            <w:noWrap/>
            <w:vAlign w:val="center"/>
            <w:hideMark/>
          </w:tcPr>
          <w:p w:rsidR="00781EFE" w:rsidRPr="003961C2" w:rsidRDefault="00781EFE" w:rsidP="00781EFE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</w:rPr>
            </w:pPr>
            <w:r w:rsidRPr="003961C2">
              <w:rPr>
                <w:rFonts w:asciiTheme="majorHAnsi" w:eastAsia="Times New Roman" w:hAnsiTheme="majorHAnsi" w:cs="Arial"/>
                <w:sz w:val="18"/>
                <w:szCs w:val="18"/>
              </w:rPr>
              <w:t>Asthma symptoms, past 30 days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noWrap/>
            <w:vAlign w:val="center"/>
            <w:hideMark/>
          </w:tcPr>
          <w:p w:rsidR="00781EFE" w:rsidRPr="003961C2" w:rsidRDefault="00781EFE" w:rsidP="00781EFE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8"/>
                <w:szCs w:val="18"/>
              </w:rPr>
            </w:pPr>
            <w:r w:rsidRPr="003961C2">
              <w:rPr>
                <w:rFonts w:asciiTheme="majorHAnsi" w:eastAsia="Times New Roman" w:hAnsiTheme="majorHAnsi" w:cs="Arial"/>
                <w:sz w:val="18"/>
                <w:szCs w:val="18"/>
              </w:rPr>
              <w:t>467</w:t>
            </w:r>
          </w:p>
        </w:tc>
        <w:tc>
          <w:tcPr>
            <w:tcW w:w="630" w:type="dxa"/>
            <w:tcBorders>
              <w:top w:val="single" w:sz="12" w:space="0" w:color="auto"/>
            </w:tcBorders>
            <w:noWrap/>
            <w:vAlign w:val="center"/>
            <w:hideMark/>
          </w:tcPr>
          <w:p w:rsidR="00781EFE" w:rsidRPr="003961C2" w:rsidRDefault="00781EFE" w:rsidP="00781EFE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8"/>
                <w:szCs w:val="18"/>
              </w:rPr>
            </w:pPr>
            <w:r w:rsidRPr="003961C2">
              <w:rPr>
                <w:rFonts w:asciiTheme="majorHAnsi" w:eastAsia="Times New Roman" w:hAnsiTheme="majorHAnsi" w:cs="Arial"/>
                <w:sz w:val="18"/>
                <w:szCs w:val="18"/>
              </w:rPr>
              <w:t>70.0</w:t>
            </w:r>
          </w:p>
        </w:tc>
        <w:tc>
          <w:tcPr>
            <w:tcW w:w="1080" w:type="dxa"/>
            <w:tcBorders>
              <w:top w:val="single" w:sz="12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781EFE" w:rsidRPr="003961C2" w:rsidRDefault="00781EFE" w:rsidP="00781EFE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8"/>
                <w:szCs w:val="18"/>
              </w:rPr>
            </w:pPr>
            <w:r w:rsidRPr="003961C2">
              <w:rPr>
                <w:rFonts w:asciiTheme="majorHAnsi" w:eastAsia="Times New Roman" w:hAnsiTheme="majorHAnsi" w:cs="Arial"/>
                <w:sz w:val="18"/>
                <w:szCs w:val="18"/>
              </w:rPr>
              <w:t>62.5 - 77.5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781EFE" w:rsidRPr="003961C2" w:rsidRDefault="00781EFE" w:rsidP="00781EFE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8"/>
                <w:szCs w:val="18"/>
              </w:rPr>
            </w:pPr>
            <w:r w:rsidRPr="003961C2">
              <w:rPr>
                <w:rFonts w:asciiTheme="majorHAnsi" w:eastAsia="Times New Roman" w:hAnsiTheme="majorHAnsi" w:cs="Arial"/>
                <w:sz w:val="18"/>
                <w:szCs w:val="18"/>
              </w:rPr>
              <w:t>560</w:t>
            </w: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</w:tcBorders>
            <w:noWrap/>
            <w:vAlign w:val="center"/>
            <w:hideMark/>
          </w:tcPr>
          <w:p w:rsidR="00781EFE" w:rsidRPr="003961C2" w:rsidRDefault="00781EFE" w:rsidP="00781EFE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8"/>
                <w:szCs w:val="18"/>
              </w:rPr>
            </w:pPr>
            <w:r w:rsidRPr="003961C2">
              <w:rPr>
                <w:rFonts w:asciiTheme="majorHAnsi" w:eastAsia="Times New Roman" w:hAnsiTheme="majorHAnsi" w:cs="Arial"/>
                <w:sz w:val="18"/>
                <w:szCs w:val="18"/>
              </w:rPr>
              <w:t>64.4</w:t>
            </w:r>
          </w:p>
        </w:tc>
        <w:tc>
          <w:tcPr>
            <w:tcW w:w="1080" w:type="dxa"/>
            <w:tcBorders>
              <w:top w:val="single" w:sz="12" w:space="0" w:color="auto"/>
            </w:tcBorders>
            <w:noWrap/>
            <w:vAlign w:val="center"/>
            <w:hideMark/>
          </w:tcPr>
          <w:p w:rsidR="00781EFE" w:rsidRPr="003961C2" w:rsidRDefault="00781EFE" w:rsidP="00781EFE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8"/>
                <w:szCs w:val="18"/>
              </w:rPr>
            </w:pPr>
            <w:r w:rsidRPr="003961C2">
              <w:rPr>
                <w:rFonts w:asciiTheme="majorHAnsi" w:eastAsia="Times New Roman" w:hAnsiTheme="majorHAnsi" w:cs="Arial"/>
                <w:sz w:val="18"/>
                <w:szCs w:val="18"/>
              </w:rPr>
              <w:t>57.6 - 71.3</w:t>
            </w:r>
          </w:p>
        </w:tc>
      </w:tr>
      <w:tr w:rsidR="00781EFE" w:rsidRPr="003961C2" w:rsidTr="007F3C3A">
        <w:trPr>
          <w:trHeight w:val="255"/>
        </w:trPr>
        <w:tc>
          <w:tcPr>
            <w:tcW w:w="3690" w:type="dxa"/>
            <w:noWrap/>
            <w:vAlign w:val="center"/>
            <w:hideMark/>
          </w:tcPr>
          <w:p w:rsidR="00781EFE" w:rsidRPr="003961C2" w:rsidRDefault="00781EFE" w:rsidP="00781EFE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</w:rPr>
            </w:pPr>
            <w:r w:rsidRPr="003961C2">
              <w:rPr>
                <w:rFonts w:asciiTheme="majorHAnsi" w:eastAsia="Times New Roman" w:hAnsiTheme="majorHAnsi" w:cs="Arial"/>
                <w:sz w:val="18"/>
                <w:szCs w:val="18"/>
              </w:rPr>
              <w:t>Sleep disturbed from asthma, past 30 days</w:t>
            </w:r>
          </w:p>
        </w:tc>
        <w:tc>
          <w:tcPr>
            <w:tcW w:w="720" w:type="dxa"/>
            <w:noWrap/>
            <w:vAlign w:val="center"/>
            <w:hideMark/>
          </w:tcPr>
          <w:p w:rsidR="00781EFE" w:rsidRPr="003961C2" w:rsidRDefault="00781EFE" w:rsidP="00781EFE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8"/>
                <w:szCs w:val="18"/>
              </w:rPr>
            </w:pPr>
            <w:r w:rsidRPr="003961C2">
              <w:rPr>
                <w:rFonts w:asciiTheme="majorHAnsi" w:eastAsia="Times New Roman" w:hAnsiTheme="majorHAnsi" w:cs="Arial"/>
                <w:sz w:val="18"/>
                <w:szCs w:val="18"/>
              </w:rPr>
              <w:t>462</w:t>
            </w:r>
          </w:p>
        </w:tc>
        <w:tc>
          <w:tcPr>
            <w:tcW w:w="630" w:type="dxa"/>
            <w:noWrap/>
            <w:vAlign w:val="center"/>
            <w:hideMark/>
          </w:tcPr>
          <w:p w:rsidR="00781EFE" w:rsidRPr="003961C2" w:rsidRDefault="00781EFE" w:rsidP="00781EFE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8"/>
                <w:szCs w:val="18"/>
              </w:rPr>
            </w:pPr>
            <w:r w:rsidRPr="003961C2">
              <w:rPr>
                <w:rFonts w:asciiTheme="majorHAnsi" w:eastAsia="Times New Roman" w:hAnsiTheme="majorHAnsi" w:cs="Arial"/>
                <w:sz w:val="18"/>
                <w:szCs w:val="18"/>
              </w:rPr>
              <w:t>26.7</w:t>
            </w:r>
          </w:p>
        </w:tc>
        <w:tc>
          <w:tcPr>
            <w:tcW w:w="1080" w:type="dxa"/>
            <w:tcBorders>
              <w:top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781EFE" w:rsidRPr="003961C2" w:rsidRDefault="00781EFE" w:rsidP="00781EFE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8"/>
                <w:szCs w:val="18"/>
              </w:rPr>
            </w:pPr>
            <w:r w:rsidRPr="003961C2">
              <w:rPr>
                <w:rFonts w:asciiTheme="majorHAnsi" w:eastAsia="Times New Roman" w:hAnsiTheme="majorHAnsi" w:cs="Arial"/>
                <w:sz w:val="18"/>
                <w:szCs w:val="18"/>
              </w:rPr>
              <w:t>20.1 - 33.3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781EFE" w:rsidRPr="003961C2" w:rsidRDefault="00781EFE" w:rsidP="00781EFE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8"/>
                <w:szCs w:val="18"/>
              </w:rPr>
            </w:pPr>
            <w:r w:rsidRPr="003961C2">
              <w:rPr>
                <w:rFonts w:asciiTheme="majorHAnsi" w:eastAsia="Times New Roman" w:hAnsiTheme="majorHAnsi" w:cs="Arial"/>
                <w:sz w:val="18"/>
                <w:szCs w:val="18"/>
              </w:rPr>
              <w:t>550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  <w:noWrap/>
            <w:vAlign w:val="center"/>
            <w:hideMark/>
          </w:tcPr>
          <w:p w:rsidR="00781EFE" w:rsidRPr="003961C2" w:rsidRDefault="00781EFE" w:rsidP="00781EFE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8"/>
                <w:szCs w:val="18"/>
              </w:rPr>
            </w:pPr>
            <w:r w:rsidRPr="003961C2">
              <w:rPr>
                <w:rFonts w:asciiTheme="majorHAnsi" w:eastAsia="Times New Roman" w:hAnsiTheme="majorHAnsi" w:cs="Arial"/>
                <w:sz w:val="18"/>
                <w:szCs w:val="18"/>
              </w:rPr>
              <w:t>21.7</w:t>
            </w:r>
          </w:p>
        </w:tc>
        <w:tc>
          <w:tcPr>
            <w:tcW w:w="1080" w:type="dxa"/>
            <w:noWrap/>
            <w:vAlign w:val="center"/>
            <w:hideMark/>
          </w:tcPr>
          <w:p w:rsidR="00781EFE" w:rsidRPr="003961C2" w:rsidRDefault="00781EFE" w:rsidP="00781EFE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8"/>
                <w:szCs w:val="18"/>
              </w:rPr>
            </w:pPr>
            <w:r w:rsidRPr="003961C2">
              <w:rPr>
                <w:rFonts w:asciiTheme="majorHAnsi" w:eastAsia="Times New Roman" w:hAnsiTheme="majorHAnsi" w:cs="Arial"/>
                <w:sz w:val="18"/>
                <w:szCs w:val="18"/>
              </w:rPr>
              <w:t>15.4 - 28.0</w:t>
            </w:r>
          </w:p>
        </w:tc>
      </w:tr>
      <w:tr w:rsidR="00781EFE" w:rsidRPr="003961C2" w:rsidTr="007F3C3A">
        <w:trPr>
          <w:trHeight w:val="255"/>
        </w:trPr>
        <w:tc>
          <w:tcPr>
            <w:tcW w:w="3690" w:type="dxa"/>
            <w:noWrap/>
            <w:vAlign w:val="center"/>
            <w:hideMark/>
          </w:tcPr>
          <w:p w:rsidR="00781EFE" w:rsidRPr="003961C2" w:rsidRDefault="00781EFE" w:rsidP="00781EFE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</w:rPr>
            </w:pPr>
            <w:r w:rsidRPr="003961C2">
              <w:rPr>
                <w:rFonts w:asciiTheme="majorHAnsi" w:eastAsia="Times New Roman" w:hAnsiTheme="majorHAnsi" w:cs="Arial"/>
                <w:sz w:val="18"/>
                <w:szCs w:val="18"/>
              </w:rPr>
              <w:t>Had asthma attack, past 12 months</w:t>
            </w:r>
          </w:p>
        </w:tc>
        <w:tc>
          <w:tcPr>
            <w:tcW w:w="720" w:type="dxa"/>
            <w:noWrap/>
            <w:vAlign w:val="center"/>
            <w:hideMark/>
          </w:tcPr>
          <w:p w:rsidR="00781EFE" w:rsidRPr="003961C2" w:rsidRDefault="00781EFE" w:rsidP="00781EFE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8"/>
                <w:szCs w:val="18"/>
              </w:rPr>
            </w:pPr>
            <w:r w:rsidRPr="003961C2">
              <w:rPr>
                <w:rFonts w:asciiTheme="majorHAnsi" w:eastAsia="Times New Roman" w:hAnsiTheme="majorHAnsi" w:cs="Arial"/>
                <w:sz w:val="18"/>
                <w:szCs w:val="18"/>
              </w:rPr>
              <w:t>478</w:t>
            </w:r>
          </w:p>
        </w:tc>
        <w:tc>
          <w:tcPr>
            <w:tcW w:w="630" w:type="dxa"/>
            <w:noWrap/>
            <w:vAlign w:val="center"/>
            <w:hideMark/>
          </w:tcPr>
          <w:p w:rsidR="00781EFE" w:rsidRPr="003961C2" w:rsidRDefault="00781EFE" w:rsidP="00781EFE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8"/>
                <w:szCs w:val="18"/>
              </w:rPr>
            </w:pPr>
            <w:r w:rsidRPr="003961C2">
              <w:rPr>
                <w:rFonts w:asciiTheme="majorHAnsi" w:eastAsia="Times New Roman" w:hAnsiTheme="majorHAnsi" w:cs="Arial"/>
                <w:sz w:val="18"/>
                <w:szCs w:val="18"/>
              </w:rPr>
              <w:t>56.6</w:t>
            </w:r>
          </w:p>
        </w:tc>
        <w:tc>
          <w:tcPr>
            <w:tcW w:w="1080" w:type="dxa"/>
            <w:tcBorders>
              <w:top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781EFE" w:rsidRPr="003961C2" w:rsidRDefault="00781EFE" w:rsidP="00781EFE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8"/>
                <w:szCs w:val="18"/>
              </w:rPr>
            </w:pPr>
            <w:r w:rsidRPr="003961C2">
              <w:rPr>
                <w:rFonts w:asciiTheme="majorHAnsi" w:eastAsia="Times New Roman" w:hAnsiTheme="majorHAnsi" w:cs="Arial"/>
                <w:sz w:val="18"/>
                <w:szCs w:val="18"/>
              </w:rPr>
              <w:t>48.5 - 64.7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781EFE" w:rsidRPr="003961C2" w:rsidRDefault="00781EFE" w:rsidP="00781EFE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8"/>
                <w:szCs w:val="18"/>
              </w:rPr>
            </w:pPr>
            <w:r w:rsidRPr="003961C2">
              <w:rPr>
                <w:rFonts w:asciiTheme="majorHAnsi" w:eastAsia="Times New Roman" w:hAnsiTheme="majorHAnsi" w:cs="Arial"/>
                <w:sz w:val="18"/>
                <w:szCs w:val="18"/>
              </w:rPr>
              <w:t>566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  <w:noWrap/>
            <w:vAlign w:val="center"/>
            <w:hideMark/>
          </w:tcPr>
          <w:p w:rsidR="00781EFE" w:rsidRPr="003961C2" w:rsidRDefault="00781EFE" w:rsidP="00781EFE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8"/>
                <w:szCs w:val="18"/>
              </w:rPr>
            </w:pPr>
            <w:r w:rsidRPr="003961C2">
              <w:rPr>
                <w:rFonts w:asciiTheme="majorHAnsi" w:eastAsia="Times New Roman" w:hAnsiTheme="majorHAnsi" w:cs="Arial"/>
                <w:sz w:val="18"/>
                <w:szCs w:val="18"/>
              </w:rPr>
              <w:t>47.8</w:t>
            </w:r>
          </w:p>
        </w:tc>
        <w:tc>
          <w:tcPr>
            <w:tcW w:w="1080" w:type="dxa"/>
            <w:noWrap/>
            <w:vAlign w:val="center"/>
            <w:hideMark/>
          </w:tcPr>
          <w:p w:rsidR="00781EFE" w:rsidRPr="003961C2" w:rsidRDefault="00781EFE" w:rsidP="00781EFE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8"/>
                <w:szCs w:val="18"/>
              </w:rPr>
            </w:pPr>
            <w:r w:rsidRPr="003961C2">
              <w:rPr>
                <w:rFonts w:asciiTheme="majorHAnsi" w:eastAsia="Times New Roman" w:hAnsiTheme="majorHAnsi" w:cs="Arial"/>
                <w:sz w:val="18"/>
                <w:szCs w:val="18"/>
              </w:rPr>
              <w:t>40.6 - 55.0</w:t>
            </w:r>
          </w:p>
        </w:tc>
      </w:tr>
      <w:tr w:rsidR="00781EFE" w:rsidRPr="003961C2" w:rsidTr="007F3C3A">
        <w:trPr>
          <w:trHeight w:val="255"/>
        </w:trPr>
        <w:tc>
          <w:tcPr>
            <w:tcW w:w="3690" w:type="dxa"/>
            <w:tcBorders>
              <w:bottom w:val="nil"/>
            </w:tcBorders>
            <w:noWrap/>
            <w:vAlign w:val="center"/>
            <w:hideMark/>
          </w:tcPr>
          <w:p w:rsidR="00781EFE" w:rsidRPr="003961C2" w:rsidRDefault="00781EFE" w:rsidP="00781EFE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</w:rPr>
            </w:pPr>
            <w:r w:rsidRPr="003961C2">
              <w:rPr>
                <w:rFonts w:asciiTheme="majorHAnsi" w:eastAsia="Times New Roman" w:hAnsiTheme="majorHAnsi" w:cs="Arial"/>
                <w:sz w:val="18"/>
                <w:szCs w:val="18"/>
              </w:rPr>
              <w:t>Asthma limited usual activities, past 12 months</w:t>
            </w:r>
          </w:p>
        </w:tc>
        <w:tc>
          <w:tcPr>
            <w:tcW w:w="720" w:type="dxa"/>
            <w:tcBorders>
              <w:bottom w:val="nil"/>
            </w:tcBorders>
            <w:noWrap/>
            <w:vAlign w:val="center"/>
            <w:hideMark/>
          </w:tcPr>
          <w:p w:rsidR="00781EFE" w:rsidRPr="003961C2" w:rsidRDefault="00781EFE" w:rsidP="00781EFE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8"/>
                <w:szCs w:val="18"/>
              </w:rPr>
            </w:pPr>
            <w:r w:rsidRPr="003961C2">
              <w:rPr>
                <w:rFonts w:asciiTheme="majorHAnsi" w:eastAsia="Times New Roman" w:hAnsiTheme="majorHAnsi" w:cs="Arial"/>
                <w:sz w:val="18"/>
                <w:szCs w:val="18"/>
              </w:rPr>
              <w:t>481</w:t>
            </w:r>
          </w:p>
        </w:tc>
        <w:tc>
          <w:tcPr>
            <w:tcW w:w="630" w:type="dxa"/>
            <w:tcBorders>
              <w:bottom w:val="nil"/>
            </w:tcBorders>
            <w:noWrap/>
            <w:vAlign w:val="center"/>
            <w:hideMark/>
          </w:tcPr>
          <w:p w:rsidR="00781EFE" w:rsidRPr="003961C2" w:rsidRDefault="00781EFE" w:rsidP="00781EFE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8"/>
                <w:szCs w:val="18"/>
              </w:rPr>
            </w:pPr>
            <w:r w:rsidRPr="003961C2">
              <w:rPr>
                <w:rFonts w:asciiTheme="majorHAnsi" w:eastAsia="Times New Roman" w:hAnsiTheme="majorHAnsi" w:cs="Arial"/>
                <w:sz w:val="18"/>
                <w:szCs w:val="18"/>
              </w:rPr>
              <w:t>65.1</w:t>
            </w:r>
          </w:p>
        </w:tc>
        <w:tc>
          <w:tcPr>
            <w:tcW w:w="1080" w:type="dxa"/>
            <w:tcBorders>
              <w:top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781EFE" w:rsidRPr="003961C2" w:rsidRDefault="00781EFE" w:rsidP="00781EFE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8"/>
                <w:szCs w:val="18"/>
              </w:rPr>
            </w:pPr>
            <w:r w:rsidRPr="003961C2">
              <w:rPr>
                <w:rFonts w:asciiTheme="majorHAnsi" w:eastAsia="Times New Roman" w:hAnsiTheme="majorHAnsi" w:cs="Arial"/>
                <w:sz w:val="18"/>
                <w:szCs w:val="18"/>
              </w:rPr>
              <w:t>56.5 - 73.8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781EFE" w:rsidRPr="003961C2" w:rsidRDefault="00781EFE" w:rsidP="00781EFE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8"/>
                <w:szCs w:val="18"/>
              </w:rPr>
            </w:pPr>
            <w:r w:rsidRPr="003961C2">
              <w:rPr>
                <w:rFonts w:asciiTheme="majorHAnsi" w:eastAsia="Times New Roman" w:hAnsiTheme="majorHAnsi" w:cs="Arial"/>
                <w:sz w:val="18"/>
                <w:szCs w:val="18"/>
              </w:rPr>
              <w:t>565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  <w:noWrap/>
            <w:vAlign w:val="center"/>
            <w:hideMark/>
          </w:tcPr>
          <w:p w:rsidR="00781EFE" w:rsidRPr="003961C2" w:rsidRDefault="00781EFE" w:rsidP="00781EFE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8"/>
                <w:szCs w:val="18"/>
              </w:rPr>
            </w:pPr>
            <w:r w:rsidRPr="003961C2">
              <w:rPr>
                <w:rFonts w:asciiTheme="majorHAnsi" w:eastAsia="Times New Roman" w:hAnsiTheme="majorHAnsi" w:cs="Arial"/>
                <w:sz w:val="18"/>
                <w:szCs w:val="18"/>
              </w:rPr>
              <w:t>55.1</w:t>
            </w:r>
          </w:p>
        </w:tc>
        <w:tc>
          <w:tcPr>
            <w:tcW w:w="1080" w:type="dxa"/>
            <w:tcBorders>
              <w:bottom w:val="nil"/>
            </w:tcBorders>
            <w:noWrap/>
            <w:vAlign w:val="center"/>
            <w:hideMark/>
          </w:tcPr>
          <w:p w:rsidR="00781EFE" w:rsidRPr="003961C2" w:rsidRDefault="00781EFE" w:rsidP="00781EFE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8"/>
                <w:szCs w:val="18"/>
              </w:rPr>
            </w:pPr>
            <w:r w:rsidRPr="003961C2">
              <w:rPr>
                <w:rFonts w:asciiTheme="majorHAnsi" w:eastAsia="Times New Roman" w:hAnsiTheme="majorHAnsi" w:cs="Arial"/>
                <w:sz w:val="18"/>
                <w:szCs w:val="18"/>
              </w:rPr>
              <w:t>48.1 - 62.0</w:t>
            </w:r>
          </w:p>
        </w:tc>
      </w:tr>
      <w:tr w:rsidR="00781EFE" w:rsidRPr="003961C2" w:rsidTr="007F3C3A">
        <w:trPr>
          <w:trHeight w:val="450"/>
        </w:trPr>
        <w:tc>
          <w:tcPr>
            <w:tcW w:w="3690" w:type="dxa"/>
            <w:tcBorders>
              <w:top w:val="nil"/>
              <w:bottom w:val="single" w:sz="12" w:space="0" w:color="auto"/>
            </w:tcBorders>
            <w:noWrap/>
            <w:vAlign w:val="center"/>
            <w:hideMark/>
          </w:tcPr>
          <w:p w:rsidR="00781EFE" w:rsidRPr="003961C2" w:rsidRDefault="00781EFE" w:rsidP="00781EFE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</w:rPr>
            </w:pPr>
            <w:r w:rsidRPr="003961C2">
              <w:rPr>
                <w:rFonts w:asciiTheme="majorHAnsi" w:eastAsia="Times New Roman" w:hAnsiTheme="majorHAnsi" w:cs="Arial"/>
                <w:sz w:val="18"/>
                <w:szCs w:val="18"/>
              </w:rPr>
              <w:t>ED visit or other urgent care visit for asthma, past 12 months</w:t>
            </w:r>
          </w:p>
        </w:tc>
        <w:tc>
          <w:tcPr>
            <w:tcW w:w="720" w:type="dxa"/>
            <w:tcBorders>
              <w:top w:val="nil"/>
              <w:bottom w:val="single" w:sz="12" w:space="0" w:color="auto"/>
            </w:tcBorders>
            <w:noWrap/>
            <w:vAlign w:val="center"/>
            <w:hideMark/>
          </w:tcPr>
          <w:p w:rsidR="00781EFE" w:rsidRPr="003961C2" w:rsidRDefault="00781EFE" w:rsidP="00781EFE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8"/>
                <w:szCs w:val="18"/>
              </w:rPr>
            </w:pPr>
            <w:r w:rsidRPr="003961C2">
              <w:rPr>
                <w:rFonts w:asciiTheme="majorHAnsi" w:eastAsia="Times New Roman" w:hAnsiTheme="majorHAnsi" w:cs="Arial"/>
                <w:sz w:val="18"/>
                <w:szCs w:val="18"/>
              </w:rPr>
              <w:t>479</w:t>
            </w:r>
          </w:p>
        </w:tc>
        <w:tc>
          <w:tcPr>
            <w:tcW w:w="630" w:type="dxa"/>
            <w:tcBorders>
              <w:top w:val="nil"/>
              <w:bottom w:val="single" w:sz="12" w:space="0" w:color="auto"/>
            </w:tcBorders>
            <w:noWrap/>
            <w:vAlign w:val="center"/>
            <w:hideMark/>
          </w:tcPr>
          <w:p w:rsidR="00781EFE" w:rsidRPr="003961C2" w:rsidRDefault="00781EFE" w:rsidP="00781EFE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8"/>
                <w:szCs w:val="18"/>
              </w:rPr>
            </w:pPr>
            <w:r w:rsidRPr="003961C2">
              <w:rPr>
                <w:rFonts w:asciiTheme="majorHAnsi" w:eastAsia="Times New Roman" w:hAnsiTheme="majorHAnsi" w:cs="Arial"/>
                <w:sz w:val="18"/>
                <w:szCs w:val="18"/>
              </w:rPr>
              <w:t>13.8</w:t>
            </w:r>
          </w:p>
        </w:tc>
        <w:tc>
          <w:tcPr>
            <w:tcW w:w="1080" w:type="dxa"/>
            <w:tcBorders>
              <w:top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781EFE" w:rsidRPr="003961C2" w:rsidRDefault="00781EFE" w:rsidP="00781EFE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8"/>
                <w:szCs w:val="18"/>
              </w:rPr>
            </w:pPr>
            <w:r w:rsidRPr="003961C2">
              <w:rPr>
                <w:rFonts w:asciiTheme="majorHAnsi" w:eastAsia="Times New Roman" w:hAnsiTheme="majorHAnsi" w:cs="Arial"/>
                <w:sz w:val="18"/>
                <w:szCs w:val="18"/>
              </w:rPr>
              <w:t xml:space="preserve">  9.1 - 18.6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noWrap/>
            <w:vAlign w:val="center"/>
            <w:hideMark/>
          </w:tcPr>
          <w:p w:rsidR="00781EFE" w:rsidRPr="003961C2" w:rsidRDefault="00781EFE" w:rsidP="00781EFE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8"/>
                <w:szCs w:val="18"/>
              </w:rPr>
            </w:pPr>
            <w:r w:rsidRPr="003961C2">
              <w:rPr>
                <w:rFonts w:asciiTheme="majorHAnsi" w:eastAsia="Times New Roman" w:hAnsiTheme="majorHAnsi" w:cs="Arial"/>
                <w:sz w:val="18"/>
                <w:szCs w:val="18"/>
              </w:rPr>
              <w:t>571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</w:tcBorders>
            <w:noWrap/>
            <w:vAlign w:val="center"/>
            <w:hideMark/>
          </w:tcPr>
          <w:p w:rsidR="00781EFE" w:rsidRPr="003961C2" w:rsidRDefault="00781EFE" w:rsidP="00781EFE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8"/>
                <w:szCs w:val="18"/>
              </w:rPr>
            </w:pPr>
            <w:r w:rsidRPr="003961C2">
              <w:rPr>
                <w:rFonts w:asciiTheme="majorHAnsi" w:eastAsia="Times New Roman" w:hAnsiTheme="majorHAnsi" w:cs="Arial"/>
                <w:sz w:val="18"/>
                <w:szCs w:val="18"/>
              </w:rPr>
              <w:t>12.0</w:t>
            </w:r>
          </w:p>
        </w:tc>
        <w:tc>
          <w:tcPr>
            <w:tcW w:w="1080" w:type="dxa"/>
            <w:tcBorders>
              <w:top w:val="nil"/>
              <w:bottom w:val="single" w:sz="12" w:space="0" w:color="auto"/>
            </w:tcBorders>
            <w:noWrap/>
            <w:vAlign w:val="center"/>
            <w:hideMark/>
          </w:tcPr>
          <w:p w:rsidR="00781EFE" w:rsidRPr="003961C2" w:rsidRDefault="00781EFE" w:rsidP="00781EFE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8"/>
                <w:szCs w:val="18"/>
              </w:rPr>
            </w:pPr>
            <w:r w:rsidRPr="003961C2">
              <w:rPr>
                <w:rFonts w:asciiTheme="majorHAnsi" w:eastAsia="Times New Roman" w:hAnsiTheme="majorHAnsi" w:cs="Arial"/>
                <w:sz w:val="18"/>
                <w:szCs w:val="18"/>
              </w:rPr>
              <w:t xml:space="preserve">  7.4 - 16.5</w:t>
            </w:r>
          </w:p>
        </w:tc>
      </w:tr>
    </w:tbl>
    <w:p w:rsidR="00781EFE" w:rsidRPr="003961C2" w:rsidRDefault="00781EFE" w:rsidP="00B135C8">
      <w:pPr>
        <w:spacing w:after="0" w:line="240" w:lineRule="auto"/>
        <w:rPr>
          <w:rFonts w:asciiTheme="majorHAnsi" w:eastAsia="Times New Roman" w:hAnsiTheme="majorHAnsi" w:cs="Arial"/>
          <w:sz w:val="16"/>
          <w:szCs w:val="16"/>
        </w:rPr>
      </w:pPr>
      <w:r w:rsidRPr="003961C2">
        <w:rPr>
          <w:rFonts w:asciiTheme="majorHAnsi" w:eastAsia="Times New Roman" w:hAnsiTheme="majorHAnsi" w:cs="Arial"/>
          <w:sz w:val="16"/>
          <w:szCs w:val="16"/>
        </w:rPr>
        <w:t xml:space="preserve">1 Sample size is the number of respondents who answered the corresponding questions(s). </w:t>
      </w:r>
    </w:p>
    <w:p w:rsidR="00781EFE" w:rsidRPr="003961C2" w:rsidRDefault="00781EFE" w:rsidP="00B135C8">
      <w:pPr>
        <w:spacing w:after="0" w:line="240" w:lineRule="auto"/>
        <w:rPr>
          <w:rFonts w:asciiTheme="majorHAnsi" w:eastAsia="Times New Roman" w:hAnsiTheme="majorHAnsi" w:cs="Arial"/>
          <w:sz w:val="16"/>
          <w:szCs w:val="16"/>
        </w:rPr>
      </w:pPr>
      <w:r w:rsidRPr="003961C2">
        <w:rPr>
          <w:rFonts w:asciiTheme="majorHAnsi" w:eastAsia="Times New Roman" w:hAnsiTheme="majorHAnsi" w:cs="Arial"/>
          <w:sz w:val="16"/>
          <w:szCs w:val="16"/>
        </w:rPr>
        <w:t xml:space="preserve">2 Percent is weighted to population characteristics. </w:t>
      </w:r>
    </w:p>
    <w:p w:rsidR="00781EFE" w:rsidRPr="003961C2" w:rsidRDefault="00781EFE" w:rsidP="00B135C8">
      <w:pPr>
        <w:spacing w:after="0" w:line="240" w:lineRule="auto"/>
        <w:rPr>
          <w:rFonts w:asciiTheme="majorHAnsi" w:eastAsia="Times New Roman" w:hAnsiTheme="majorHAnsi" w:cs="Arial"/>
          <w:sz w:val="16"/>
          <w:szCs w:val="16"/>
        </w:rPr>
      </w:pPr>
      <w:proofErr w:type="gramStart"/>
      <w:r w:rsidRPr="003961C2">
        <w:rPr>
          <w:rFonts w:asciiTheme="majorHAnsi" w:eastAsia="Times New Roman" w:hAnsiTheme="majorHAnsi" w:cs="Arial"/>
          <w:sz w:val="16"/>
          <w:szCs w:val="16"/>
        </w:rPr>
        <w:t>3 95% Confidence Interval.</w:t>
      </w:r>
      <w:proofErr w:type="gramEnd"/>
    </w:p>
    <w:p w:rsidR="00781EFE" w:rsidRPr="003961C2" w:rsidRDefault="00781EFE" w:rsidP="00B135C8">
      <w:pPr>
        <w:spacing w:after="360" w:line="240" w:lineRule="auto"/>
        <w:rPr>
          <w:rFonts w:asciiTheme="majorHAnsi" w:eastAsia="Times New Roman" w:hAnsiTheme="majorHAnsi" w:cs="Arial"/>
          <w:sz w:val="16"/>
          <w:szCs w:val="16"/>
        </w:rPr>
      </w:pPr>
      <w:r w:rsidRPr="003961C2">
        <w:rPr>
          <w:rFonts w:asciiTheme="majorHAnsi" w:eastAsia="Times New Roman" w:hAnsiTheme="majorHAnsi" w:cs="Arial"/>
          <w:sz w:val="16"/>
          <w:szCs w:val="16"/>
        </w:rPr>
        <w:t>Data Source: 2006-2010 BRFSS Adult Asthma Call-back Survey, Massachusetts Department of Public Health</w:t>
      </w:r>
    </w:p>
    <w:p w:rsidR="002E0B4A" w:rsidRDefault="002E0B4A" w:rsidP="002E0B4A">
      <w:pPr>
        <w:spacing w:after="0" w:line="240" w:lineRule="auto"/>
        <w:rPr>
          <w:rFonts w:asciiTheme="majorHAnsi" w:eastAsia="Times New Roman" w:hAnsiTheme="majorHAnsi" w:cs="Arial"/>
          <w:b/>
          <w:sz w:val="24"/>
          <w:szCs w:val="24"/>
          <w:u w:val="single"/>
        </w:rPr>
      </w:pPr>
    </w:p>
    <w:p w:rsidR="002E0B4A" w:rsidRDefault="002E0B4A" w:rsidP="002E0B4A">
      <w:pPr>
        <w:spacing w:after="0" w:line="240" w:lineRule="auto"/>
        <w:rPr>
          <w:rFonts w:asciiTheme="majorHAnsi" w:eastAsia="Times New Roman" w:hAnsiTheme="majorHAnsi" w:cs="Arial"/>
          <w:b/>
          <w:sz w:val="24"/>
          <w:szCs w:val="24"/>
          <w:u w:val="single"/>
        </w:rPr>
      </w:pPr>
    </w:p>
    <w:p w:rsidR="002E0B4A" w:rsidRDefault="002E0B4A" w:rsidP="002E0B4A">
      <w:pPr>
        <w:spacing w:after="0" w:line="240" w:lineRule="auto"/>
        <w:rPr>
          <w:rFonts w:asciiTheme="majorHAnsi" w:eastAsia="Times New Roman" w:hAnsiTheme="majorHAnsi" w:cs="Arial"/>
          <w:b/>
          <w:sz w:val="24"/>
          <w:szCs w:val="24"/>
          <w:u w:val="single"/>
        </w:rPr>
      </w:pPr>
    </w:p>
    <w:p w:rsidR="002E0B4A" w:rsidRDefault="002E0B4A" w:rsidP="002E0B4A">
      <w:pPr>
        <w:spacing w:after="0" w:line="240" w:lineRule="auto"/>
        <w:rPr>
          <w:rFonts w:asciiTheme="majorHAnsi" w:eastAsia="Times New Roman" w:hAnsiTheme="majorHAnsi" w:cs="Arial"/>
          <w:b/>
          <w:sz w:val="24"/>
          <w:szCs w:val="24"/>
          <w:u w:val="single"/>
        </w:rPr>
      </w:pPr>
    </w:p>
    <w:p w:rsidR="002E0B4A" w:rsidRDefault="002E0B4A" w:rsidP="002E0B4A">
      <w:pPr>
        <w:spacing w:after="0" w:line="240" w:lineRule="auto"/>
        <w:rPr>
          <w:rFonts w:asciiTheme="majorHAnsi" w:eastAsia="Times New Roman" w:hAnsiTheme="majorHAnsi" w:cs="Arial"/>
          <w:b/>
          <w:sz w:val="24"/>
          <w:szCs w:val="24"/>
          <w:u w:val="single"/>
        </w:rPr>
      </w:pPr>
    </w:p>
    <w:p w:rsidR="002E0B4A" w:rsidRDefault="002E0B4A" w:rsidP="002E0B4A">
      <w:pPr>
        <w:spacing w:after="0" w:line="240" w:lineRule="auto"/>
        <w:rPr>
          <w:rFonts w:asciiTheme="majorHAnsi" w:eastAsia="Times New Roman" w:hAnsiTheme="majorHAnsi" w:cs="Arial"/>
          <w:b/>
          <w:sz w:val="24"/>
          <w:szCs w:val="24"/>
          <w:u w:val="single"/>
        </w:rPr>
      </w:pPr>
    </w:p>
    <w:p w:rsidR="002E0B4A" w:rsidRDefault="002E0B4A" w:rsidP="002E0B4A">
      <w:pPr>
        <w:spacing w:after="0" w:line="240" w:lineRule="auto"/>
        <w:rPr>
          <w:rFonts w:asciiTheme="majorHAnsi" w:eastAsia="Times New Roman" w:hAnsiTheme="majorHAnsi" w:cs="Arial"/>
          <w:b/>
          <w:sz w:val="24"/>
          <w:szCs w:val="24"/>
          <w:u w:val="single"/>
        </w:rPr>
      </w:pPr>
    </w:p>
    <w:p w:rsidR="002E0B4A" w:rsidRDefault="002E0B4A" w:rsidP="002E0B4A">
      <w:pPr>
        <w:spacing w:after="0" w:line="240" w:lineRule="auto"/>
        <w:rPr>
          <w:rFonts w:asciiTheme="majorHAnsi" w:eastAsia="Times New Roman" w:hAnsiTheme="majorHAnsi" w:cs="Arial"/>
          <w:b/>
          <w:sz w:val="24"/>
          <w:szCs w:val="24"/>
          <w:u w:val="single"/>
        </w:rPr>
      </w:pPr>
    </w:p>
    <w:p w:rsidR="002E0B4A" w:rsidRDefault="002E0B4A" w:rsidP="002E0B4A">
      <w:pPr>
        <w:spacing w:after="0" w:line="240" w:lineRule="auto"/>
        <w:rPr>
          <w:rFonts w:asciiTheme="majorHAnsi" w:eastAsia="Times New Roman" w:hAnsiTheme="majorHAnsi" w:cs="Arial"/>
          <w:b/>
          <w:sz w:val="24"/>
          <w:szCs w:val="24"/>
          <w:u w:val="single"/>
        </w:rPr>
      </w:pPr>
    </w:p>
    <w:p w:rsidR="002E0B4A" w:rsidRDefault="002E0B4A" w:rsidP="002E0B4A">
      <w:pPr>
        <w:spacing w:after="0" w:line="240" w:lineRule="auto"/>
        <w:rPr>
          <w:rFonts w:asciiTheme="majorHAnsi" w:eastAsia="Times New Roman" w:hAnsiTheme="majorHAnsi" w:cs="Arial"/>
          <w:b/>
          <w:sz w:val="24"/>
          <w:szCs w:val="24"/>
          <w:u w:val="single"/>
        </w:rPr>
      </w:pPr>
    </w:p>
    <w:p w:rsidR="002E0B4A" w:rsidRDefault="002E0B4A" w:rsidP="002E0B4A">
      <w:pPr>
        <w:spacing w:after="0" w:line="240" w:lineRule="auto"/>
        <w:rPr>
          <w:rFonts w:asciiTheme="majorHAnsi" w:eastAsia="Times New Roman" w:hAnsiTheme="majorHAnsi" w:cs="Arial"/>
          <w:b/>
          <w:sz w:val="24"/>
          <w:szCs w:val="24"/>
          <w:u w:val="single"/>
        </w:rPr>
      </w:pPr>
    </w:p>
    <w:p w:rsidR="002E0B4A" w:rsidRDefault="002E0B4A" w:rsidP="002E0B4A">
      <w:pPr>
        <w:spacing w:after="0" w:line="240" w:lineRule="auto"/>
        <w:rPr>
          <w:rFonts w:asciiTheme="majorHAnsi" w:eastAsia="Times New Roman" w:hAnsiTheme="majorHAnsi" w:cs="Arial"/>
          <w:b/>
          <w:sz w:val="24"/>
          <w:szCs w:val="24"/>
          <w:u w:val="single"/>
        </w:rPr>
      </w:pPr>
    </w:p>
    <w:p w:rsidR="002E0B4A" w:rsidRPr="003961C2" w:rsidRDefault="002E0B4A" w:rsidP="002E0B4A">
      <w:pPr>
        <w:spacing w:after="0" w:line="240" w:lineRule="auto"/>
        <w:rPr>
          <w:rFonts w:asciiTheme="majorHAnsi" w:eastAsia="Times New Roman" w:hAnsiTheme="majorHAnsi" w:cs="Arial"/>
          <w:b/>
          <w:sz w:val="24"/>
          <w:szCs w:val="24"/>
          <w:u w:val="single"/>
        </w:rPr>
      </w:pPr>
      <w:r>
        <w:rPr>
          <w:rFonts w:asciiTheme="majorHAnsi" w:eastAsia="Times New Roman" w:hAnsiTheme="majorHAnsi" w:cs="Arial"/>
          <w:b/>
          <w:sz w:val="24"/>
          <w:szCs w:val="24"/>
          <w:u w:val="single"/>
        </w:rPr>
        <w:lastRenderedPageBreak/>
        <w:t xml:space="preserve">Information on </w:t>
      </w:r>
      <w:r w:rsidRPr="003961C2">
        <w:rPr>
          <w:rFonts w:asciiTheme="majorHAnsi" w:eastAsia="Times New Roman" w:hAnsiTheme="majorHAnsi" w:cs="Arial"/>
          <w:b/>
          <w:sz w:val="24"/>
          <w:szCs w:val="24"/>
          <w:u w:val="single"/>
        </w:rPr>
        <w:t xml:space="preserve">Data Source and Methods  </w:t>
      </w:r>
    </w:p>
    <w:p w:rsidR="002E0B4A" w:rsidRPr="003961C2" w:rsidRDefault="002E0B4A" w:rsidP="002E0B4A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</w:rPr>
      </w:pPr>
    </w:p>
    <w:p w:rsidR="002E0B4A" w:rsidRPr="003961C2" w:rsidRDefault="002E0B4A" w:rsidP="002E0B4A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</w:rPr>
      </w:pPr>
      <w:r w:rsidRPr="003961C2">
        <w:rPr>
          <w:rFonts w:asciiTheme="majorHAnsi" w:eastAsia="Times New Roman" w:hAnsiTheme="majorHAnsi" w:cs="Arial"/>
          <w:sz w:val="24"/>
          <w:szCs w:val="24"/>
        </w:rPr>
        <w:t>The Massachusetts Behavioral Risk Factor Surveillance System (BRFSS) provides self-reported population-based data on a variety of health indicators</w:t>
      </w:r>
      <w:r>
        <w:rPr>
          <w:rFonts w:asciiTheme="majorHAnsi" w:eastAsia="Times New Roman" w:hAnsiTheme="majorHAnsi" w:cs="Arial"/>
          <w:sz w:val="24"/>
          <w:szCs w:val="24"/>
        </w:rPr>
        <w:t>.  BRFSS respondents who report having been diagnosed with asthma are asked to participate in the Asthma Call-Back Survey (ACBS)</w:t>
      </w:r>
      <w:r w:rsidRPr="003961C2">
        <w:rPr>
          <w:rFonts w:asciiTheme="majorHAnsi" w:eastAsia="Times New Roman" w:hAnsiTheme="majorHAnsi" w:cs="Arial"/>
          <w:sz w:val="24"/>
          <w:szCs w:val="24"/>
        </w:rPr>
        <w:t xml:space="preserve">. </w:t>
      </w:r>
      <w:r>
        <w:rPr>
          <w:rFonts w:asciiTheme="majorHAnsi" w:eastAsia="Times New Roman" w:hAnsiTheme="majorHAnsi" w:cs="Arial"/>
          <w:sz w:val="24"/>
          <w:szCs w:val="24"/>
        </w:rPr>
        <w:t xml:space="preserve"> Since</w:t>
      </w:r>
      <w:r w:rsidRPr="003961C2">
        <w:rPr>
          <w:rFonts w:asciiTheme="majorHAnsi" w:eastAsia="Times New Roman" w:hAnsiTheme="majorHAnsi" w:cs="Arial"/>
          <w:sz w:val="24"/>
          <w:szCs w:val="24"/>
        </w:rPr>
        <w:t xml:space="preserve"> 2006, an extensive list of questions on work-related asthma has been included in the BRFSS Adult ACBS.</w:t>
      </w:r>
    </w:p>
    <w:p w:rsidR="002E0B4A" w:rsidRPr="003961C2" w:rsidRDefault="002E0B4A" w:rsidP="002E0B4A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</w:rPr>
      </w:pPr>
    </w:p>
    <w:p w:rsidR="002E0B4A" w:rsidRPr="003961C2" w:rsidRDefault="002E0B4A" w:rsidP="002E0B4A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</w:rPr>
      </w:pPr>
      <w:r w:rsidRPr="003961C2">
        <w:rPr>
          <w:rFonts w:asciiTheme="majorHAnsi" w:eastAsia="Times New Roman" w:hAnsiTheme="majorHAnsi" w:cs="Arial"/>
          <w:sz w:val="24"/>
          <w:szCs w:val="24"/>
        </w:rPr>
        <w:t xml:space="preserve">The seven questions below pertaining to asthma and the work environment were asked of ACBS respondents who had ever </w:t>
      </w:r>
      <w:r>
        <w:rPr>
          <w:rFonts w:asciiTheme="majorHAnsi" w:eastAsia="Times New Roman" w:hAnsiTheme="majorHAnsi" w:cs="Arial"/>
          <w:sz w:val="24"/>
          <w:szCs w:val="24"/>
        </w:rPr>
        <w:t>been employed</w:t>
      </w:r>
      <w:r w:rsidRPr="003961C2">
        <w:rPr>
          <w:rFonts w:asciiTheme="majorHAnsi" w:eastAsia="Times New Roman" w:hAnsiTheme="majorHAnsi" w:cs="Arial"/>
          <w:sz w:val="24"/>
          <w:szCs w:val="24"/>
        </w:rPr>
        <w:t xml:space="preserve"> (i.e., currently employed or had ever worked outside the home, despite being currently unemployed). </w:t>
      </w:r>
    </w:p>
    <w:p w:rsidR="002E0B4A" w:rsidRPr="003961C2" w:rsidRDefault="002E0B4A" w:rsidP="002E0B4A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</w:rPr>
      </w:pPr>
      <w:r w:rsidRPr="003961C2">
        <w:rPr>
          <w:rFonts w:asciiTheme="majorHAnsi" w:eastAsia="Times New Roman" w:hAnsiTheme="majorHAnsi" w:cs="Arial"/>
          <w:sz w:val="24"/>
          <w:szCs w:val="24"/>
        </w:rPr>
        <w:t xml:space="preserve"> </w:t>
      </w:r>
    </w:p>
    <w:p w:rsidR="002E0B4A" w:rsidRPr="003961C2" w:rsidRDefault="002E0B4A" w:rsidP="002E0B4A">
      <w:pPr>
        <w:numPr>
          <w:ilvl w:val="0"/>
          <w:numId w:val="2"/>
        </w:numPr>
        <w:spacing w:after="0" w:line="240" w:lineRule="auto"/>
        <w:rPr>
          <w:rFonts w:asciiTheme="majorHAnsi" w:eastAsia="Times New Roman" w:hAnsiTheme="majorHAnsi" w:cs="Arial"/>
          <w:sz w:val="24"/>
          <w:szCs w:val="24"/>
        </w:rPr>
      </w:pPr>
      <w:r w:rsidRPr="003961C2">
        <w:rPr>
          <w:rFonts w:asciiTheme="majorHAnsi" w:eastAsia="Times New Roman" w:hAnsiTheme="majorHAnsi" w:cs="Arial"/>
          <w:sz w:val="24"/>
          <w:szCs w:val="24"/>
        </w:rPr>
        <w:t xml:space="preserve">Were you ever told by a doctor or other health professional that your asthma was related to any job you ever had? </w:t>
      </w:r>
    </w:p>
    <w:p w:rsidR="002E0B4A" w:rsidRPr="003961C2" w:rsidRDefault="002E0B4A" w:rsidP="002E0B4A">
      <w:pPr>
        <w:numPr>
          <w:ilvl w:val="0"/>
          <w:numId w:val="2"/>
        </w:numPr>
        <w:spacing w:after="0" w:line="240" w:lineRule="auto"/>
        <w:rPr>
          <w:rFonts w:asciiTheme="majorHAnsi" w:eastAsia="Times New Roman" w:hAnsiTheme="majorHAnsi" w:cs="Arial"/>
          <w:sz w:val="24"/>
          <w:szCs w:val="24"/>
        </w:rPr>
      </w:pPr>
      <w:r w:rsidRPr="003961C2">
        <w:rPr>
          <w:rFonts w:asciiTheme="majorHAnsi" w:eastAsia="Times New Roman" w:hAnsiTheme="majorHAnsi" w:cs="Arial"/>
          <w:sz w:val="24"/>
          <w:szCs w:val="24"/>
        </w:rPr>
        <w:t>Did you ever tell a doctor or other health professional that your asthma was related to any job you ever had?</w:t>
      </w:r>
    </w:p>
    <w:p w:rsidR="002E0B4A" w:rsidRPr="003961C2" w:rsidRDefault="002E0B4A" w:rsidP="002E0B4A">
      <w:pPr>
        <w:numPr>
          <w:ilvl w:val="0"/>
          <w:numId w:val="2"/>
        </w:numPr>
        <w:spacing w:after="0" w:line="240" w:lineRule="auto"/>
        <w:rPr>
          <w:rFonts w:asciiTheme="majorHAnsi" w:eastAsia="Times New Roman" w:hAnsiTheme="majorHAnsi" w:cs="Arial"/>
          <w:sz w:val="24"/>
          <w:szCs w:val="24"/>
        </w:rPr>
      </w:pPr>
      <w:r w:rsidRPr="003961C2">
        <w:rPr>
          <w:rFonts w:asciiTheme="majorHAnsi" w:eastAsia="Times New Roman" w:hAnsiTheme="majorHAnsi" w:cs="Arial"/>
          <w:sz w:val="24"/>
          <w:szCs w:val="24"/>
        </w:rPr>
        <w:t>Was your asthma caused by chemicals, smoke, fumes or dust in your current job?</w:t>
      </w:r>
    </w:p>
    <w:p w:rsidR="002E0B4A" w:rsidRPr="003961C2" w:rsidRDefault="002E0B4A" w:rsidP="002E0B4A">
      <w:pPr>
        <w:numPr>
          <w:ilvl w:val="0"/>
          <w:numId w:val="2"/>
        </w:numPr>
        <w:spacing w:after="0" w:line="240" w:lineRule="auto"/>
        <w:rPr>
          <w:rFonts w:asciiTheme="majorHAnsi" w:eastAsia="Times New Roman" w:hAnsiTheme="majorHAnsi" w:cs="Arial"/>
          <w:sz w:val="24"/>
          <w:szCs w:val="24"/>
        </w:rPr>
      </w:pPr>
      <w:r w:rsidRPr="003961C2">
        <w:rPr>
          <w:rFonts w:asciiTheme="majorHAnsi" w:eastAsia="Times New Roman" w:hAnsiTheme="majorHAnsi" w:cs="Arial"/>
          <w:sz w:val="24"/>
          <w:szCs w:val="24"/>
        </w:rPr>
        <w:t>Is your asthma made worse by chemicals, smoke, fumes or dust in your current job?</w:t>
      </w:r>
    </w:p>
    <w:p w:rsidR="002E0B4A" w:rsidRPr="003961C2" w:rsidRDefault="002E0B4A" w:rsidP="002E0B4A">
      <w:pPr>
        <w:numPr>
          <w:ilvl w:val="0"/>
          <w:numId w:val="2"/>
        </w:numPr>
        <w:spacing w:after="0" w:line="240" w:lineRule="auto"/>
        <w:rPr>
          <w:rFonts w:asciiTheme="majorHAnsi" w:eastAsia="Times New Roman" w:hAnsiTheme="majorHAnsi" w:cs="Arial"/>
          <w:sz w:val="24"/>
          <w:szCs w:val="24"/>
        </w:rPr>
      </w:pPr>
      <w:r w:rsidRPr="003961C2">
        <w:rPr>
          <w:rFonts w:asciiTheme="majorHAnsi" w:eastAsia="Times New Roman" w:hAnsiTheme="majorHAnsi" w:cs="Arial"/>
          <w:sz w:val="24"/>
          <w:szCs w:val="24"/>
        </w:rPr>
        <w:t>Was your asthma caused by chemicals, smoke, fumes or dust in any previous job you ever had?</w:t>
      </w:r>
    </w:p>
    <w:p w:rsidR="002E0B4A" w:rsidRPr="003961C2" w:rsidRDefault="002E0B4A" w:rsidP="002E0B4A">
      <w:pPr>
        <w:numPr>
          <w:ilvl w:val="0"/>
          <w:numId w:val="2"/>
        </w:numPr>
        <w:spacing w:after="0" w:line="240" w:lineRule="auto"/>
        <w:rPr>
          <w:rFonts w:asciiTheme="majorHAnsi" w:eastAsia="Times New Roman" w:hAnsiTheme="majorHAnsi" w:cs="Arial"/>
          <w:sz w:val="24"/>
          <w:szCs w:val="24"/>
        </w:rPr>
      </w:pPr>
      <w:r w:rsidRPr="003961C2">
        <w:rPr>
          <w:rFonts w:asciiTheme="majorHAnsi" w:eastAsia="Times New Roman" w:hAnsiTheme="majorHAnsi" w:cs="Arial"/>
          <w:sz w:val="24"/>
          <w:szCs w:val="24"/>
        </w:rPr>
        <w:t>Was your asthma made worse by chemicals, smoke, fumes or dust in any previous job you ever had?</w:t>
      </w:r>
    </w:p>
    <w:p w:rsidR="002E0B4A" w:rsidRPr="003961C2" w:rsidRDefault="002E0B4A" w:rsidP="002E0B4A">
      <w:pPr>
        <w:numPr>
          <w:ilvl w:val="0"/>
          <w:numId w:val="2"/>
        </w:numPr>
        <w:spacing w:after="0" w:line="240" w:lineRule="auto"/>
        <w:rPr>
          <w:rFonts w:asciiTheme="majorHAnsi" w:eastAsia="Times New Roman" w:hAnsiTheme="majorHAnsi" w:cs="Arial"/>
          <w:sz w:val="24"/>
          <w:szCs w:val="24"/>
        </w:rPr>
      </w:pPr>
      <w:r w:rsidRPr="003961C2">
        <w:rPr>
          <w:rFonts w:asciiTheme="majorHAnsi" w:eastAsia="Times New Roman" w:hAnsiTheme="majorHAnsi" w:cs="Arial"/>
          <w:sz w:val="24"/>
          <w:szCs w:val="24"/>
        </w:rPr>
        <w:t>Did you ever change or quit a job because chemicals, smoke, fumes or dust caused your asthma or made your asthma worse?</w:t>
      </w:r>
    </w:p>
    <w:p w:rsidR="002E0B4A" w:rsidRPr="003961C2" w:rsidRDefault="002E0B4A" w:rsidP="002E0B4A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</w:rPr>
      </w:pPr>
    </w:p>
    <w:p w:rsidR="002E0B4A" w:rsidRPr="00B135C8" w:rsidRDefault="002E0B4A" w:rsidP="002E0B4A">
      <w:pPr>
        <w:spacing w:after="0" w:line="240" w:lineRule="auto"/>
        <w:rPr>
          <w:rFonts w:asciiTheme="majorHAnsi" w:eastAsia="Times New Roman" w:hAnsiTheme="majorHAnsi" w:cs="Arial"/>
          <w:szCs w:val="24"/>
        </w:rPr>
      </w:pPr>
      <w:r w:rsidRPr="00B135C8">
        <w:rPr>
          <w:rFonts w:asciiTheme="majorHAnsi" w:eastAsia="Times New Roman" w:hAnsiTheme="majorHAnsi" w:cs="Arial"/>
          <w:sz w:val="24"/>
          <w:szCs w:val="24"/>
        </w:rPr>
        <w:t>Note: For more information on the ACBS, please visit</w:t>
      </w:r>
      <w:r w:rsidRPr="00B135C8">
        <w:rPr>
          <w:rFonts w:asciiTheme="majorHAnsi" w:eastAsia="Times New Roman" w:hAnsiTheme="majorHAnsi" w:cs="Arial"/>
          <w:szCs w:val="24"/>
        </w:rPr>
        <w:t xml:space="preserve"> </w:t>
      </w:r>
      <w:hyperlink r:id="rId10" w:history="1">
        <w:r w:rsidRPr="00B135C8">
          <w:rPr>
            <w:rStyle w:val="Hyperlink"/>
            <w:rFonts w:asciiTheme="majorHAnsi" w:eastAsia="Times New Roman" w:hAnsiTheme="majorHAnsi" w:cs="Arial"/>
            <w:sz w:val="18"/>
            <w:szCs w:val="24"/>
          </w:rPr>
          <w:t>http://www.cdc.gov/brfss/acbs/</w:t>
        </w:r>
      </w:hyperlink>
      <w:r w:rsidRPr="00B135C8">
        <w:rPr>
          <w:rFonts w:asciiTheme="majorHAnsi" w:eastAsia="Times New Roman" w:hAnsiTheme="majorHAnsi" w:cs="Arial"/>
          <w:szCs w:val="24"/>
        </w:rPr>
        <w:t xml:space="preserve">.  </w:t>
      </w:r>
      <w:r w:rsidRPr="00B135C8">
        <w:rPr>
          <w:rFonts w:asciiTheme="majorHAnsi" w:eastAsia="Times New Roman" w:hAnsiTheme="majorHAnsi" w:cs="Arial"/>
          <w:sz w:val="24"/>
          <w:szCs w:val="24"/>
        </w:rPr>
        <w:t xml:space="preserve">A detailed description of the methodology used to assess work-related asthma in the ACBS has been published elsewhere </w:t>
      </w:r>
      <w:r w:rsidRPr="00B135C8">
        <w:rPr>
          <w:rFonts w:asciiTheme="majorHAnsi" w:eastAsia="Times New Roman" w:hAnsiTheme="majorHAnsi" w:cs="Arial"/>
          <w:szCs w:val="24"/>
        </w:rPr>
        <w:t>(</w:t>
      </w:r>
      <w:hyperlink r:id="rId11" w:history="1">
        <w:r w:rsidRPr="00B135C8">
          <w:rPr>
            <w:rStyle w:val="Hyperlink"/>
            <w:rFonts w:asciiTheme="majorHAnsi" w:eastAsia="Times New Roman" w:hAnsiTheme="majorHAnsi" w:cs="Arial"/>
            <w:sz w:val="18"/>
            <w:szCs w:val="24"/>
          </w:rPr>
          <w:t>http://www.mass.gov/eohhs/docs/dph/occupational-health/sensor-lung-disease-bulletins/oct08.pdf</w:t>
        </w:r>
      </w:hyperlink>
      <w:r w:rsidRPr="00B135C8">
        <w:rPr>
          <w:rFonts w:asciiTheme="majorHAnsi" w:eastAsia="Times New Roman" w:hAnsiTheme="majorHAnsi" w:cs="Arial"/>
          <w:szCs w:val="24"/>
        </w:rPr>
        <w:t xml:space="preserve">). </w:t>
      </w:r>
    </w:p>
    <w:p w:rsidR="002E0B4A" w:rsidRDefault="002E0B4A" w:rsidP="002E0B4A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</w:rPr>
      </w:pPr>
    </w:p>
    <w:tbl>
      <w:tblPr>
        <w:tblStyle w:val="TableGrid"/>
        <w:tblpPr w:leftFromText="180" w:rightFromText="180" w:vertAnchor="text" w:tblpY="85"/>
        <w:tblW w:w="0" w:type="auto"/>
        <w:tblBorders>
          <w:top w:val="dotted" w:sz="18" w:space="0" w:color="auto"/>
          <w:left w:val="dotted" w:sz="18" w:space="0" w:color="auto"/>
          <w:bottom w:val="dotted" w:sz="18" w:space="0" w:color="auto"/>
          <w:right w:val="dotted" w:sz="18" w:space="0" w:color="auto"/>
          <w:insideH w:val="dotted" w:sz="18" w:space="0" w:color="auto"/>
          <w:insideV w:val="dotted" w:sz="18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2E0B4A" w:rsidRPr="003961C2" w:rsidTr="00B475C0">
        <w:trPr>
          <w:trHeight w:hRule="exact" w:val="3102"/>
        </w:trPr>
        <w:tc>
          <w:tcPr>
            <w:tcW w:w="9576" w:type="dxa"/>
          </w:tcPr>
          <w:p w:rsidR="002E0B4A" w:rsidRPr="00B135C8" w:rsidRDefault="002E0B4A" w:rsidP="00B475C0">
            <w:pPr>
              <w:spacing w:before="120" w:after="120"/>
              <w:jc w:val="center"/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B135C8">
              <w:rPr>
                <w:rFonts w:asciiTheme="majorHAnsi" w:hAnsiTheme="majorHAnsi" w:cs="Arial"/>
                <w:b/>
                <w:sz w:val="24"/>
                <w:szCs w:val="24"/>
              </w:rPr>
              <w:t>Definitions</w:t>
            </w:r>
          </w:p>
          <w:p w:rsidR="002E0B4A" w:rsidRPr="00B135C8" w:rsidRDefault="002E0B4A" w:rsidP="00B475C0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Theme="majorHAnsi" w:hAnsiTheme="majorHAnsi" w:cs="Arial"/>
                <w:sz w:val="24"/>
                <w:szCs w:val="24"/>
              </w:rPr>
            </w:pPr>
            <w:r w:rsidRPr="00B135C8">
              <w:rPr>
                <w:rFonts w:asciiTheme="majorHAnsi" w:hAnsiTheme="majorHAnsi" w:cs="Arial"/>
                <w:b/>
                <w:sz w:val="24"/>
                <w:szCs w:val="24"/>
              </w:rPr>
              <w:t>Work-related asthma:</w:t>
            </w:r>
            <w:r w:rsidRPr="00B135C8">
              <w:rPr>
                <w:rFonts w:asciiTheme="majorHAnsi" w:hAnsiTheme="majorHAnsi" w:cs="Arial"/>
                <w:sz w:val="24"/>
                <w:szCs w:val="24"/>
              </w:rPr>
              <w:t xml:space="preserve"> Respondent answered “yes” to any question of 1 through 7</w:t>
            </w:r>
            <w:r>
              <w:rPr>
                <w:rFonts w:asciiTheme="majorHAnsi" w:hAnsiTheme="majorHAnsi" w:cs="Arial"/>
                <w:sz w:val="24"/>
                <w:szCs w:val="24"/>
              </w:rPr>
              <w:t>.</w:t>
            </w:r>
          </w:p>
          <w:p w:rsidR="002E0B4A" w:rsidRPr="00B135C8" w:rsidRDefault="002E0B4A" w:rsidP="00B475C0">
            <w:pPr>
              <w:ind w:left="360"/>
              <w:contextualSpacing/>
              <w:rPr>
                <w:rFonts w:asciiTheme="majorHAnsi" w:hAnsiTheme="majorHAnsi" w:cs="Arial"/>
                <w:sz w:val="8"/>
                <w:szCs w:val="8"/>
              </w:rPr>
            </w:pPr>
          </w:p>
          <w:p w:rsidR="002E0B4A" w:rsidRDefault="002E0B4A" w:rsidP="00B475C0">
            <w:pPr>
              <w:numPr>
                <w:ilvl w:val="0"/>
                <w:numId w:val="3"/>
              </w:numPr>
              <w:ind w:left="360"/>
              <w:contextualSpacing/>
              <w:rPr>
                <w:rFonts w:asciiTheme="majorHAnsi" w:hAnsiTheme="majorHAnsi" w:cs="Arial"/>
                <w:sz w:val="24"/>
                <w:szCs w:val="24"/>
              </w:rPr>
            </w:pPr>
            <w:r w:rsidRPr="00B135C8">
              <w:rPr>
                <w:rFonts w:asciiTheme="majorHAnsi" w:hAnsiTheme="majorHAnsi" w:cs="Arial"/>
                <w:b/>
                <w:sz w:val="24"/>
                <w:szCs w:val="24"/>
              </w:rPr>
              <w:t xml:space="preserve">Told to or by a doctor or health professional that asthma was related to work: </w:t>
            </w:r>
            <w:r w:rsidRPr="00B135C8">
              <w:rPr>
                <w:rFonts w:asciiTheme="majorHAnsi" w:hAnsiTheme="majorHAnsi" w:cs="Arial"/>
                <w:sz w:val="24"/>
                <w:szCs w:val="24"/>
              </w:rPr>
              <w:t xml:space="preserve">Respondent answered “yes” to either question 1 or 2.  </w:t>
            </w:r>
          </w:p>
          <w:p w:rsidR="002E0B4A" w:rsidRPr="00B135C8" w:rsidRDefault="002E0B4A" w:rsidP="00B475C0">
            <w:pPr>
              <w:ind w:left="360"/>
              <w:contextualSpacing/>
              <w:rPr>
                <w:rFonts w:asciiTheme="majorHAnsi" w:hAnsiTheme="majorHAnsi" w:cs="Arial"/>
                <w:sz w:val="8"/>
                <w:szCs w:val="8"/>
              </w:rPr>
            </w:pPr>
          </w:p>
          <w:p w:rsidR="002E0B4A" w:rsidRDefault="002E0B4A" w:rsidP="00B475C0">
            <w:pPr>
              <w:numPr>
                <w:ilvl w:val="0"/>
                <w:numId w:val="3"/>
              </w:numPr>
              <w:ind w:left="360"/>
              <w:contextualSpacing/>
              <w:rPr>
                <w:rFonts w:asciiTheme="majorHAnsi" w:hAnsiTheme="majorHAnsi" w:cs="Arial"/>
                <w:sz w:val="24"/>
                <w:szCs w:val="24"/>
              </w:rPr>
            </w:pPr>
            <w:r w:rsidRPr="00B135C8">
              <w:rPr>
                <w:rFonts w:asciiTheme="majorHAnsi" w:hAnsiTheme="majorHAnsi" w:cs="Arial"/>
                <w:b/>
                <w:sz w:val="24"/>
                <w:szCs w:val="24"/>
              </w:rPr>
              <w:t xml:space="preserve">A person’s self-assessment that asthma is related to his/her work: </w:t>
            </w:r>
            <w:r w:rsidRPr="00B135C8">
              <w:rPr>
                <w:rFonts w:asciiTheme="majorHAnsi" w:hAnsiTheme="majorHAnsi" w:cs="Arial"/>
                <w:sz w:val="24"/>
                <w:szCs w:val="24"/>
              </w:rPr>
              <w:t xml:space="preserve">Respondent answered “yes” to any question from 3 through 6.  </w:t>
            </w:r>
          </w:p>
          <w:p w:rsidR="002E0B4A" w:rsidRPr="00B135C8" w:rsidRDefault="002E0B4A" w:rsidP="00B475C0">
            <w:pPr>
              <w:ind w:left="360"/>
              <w:contextualSpacing/>
              <w:rPr>
                <w:rFonts w:asciiTheme="majorHAnsi" w:hAnsiTheme="majorHAnsi" w:cs="Arial"/>
                <w:sz w:val="8"/>
                <w:szCs w:val="8"/>
              </w:rPr>
            </w:pPr>
          </w:p>
          <w:p w:rsidR="002E0B4A" w:rsidRPr="00B135C8" w:rsidRDefault="002E0B4A" w:rsidP="00B475C0">
            <w:pPr>
              <w:numPr>
                <w:ilvl w:val="0"/>
                <w:numId w:val="3"/>
              </w:numPr>
              <w:ind w:left="360"/>
              <w:contextualSpacing/>
              <w:rPr>
                <w:rFonts w:asciiTheme="majorHAnsi" w:hAnsiTheme="majorHAnsi" w:cs="Arial"/>
                <w:sz w:val="24"/>
                <w:szCs w:val="24"/>
              </w:rPr>
            </w:pPr>
            <w:r w:rsidRPr="00B135C8">
              <w:rPr>
                <w:rFonts w:asciiTheme="majorHAnsi" w:hAnsiTheme="majorHAnsi" w:cs="Arial"/>
                <w:b/>
                <w:sz w:val="24"/>
                <w:szCs w:val="24"/>
              </w:rPr>
              <w:t xml:space="preserve">Work-related asthma symptoms severe enough to change or quit a job: </w:t>
            </w:r>
            <w:r w:rsidRPr="00B135C8">
              <w:rPr>
                <w:rFonts w:asciiTheme="majorHAnsi" w:hAnsiTheme="majorHAnsi" w:cs="Arial"/>
                <w:sz w:val="24"/>
                <w:szCs w:val="24"/>
              </w:rPr>
              <w:t xml:space="preserve">Respondent answered “yes” to question 7.  </w:t>
            </w:r>
          </w:p>
          <w:p w:rsidR="002E0B4A" w:rsidRPr="00B135C8" w:rsidRDefault="002E0B4A" w:rsidP="00B475C0">
            <w:pPr>
              <w:rPr>
                <w:rFonts w:asciiTheme="majorHAnsi" w:hAnsiTheme="majorHAnsi" w:cs="Arial"/>
                <w:sz w:val="24"/>
                <w:szCs w:val="24"/>
              </w:rPr>
            </w:pPr>
          </w:p>
          <w:p w:rsidR="002E0B4A" w:rsidRPr="00F671BE" w:rsidRDefault="002E0B4A" w:rsidP="00B475C0">
            <w:pPr>
              <w:spacing w:after="240"/>
              <w:rPr>
                <w:rFonts w:asciiTheme="majorHAnsi" w:hAnsiTheme="majorHAnsi" w:cs="Arial"/>
                <w:sz w:val="22"/>
                <w:szCs w:val="22"/>
              </w:rPr>
            </w:pPr>
          </w:p>
          <w:p w:rsidR="002E0B4A" w:rsidRPr="00F671BE" w:rsidRDefault="002E0B4A" w:rsidP="00B475C0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:rsidR="002E0B4A" w:rsidRPr="00F671BE" w:rsidRDefault="002E0B4A" w:rsidP="00B475C0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</w:tbl>
    <w:p w:rsidR="002E0B4A" w:rsidRPr="00113CAF" w:rsidRDefault="002E0B4A" w:rsidP="002E0B4A">
      <w:pPr>
        <w:spacing w:after="360" w:line="240" w:lineRule="auto"/>
        <w:contextualSpacing/>
        <w:rPr>
          <w:rFonts w:asciiTheme="majorHAnsi" w:eastAsia="Times New Roman" w:hAnsiTheme="majorHAnsi" w:cs="Arial"/>
          <w:sz w:val="16"/>
          <w:szCs w:val="16"/>
        </w:rPr>
      </w:pPr>
    </w:p>
    <w:p w:rsidR="007F3C3A" w:rsidRDefault="007F3C3A" w:rsidP="00B135C8"/>
    <w:sectPr w:rsidR="007F3C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2ABF" w:rsidRDefault="00DE2ABF" w:rsidP="00781EFE">
      <w:pPr>
        <w:spacing w:after="0" w:line="240" w:lineRule="auto"/>
      </w:pPr>
      <w:r>
        <w:separator/>
      </w:r>
    </w:p>
  </w:endnote>
  <w:endnote w:type="continuationSeparator" w:id="0">
    <w:p w:rsidR="00DE2ABF" w:rsidRDefault="00DE2ABF" w:rsidP="00781E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2ABF" w:rsidRDefault="00DE2ABF" w:rsidP="00781EFE">
      <w:pPr>
        <w:spacing w:after="0" w:line="240" w:lineRule="auto"/>
      </w:pPr>
      <w:r>
        <w:separator/>
      </w:r>
    </w:p>
  </w:footnote>
  <w:footnote w:type="continuationSeparator" w:id="0">
    <w:p w:rsidR="00DE2ABF" w:rsidRDefault="00DE2ABF" w:rsidP="00781E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"/>
      </v:shape>
    </w:pict>
  </w:numPicBullet>
  <w:abstractNum w:abstractNumId="0">
    <w:nsid w:val="262A4AD1"/>
    <w:multiLevelType w:val="hybridMultilevel"/>
    <w:tmpl w:val="0A68802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E2D34C0"/>
    <w:multiLevelType w:val="hybridMultilevel"/>
    <w:tmpl w:val="F288E394"/>
    <w:lvl w:ilvl="0" w:tplc="9ECEEAF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680099"/>
    <w:multiLevelType w:val="hybridMultilevel"/>
    <w:tmpl w:val="5A50349A"/>
    <w:lvl w:ilvl="0" w:tplc="9ECEEAF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BF65E7"/>
    <w:multiLevelType w:val="hybridMultilevel"/>
    <w:tmpl w:val="7BD40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EFE"/>
    <w:rsid w:val="000F173D"/>
    <w:rsid w:val="00113CAF"/>
    <w:rsid w:val="00212FD6"/>
    <w:rsid w:val="00213FF2"/>
    <w:rsid w:val="00237C89"/>
    <w:rsid w:val="0024272E"/>
    <w:rsid w:val="002671CC"/>
    <w:rsid w:val="0029654E"/>
    <w:rsid w:val="002E0B4A"/>
    <w:rsid w:val="002F0DFD"/>
    <w:rsid w:val="003240DA"/>
    <w:rsid w:val="00395D23"/>
    <w:rsid w:val="003961C2"/>
    <w:rsid w:val="0043120E"/>
    <w:rsid w:val="004A1781"/>
    <w:rsid w:val="00564444"/>
    <w:rsid w:val="00573D08"/>
    <w:rsid w:val="005F6FEC"/>
    <w:rsid w:val="006447B0"/>
    <w:rsid w:val="00777653"/>
    <w:rsid w:val="00781EFE"/>
    <w:rsid w:val="00785D8D"/>
    <w:rsid w:val="00790269"/>
    <w:rsid w:val="007A3D4F"/>
    <w:rsid w:val="007A7F60"/>
    <w:rsid w:val="007F3C3A"/>
    <w:rsid w:val="0082723D"/>
    <w:rsid w:val="0084166F"/>
    <w:rsid w:val="008430BE"/>
    <w:rsid w:val="00855371"/>
    <w:rsid w:val="00872DDA"/>
    <w:rsid w:val="00913E31"/>
    <w:rsid w:val="00995A31"/>
    <w:rsid w:val="009E6A64"/>
    <w:rsid w:val="009F3546"/>
    <w:rsid w:val="00A140F5"/>
    <w:rsid w:val="00A15C22"/>
    <w:rsid w:val="00A45C3D"/>
    <w:rsid w:val="00B135C8"/>
    <w:rsid w:val="00B64D8D"/>
    <w:rsid w:val="00B74889"/>
    <w:rsid w:val="00B75202"/>
    <w:rsid w:val="00BD5A66"/>
    <w:rsid w:val="00C46D42"/>
    <w:rsid w:val="00D71453"/>
    <w:rsid w:val="00DE2ABF"/>
    <w:rsid w:val="00DF52A6"/>
    <w:rsid w:val="00E00F37"/>
    <w:rsid w:val="00E263CF"/>
    <w:rsid w:val="00E818F1"/>
    <w:rsid w:val="00EC785F"/>
    <w:rsid w:val="00ED4806"/>
    <w:rsid w:val="00FA0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781EFE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81EFE"/>
    <w:rPr>
      <w:rFonts w:ascii="Consolas" w:hAnsi="Consolas" w:cs="Consolas"/>
      <w:sz w:val="21"/>
      <w:szCs w:val="21"/>
    </w:rPr>
  </w:style>
  <w:style w:type="character" w:styleId="Hyperlink">
    <w:name w:val="Hyperlink"/>
    <w:basedOn w:val="DefaultParagraphFont"/>
    <w:uiPriority w:val="99"/>
    <w:rsid w:val="00781EFE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59"/>
    <w:rsid w:val="00781E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rsid w:val="00781E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781EFE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rsid w:val="00781EFE"/>
    <w:rPr>
      <w:rFonts w:cs="Times New Roman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1E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1EF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A7F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781EFE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81EFE"/>
    <w:rPr>
      <w:rFonts w:ascii="Consolas" w:hAnsi="Consolas" w:cs="Consolas"/>
      <w:sz w:val="21"/>
      <w:szCs w:val="21"/>
    </w:rPr>
  </w:style>
  <w:style w:type="character" w:styleId="Hyperlink">
    <w:name w:val="Hyperlink"/>
    <w:basedOn w:val="DefaultParagraphFont"/>
    <w:uiPriority w:val="99"/>
    <w:rsid w:val="00781EFE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59"/>
    <w:rsid w:val="00781E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rsid w:val="00781E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781EFE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rsid w:val="00781EFE"/>
    <w:rPr>
      <w:rFonts w:cs="Times New Roman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1E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1EF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A7F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10" Type="http://schemas.openxmlformats.org/officeDocument/2006/relationships/hyperlink" TargetMode="External" Target="http://www.cdc.gov/brfss/acbs/"/>
  <Relationship Id="rId11" Type="http://schemas.openxmlformats.org/officeDocument/2006/relationships/hyperlink" TargetMode="External" Target="http://www.mass.gov/eohhs/docs/dph/occupational-health/sensor-lung-disease-bulletins/oct08.pdf"/>
  <Relationship Id="rId12" Type="http://schemas.openxmlformats.org/officeDocument/2006/relationships/fontTable" Target="fontTable.xml"/>
  <Relationship Id="rId13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chart" Target="charts/chart1.xml"/>
  <Relationship Id="rId9" Type="http://schemas.openxmlformats.org/officeDocument/2006/relationships/chart" Target="charts/chart2.xml"/>
</Relationships>

</file>

<file path=word/_rels/numbering.xml.rels><?xml version="1.0" encoding="UTF-8"?>

<Relationships xmlns="http://schemas.openxmlformats.org/package/2006/relationships">
  <Relationship Id="rId1" Type="http://schemas.openxmlformats.org/officeDocument/2006/relationships/image" Target="media/image1.png"/>
</Relationships>

</file>

<file path=word/charts/_rels/chart1.xml.rels><?xml version="1.0" encoding="UTF-8"?>

<Relationships xmlns="http://schemas.openxmlformats.org/package/2006/relationships">
  <Relationship Id="rId1" Type="http://schemas.openxmlformats.org/officeDocument/2006/relationships/themeOverride" Target="../theme/themeOverride1.xml"/>
  <Relationship Id="rId2" Type="http://schemas.openxmlformats.org/officeDocument/2006/relationships/oleObject" TargetMode="External" Target="file:///E:/JSI_MDPH%20Consultant/Burden%20Report%202013/Section%203/Fig3%202%201_updated_KF032514.xlsx"/>
</Relationships>

</file>

<file path=word/charts/_rels/chart2.xml.rels><?xml version="1.0" encoding="UTF-8"?>

<Relationships xmlns="http://schemas.openxmlformats.org/package/2006/relationships">
  <Relationship Id="rId1" Type="http://schemas.openxmlformats.org/officeDocument/2006/relationships/themeOverride" Target="../theme/themeOverride2.xml"/>
  <Relationship Id="rId2" Type="http://schemas.openxmlformats.org/officeDocument/2006/relationships/oleObject" TargetMode="External" Target="file:///E:/JSI_MDPH%20Consultant/Burden%20Report%202013/Section%203/DraftWRATables_111213.xls"/>
</Relationships>
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0814848143982002"/>
          <c:y val="5.3140096618357488E-2"/>
          <c:w val="0.78379168971591551"/>
          <c:h val="0.6665928715432311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3333FF"/>
            </a:solidFill>
            <a:ln>
              <a:solidFill>
                <a:schemeClr val="tx1"/>
              </a:solidFill>
            </a:ln>
          </c:spPr>
          <c:invertIfNegative val="0"/>
          <c:dLbls>
            <c:numFmt formatCode="#,##0.0" sourceLinked="0"/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ACBS1!$A$28:$A$32</c:f>
              <c:strCache>
                <c:ptCount val="5"/>
                <c:pt idx="0">
                  <c:v>Asthma caused/aggravated any job</c:v>
                </c:pt>
                <c:pt idx="1">
                  <c:v>Asthma caused/aggravated previous job</c:v>
                </c:pt>
                <c:pt idx="2">
                  <c:v>Asthma caused/aggravated current job</c:v>
                </c:pt>
                <c:pt idx="3">
                  <c:v>Told to or by health professional asthma related to work</c:v>
                </c:pt>
                <c:pt idx="4">
                  <c:v>Changed or quit job due to asthma</c:v>
                </c:pt>
              </c:strCache>
            </c:strRef>
          </c:cat>
          <c:val>
            <c:numRef>
              <c:f>ACBS1!$C$28:$C$32</c:f>
              <c:numCache>
                <c:formatCode>0.0</c:formatCode>
                <c:ptCount val="5"/>
                <c:pt idx="0">
                  <c:v>40.8825</c:v>
                </c:pt>
                <c:pt idx="1">
                  <c:v>30.7</c:v>
                </c:pt>
                <c:pt idx="2">
                  <c:v>15.9588</c:v>
                </c:pt>
                <c:pt idx="3">
                  <c:v>9.7689000000000004</c:v>
                </c:pt>
                <c:pt idx="4">
                  <c:v>6.0801999999999996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6357504"/>
        <c:axId val="126359040"/>
      </c:barChart>
      <c:catAx>
        <c:axId val="1263575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126359040"/>
        <c:crosses val="autoZero"/>
        <c:auto val="1"/>
        <c:lblAlgn val="ctr"/>
        <c:lblOffset val="100"/>
        <c:noMultiLvlLbl val="0"/>
      </c:catAx>
      <c:valAx>
        <c:axId val="126359040"/>
        <c:scaling>
          <c:orientation val="minMax"/>
        </c:scaling>
        <c:delete val="0"/>
        <c:axPos val="l"/>
        <c:majorGridlines>
          <c:spPr>
            <a:ln>
              <a:noFill/>
            </a:ln>
          </c:spPr>
        </c:maj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Percent (%)</a:t>
                </a:r>
              </a:p>
            </c:rich>
          </c:tx>
          <c:layout>
            <c:manualLayout>
              <c:xMode val="edge"/>
              <c:yMode val="edge"/>
              <c:x val="1.3705386524569626E-2"/>
              <c:y val="0.33494775417223793"/>
            </c:manualLayout>
          </c:layout>
          <c:overlay val="0"/>
        </c:title>
        <c:numFmt formatCode="0.0" sourceLinked="1"/>
        <c:majorTickMark val="none"/>
        <c:minorTickMark val="none"/>
        <c:tickLblPos val="nextTo"/>
        <c:crossAx val="126357504"/>
        <c:crosses val="autoZero"/>
        <c:crossBetween val="between"/>
      </c:valAx>
      <c:spPr>
        <a:noFill/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900">
          <a:latin typeface="+mj-lt"/>
          <a:cs typeface="Arial" panose="020B0604020202020204" pitchFamily="34" charset="0"/>
        </a:defRPr>
      </a:pPr>
      <a:endParaRPr lang="en-US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WRA</c:v>
          </c:tx>
          <c:spPr>
            <a:solidFill>
              <a:srgbClr val="3333FF"/>
            </a:solidFill>
            <a:ln>
              <a:solidFill>
                <a:schemeClr val="tx1">
                  <a:lumMod val="95000"/>
                  <a:lumOff val="5000"/>
                </a:schemeClr>
              </a:solidFill>
            </a:ln>
          </c:spPr>
          <c:invertIfNegative val="0"/>
          <c:dLbls>
            <c:numFmt formatCode="#,##0.0" sourceLinked="0"/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[ACBS4_0610_employed.xlsx]SUMMARY2_CLEAN!$A$6:$A$10</c:f>
              <c:strCache>
                <c:ptCount val="5"/>
                <c:pt idx="0">
                  <c:v>Asthma symptoms, past 30 days</c:v>
                </c:pt>
                <c:pt idx="1">
                  <c:v>Sleep disturbed from asthma, past 30 days</c:v>
                </c:pt>
                <c:pt idx="2">
                  <c:v>Had asthma attack, past 12 months</c:v>
                </c:pt>
                <c:pt idx="3">
                  <c:v>Asthma limited usual activities, past 12 months</c:v>
                </c:pt>
                <c:pt idx="4">
                  <c:v>Had ED visit or other urgent care visit for asthma, past 12 months</c:v>
                </c:pt>
              </c:strCache>
            </c:strRef>
          </c:cat>
          <c:val>
            <c:numRef>
              <c:f>[ACBS4_0610_employed.xlsx]SUMMARY2_CLEAN!$C$6:$C$10</c:f>
              <c:numCache>
                <c:formatCode>General</c:formatCode>
                <c:ptCount val="5"/>
                <c:pt idx="0">
                  <c:v>70.008499999999998</c:v>
                </c:pt>
                <c:pt idx="1">
                  <c:v>26.698899999999998</c:v>
                </c:pt>
                <c:pt idx="2">
                  <c:v>56.622999999999998</c:v>
                </c:pt>
                <c:pt idx="3">
                  <c:v>65.144599999999997</c:v>
                </c:pt>
                <c:pt idx="4">
                  <c:v>13.8421</c:v>
                </c:pt>
              </c:numCache>
            </c:numRef>
          </c:val>
        </c:ser>
        <c:ser>
          <c:idx val="1"/>
          <c:order val="1"/>
          <c:tx>
            <c:v>Non-WRA</c:v>
          </c:tx>
          <c:spPr>
            <a:solidFill>
              <a:srgbClr val="6699FF"/>
            </a:solidFill>
            <a:ln>
              <a:solidFill>
                <a:schemeClr val="tx1">
                  <a:lumMod val="95000"/>
                  <a:lumOff val="5000"/>
                </a:schemeClr>
              </a:solidFill>
            </a:ln>
          </c:spPr>
          <c:invertIfNegative val="0"/>
          <c:dLbls>
            <c:numFmt formatCode="#,##0.0" sourceLinked="0"/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[ACBS4_0610_employed.xlsx]SUMMARY2_CLEAN!$A$6:$A$10</c:f>
              <c:strCache>
                <c:ptCount val="5"/>
                <c:pt idx="0">
                  <c:v>Asthma symptoms, past 30 days</c:v>
                </c:pt>
                <c:pt idx="1">
                  <c:v>Sleep disturbed from asthma, past 30 days</c:v>
                </c:pt>
                <c:pt idx="2">
                  <c:v>Had asthma attack, past 12 months</c:v>
                </c:pt>
                <c:pt idx="3">
                  <c:v>Asthma limited usual activities, past 12 months</c:v>
                </c:pt>
                <c:pt idx="4">
                  <c:v>Had ED visit or other urgent care visit for asthma, past 12 months</c:v>
                </c:pt>
              </c:strCache>
            </c:strRef>
          </c:cat>
          <c:val>
            <c:numRef>
              <c:f>[ACBS4_0610_employed.xlsx]SUMMARY2_CLEAN!$F$6:$F$10</c:f>
              <c:numCache>
                <c:formatCode>General</c:formatCode>
                <c:ptCount val="5"/>
                <c:pt idx="0">
                  <c:v>64.433800000000005</c:v>
                </c:pt>
                <c:pt idx="1">
                  <c:v>21.686</c:v>
                </c:pt>
                <c:pt idx="2">
                  <c:v>47.8095</c:v>
                </c:pt>
                <c:pt idx="3">
                  <c:v>55.070900000000002</c:v>
                </c:pt>
                <c:pt idx="4">
                  <c:v>11.986599999999999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1"/>
        <c:axId val="126753408"/>
        <c:axId val="126763392"/>
      </c:barChart>
      <c:catAx>
        <c:axId val="1267534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126763392"/>
        <c:crosses val="autoZero"/>
        <c:auto val="1"/>
        <c:lblAlgn val="ctr"/>
        <c:lblOffset val="100"/>
        <c:noMultiLvlLbl val="0"/>
      </c:catAx>
      <c:valAx>
        <c:axId val="126763392"/>
        <c:scaling>
          <c:orientation val="minMax"/>
          <c:max val="100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Percent (%)</a:t>
                </a:r>
              </a:p>
            </c:rich>
          </c:tx>
          <c:overlay val="0"/>
        </c:title>
        <c:numFmt formatCode="#,##0.0" sourceLinked="0"/>
        <c:majorTickMark val="none"/>
        <c:minorTickMark val="none"/>
        <c:tickLblPos val="nextTo"/>
        <c:crossAx val="126753408"/>
        <c:crosses val="autoZero"/>
        <c:crossBetween val="between"/>
        <c:majorUnit val="10"/>
      </c:valAx>
      <c:spPr>
        <a:noFill/>
        <a:ln w="25400">
          <a:noFill/>
        </a:ln>
      </c:spPr>
    </c:plotArea>
    <c:legend>
      <c:legendPos val="t"/>
      <c:overlay val="0"/>
      <c:spPr>
        <a:ln w="25400">
          <a:solidFill>
            <a:schemeClr val="bg1">
              <a:lumMod val="75000"/>
            </a:schemeClr>
          </a:solidFill>
        </a:ln>
      </c:sp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900">
          <a:latin typeface="+mj-lt"/>
          <a:cs typeface="Arial" panose="020B0604020202020204" pitchFamily="34" charset="0"/>
        </a:defRPr>
      </a:pPr>
      <a:endParaRPr lang="en-US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626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4189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2016-11-15T18:18:00Z</dcterms:created>
  <dc:creator>Kathleen.Fitzsimmons</dc:creator>
  <lastModifiedBy>Kimona Cameron</lastModifiedBy>
  <lastPrinted>2016-11-02T17:29:00Z</lastPrinted>
  <dcterms:modified xsi:type="dcterms:W3CDTF">2016-11-15T18:18:00Z</dcterms:modified>
  <revision>2</revision>
</coreProperties>
</file>