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04D95" w14:textId="77777777" w:rsidR="000C2C27" w:rsidRDefault="000C2C27" w:rsidP="000C2C27">
      <w:pPr>
        <w:spacing w:after="0"/>
        <w:rPr>
          <w:color w:val="275317" w:themeColor="accent6" w:themeShade="80"/>
        </w:rPr>
      </w:pPr>
      <w:r w:rsidRPr="002C77DD">
        <w:rPr>
          <w:b/>
          <w:bCs/>
          <w:noProof/>
          <w:color w:val="275317" w:themeColor="accent6" w:themeShade="80"/>
          <w:sz w:val="40"/>
          <w:szCs w:val="40"/>
        </w:rPr>
        <w:drawing>
          <wp:inline distT="0" distB="0" distL="0" distR="0" wp14:anchorId="5B93593C" wp14:editId="3ED33D92">
            <wp:extent cx="781050" cy="1047750"/>
            <wp:effectExtent l="0" t="0" r="0" b="0"/>
            <wp:docPr id="359347959" name="Picture 359347959" descr="MassDEP logo, white leaf, green backgroun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81050" cy="1047750"/>
                    </a:xfrm>
                    <a:prstGeom prst="rect">
                      <a:avLst/>
                    </a:prstGeom>
                  </pic:spPr>
                </pic:pic>
              </a:graphicData>
            </a:graphic>
          </wp:inline>
        </w:drawing>
      </w:r>
      <w:r>
        <w:br w:type="column"/>
      </w:r>
      <w:r w:rsidRPr="00214F29">
        <w:rPr>
          <w:color w:val="275317" w:themeColor="accent6" w:themeShade="80"/>
        </w:rPr>
        <w:t>Commonwealth of Massachusetts</w:t>
      </w:r>
      <w:r>
        <w:rPr>
          <w:color w:val="275317" w:themeColor="accent6" w:themeShade="80"/>
        </w:rPr>
        <w:br/>
      </w:r>
      <w:r w:rsidRPr="007323AC">
        <w:rPr>
          <w:color w:val="275317" w:themeColor="accent6" w:themeShade="80"/>
        </w:rPr>
        <w:t xml:space="preserve">Executive Office of Energy </w:t>
      </w:r>
      <w:r w:rsidR="00214F29">
        <w:rPr>
          <w:color w:val="275317" w:themeColor="accent6" w:themeShade="80"/>
        </w:rPr>
        <w:t>and</w:t>
      </w:r>
      <w:r w:rsidRPr="007323AC">
        <w:rPr>
          <w:color w:val="275317" w:themeColor="accent6" w:themeShade="80"/>
        </w:rPr>
        <w:t xml:space="preserve"> Environmental Affairs</w:t>
      </w:r>
    </w:p>
    <w:p w14:paraId="717D235E" w14:textId="77777777" w:rsidR="000C2C27" w:rsidRDefault="000C2C27" w:rsidP="000C2C27">
      <w:pPr>
        <w:spacing w:after="0"/>
        <w:rPr>
          <w:b/>
          <w:bCs/>
          <w:color w:val="275317" w:themeColor="accent6" w:themeShade="80"/>
          <w:sz w:val="44"/>
          <w:szCs w:val="44"/>
        </w:rPr>
      </w:pPr>
      <w:r w:rsidRPr="007323AC">
        <w:rPr>
          <w:b/>
          <w:bCs/>
          <w:color w:val="275317" w:themeColor="accent6" w:themeShade="80"/>
          <w:sz w:val="44"/>
          <w:szCs w:val="44"/>
        </w:rPr>
        <w:t>Department of Environmental Protection</w:t>
      </w:r>
    </w:p>
    <w:p w14:paraId="68C2CFF9" w14:textId="77777777" w:rsidR="000C2C27" w:rsidRDefault="000C2C27" w:rsidP="000C2C27">
      <w:pPr>
        <w:rPr>
          <w:color w:val="275317" w:themeColor="accent6" w:themeShade="80"/>
        </w:rPr>
        <w:sectPr w:rsidR="000C2C27" w:rsidSect="00F97423">
          <w:headerReference w:type="default" r:id="rId8"/>
          <w:type w:val="continuous"/>
          <w:pgSz w:w="12240" w:h="15840"/>
          <w:pgMar w:top="720" w:right="1008" w:bottom="1440" w:left="1008" w:header="720" w:footer="720" w:gutter="0"/>
          <w:cols w:num="2" w:space="360" w:equalWidth="0">
            <w:col w:w="1080" w:space="360"/>
            <w:col w:w="8784"/>
          </w:cols>
          <w:titlePg/>
          <w:docGrid w:linePitch="360"/>
        </w:sectPr>
      </w:pPr>
      <w:r w:rsidRPr="007323AC">
        <w:rPr>
          <w:b/>
          <w:bCs/>
          <w:color w:val="275317" w:themeColor="accent6" w:themeShade="80"/>
        </w:rPr>
        <w:t>Address</w:t>
      </w:r>
      <w:r w:rsidRPr="007323AC">
        <w:rPr>
          <w:color w:val="275317" w:themeColor="accent6" w:themeShade="80"/>
        </w:rPr>
        <w:t>: 100 Cambridge Street, Suite 900, Boston MA 02114</w:t>
      </w:r>
      <w:r>
        <w:rPr>
          <w:color w:val="275317" w:themeColor="accent6" w:themeShade="80"/>
        </w:rPr>
        <w:t xml:space="preserve"> | </w:t>
      </w:r>
      <w:r w:rsidRPr="007323AC">
        <w:rPr>
          <w:b/>
          <w:bCs/>
          <w:color w:val="275317" w:themeColor="accent6" w:themeShade="80"/>
        </w:rPr>
        <w:t>Phone</w:t>
      </w:r>
      <w:r w:rsidRPr="007323AC">
        <w:rPr>
          <w:color w:val="275317" w:themeColor="accent6" w:themeShade="80"/>
        </w:rPr>
        <w:t>: 617-292-55</w:t>
      </w:r>
      <w:r>
        <w:rPr>
          <w:color w:val="275317" w:themeColor="accent6" w:themeShade="80"/>
        </w:rPr>
        <w:t>00</w:t>
      </w:r>
    </w:p>
    <w:p w14:paraId="14B162FE" w14:textId="77777777" w:rsidR="000C2C27" w:rsidRDefault="000C2C27" w:rsidP="000C2C27">
      <w:pPr>
        <w:jc w:val="center"/>
        <w:rPr>
          <w:color w:val="275317" w:themeColor="accent6" w:themeShade="80"/>
          <w:sz w:val="22"/>
          <w:szCs w:val="22"/>
        </w:rPr>
        <w:sectPr w:rsidR="000C2C27" w:rsidSect="000C2C27">
          <w:type w:val="continuous"/>
          <w:pgSz w:w="12240" w:h="15840"/>
          <w:pgMar w:top="720" w:right="1008" w:bottom="1440" w:left="1008" w:header="720" w:footer="720" w:gutter="0"/>
          <w:cols w:num="4" w:space="720" w:equalWidth="0">
            <w:col w:w="2016" w:space="720"/>
            <w:col w:w="2016" w:space="720"/>
            <w:col w:w="2016" w:space="720"/>
            <w:col w:w="2016"/>
          </w:cols>
          <w:docGrid w:linePitch="360"/>
        </w:sectPr>
      </w:pPr>
      <w:bookmarkStart w:id="0" w:name="_Hlk210729132"/>
      <w:r w:rsidRPr="00DD4A0E">
        <w:rPr>
          <w:b/>
          <w:bCs/>
          <w:color w:val="275317" w:themeColor="accent6" w:themeShade="80"/>
          <w:sz w:val="22"/>
          <w:szCs w:val="22"/>
        </w:rPr>
        <w:t>Maura T. Healey</w:t>
      </w:r>
      <w:bookmarkEnd w:id="0"/>
      <w:r w:rsidRPr="00DD4A0E">
        <w:rPr>
          <w:b/>
          <w:bCs/>
          <w:color w:val="275317" w:themeColor="accent6" w:themeShade="80"/>
          <w:sz w:val="22"/>
          <w:szCs w:val="22"/>
        </w:rPr>
        <w:t xml:space="preserve"> </w:t>
      </w:r>
      <w:r w:rsidRPr="00DD4A0E">
        <w:rPr>
          <w:color w:val="275317" w:themeColor="accent6" w:themeShade="80"/>
          <w:sz w:val="22"/>
          <w:szCs w:val="22"/>
        </w:rPr>
        <w:t>Governor</w:t>
      </w:r>
      <w:r w:rsidRPr="00DD4A0E">
        <w:rPr>
          <w:color w:val="275317" w:themeColor="accent6" w:themeShade="80"/>
          <w:sz w:val="22"/>
          <w:szCs w:val="22"/>
        </w:rPr>
        <w:br w:type="column"/>
      </w:r>
      <w:r w:rsidRPr="00DD4A0E">
        <w:rPr>
          <w:b/>
          <w:bCs/>
          <w:color w:val="275317" w:themeColor="accent6" w:themeShade="80"/>
          <w:sz w:val="22"/>
          <w:szCs w:val="22"/>
        </w:rPr>
        <w:t xml:space="preserve">Kim Driscoll </w:t>
      </w:r>
      <w:r w:rsidRPr="00DD4A0E">
        <w:rPr>
          <w:color w:val="275317" w:themeColor="accent6" w:themeShade="80"/>
          <w:sz w:val="22"/>
          <w:szCs w:val="22"/>
        </w:rPr>
        <w:t>Lieutenant Governor</w:t>
      </w:r>
      <w:r w:rsidRPr="00DD4A0E">
        <w:rPr>
          <w:color w:val="275317" w:themeColor="accent6" w:themeShade="80"/>
          <w:sz w:val="22"/>
          <w:szCs w:val="22"/>
        </w:rPr>
        <w:br w:type="column"/>
      </w:r>
      <w:r w:rsidRPr="00DD4A0E">
        <w:rPr>
          <w:b/>
          <w:bCs/>
          <w:color w:val="275317" w:themeColor="accent6" w:themeShade="80"/>
          <w:sz w:val="22"/>
          <w:szCs w:val="22"/>
        </w:rPr>
        <w:t xml:space="preserve">Rebecca Tepper </w:t>
      </w:r>
      <w:r w:rsidRPr="00DD4A0E">
        <w:rPr>
          <w:color w:val="275317" w:themeColor="accent6" w:themeShade="80"/>
          <w:sz w:val="22"/>
          <w:szCs w:val="22"/>
        </w:rPr>
        <w:t>Secretary</w:t>
      </w:r>
      <w:r w:rsidRPr="00DD4A0E">
        <w:rPr>
          <w:color w:val="275317" w:themeColor="accent6" w:themeShade="80"/>
          <w:sz w:val="22"/>
          <w:szCs w:val="22"/>
        </w:rPr>
        <w:br w:type="column"/>
      </w:r>
      <w:r w:rsidRPr="00DD4A0E">
        <w:rPr>
          <w:b/>
          <w:bCs/>
          <w:color w:val="275317" w:themeColor="accent6" w:themeShade="80"/>
          <w:sz w:val="22"/>
          <w:szCs w:val="22"/>
        </w:rPr>
        <w:t xml:space="preserve">Bonnie Heiple </w:t>
      </w:r>
      <w:r w:rsidRPr="00DD4A0E">
        <w:rPr>
          <w:color w:val="275317" w:themeColor="accent6" w:themeShade="80"/>
          <w:sz w:val="22"/>
          <w:szCs w:val="22"/>
        </w:rPr>
        <w:t>Commissione</w:t>
      </w:r>
      <w:r>
        <w:rPr>
          <w:color w:val="275317" w:themeColor="accent6" w:themeShade="80"/>
          <w:sz w:val="22"/>
          <w:szCs w:val="22"/>
        </w:rPr>
        <w:t>r</w:t>
      </w:r>
    </w:p>
    <w:p w14:paraId="142BA5C5" w14:textId="77777777" w:rsidR="00997C30" w:rsidRDefault="00997C30" w:rsidP="00997C30">
      <w:pPr>
        <w:jc w:val="center"/>
        <w:rPr>
          <w:rFonts w:cstheme="minorHAnsi"/>
          <w:b/>
          <w:bCs/>
          <w:u w:val="single"/>
        </w:rPr>
      </w:pPr>
    </w:p>
    <w:p w14:paraId="203D211E" w14:textId="24B6CEE3" w:rsidR="00997C30" w:rsidRPr="004C40B1" w:rsidRDefault="00997C30" w:rsidP="00997C30">
      <w:pPr>
        <w:jc w:val="center"/>
        <w:rPr>
          <w:rFonts w:cstheme="minorHAnsi"/>
          <w:b/>
          <w:bCs/>
          <w:u w:val="single"/>
        </w:rPr>
      </w:pPr>
      <w:r w:rsidRPr="004C40B1">
        <w:rPr>
          <w:rFonts w:cstheme="minorHAnsi"/>
          <w:b/>
          <w:bCs/>
          <w:u w:val="single"/>
        </w:rPr>
        <w:t>MassDEP’s OFFICIAL ANSWERS TO QUESTIONS</w:t>
      </w:r>
    </w:p>
    <w:p w14:paraId="0E0868B7" w14:textId="77777777" w:rsidR="00997C30" w:rsidRPr="004C40B1" w:rsidRDefault="00997C30" w:rsidP="00997C30">
      <w:pPr>
        <w:jc w:val="center"/>
        <w:rPr>
          <w:rFonts w:eastAsia="Calibri" w:cstheme="minorHAnsi"/>
          <w:b/>
        </w:rPr>
      </w:pPr>
      <w:r w:rsidRPr="004C40B1">
        <w:rPr>
          <w:rFonts w:eastAsia="Calibri" w:cstheme="minorHAnsi"/>
          <w:b/>
        </w:rPr>
        <w:t>Water Quality Monitoring Grant (WQMG) Program</w:t>
      </w:r>
    </w:p>
    <w:p w14:paraId="73A5E63B" w14:textId="77777777" w:rsidR="00997C30" w:rsidRPr="004C40B1" w:rsidRDefault="00997C30" w:rsidP="00997C30">
      <w:pPr>
        <w:jc w:val="center"/>
        <w:rPr>
          <w:rFonts w:eastAsia="Calibri" w:cstheme="minorHAnsi"/>
          <w:b/>
        </w:rPr>
      </w:pPr>
      <w:r w:rsidRPr="004C40B1">
        <w:rPr>
          <w:rFonts w:eastAsia="Calibri" w:cstheme="minorHAnsi"/>
          <w:b/>
        </w:rPr>
        <w:t>Request for Response</w:t>
      </w:r>
    </w:p>
    <w:p w14:paraId="3E7E56A7" w14:textId="77777777" w:rsidR="00997C30" w:rsidRPr="004C40B1" w:rsidRDefault="00997C30" w:rsidP="00997C30">
      <w:pPr>
        <w:jc w:val="center"/>
        <w:rPr>
          <w:rFonts w:eastAsia="Calibri" w:cstheme="minorHAnsi"/>
          <w:b/>
          <w:bCs/>
        </w:rPr>
      </w:pPr>
      <w:r w:rsidRPr="004C40B1">
        <w:rPr>
          <w:rFonts w:eastAsia="Calibri" w:cstheme="minorHAnsi"/>
          <w:b/>
        </w:rPr>
        <w:t>State Fiscal Year (SFY) 2026</w:t>
      </w:r>
    </w:p>
    <w:p w14:paraId="0FCF09D4" w14:textId="77777777" w:rsidR="00997C30" w:rsidRPr="004C40B1" w:rsidRDefault="00997C30" w:rsidP="00997C30">
      <w:pPr>
        <w:pStyle w:val="paragraph"/>
        <w:spacing w:before="0" w:beforeAutospacing="0" w:after="0" w:afterAutospacing="0"/>
        <w:textAlignment w:val="baseline"/>
        <w:rPr>
          <w:rStyle w:val="normaltextrun"/>
          <w:rFonts w:asciiTheme="minorHAnsi" w:hAnsiTheme="minorHAnsi" w:cstheme="minorHAnsi"/>
        </w:rPr>
      </w:pPr>
    </w:p>
    <w:p w14:paraId="14B8D698" w14:textId="77777777" w:rsidR="00997C30" w:rsidRPr="004C40B1" w:rsidRDefault="00997C30" w:rsidP="00997C30">
      <w:pPr>
        <w:pStyle w:val="paragraph"/>
        <w:spacing w:before="0" w:beforeAutospacing="0" w:after="0" w:afterAutospacing="0"/>
        <w:textAlignment w:val="baseline"/>
        <w:rPr>
          <w:rStyle w:val="normaltextrun"/>
          <w:rFonts w:asciiTheme="minorHAnsi" w:hAnsiTheme="minorHAnsi" w:cstheme="minorHAnsi"/>
        </w:rPr>
      </w:pPr>
      <w:r w:rsidRPr="004C40B1">
        <w:rPr>
          <w:rStyle w:val="normaltextrun"/>
          <w:rFonts w:asciiTheme="minorHAnsi" w:hAnsiTheme="minorHAnsi" w:cstheme="minorHAnsi"/>
        </w:rPr>
        <w:t xml:space="preserve">On October 1, 2025, the Massachusetts Department of Environmental Protection (MassDEP) posted </w:t>
      </w:r>
      <w:r w:rsidRPr="004C40B1">
        <w:rPr>
          <w:rFonts w:asciiTheme="minorHAnsi" w:hAnsiTheme="minorHAnsi" w:cstheme="minorHAnsi"/>
        </w:rPr>
        <w:t>SFY26 Water Quality Monitoring Grant (WQMG), Request for Responses (RFR), Agency Document Number BWR-WQM-01</w:t>
      </w:r>
      <w:r w:rsidRPr="004C40B1">
        <w:rPr>
          <w:rStyle w:val="normaltextrun"/>
          <w:rFonts w:asciiTheme="minorHAnsi" w:hAnsiTheme="minorHAnsi" w:cstheme="minorHAnsi"/>
        </w:rPr>
        <w:t>. In accordance with RFR Section 4.0 (Estimated Grant Calendar), MassDEP accepted questions via email (to: WQMG@mass.gov) pertaining to the SFY 2026 WQMG program solicitation from October 1, 2025, through the Deadline for Submission of Questions to MassDEP of 5:00 p.m. on October 10, 2025. Below is MassDEP’s Official Answers to the submitted questions received by the Estimated Grant Calendar deadline.</w:t>
      </w:r>
    </w:p>
    <w:p w14:paraId="120D5120" w14:textId="77777777" w:rsidR="00997C30" w:rsidRPr="004C40B1" w:rsidRDefault="00997C30" w:rsidP="00997C30">
      <w:pPr>
        <w:pStyle w:val="NoSpacing"/>
        <w:rPr>
          <w:rFonts w:cstheme="minorHAnsi"/>
          <w:sz w:val="24"/>
          <w:szCs w:val="24"/>
        </w:rPr>
      </w:pPr>
    </w:p>
    <w:p w14:paraId="23EDEC2D" w14:textId="77777777" w:rsidR="00997C30" w:rsidRPr="004C40B1" w:rsidRDefault="00997C30" w:rsidP="00997C30">
      <w:pPr>
        <w:pStyle w:val="NoSpacing"/>
        <w:rPr>
          <w:rFonts w:cstheme="minorHAnsi"/>
          <w:sz w:val="24"/>
          <w:szCs w:val="24"/>
        </w:rPr>
      </w:pPr>
      <w:r w:rsidRPr="004C40B1">
        <w:rPr>
          <w:rFonts w:cstheme="minorHAnsi"/>
          <w:sz w:val="24"/>
          <w:szCs w:val="24"/>
        </w:rPr>
        <w:t>Interested parties are reminded that MassDEP cannot provide advice on a Proposed Project’s design to potential grantees during the WQMG application process period (from the RFR posting date of October 1, 2025, through the Grant Application deadline of 5:00 p.m., November 21, 2025, as identified in the RFR amended November 3, 2025). MassDEP’s answers to the questions below should not be construed as an endorsement or approval of a proposed project or application. All projects and applications will be evaluated on a fair and competitive basis, utilizing the evaluation criteria publicized in RFR Section 3.0 (Instructions for Application Submission).</w:t>
      </w:r>
    </w:p>
    <w:p w14:paraId="798A52FC" w14:textId="77777777" w:rsidR="00997C30" w:rsidRPr="004C40B1" w:rsidRDefault="00997C30" w:rsidP="00997C30">
      <w:pPr>
        <w:pStyle w:val="NoSpacing"/>
        <w:rPr>
          <w:rFonts w:cstheme="minorHAnsi"/>
          <w:sz w:val="24"/>
          <w:szCs w:val="24"/>
        </w:rPr>
      </w:pPr>
    </w:p>
    <w:p w14:paraId="4A9E892E" w14:textId="77777777" w:rsidR="00997C30" w:rsidRPr="004C40B1" w:rsidRDefault="00997C30" w:rsidP="00997C30">
      <w:pPr>
        <w:pStyle w:val="NoSpacing"/>
        <w:rPr>
          <w:rFonts w:cstheme="minorHAnsi"/>
          <w:sz w:val="24"/>
          <w:szCs w:val="24"/>
        </w:rPr>
      </w:pPr>
    </w:p>
    <w:p w14:paraId="3F017876" w14:textId="77777777" w:rsidR="00997C30" w:rsidRPr="004C40B1" w:rsidRDefault="00997C30" w:rsidP="00997C30">
      <w:pPr>
        <w:pStyle w:val="NoSpacing"/>
        <w:rPr>
          <w:rFonts w:cstheme="minorHAnsi"/>
          <w:i/>
          <w:iCs/>
          <w:sz w:val="24"/>
          <w:szCs w:val="24"/>
        </w:rPr>
      </w:pPr>
      <w:r w:rsidRPr="004C40B1">
        <w:rPr>
          <w:rFonts w:cstheme="minorHAnsi"/>
          <w:b/>
          <w:bCs/>
          <w:sz w:val="24"/>
          <w:szCs w:val="24"/>
        </w:rPr>
        <w:t>Question 1</w:t>
      </w:r>
      <w:r w:rsidRPr="004C40B1">
        <w:rPr>
          <w:rFonts w:cstheme="minorHAnsi"/>
          <w:b/>
          <w:bCs/>
          <w:i/>
          <w:iCs/>
          <w:sz w:val="24"/>
          <w:szCs w:val="24"/>
        </w:rPr>
        <w:t>.</w:t>
      </w:r>
      <w:r w:rsidRPr="004C40B1">
        <w:rPr>
          <w:rFonts w:cstheme="minorHAnsi"/>
          <w:i/>
          <w:iCs/>
          <w:sz w:val="24"/>
          <w:szCs w:val="24"/>
        </w:rPr>
        <w:t xml:space="preserve"> “As we develop our 2026 WQMG budget, can you advise whether MassDEP prefers to support (1) personnel salaries for water quality monitoring or (2) needed repairs to existing water quality monitoring equipment or (3) travel expenses </w:t>
      </w:r>
      <w:proofErr w:type="gramStart"/>
      <w:r w:rsidRPr="004C40B1">
        <w:rPr>
          <w:rFonts w:cstheme="minorHAnsi"/>
          <w:i/>
          <w:iCs/>
          <w:sz w:val="24"/>
          <w:szCs w:val="24"/>
        </w:rPr>
        <w:t>for getting</w:t>
      </w:r>
      <w:proofErr w:type="gramEnd"/>
      <w:r w:rsidRPr="004C40B1">
        <w:rPr>
          <w:rFonts w:cstheme="minorHAnsi"/>
          <w:i/>
          <w:iCs/>
          <w:sz w:val="24"/>
          <w:szCs w:val="24"/>
        </w:rPr>
        <w:t xml:space="preserve"> to monitoring sites—or whether all are equally competitive when aligned with project outcomes?”</w:t>
      </w:r>
    </w:p>
    <w:p w14:paraId="36771D09" w14:textId="77777777" w:rsidR="00997C30" w:rsidRPr="004C40B1" w:rsidRDefault="00997C30" w:rsidP="00997C30">
      <w:pPr>
        <w:pStyle w:val="NoSpacing"/>
        <w:rPr>
          <w:rFonts w:cstheme="minorHAnsi"/>
          <w:b/>
          <w:bCs/>
          <w:sz w:val="24"/>
          <w:szCs w:val="24"/>
        </w:rPr>
      </w:pPr>
    </w:p>
    <w:p w14:paraId="12A1B7C4" w14:textId="77777777" w:rsidR="00997C30" w:rsidRPr="004C40B1" w:rsidRDefault="00997C30" w:rsidP="00997C30">
      <w:pPr>
        <w:pStyle w:val="NoSpacing"/>
        <w:rPr>
          <w:rFonts w:cstheme="minorHAnsi"/>
          <w:sz w:val="24"/>
          <w:szCs w:val="24"/>
        </w:rPr>
      </w:pPr>
      <w:r w:rsidRPr="004C40B1">
        <w:rPr>
          <w:rFonts w:cstheme="minorHAnsi"/>
          <w:b/>
          <w:bCs/>
          <w:sz w:val="24"/>
          <w:szCs w:val="24"/>
        </w:rPr>
        <w:t>Answer 1.</w:t>
      </w:r>
      <w:r w:rsidRPr="004C40B1">
        <w:rPr>
          <w:rFonts w:cstheme="minorHAnsi"/>
          <w:sz w:val="24"/>
          <w:szCs w:val="24"/>
        </w:rPr>
        <w:t xml:space="preserve">  All project activities are evaluated as part of the project’s overall scope of work using the Evaluation Criteria described in RFR Section 3.2 (Proposal Components and Evaluation Criteria). Proposed activities are not comparatively ranked within the context of </w:t>
      </w:r>
      <w:r w:rsidRPr="004C40B1">
        <w:rPr>
          <w:rFonts w:cstheme="minorHAnsi"/>
          <w:sz w:val="24"/>
          <w:szCs w:val="24"/>
        </w:rPr>
        <w:lastRenderedPageBreak/>
        <w:t xml:space="preserve">an Eligible Project, but Evaluation Criteria are weighted based on the scores listed for each Criteria described RFR Section 3.2. </w:t>
      </w:r>
    </w:p>
    <w:p w14:paraId="61139758" w14:textId="77777777" w:rsidR="00997C30" w:rsidRPr="004C40B1" w:rsidRDefault="00997C30" w:rsidP="00997C30">
      <w:pPr>
        <w:pStyle w:val="NoSpacing"/>
        <w:rPr>
          <w:rFonts w:cstheme="minorHAnsi"/>
          <w:sz w:val="24"/>
          <w:szCs w:val="24"/>
        </w:rPr>
      </w:pPr>
    </w:p>
    <w:p w14:paraId="47A1ED33" w14:textId="77777777" w:rsidR="00997C30" w:rsidRPr="004C40B1" w:rsidRDefault="00997C30" w:rsidP="00997C30">
      <w:pPr>
        <w:pStyle w:val="NoSpacing"/>
        <w:rPr>
          <w:rFonts w:cstheme="minorHAnsi"/>
          <w:sz w:val="24"/>
          <w:szCs w:val="24"/>
        </w:rPr>
      </w:pPr>
    </w:p>
    <w:p w14:paraId="2A159C63" w14:textId="77777777" w:rsidR="00997C30" w:rsidRPr="004C40B1" w:rsidRDefault="00997C30" w:rsidP="00997C30">
      <w:pPr>
        <w:pStyle w:val="NoSpacing"/>
        <w:rPr>
          <w:rFonts w:cstheme="minorHAnsi"/>
          <w:i/>
          <w:iCs/>
          <w:sz w:val="24"/>
          <w:szCs w:val="24"/>
        </w:rPr>
      </w:pPr>
      <w:r w:rsidRPr="004C40B1">
        <w:rPr>
          <w:rFonts w:cstheme="minorHAnsi"/>
          <w:b/>
          <w:bCs/>
          <w:sz w:val="24"/>
          <w:szCs w:val="24"/>
        </w:rPr>
        <w:t>Question 2.</w:t>
      </w:r>
      <w:r w:rsidRPr="004C40B1">
        <w:rPr>
          <w:rFonts w:cstheme="minorHAnsi"/>
          <w:i/>
          <w:iCs/>
          <w:sz w:val="24"/>
          <w:szCs w:val="24"/>
        </w:rPr>
        <w:t xml:space="preserve"> “Can the funds be used to pay for the development of a QAPP during the FY2026 season, but then the data is collected during the following year, FY2027? Or does the QAPP need to be </w:t>
      </w:r>
      <w:proofErr w:type="gramStart"/>
      <w:r w:rsidRPr="004C40B1">
        <w:rPr>
          <w:rFonts w:cstheme="minorHAnsi"/>
          <w:i/>
          <w:iCs/>
          <w:sz w:val="24"/>
          <w:szCs w:val="24"/>
        </w:rPr>
        <w:t>developed</w:t>
      </w:r>
      <w:proofErr w:type="gramEnd"/>
      <w:r w:rsidRPr="004C40B1">
        <w:rPr>
          <w:rFonts w:cstheme="minorHAnsi"/>
          <w:i/>
          <w:iCs/>
          <w:sz w:val="24"/>
          <w:szCs w:val="24"/>
        </w:rPr>
        <w:t xml:space="preserve"> and data collected during FY 2026?” </w:t>
      </w:r>
    </w:p>
    <w:p w14:paraId="1A1D5A28" w14:textId="77777777" w:rsidR="00997C30" w:rsidRPr="004C40B1" w:rsidRDefault="00997C30" w:rsidP="00997C30">
      <w:pPr>
        <w:pStyle w:val="NoSpacing"/>
        <w:rPr>
          <w:rFonts w:cstheme="minorHAnsi"/>
          <w:sz w:val="24"/>
          <w:szCs w:val="24"/>
        </w:rPr>
      </w:pPr>
    </w:p>
    <w:p w14:paraId="7318825A" w14:textId="77777777" w:rsidR="00997C30" w:rsidRPr="004C40B1" w:rsidRDefault="00997C30" w:rsidP="00997C30">
      <w:pPr>
        <w:pStyle w:val="NoSpacing"/>
        <w:rPr>
          <w:rFonts w:cstheme="minorHAnsi"/>
          <w:sz w:val="24"/>
          <w:szCs w:val="24"/>
        </w:rPr>
      </w:pPr>
      <w:r w:rsidRPr="004C40B1">
        <w:rPr>
          <w:rFonts w:cstheme="minorHAnsi"/>
          <w:b/>
          <w:sz w:val="24"/>
          <w:szCs w:val="24"/>
        </w:rPr>
        <w:t>Answer 2.</w:t>
      </w:r>
      <w:r w:rsidRPr="004C40B1">
        <w:rPr>
          <w:rFonts w:cstheme="minorHAnsi"/>
          <w:sz w:val="24"/>
          <w:szCs w:val="24"/>
        </w:rPr>
        <w:t xml:space="preserve"> Development of a Quality Assurance Project Plan (QAPP) and data collection are both Eligible Projects, and related project activities performed during SFY2026 (ending June 30, 2026) may be, individually, eligible for reimbursement. See RFR Section 1.4 (Eligible Projects) and Section 1.6 (Eligible Expenses). QAPP development and data collection do not have to occur in the same SFY to be eligible for reimbursement (e.g., a QAPP could be developed in SFY2026 for data collection activities that will occur in a separate, future fiscal year; data could be collected pursuant to a QAPP developed in a previous fiscal year). </w:t>
      </w:r>
      <w:r w:rsidRPr="004C40B1">
        <w:rPr>
          <w:rFonts w:cstheme="minorHAnsi"/>
          <w:sz w:val="24"/>
          <w:szCs w:val="24"/>
          <w:u w:val="single"/>
        </w:rPr>
        <w:t>As outlined in RFR Section 3.2.C., submitting data is not a required deliverable for completion during the grant contract period, but proposals that described clear plans for future data submittals will be given priority.</w:t>
      </w:r>
      <w:r w:rsidRPr="004C40B1">
        <w:rPr>
          <w:rFonts w:cstheme="minorHAnsi"/>
          <w:sz w:val="24"/>
          <w:szCs w:val="24"/>
        </w:rPr>
        <w:t xml:space="preserve"> </w:t>
      </w:r>
    </w:p>
    <w:p w14:paraId="0E4D9E06" w14:textId="77777777" w:rsidR="00997C30" w:rsidRPr="004C40B1" w:rsidRDefault="00997C30" w:rsidP="00997C30">
      <w:pPr>
        <w:pStyle w:val="NoSpacing"/>
        <w:rPr>
          <w:rFonts w:cstheme="minorHAnsi"/>
          <w:sz w:val="24"/>
          <w:szCs w:val="24"/>
        </w:rPr>
      </w:pPr>
    </w:p>
    <w:p w14:paraId="52B4123D" w14:textId="77777777" w:rsidR="00997C30" w:rsidRPr="004C40B1" w:rsidRDefault="00997C30" w:rsidP="00997C30">
      <w:pPr>
        <w:pStyle w:val="NoSpacing"/>
        <w:rPr>
          <w:rFonts w:cstheme="minorHAnsi"/>
          <w:sz w:val="24"/>
          <w:szCs w:val="24"/>
        </w:rPr>
      </w:pPr>
      <w:r w:rsidRPr="004C40B1">
        <w:rPr>
          <w:rFonts w:cstheme="minorHAnsi"/>
          <w:sz w:val="24"/>
          <w:szCs w:val="24"/>
        </w:rPr>
        <w:t xml:space="preserve"> </w:t>
      </w:r>
    </w:p>
    <w:p w14:paraId="612C81A1" w14:textId="77777777" w:rsidR="00997C30" w:rsidRPr="004C40B1" w:rsidRDefault="00997C30" w:rsidP="00997C30">
      <w:pPr>
        <w:pStyle w:val="NoSpacing"/>
        <w:rPr>
          <w:rFonts w:cstheme="minorHAnsi"/>
          <w:i/>
          <w:iCs/>
          <w:sz w:val="24"/>
          <w:szCs w:val="24"/>
        </w:rPr>
      </w:pPr>
      <w:r w:rsidRPr="004C40B1">
        <w:rPr>
          <w:rFonts w:cstheme="minorHAnsi"/>
          <w:b/>
          <w:bCs/>
          <w:sz w:val="24"/>
          <w:szCs w:val="24"/>
        </w:rPr>
        <w:t>Question 3.</w:t>
      </w:r>
      <w:r w:rsidRPr="004C40B1">
        <w:rPr>
          <w:rFonts w:cstheme="minorHAnsi"/>
          <w:i/>
          <w:iCs/>
          <w:sz w:val="24"/>
          <w:szCs w:val="24"/>
        </w:rPr>
        <w:t xml:space="preserve"> </w:t>
      </w:r>
      <w:r w:rsidRPr="004C40B1">
        <w:rPr>
          <w:rFonts w:cstheme="minorHAnsi"/>
          <w:sz w:val="24"/>
          <w:szCs w:val="24"/>
        </w:rPr>
        <w:t>“</w:t>
      </w:r>
      <w:r w:rsidRPr="004C40B1">
        <w:rPr>
          <w:rFonts w:cstheme="minorHAnsi"/>
          <w:i/>
          <w:iCs/>
          <w:sz w:val="24"/>
          <w:szCs w:val="24"/>
        </w:rPr>
        <w:t>Why has the max award per coalition been lowered from last year (from $75,000 to $50,000)? This seems to only discourage larger coalitions, since the award per eligible entity shrinks as a result.”</w:t>
      </w:r>
    </w:p>
    <w:p w14:paraId="0375E4AB" w14:textId="77777777" w:rsidR="00997C30" w:rsidRPr="004C40B1" w:rsidRDefault="00997C30" w:rsidP="00997C30">
      <w:pPr>
        <w:pStyle w:val="NoSpacing"/>
        <w:rPr>
          <w:rFonts w:cstheme="minorHAnsi"/>
          <w:sz w:val="24"/>
          <w:szCs w:val="24"/>
        </w:rPr>
      </w:pPr>
    </w:p>
    <w:p w14:paraId="5CD22C2B" w14:textId="77777777" w:rsidR="00997C30" w:rsidRPr="004C40B1" w:rsidRDefault="00997C30" w:rsidP="00997C30">
      <w:pPr>
        <w:pStyle w:val="NoSpacing"/>
        <w:rPr>
          <w:rFonts w:cstheme="minorHAnsi"/>
          <w:sz w:val="24"/>
          <w:szCs w:val="24"/>
        </w:rPr>
      </w:pPr>
      <w:r w:rsidRPr="004C40B1">
        <w:rPr>
          <w:rFonts w:cstheme="minorHAnsi"/>
          <w:b/>
          <w:bCs/>
          <w:sz w:val="24"/>
          <w:szCs w:val="24"/>
        </w:rPr>
        <w:t>Answer 3.</w:t>
      </w:r>
      <w:r w:rsidRPr="004C40B1">
        <w:rPr>
          <w:rFonts w:cstheme="minorHAnsi"/>
          <w:sz w:val="24"/>
          <w:szCs w:val="24"/>
        </w:rPr>
        <w:t xml:space="preserve"> The award maximum (and minimum) per applicant is based on how MassDEP believes the SFY 2026 WQMG program will best address the program goals and MassDEP’s data needs, given current available resources.</w:t>
      </w:r>
    </w:p>
    <w:p w14:paraId="05F5425E" w14:textId="77777777" w:rsidR="00997C30" w:rsidRPr="004C40B1" w:rsidRDefault="00997C30" w:rsidP="00997C30">
      <w:pPr>
        <w:pStyle w:val="NoSpacing"/>
        <w:rPr>
          <w:rFonts w:cstheme="minorHAnsi"/>
          <w:sz w:val="24"/>
          <w:szCs w:val="24"/>
        </w:rPr>
      </w:pPr>
    </w:p>
    <w:p w14:paraId="2CFFD456" w14:textId="77777777" w:rsidR="00997C30" w:rsidRPr="004C40B1" w:rsidRDefault="00997C30" w:rsidP="00997C30">
      <w:pPr>
        <w:pStyle w:val="NoSpacing"/>
        <w:rPr>
          <w:rFonts w:cstheme="minorHAnsi"/>
          <w:sz w:val="24"/>
          <w:szCs w:val="24"/>
        </w:rPr>
      </w:pPr>
    </w:p>
    <w:p w14:paraId="6D81A5F4" w14:textId="77777777" w:rsidR="00997C30" w:rsidRPr="004C40B1" w:rsidRDefault="00997C30" w:rsidP="00997C30">
      <w:pPr>
        <w:pStyle w:val="NoSpacing"/>
        <w:rPr>
          <w:rFonts w:cstheme="minorHAnsi"/>
          <w:b/>
          <w:bCs/>
          <w:i/>
          <w:iCs/>
          <w:sz w:val="24"/>
          <w:szCs w:val="24"/>
        </w:rPr>
      </w:pPr>
      <w:r w:rsidRPr="004C40B1">
        <w:rPr>
          <w:rFonts w:cstheme="minorHAnsi"/>
          <w:b/>
          <w:bCs/>
          <w:i/>
          <w:iCs/>
          <w:sz w:val="24"/>
          <w:szCs w:val="24"/>
        </w:rPr>
        <w:t xml:space="preserve">Question 4. </w:t>
      </w:r>
      <w:r w:rsidRPr="004C40B1">
        <w:rPr>
          <w:rFonts w:cstheme="minorHAnsi"/>
          <w:i/>
          <w:iCs/>
          <w:sz w:val="24"/>
          <w:szCs w:val="24"/>
        </w:rPr>
        <w:t>“Is DEP trying to incentivize smaller coalitions by capping the total award amount or trying to increase the total number of awards? Wouldn't greater regional synergies be achieved with larger and broader (actively collaborating) coalitions?”</w:t>
      </w:r>
    </w:p>
    <w:p w14:paraId="21C8831E" w14:textId="77777777" w:rsidR="00997C30" w:rsidRPr="004C40B1" w:rsidRDefault="00997C30" w:rsidP="00997C30">
      <w:pPr>
        <w:pStyle w:val="NoSpacing"/>
        <w:rPr>
          <w:rFonts w:cstheme="minorHAnsi"/>
          <w:sz w:val="24"/>
          <w:szCs w:val="24"/>
        </w:rPr>
      </w:pPr>
      <w:r w:rsidRPr="004C40B1">
        <w:rPr>
          <w:rFonts w:cstheme="minorHAnsi"/>
          <w:i/>
          <w:iCs/>
          <w:sz w:val="24"/>
          <w:szCs w:val="24"/>
        </w:rPr>
        <w:t xml:space="preserve"> </w:t>
      </w:r>
    </w:p>
    <w:p w14:paraId="245AEAF2" w14:textId="77777777" w:rsidR="00997C30" w:rsidRPr="004C40B1" w:rsidRDefault="00997C30" w:rsidP="00997C30">
      <w:pPr>
        <w:pStyle w:val="NoSpacing"/>
        <w:rPr>
          <w:rFonts w:cstheme="minorHAnsi"/>
          <w:sz w:val="24"/>
          <w:szCs w:val="24"/>
        </w:rPr>
      </w:pPr>
      <w:r w:rsidRPr="004C40B1">
        <w:rPr>
          <w:rFonts w:cstheme="minorHAnsi"/>
          <w:b/>
          <w:bCs/>
          <w:sz w:val="24"/>
          <w:szCs w:val="24"/>
        </w:rPr>
        <w:t>Answer 4.</w:t>
      </w:r>
      <w:r w:rsidRPr="004C40B1">
        <w:rPr>
          <w:rFonts w:cstheme="minorHAnsi"/>
          <w:sz w:val="24"/>
          <w:szCs w:val="24"/>
        </w:rPr>
        <w:t xml:space="preserve"> The WQMG program prioritization of applications that promote synergies is intended to facilitate combined project outcomes greater than those if coalition partners worked individually. For example, Section 1.3 of the RFR offers examples of what possible outcome might look like, including projects that involve: regional data collection efforts that would not otherwise be feasible by single entities; the creation of programs by established organizations to mentor new and developing groups; the establishment of new partnerships that enhance project benefits in Disadvantaged Communities; or the potential development long-term water quality monitoring programs and networks. Applicants should determine what type of coalition size, structure, format, best aligns with the needs of the SFY 2026 WQMG program.  </w:t>
      </w:r>
    </w:p>
    <w:p w14:paraId="4EF3FF9C" w14:textId="77777777" w:rsidR="00997C30" w:rsidRPr="004C40B1" w:rsidRDefault="00997C30" w:rsidP="00997C30">
      <w:pPr>
        <w:pStyle w:val="NoSpacing"/>
        <w:rPr>
          <w:rFonts w:cstheme="minorHAnsi"/>
          <w:sz w:val="24"/>
          <w:szCs w:val="24"/>
        </w:rPr>
      </w:pPr>
    </w:p>
    <w:p w14:paraId="01A1D845" w14:textId="77777777" w:rsidR="00997C30" w:rsidRPr="004C40B1" w:rsidRDefault="00997C30" w:rsidP="00997C30">
      <w:pPr>
        <w:pStyle w:val="NoSpacing"/>
        <w:rPr>
          <w:rFonts w:cstheme="minorHAnsi"/>
          <w:sz w:val="24"/>
          <w:szCs w:val="24"/>
        </w:rPr>
      </w:pPr>
    </w:p>
    <w:p w14:paraId="38F28551" w14:textId="77777777" w:rsidR="00997C30" w:rsidRPr="004C40B1" w:rsidRDefault="00997C30" w:rsidP="00997C30">
      <w:pPr>
        <w:pStyle w:val="NoSpacing"/>
        <w:rPr>
          <w:rFonts w:cstheme="minorHAnsi"/>
          <w:b/>
          <w:bCs/>
          <w:sz w:val="24"/>
          <w:szCs w:val="24"/>
          <w:highlight w:val="yellow"/>
        </w:rPr>
      </w:pPr>
      <w:r w:rsidRPr="004C40B1">
        <w:rPr>
          <w:rFonts w:cstheme="minorHAnsi"/>
          <w:b/>
          <w:bCs/>
          <w:sz w:val="24"/>
          <w:szCs w:val="24"/>
        </w:rPr>
        <w:t>Question 5.</w:t>
      </w:r>
      <w:r w:rsidRPr="004C40B1">
        <w:rPr>
          <w:rFonts w:cstheme="minorHAnsi"/>
          <w:sz w:val="24"/>
          <w:szCs w:val="24"/>
        </w:rPr>
        <w:t xml:space="preserve"> “</w:t>
      </w:r>
      <w:r w:rsidRPr="004C40B1">
        <w:rPr>
          <w:rFonts w:cstheme="minorHAnsi"/>
          <w:i/>
          <w:iCs/>
          <w:sz w:val="24"/>
          <w:szCs w:val="24"/>
        </w:rPr>
        <w:t xml:space="preserve">The new application assesses impact to Disadvantaged Communities, based solely on economic factors averaged across the town/city. This </w:t>
      </w:r>
      <w:proofErr w:type="gramStart"/>
      <w:r w:rsidRPr="004C40B1">
        <w:rPr>
          <w:rFonts w:cstheme="minorHAnsi"/>
          <w:i/>
          <w:iCs/>
          <w:sz w:val="24"/>
          <w:szCs w:val="24"/>
        </w:rPr>
        <w:t>is in contrast to</w:t>
      </w:r>
      <w:proofErr w:type="gramEnd"/>
      <w:r w:rsidRPr="004C40B1">
        <w:rPr>
          <w:rFonts w:cstheme="minorHAnsi"/>
          <w:i/>
          <w:iCs/>
          <w:sz w:val="24"/>
          <w:szCs w:val="24"/>
        </w:rPr>
        <w:t xml:space="preserve"> the Environmental Justice framework that recognizes disparate conditions within a municipality (historically black or </w:t>
      </w:r>
      <w:proofErr w:type="gramStart"/>
      <w:r w:rsidRPr="004C40B1">
        <w:rPr>
          <w:rFonts w:cstheme="minorHAnsi"/>
          <w:i/>
          <w:iCs/>
          <w:sz w:val="24"/>
          <w:szCs w:val="24"/>
        </w:rPr>
        <w:t>redlined</w:t>
      </w:r>
      <w:proofErr w:type="gramEnd"/>
      <w:r w:rsidRPr="004C40B1">
        <w:rPr>
          <w:rFonts w:cstheme="minorHAnsi"/>
          <w:i/>
          <w:iCs/>
          <w:sz w:val="24"/>
          <w:szCs w:val="24"/>
        </w:rPr>
        <w:t xml:space="preserve"> neighborhoods). Is the 2021 EEA EJ policy still in effect, and if so, how should EJ impacts be addressed in this application?</w:t>
      </w:r>
      <w:r w:rsidRPr="004C40B1">
        <w:rPr>
          <w:rFonts w:cstheme="minorHAnsi"/>
          <w:sz w:val="24"/>
          <w:szCs w:val="24"/>
        </w:rPr>
        <w:t>”</w:t>
      </w:r>
    </w:p>
    <w:p w14:paraId="4AF13B62" w14:textId="77777777" w:rsidR="00997C30" w:rsidRPr="004C40B1" w:rsidRDefault="00997C30" w:rsidP="00997C30">
      <w:pPr>
        <w:pStyle w:val="NoSpacing"/>
        <w:rPr>
          <w:rFonts w:cstheme="minorHAnsi"/>
          <w:sz w:val="24"/>
          <w:szCs w:val="24"/>
        </w:rPr>
      </w:pPr>
    </w:p>
    <w:p w14:paraId="2380046E" w14:textId="77777777" w:rsidR="00997C30" w:rsidRPr="00405EFB" w:rsidRDefault="00997C30" w:rsidP="00997C30">
      <w:pPr>
        <w:pStyle w:val="NoSpacing"/>
        <w:rPr>
          <w:rFonts w:cstheme="minorHAnsi"/>
          <w:sz w:val="24"/>
          <w:szCs w:val="24"/>
        </w:rPr>
      </w:pPr>
      <w:r w:rsidRPr="00405EFB">
        <w:rPr>
          <w:rFonts w:cstheme="minorHAnsi"/>
          <w:b/>
          <w:bCs/>
          <w:sz w:val="24"/>
          <w:szCs w:val="24"/>
        </w:rPr>
        <w:t xml:space="preserve">Answer 5. </w:t>
      </w:r>
      <w:r w:rsidRPr="00405EFB">
        <w:rPr>
          <w:rFonts w:cstheme="minorHAnsi"/>
          <w:sz w:val="24"/>
          <w:szCs w:val="24"/>
        </w:rPr>
        <w:t>The Commonwealth is developing an updated tool to address Environmental Justice, which remains a priority. In the meantime, MassDEP is using Disadvantaged Communities to consider how these populations might benefit from this grant funding.</w:t>
      </w:r>
    </w:p>
    <w:p w14:paraId="0136C409" w14:textId="77777777" w:rsidR="00997C30" w:rsidRDefault="00997C30" w:rsidP="00997C30">
      <w:pPr>
        <w:pStyle w:val="NoSpacing"/>
        <w:rPr>
          <w:rFonts w:cstheme="minorHAnsi"/>
          <w:sz w:val="24"/>
          <w:szCs w:val="24"/>
        </w:rPr>
      </w:pPr>
    </w:p>
    <w:p w14:paraId="0ED1E124" w14:textId="77777777" w:rsidR="00997C30" w:rsidRPr="00405EFB" w:rsidRDefault="00997C30" w:rsidP="00997C30">
      <w:pPr>
        <w:pStyle w:val="NoSpacing"/>
        <w:rPr>
          <w:rFonts w:cstheme="minorHAnsi"/>
          <w:sz w:val="24"/>
          <w:szCs w:val="24"/>
        </w:rPr>
      </w:pPr>
    </w:p>
    <w:p w14:paraId="2D0B391B" w14:textId="77777777" w:rsidR="00997C30" w:rsidRPr="00405EFB" w:rsidRDefault="00997C30" w:rsidP="00997C30">
      <w:pPr>
        <w:pStyle w:val="NoSpacing"/>
        <w:rPr>
          <w:rFonts w:cstheme="minorHAnsi"/>
          <w:i/>
          <w:iCs/>
          <w:sz w:val="24"/>
          <w:szCs w:val="24"/>
        </w:rPr>
      </w:pPr>
      <w:r w:rsidRPr="00405EFB">
        <w:rPr>
          <w:rFonts w:cstheme="minorHAnsi"/>
          <w:b/>
          <w:bCs/>
          <w:sz w:val="24"/>
          <w:szCs w:val="24"/>
        </w:rPr>
        <w:t>Question 6.</w:t>
      </w:r>
      <w:r w:rsidRPr="00405EFB">
        <w:rPr>
          <w:rFonts w:cstheme="minorHAnsi"/>
          <w:i/>
          <w:iCs/>
          <w:sz w:val="24"/>
          <w:szCs w:val="24"/>
        </w:rPr>
        <w:t xml:space="preserve"> “DEP lists priority data needs that include both continuing longstanding programs (e.g. bacteria monitoring programs) and those that provide new/rarer data (e.g. limnological or continuous chloride). Does DEP value these equally within the scoring of these applications, or is higher ranking given to novel data rather than long term data collection?”</w:t>
      </w:r>
    </w:p>
    <w:p w14:paraId="229A7E41" w14:textId="77777777" w:rsidR="00997C30" w:rsidRPr="00405EFB" w:rsidRDefault="00997C30" w:rsidP="00997C30">
      <w:pPr>
        <w:pStyle w:val="NoSpacing"/>
        <w:rPr>
          <w:rFonts w:cstheme="minorHAnsi"/>
          <w:sz w:val="24"/>
          <w:szCs w:val="24"/>
        </w:rPr>
      </w:pPr>
    </w:p>
    <w:p w14:paraId="1BEA407F" w14:textId="77777777" w:rsidR="00997C30" w:rsidRPr="00405EFB" w:rsidRDefault="00997C30" w:rsidP="00997C30">
      <w:pPr>
        <w:pStyle w:val="NoSpacing"/>
        <w:rPr>
          <w:rFonts w:cstheme="minorHAnsi"/>
          <w:sz w:val="24"/>
          <w:szCs w:val="24"/>
        </w:rPr>
      </w:pPr>
      <w:r w:rsidRPr="00405EFB">
        <w:rPr>
          <w:rFonts w:cstheme="minorHAnsi"/>
          <w:b/>
          <w:bCs/>
          <w:sz w:val="24"/>
          <w:szCs w:val="24"/>
        </w:rPr>
        <w:t xml:space="preserve">Answer 6. </w:t>
      </w:r>
      <w:r w:rsidRPr="00405EFB">
        <w:rPr>
          <w:rFonts w:cstheme="minorHAnsi"/>
          <w:sz w:val="24"/>
          <w:szCs w:val="24"/>
        </w:rPr>
        <w:t>The WQMG program supports both new and ongoing monitoring efforts by applicants. All proposed projects with either new and/or ongoing efforts</w:t>
      </w:r>
      <w:r w:rsidRPr="00405EFB">
        <w:rPr>
          <w:rFonts w:cstheme="minorHAnsi"/>
          <w:b/>
          <w:bCs/>
          <w:sz w:val="24"/>
          <w:szCs w:val="24"/>
        </w:rPr>
        <w:t xml:space="preserve"> </w:t>
      </w:r>
      <w:r w:rsidRPr="00405EFB">
        <w:rPr>
          <w:rFonts w:cstheme="minorHAnsi"/>
          <w:sz w:val="24"/>
          <w:szCs w:val="24"/>
        </w:rPr>
        <w:t>are evaluated based on the same evaluation criteria outlined in RFR Section 3.1 and Section 3.2.</w:t>
      </w:r>
    </w:p>
    <w:p w14:paraId="04B8FECD" w14:textId="77777777" w:rsidR="00997C30" w:rsidRPr="00405EFB" w:rsidRDefault="00997C30" w:rsidP="00997C30">
      <w:pPr>
        <w:pStyle w:val="NoSpacing"/>
        <w:rPr>
          <w:rFonts w:cstheme="minorHAnsi"/>
          <w:sz w:val="24"/>
          <w:szCs w:val="24"/>
        </w:rPr>
      </w:pPr>
    </w:p>
    <w:p w14:paraId="4813B236" w14:textId="77777777" w:rsidR="00997C30" w:rsidRPr="00405EFB" w:rsidRDefault="00997C30" w:rsidP="00997C30">
      <w:pPr>
        <w:pStyle w:val="NoSpacing"/>
        <w:rPr>
          <w:rFonts w:cstheme="minorHAnsi"/>
          <w:sz w:val="24"/>
          <w:szCs w:val="24"/>
        </w:rPr>
      </w:pPr>
    </w:p>
    <w:p w14:paraId="36A8987F" w14:textId="77777777" w:rsidR="00997C30" w:rsidRPr="004C40B1" w:rsidRDefault="00997C30" w:rsidP="00997C30">
      <w:pPr>
        <w:pStyle w:val="NoSpacing"/>
        <w:rPr>
          <w:rFonts w:cstheme="minorHAnsi"/>
          <w:i/>
          <w:sz w:val="24"/>
          <w:szCs w:val="24"/>
        </w:rPr>
      </w:pPr>
      <w:r w:rsidRPr="00405EFB">
        <w:rPr>
          <w:rFonts w:cstheme="minorHAnsi"/>
          <w:b/>
          <w:i/>
          <w:sz w:val="24"/>
          <w:szCs w:val="24"/>
        </w:rPr>
        <w:t>Question 7.</w:t>
      </w:r>
      <w:r w:rsidRPr="00405EFB">
        <w:rPr>
          <w:rFonts w:cstheme="minorHAnsi"/>
          <w:i/>
          <w:sz w:val="24"/>
          <w:szCs w:val="24"/>
        </w:rPr>
        <w:t xml:space="preserve"> “For smaller organizations joining with larger groups, a big hurdle is the administrative burden to data submission (QAPP development</w:t>
      </w:r>
      <w:r w:rsidRPr="004C40B1">
        <w:rPr>
          <w:rFonts w:cstheme="minorHAnsi"/>
          <w:i/>
          <w:sz w:val="24"/>
          <w:szCs w:val="24"/>
        </w:rPr>
        <w:t xml:space="preserve">, database management etc.). Is there a minimum size data set that orgs need to meet </w:t>
      </w:r>
      <w:proofErr w:type="gramStart"/>
      <w:r w:rsidRPr="004C40B1">
        <w:rPr>
          <w:rFonts w:cstheme="minorHAnsi"/>
          <w:i/>
          <w:sz w:val="24"/>
          <w:szCs w:val="24"/>
        </w:rPr>
        <w:t>in order to</w:t>
      </w:r>
      <w:proofErr w:type="gramEnd"/>
      <w:r w:rsidRPr="004C40B1">
        <w:rPr>
          <w:rFonts w:cstheme="minorHAnsi"/>
          <w:i/>
          <w:sz w:val="24"/>
          <w:szCs w:val="24"/>
        </w:rPr>
        <w:t xml:space="preserve"> produce the type of external dataset that MassDEP finds useful/valuable?”</w:t>
      </w:r>
    </w:p>
    <w:p w14:paraId="7CEF1E3E" w14:textId="77777777" w:rsidR="00997C30" w:rsidRPr="004C40B1" w:rsidRDefault="00997C30" w:rsidP="00997C30">
      <w:pPr>
        <w:pStyle w:val="NoSpacing"/>
        <w:rPr>
          <w:rFonts w:cstheme="minorHAnsi"/>
          <w:sz w:val="24"/>
          <w:szCs w:val="24"/>
        </w:rPr>
      </w:pPr>
    </w:p>
    <w:p w14:paraId="7C68361E" w14:textId="77777777" w:rsidR="00997C30" w:rsidRPr="004C40B1" w:rsidRDefault="00997C30" w:rsidP="00997C30">
      <w:pPr>
        <w:pStyle w:val="NoSpacing"/>
        <w:rPr>
          <w:rFonts w:cstheme="minorHAnsi"/>
          <w:sz w:val="24"/>
          <w:szCs w:val="24"/>
        </w:rPr>
      </w:pPr>
      <w:r w:rsidRPr="004C40B1">
        <w:rPr>
          <w:rFonts w:cstheme="minorHAnsi"/>
          <w:b/>
          <w:sz w:val="24"/>
          <w:szCs w:val="24"/>
        </w:rPr>
        <w:t xml:space="preserve">Answer 7. </w:t>
      </w:r>
      <w:r w:rsidRPr="004C40B1">
        <w:rPr>
          <w:rFonts w:cstheme="minorHAnsi"/>
          <w:sz w:val="24"/>
          <w:szCs w:val="24"/>
        </w:rPr>
        <w:t xml:space="preserve"> There is no requirement for a minimum amount of data collected as part of the activity and/or project pertaining to eligibility. However, MassDEP suggests that interested parties carefully review RFR Section 3.2 (Proposal Components and Evaluation Criteria) and the “tips for creating a competitive proposal” in RFR Attachment A when proposing a project that incorporates data collection activities.</w:t>
      </w:r>
    </w:p>
    <w:p w14:paraId="742F7473" w14:textId="77777777" w:rsidR="00B24E74" w:rsidRPr="000C2C27" w:rsidRDefault="00B24E74" w:rsidP="000C2C27"/>
    <w:sectPr w:rsidR="00B24E74" w:rsidRPr="000C2C27" w:rsidSect="00997C30">
      <w:headerReference w:type="default" r:id="rId9"/>
      <w:headerReference w:type="first" r:id="rId10"/>
      <w:footerReference w:type="first" r:id="rId11"/>
      <w:type w:val="continuous"/>
      <w:pgSz w:w="12240" w:h="15840"/>
      <w:pgMar w:top="1440" w:right="1440"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0591F" w14:textId="77777777" w:rsidR="00E20C1D" w:rsidRDefault="00E20C1D" w:rsidP="00D9438E">
      <w:pPr>
        <w:spacing w:after="0" w:line="240" w:lineRule="auto"/>
      </w:pPr>
      <w:r>
        <w:separator/>
      </w:r>
    </w:p>
  </w:endnote>
  <w:endnote w:type="continuationSeparator" w:id="0">
    <w:p w14:paraId="02749E3A" w14:textId="77777777" w:rsidR="00E20C1D" w:rsidRDefault="00E20C1D" w:rsidP="00D94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B61C7" w14:textId="77777777" w:rsidR="00997C30" w:rsidRDefault="00997C30" w:rsidP="00CA2D60">
    <w:pPr>
      <w:pStyle w:val="Footer"/>
      <w:jc w:val="center"/>
    </w:pPr>
    <w: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D5107" w14:textId="77777777" w:rsidR="00E20C1D" w:rsidRDefault="00E20C1D" w:rsidP="00D9438E">
      <w:pPr>
        <w:spacing w:after="0" w:line="240" w:lineRule="auto"/>
      </w:pPr>
      <w:r>
        <w:separator/>
      </w:r>
    </w:p>
  </w:footnote>
  <w:footnote w:type="continuationSeparator" w:id="0">
    <w:p w14:paraId="30760BD3" w14:textId="77777777" w:rsidR="00E20C1D" w:rsidRDefault="00E20C1D" w:rsidP="00D943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08854"/>
      <w:docPartObj>
        <w:docPartGallery w:val="Page Numbers (Top of Page)"/>
        <w:docPartUnique/>
      </w:docPartObj>
    </w:sdtPr>
    <w:sdtEndPr>
      <w:rPr>
        <w:noProof/>
      </w:rPr>
    </w:sdtEndPr>
    <w:sdtContent>
      <w:p w14:paraId="35BBE615" w14:textId="77777777" w:rsidR="00F97423" w:rsidRDefault="00F97423">
        <w:pPr>
          <w:pStyle w:val="Head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0476799E" w14:textId="77777777" w:rsidR="00F97423" w:rsidRDefault="00F974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11801" w14:textId="77777777" w:rsidR="00997C30" w:rsidRPr="003B18E4" w:rsidRDefault="00997C30" w:rsidP="003B18E4">
    <w:pPr>
      <w:rPr>
        <w:rFonts w:ascii="Times New Roman" w:hAnsi="Times New Roman" w:cs="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55797" w14:textId="77777777" w:rsidR="00997C30" w:rsidRDefault="00997C30" w:rsidP="00CA2D60">
    <w:pPr>
      <w:pStyle w:val="Header"/>
      <w:jc w:val="center"/>
    </w:pPr>
    <w:r>
      <w:t>Appendix 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935"/>
    <w:rsid w:val="00036519"/>
    <w:rsid w:val="000C02B1"/>
    <w:rsid w:val="000C2C27"/>
    <w:rsid w:val="000C74F7"/>
    <w:rsid w:val="001B0E12"/>
    <w:rsid w:val="00214F29"/>
    <w:rsid w:val="00214FDF"/>
    <w:rsid w:val="002C77DD"/>
    <w:rsid w:val="002F059B"/>
    <w:rsid w:val="00360915"/>
    <w:rsid w:val="003E2D58"/>
    <w:rsid w:val="0041444C"/>
    <w:rsid w:val="004231F8"/>
    <w:rsid w:val="004973BF"/>
    <w:rsid w:val="00532FF6"/>
    <w:rsid w:val="0056789C"/>
    <w:rsid w:val="00597585"/>
    <w:rsid w:val="005C52A4"/>
    <w:rsid w:val="00671F1C"/>
    <w:rsid w:val="006858DE"/>
    <w:rsid w:val="007323AC"/>
    <w:rsid w:val="00786ED7"/>
    <w:rsid w:val="007D6E19"/>
    <w:rsid w:val="007E44B9"/>
    <w:rsid w:val="00816BEA"/>
    <w:rsid w:val="00970DF0"/>
    <w:rsid w:val="00985990"/>
    <w:rsid w:val="00997C30"/>
    <w:rsid w:val="009E76B3"/>
    <w:rsid w:val="00A86B43"/>
    <w:rsid w:val="00AD674B"/>
    <w:rsid w:val="00B24E74"/>
    <w:rsid w:val="00BD07C7"/>
    <w:rsid w:val="00C3480A"/>
    <w:rsid w:val="00CE707F"/>
    <w:rsid w:val="00D16660"/>
    <w:rsid w:val="00D66D28"/>
    <w:rsid w:val="00D9438E"/>
    <w:rsid w:val="00DA2488"/>
    <w:rsid w:val="00DD4A0E"/>
    <w:rsid w:val="00DD70BC"/>
    <w:rsid w:val="00E20C1D"/>
    <w:rsid w:val="00E211DB"/>
    <w:rsid w:val="00E21935"/>
    <w:rsid w:val="00E57A48"/>
    <w:rsid w:val="00EC3685"/>
    <w:rsid w:val="00ED2670"/>
    <w:rsid w:val="00F9272D"/>
    <w:rsid w:val="00F97423"/>
    <w:rsid w:val="00FD200B"/>
    <w:rsid w:val="00FF6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A24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C27"/>
  </w:style>
  <w:style w:type="paragraph" w:styleId="Heading1">
    <w:name w:val="heading 1"/>
    <w:basedOn w:val="Normal"/>
    <w:next w:val="Normal"/>
    <w:link w:val="Heading1Char"/>
    <w:uiPriority w:val="9"/>
    <w:qFormat/>
    <w:rsid w:val="00036519"/>
    <w:pPr>
      <w:keepNext/>
      <w:keepLines/>
      <w:spacing w:before="360" w:after="80"/>
      <w:outlineLvl w:val="0"/>
    </w:pPr>
    <w:rPr>
      <w:rFonts w:asciiTheme="majorHAnsi" w:eastAsiaTheme="majorEastAsia" w:hAnsiTheme="majorHAnsi" w:cstheme="majorBidi"/>
      <w:color w:val="275317" w:themeColor="accent6" w:themeShade="80"/>
      <w:sz w:val="40"/>
      <w:szCs w:val="40"/>
    </w:rPr>
  </w:style>
  <w:style w:type="paragraph" w:styleId="Heading2">
    <w:name w:val="heading 2"/>
    <w:basedOn w:val="Normal"/>
    <w:next w:val="Normal"/>
    <w:link w:val="Heading2Char"/>
    <w:uiPriority w:val="9"/>
    <w:semiHidden/>
    <w:unhideWhenUsed/>
    <w:qFormat/>
    <w:rsid w:val="00ED2670"/>
    <w:pPr>
      <w:keepNext/>
      <w:keepLines/>
      <w:spacing w:before="160" w:after="80"/>
      <w:outlineLvl w:val="1"/>
    </w:pPr>
    <w:rPr>
      <w:rFonts w:asciiTheme="majorHAnsi" w:eastAsiaTheme="majorEastAsia" w:hAnsiTheme="majorHAnsi" w:cstheme="majorBidi"/>
      <w:color w:val="275317" w:themeColor="accent6" w:themeShade="80"/>
      <w:sz w:val="32"/>
      <w:szCs w:val="32"/>
    </w:rPr>
  </w:style>
  <w:style w:type="paragraph" w:styleId="Heading3">
    <w:name w:val="heading 3"/>
    <w:basedOn w:val="Normal"/>
    <w:next w:val="Normal"/>
    <w:link w:val="Heading3Char"/>
    <w:uiPriority w:val="9"/>
    <w:unhideWhenUsed/>
    <w:qFormat/>
    <w:rsid w:val="00FD200B"/>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FD200B"/>
    <w:pPr>
      <w:keepNext/>
      <w:keepLines/>
      <w:spacing w:before="80" w:after="40"/>
      <w:outlineLvl w:val="3"/>
    </w:pPr>
    <w:rPr>
      <w:rFonts w:eastAsiaTheme="majorEastAsia" w:cstheme="majorBidi"/>
      <w:i/>
      <w:iCs/>
      <w:color w:val="275317" w:themeColor="accent6" w:themeShade="80"/>
    </w:rPr>
  </w:style>
  <w:style w:type="paragraph" w:styleId="Heading5">
    <w:name w:val="heading 5"/>
    <w:basedOn w:val="Normal"/>
    <w:next w:val="Normal"/>
    <w:link w:val="Heading5Char"/>
    <w:uiPriority w:val="9"/>
    <w:unhideWhenUsed/>
    <w:qFormat/>
    <w:rsid w:val="00816BEA"/>
    <w:pPr>
      <w:keepNext/>
      <w:keepLines/>
      <w:spacing w:before="80" w:after="40"/>
      <w:outlineLvl w:val="4"/>
    </w:pPr>
    <w:rPr>
      <w:rFonts w:eastAsiaTheme="majorEastAsia" w:cstheme="majorBidi"/>
      <w:color w:val="275317" w:themeColor="accent6" w:themeShade="80"/>
    </w:rPr>
  </w:style>
  <w:style w:type="paragraph" w:styleId="Heading6">
    <w:name w:val="heading 6"/>
    <w:basedOn w:val="Normal"/>
    <w:next w:val="Normal"/>
    <w:link w:val="Heading6Char"/>
    <w:uiPriority w:val="9"/>
    <w:semiHidden/>
    <w:unhideWhenUsed/>
    <w:qFormat/>
    <w:rsid w:val="00F927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27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27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27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519"/>
    <w:rPr>
      <w:rFonts w:asciiTheme="majorHAnsi" w:eastAsiaTheme="majorEastAsia" w:hAnsiTheme="majorHAnsi" w:cstheme="majorBidi"/>
      <w:color w:val="275317" w:themeColor="accent6" w:themeShade="80"/>
      <w:sz w:val="40"/>
      <w:szCs w:val="40"/>
    </w:rPr>
  </w:style>
  <w:style w:type="character" w:customStyle="1" w:styleId="Heading2Char">
    <w:name w:val="Heading 2 Char"/>
    <w:basedOn w:val="DefaultParagraphFont"/>
    <w:link w:val="Heading2"/>
    <w:uiPriority w:val="9"/>
    <w:semiHidden/>
    <w:rsid w:val="00036519"/>
    <w:rPr>
      <w:rFonts w:asciiTheme="majorHAnsi" w:eastAsiaTheme="majorEastAsia" w:hAnsiTheme="majorHAnsi" w:cstheme="majorBidi"/>
      <w:color w:val="275317" w:themeColor="accent6" w:themeShade="80"/>
      <w:sz w:val="32"/>
      <w:szCs w:val="32"/>
    </w:rPr>
  </w:style>
  <w:style w:type="character" w:customStyle="1" w:styleId="Heading3Char">
    <w:name w:val="Heading 3 Char"/>
    <w:basedOn w:val="DefaultParagraphFont"/>
    <w:link w:val="Heading3"/>
    <w:uiPriority w:val="9"/>
    <w:rsid w:val="00FD200B"/>
    <w:rPr>
      <w:rFonts w:eastAsiaTheme="majorEastAsia" w:cstheme="majorBidi"/>
      <w:b/>
      <w:color w:val="000000" w:themeColor="text1"/>
      <w:szCs w:val="28"/>
    </w:rPr>
  </w:style>
  <w:style w:type="character" w:customStyle="1" w:styleId="Heading4Char">
    <w:name w:val="Heading 4 Char"/>
    <w:basedOn w:val="DefaultParagraphFont"/>
    <w:link w:val="Heading4"/>
    <w:uiPriority w:val="9"/>
    <w:semiHidden/>
    <w:rsid w:val="00FD200B"/>
    <w:rPr>
      <w:rFonts w:eastAsiaTheme="majorEastAsia" w:cstheme="majorBidi"/>
      <w:i/>
      <w:iCs/>
      <w:color w:val="275317" w:themeColor="accent6" w:themeShade="80"/>
    </w:rPr>
  </w:style>
  <w:style w:type="character" w:customStyle="1" w:styleId="Heading5Char">
    <w:name w:val="Heading 5 Char"/>
    <w:basedOn w:val="DefaultParagraphFont"/>
    <w:link w:val="Heading5"/>
    <w:uiPriority w:val="9"/>
    <w:rsid w:val="00816BEA"/>
    <w:rPr>
      <w:rFonts w:eastAsiaTheme="majorEastAsia" w:cstheme="majorBidi"/>
      <w:color w:val="275317" w:themeColor="accent6" w:themeShade="80"/>
    </w:rPr>
  </w:style>
  <w:style w:type="character" w:customStyle="1" w:styleId="Heading6Char">
    <w:name w:val="Heading 6 Char"/>
    <w:basedOn w:val="DefaultParagraphFont"/>
    <w:link w:val="Heading6"/>
    <w:uiPriority w:val="9"/>
    <w:semiHidden/>
    <w:rsid w:val="00F927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27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27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272D"/>
    <w:rPr>
      <w:rFonts w:eastAsiaTheme="majorEastAsia" w:cstheme="majorBidi"/>
      <w:color w:val="272727" w:themeColor="text1" w:themeTint="D8"/>
    </w:rPr>
  </w:style>
  <w:style w:type="paragraph" w:styleId="Title">
    <w:name w:val="Title"/>
    <w:basedOn w:val="Normal"/>
    <w:next w:val="Normal"/>
    <w:link w:val="TitleChar"/>
    <w:uiPriority w:val="10"/>
    <w:rsid w:val="00F927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27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F927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27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272D"/>
    <w:pPr>
      <w:spacing w:before="160"/>
      <w:jc w:val="center"/>
    </w:pPr>
    <w:rPr>
      <w:i/>
      <w:iCs/>
      <w:color w:val="404040" w:themeColor="text1" w:themeTint="BF"/>
    </w:rPr>
  </w:style>
  <w:style w:type="character" w:customStyle="1" w:styleId="QuoteChar">
    <w:name w:val="Quote Char"/>
    <w:basedOn w:val="DefaultParagraphFont"/>
    <w:link w:val="Quote"/>
    <w:uiPriority w:val="29"/>
    <w:rsid w:val="00F9272D"/>
    <w:rPr>
      <w:i/>
      <w:iCs/>
      <w:color w:val="404040" w:themeColor="text1" w:themeTint="BF"/>
    </w:rPr>
  </w:style>
  <w:style w:type="paragraph" w:styleId="ListParagraph">
    <w:name w:val="List Paragraph"/>
    <w:basedOn w:val="Normal"/>
    <w:uiPriority w:val="34"/>
    <w:qFormat/>
    <w:rsid w:val="00F9272D"/>
    <w:pPr>
      <w:ind w:left="720"/>
      <w:contextualSpacing/>
    </w:pPr>
  </w:style>
  <w:style w:type="character" w:styleId="IntenseEmphasis">
    <w:name w:val="Intense Emphasis"/>
    <w:basedOn w:val="DefaultParagraphFont"/>
    <w:uiPriority w:val="21"/>
    <w:qFormat/>
    <w:rsid w:val="00D9438E"/>
    <w:rPr>
      <w:i/>
      <w:iCs/>
      <w:color w:val="275317" w:themeColor="accent6" w:themeShade="80"/>
    </w:rPr>
  </w:style>
  <w:style w:type="paragraph" w:styleId="IntenseQuote">
    <w:name w:val="Intense Quote"/>
    <w:basedOn w:val="Normal"/>
    <w:next w:val="Normal"/>
    <w:link w:val="IntenseQuoteChar"/>
    <w:uiPriority w:val="30"/>
    <w:qFormat/>
    <w:rsid w:val="00D9438E"/>
    <w:pPr>
      <w:pBdr>
        <w:top w:val="single" w:sz="4" w:space="10" w:color="0F4761" w:themeColor="accent1" w:themeShade="BF"/>
        <w:bottom w:val="single" w:sz="4" w:space="10" w:color="0F4761" w:themeColor="accent1" w:themeShade="BF"/>
      </w:pBdr>
      <w:spacing w:before="360" w:after="360"/>
      <w:ind w:left="864" w:right="864"/>
      <w:jc w:val="center"/>
    </w:pPr>
    <w:rPr>
      <w:i/>
      <w:iCs/>
      <w:color w:val="275317" w:themeColor="accent6" w:themeShade="80"/>
    </w:rPr>
  </w:style>
  <w:style w:type="character" w:customStyle="1" w:styleId="IntenseQuoteChar">
    <w:name w:val="Intense Quote Char"/>
    <w:basedOn w:val="DefaultParagraphFont"/>
    <w:link w:val="IntenseQuote"/>
    <w:uiPriority w:val="30"/>
    <w:rsid w:val="00D9438E"/>
    <w:rPr>
      <w:i/>
      <w:iCs/>
      <w:color w:val="275317" w:themeColor="accent6" w:themeShade="80"/>
    </w:rPr>
  </w:style>
  <w:style w:type="character" w:styleId="IntenseReference">
    <w:name w:val="Intense Reference"/>
    <w:basedOn w:val="DefaultParagraphFont"/>
    <w:uiPriority w:val="32"/>
    <w:qFormat/>
    <w:rsid w:val="00D9438E"/>
    <w:rPr>
      <w:b/>
      <w:bCs/>
      <w:smallCaps/>
      <w:color w:val="275317" w:themeColor="accent6" w:themeShade="80"/>
      <w:spacing w:val="5"/>
    </w:rPr>
  </w:style>
  <w:style w:type="paragraph" w:styleId="Header">
    <w:name w:val="header"/>
    <w:basedOn w:val="Normal"/>
    <w:link w:val="HeaderChar"/>
    <w:uiPriority w:val="99"/>
    <w:unhideWhenUsed/>
    <w:rsid w:val="00D943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438E"/>
  </w:style>
  <w:style w:type="paragraph" w:styleId="Footer">
    <w:name w:val="footer"/>
    <w:basedOn w:val="Normal"/>
    <w:link w:val="FooterChar"/>
    <w:uiPriority w:val="99"/>
    <w:unhideWhenUsed/>
    <w:rsid w:val="00D943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438E"/>
  </w:style>
  <w:style w:type="paragraph" w:customStyle="1" w:styleId="paragraph">
    <w:name w:val="paragraph"/>
    <w:basedOn w:val="Normal"/>
    <w:rsid w:val="00997C30"/>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997C30"/>
  </w:style>
  <w:style w:type="paragraph" w:styleId="NoSpacing">
    <w:name w:val="No Spacing"/>
    <w:uiPriority w:val="1"/>
    <w:qFormat/>
    <w:rsid w:val="00997C30"/>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C4DC73760088B44ABF93A5FB50D0363" ma:contentTypeVersion="16" ma:contentTypeDescription="Create a new document." ma:contentTypeScope="" ma:versionID="8d15803b8b10909a3ae1f3a827dcd7ed">
  <xsd:schema xmlns:xsd="http://www.w3.org/2001/XMLSchema" xmlns:xs="http://www.w3.org/2001/XMLSchema" xmlns:p="http://schemas.microsoft.com/office/2006/metadata/properties" xmlns:ns2="d3aecde8-d9a1-4049-933e-9e2b7225d702" xmlns:ns3="9aa0aac6-9572-464b-91c6-faa7c94d9472" targetNamespace="http://schemas.microsoft.com/office/2006/metadata/properties" ma:root="true" ma:fieldsID="172d748115debdb80b572905e8027e8b" ns2:_="" ns3:_="">
    <xsd:import namespace="d3aecde8-d9a1-4049-933e-9e2b7225d702"/>
    <xsd:import namespace="9aa0aac6-9572-464b-91c6-faa7c94d947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aecde8-d9a1-4049-933e-9e2b7225d7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a0aac6-9572-464b-91c6-faa7c94d94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48f36ed5-e5f1-49b1-bbfc-ce5180b7a03c}" ma:internalName="TaxCatchAll" ma:showField="CatchAllData" ma:web="9aa0aac6-9572-464b-91c6-faa7c94d94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aecde8-d9a1-4049-933e-9e2b7225d702">
      <Terms xmlns="http://schemas.microsoft.com/office/infopath/2007/PartnerControls"/>
    </lcf76f155ced4ddcb4097134ff3c332f>
    <TaxCatchAll xmlns="9aa0aac6-9572-464b-91c6-faa7c94d9472" xsi:nil="true"/>
  </documentManagement>
</p:properties>
</file>

<file path=customXml/itemProps1.xml><?xml version="1.0" encoding="utf-8"?>
<ds:datastoreItem xmlns:ds="http://schemas.openxmlformats.org/officeDocument/2006/customXml" ds:itemID="{81CB771C-C584-4BE4-B89F-95586881BC15}">
  <ds:schemaRefs>
    <ds:schemaRef ds:uri="http://schemas.openxmlformats.org/officeDocument/2006/bibliography"/>
  </ds:schemaRefs>
</ds:datastoreItem>
</file>

<file path=customXml/itemProps2.xml><?xml version="1.0" encoding="utf-8"?>
<ds:datastoreItem xmlns:ds="http://schemas.openxmlformats.org/officeDocument/2006/customXml" ds:itemID="{47830A98-5445-4AFA-B2C7-103B189D203B}"/>
</file>

<file path=customXml/itemProps3.xml><?xml version="1.0" encoding="utf-8"?>
<ds:datastoreItem xmlns:ds="http://schemas.openxmlformats.org/officeDocument/2006/customXml" ds:itemID="{4051E888-CC7A-4432-9E77-1CDDE88D0B52}"/>
</file>

<file path=customXml/itemProps4.xml><?xml version="1.0" encoding="utf-8"?>
<ds:datastoreItem xmlns:ds="http://schemas.openxmlformats.org/officeDocument/2006/customXml" ds:itemID="{51FB3D92-B9FC-4EA0-A141-257509274911}"/>
</file>

<file path=docProps/app.xml><?xml version="1.0" encoding="utf-8"?>
<Properties xmlns="http://schemas.openxmlformats.org/officeDocument/2006/extended-properties" xmlns:vt="http://schemas.openxmlformats.org/officeDocument/2006/docPropsVTypes">
  <Template>DEP_Letterhead_Update Nov 2025</Template>
  <TotalTime>1</TotalTime>
  <Pages>3</Pages>
  <Words>1059</Words>
  <Characters>6039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Wu, Victoria (DEP)</dc:creator>
  <cp:keywords/>
  <dc:description/>
  <cp:lastModifiedBy>Starling, Courtney (DEP)</cp:lastModifiedBy>
  <cp:revision>2</cp:revision>
  <cp:lastPrinted>2025-10-07T15:39:00Z</cp:lastPrinted>
  <dcterms:created xsi:type="dcterms:W3CDTF">2025-11-17T20:15:00Z</dcterms:created>
  <dcterms:modified xsi:type="dcterms:W3CDTF">2025-11-17T20:15:00Z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0x010100EC4DC73760088B44ABF93A5FB50D0363</vt:lpwstr>
  </property>
  <property fmtid="{D5CDD505-2E9C-101B-9397-08002B2CF9AE}" pid="3" name="MediaServiceImageTags">
    <vt:lpwstr/>
  </property>
</Properties>
</file>