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F0B" w14:textId="77777777" w:rsidR="00C242BC" w:rsidRDefault="00C242BC"/>
    <w:p w14:paraId="05D2AC92" w14:textId="77777777" w:rsidR="00F1638E" w:rsidRDefault="005E6FF3" w:rsidP="005E6FF3">
      <w:pPr>
        <w:spacing w:after="0"/>
      </w:pPr>
      <w:r>
        <w:t>Worcester Recovery Center and Hospital Board of Trustees</w:t>
      </w:r>
    </w:p>
    <w:p w14:paraId="1EC92338" w14:textId="7E3323D8" w:rsidR="005E6FF3" w:rsidRDefault="005E6FF3" w:rsidP="005E6FF3">
      <w:pPr>
        <w:spacing w:after="0"/>
      </w:pPr>
      <w:r>
        <w:t>MINUTES</w:t>
      </w:r>
    </w:p>
    <w:p w14:paraId="2558D3FE" w14:textId="77777777" w:rsidR="005E6FF3" w:rsidRDefault="005E6FF3" w:rsidP="009346A7">
      <w:pPr>
        <w:spacing w:after="0"/>
      </w:pPr>
      <w:r>
        <w:t>Page 1</w:t>
      </w:r>
    </w:p>
    <w:p w14:paraId="5AE88436" w14:textId="618B77BC" w:rsidR="005E6FF3" w:rsidRPr="00C67AB9" w:rsidRDefault="005E6FF3" w:rsidP="005E6FF3">
      <w:pPr>
        <w:spacing w:after="0"/>
      </w:pPr>
      <w:proofErr w:type="gramStart"/>
      <w:r w:rsidRPr="005E6FF3">
        <w:rPr>
          <w:b/>
        </w:rPr>
        <w:t>Date:</w:t>
      </w:r>
      <w:r w:rsidR="003914D8">
        <w:t>.</w:t>
      </w:r>
      <w:proofErr w:type="gramEnd"/>
      <w:r w:rsidR="00C5255F">
        <w:t xml:space="preserve"> April 5, 2023</w:t>
      </w:r>
      <w:r w:rsidR="003914D8">
        <w:t xml:space="preserve"> </w:t>
      </w:r>
    </w:p>
    <w:p w14:paraId="2524F3B2" w14:textId="3A02670E" w:rsidR="005E6FF3" w:rsidRDefault="005E6FF3" w:rsidP="005E6FF3">
      <w:pPr>
        <w:spacing w:after="0"/>
      </w:pPr>
      <w:r w:rsidRPr="00C67AB9">
        <w:t xml:space="preserve">Attendees:  </w:t>
      </w:r>
      <w:r w:rsidR="00240D56">
        <w:t xml:space="preserve">Jack Ross, Alexizendria Link, Nancy </w:t>
      </w:r>
      <w:r w:rsidR="00696A1A">
        <w:t>Muszynski</w:t>
      </w:r>
      <w:r w:rsidR="00240D56">
        <w:t xml:space="preserve">, Judy Kohn, Bob Bureau, Elaine Valk,  </w:t>
      </w:r>
    </w:p>
    <w:p w14:paraId="15A5B29B" w14:textId="11F09100" w:rsidR="005E6FF3" w:rsidRDefault="003914D8" w:rsidP="005E6FF3">
      <w:pPr>
        <w:spacing w:after="0"/>
        <w:rPr>
          <w:b/>
        </w:rPr>
      </w:pPr>
      <w:r>
        <w:t xml:space="preserve">Others in attendance:  </w:t>
      </w:r>
      <w:r w:rsidR="00240D56">
        <w:t xml:space="preserve">Luke Knowles, prospective Trustee; </w:t>
      </w:r>
      <w:r w:rsidR="00220D5E">
        <w:t>Kathy Wenzel, CEO;</w:t>
      </w:r>
      <w:r w:rsidR="00240D56">
        <w:t xml:space="preserve"> Colleen Motta, Assistant COO for Compliance; </w:t>
      </w:r>
      <w:r>
        <w:t>Maddy Grogan, Recorder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5040"/>
        <w:gridCol w:w="3420"/>
        <w:gridCol w:w="2340"/>
        <w:gridCol w:w="1998"/>
      </w:tblGrid>
      <w:tr w:rsidR="005E6FF3" w14:paraId="460D92A4" w14:textId="77777777" w:rsidTr="005E6FF3">
        <w:tc>
          <w:tcPr>
            <w:tcW w:w="1818" w:type="dxa"/>
          </w:tcPr>
          <w:p w14:paraId="10C1ADF7" w14:textId="77777777" w:rsidR="00024D96" w:rsidRDefault="00024D96" w:rsidP="005E6FF3">
            <w:pPr>
              <w:jc w:val="center"/>
              <w:rPr>
                <w:b/>
              </w:rPr>
            </w:pPr>
          </w:p>
          <w:p w14:paraId="713BA569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  <w:p w14:paraId="18458E54" w14:textId="77777777" w:rsidR="00024D96" w:rsidRDefault="00024D96" w:rsidP="005E6FF3">
            <w:pPr>
              <w:jc w:val="center"/>
              <w:rPr>
                <w:b/>
              </w:rPr>
            </w:pPr>
          </w:p>
        </w:tc>
        <w:tc>
          <w:tcPr>
            <w:tcW w:w="5040" w:type="dxa"/>
          </w:tcPr>
          <w:p w14:paraId="3F71F69F" w14:textId="77777777" w:rsidR="00024D96" w:rsidRDefault="00024D96" w:rsidP="005E6FF3">
            <w:pPr>
              <w:jc w:val="center"/>
              <w:rPr>
                <w:b/>
              </w:rPr>
            </w:pPr>
          </w:p>
          <w:p w14:paraId="120EFDE4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Discussion</w:t>
            </w:r>
          </w:p>
          <w:p w14:paraId="642EDC48" w14:textId="77777777" w:rsidR="00024D96" w:rsidRDefault="00024D96" w:rsidP="005E6FF3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74C5A8CB" w14:textId="77777777" w:rsidR="00024D96" w:rsidRDefault="00024D96" w:rsidP="005E6FF3">
            <w:pPr>
              <w:jc w:val="center"/>
              <w:rPr>
                <w:b/>
              </w:rPr>
            </w:pPr>
          </w:p>
          <w:p w14:paraId="5DE97080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Assignment/Task</w:t>
            </w:r>
          </w:p>
        </w:tc>
        <w:tc>
          <w:tcPr>
            <w:tcW w:w="2340" w:type="dxa"/>
          </w:tcPr>
          <w:p w14:paraId="5F8DC8F9" w14:textId="77777777" w:rsidR="00024D96" w:rsidRDefault="00024D96" w:rsidP="005E6FF3">
            <w:pPr>
              <w:jc w:val="center"/>
              <w:rPr>
                <w:b/>
              </w:rPr>
            </w:pPr>
          </w:p>
          <w:p w14:paraId="5D63D691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Point Person</w:t>
            </w:r>
          </w:p>
        </w:tc>
        <w:tc>
          <w:tcPr>
            <w:tcW w:w="1998" w:type="dxa"/>
          </w:tcPr>
          <w:p w14:paraId="5A2B57E9" w14:textId="77777777" w:rsidR="00024D96" w:rsidRDefault="00024D96" w:rsidP="005E6FF3">
            <w:pPr>
              <w:jc w:val="center"/>
              <w:rPr>
                <w:b/>
              </w:rPr>
            </w:pPr>
          </w:p>
          <w:p w14:paraId="4BD85A50" w14:textId="77777777" w:rsidR="005E6FF3" w:rsidRDefault="005E6FF3" w:rsidP="005E6FF3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5E6FF3" w14:paraId="5D5A21C3" w14:textId="77777777" w:rsidTr="005E6FF3">
        <w:tc>
          <w:tcPr>
            <w:tcW w:w="1818" w:type="dxa"/>
          </w:tcPr>
          <w:p w14:paraId="11BF86C8" w14:textId="3B9A2962" w:rsidR="005E6FF3" w:rsidRPr="005E6FF3" w:rsidRDefault="005E6FF3" w:rsidP="005E6FF3">
            <w:r w:rsidRPr="005E6FF3">
              <w:t xml:space="preserve">Approval of </w:t>
            </w:r>
            <w:r w:rsidR="0080316E" w:rsidRPr="005E6FF3">
              <w:t>Prior Meeting</w:t>
            </w:r>
            <w:r w:rsidRPr="005E6FF3">
              <w:t xml:space="preserve"> Minutes</w:t>
            </w:r>
          </w:p>
        </w:tc>
        <w:tc>
          <w:tcPr>
            <w:tcW w:w="5040" w:type="dxa"/>
          </w:tcPr>
          <w:p w14:paraId="1E8B1A79" w14:textId="6A260CAD" w:rsidR="000F6515" w:rsidRPr="00C67AB9" w:rsidRDefault="00C67AB9" w:rsidP="00696A1A">
            <w:r>
              <w:t>The Board reviewed the meeting minutes of</w:t>
            </w:r>
            <w:r w:rsidR="00220D5E">
              <w:t xml:space="preserve"> </w:t>
            </w:r>
            <w:r w:rsidR="00696A1A">
              <w:t xml:space="preserve">February 16, 2023.  </w:t>
            </w:r>
            <w:r w:rsidR="00E946B6">
              <w:t xml:space="preserve"> </w:t>
            </w:r>
            <w:r w:rsidR="00F846D1">
              <w:t xml:space="preserve"> A motion was made </w:t>
            </w:r>
            <w:r w:rsidR="00696A1A">
              <w:t xml:space="preserve">to approve the minutes as written.  </w:t>
            </w:r>
          </w:p>
        </w:tc>
        <w:tc>
          <w:tcPr>
            <w:tcW w:w="3420" w:type="dxa"/>
          </w:tcPr>
          <w:p w14:paraId="59836268" w14:textId="1680F785" w:rsidR="005E6FF3" w:rsidRPr="003914D8" w:rsidRDefault="00F06E8F" w:rsidP="00F846D1">
            <w:r>
              <w:t>The meeting minutes of</w:t>
            </w:r>
            <w:r w:rsidR="00DB1D6F">
              <w:t xml:space="preserve"> February 16, </w:t>
            </w:r>
            <w:r w:rsidR="00542909">
              <w:t>2023,</w:t>
            </w:r>
            <w:r w:rsidR="00DB1D6F">
              <w:t xml:space="preserve"> </w:t>
            </w:r>
            <w:r>
              <w:t>were approve</w:t>
            </w:r>
            <w:r w:rsidR="00542909">
              <w:t>d.</w:t>
            </w:r>
          </w:p>
        </w:tc>
        <w:tc>
          <w:tcPr>
            <w:tcW w:w="2340" w:type="dxa"/>
          </w:tcPr>
          <w:p w14:paraId="20631071" w14:textId="77777777" w:rsidR="005E6FF3" w:rsidRPr="003914D8" w:rsidRDefault="003914D8" w:rsidP="005E6FF3">
            <w:r w:rsidRPr="003914D8">
              <w:t>Maddy Grogan</w:t>
            </w:r>
          </w:p>
        </w:tc>
        <w:tc>
          <w:tcPr>
            <w:tcW w:w="1998" w:type="dxa"/>
          </w:tcPr>
          <w:p w14:paraId="137A7EAB" w14:textId="77777777" w:rsidR="005E6FF3" w:rsidRPr="003914D8" w:rsidRDefault="005E6FF3" w:rsidP="005E6FF3"/>
        </w:tc>
      </w:tr>
      <w:tr w:rsidR="005E6FF3" w14:paraId="1EBEA906" w14:textId="77777777" w:rsidTr="005E6FF3">
        <w:tc>
          <w:tcPr>
            <w:tcW w:w="1818" w:type="dxa"/>
          </w:tcPr>
          <w:p w14:paraId="1360975F" w14:textId="77777777" w:rsidR="000F6515" w:rsidRDefault="00240D56" w:rsidP="007F3A10">
            <w:r>
              <w:t>Introduction of Colleen Motta, Assistant COO for Operations</w:t>
            </w:r>
          </w:p>
          <w:p w14:paraId="65CE2628" w14:textId="3C8C53F7" w:rsidR="00DB1D6F" w:rsidRPr="00C67AB9" w:rsidRDefault="00DB1D6F" w:rsidP="007F3A10"/>
        </w:tc>
        <w:tc>
          <w:tcPr>
            <w:tcW w:w="5040" w:type="dxa"/>
          </w:tcPr>
          <w:p w14:paraId="309AB116" w14:textId="57ED561E" w:rsidR="001B3F21" w:rsidRPr="00C67AB9" w:rsidRDefault="00240D56" w:rsidP="00324604">
            <w:r>
              <w:t>CEO Kath</w:t>
            </w:r>
            <w:r w:rsidR="00BC22DA">
              <w:t xml:space="preserve">y </w:t>
            </w:r>
            <w:r>
              <w:t xml:space="preserve">Wenzel introduced Coleen Motta, </w:t>
            </w:r>
            <w:r w:rsidR="00BC22DA">
              <w:t>Assistant COO for Compliance and noted that Colleen</w:t>
            </w:r>
            <w:r w:rsidR="00920896">
              <w:t>’s primary role is Joint Commission and CMS</w:t>
            </w:r>
            <w:r w:rsidR="00542909">
              <w:t xml:space="preserve"> compliance</w:t>
            </w:r>
            <w:r w:rsidR="00920896">
              <w:t xml:space="preserve">.  Colleen was previously the Director of Social Work and has been with WRCH since 2006. </w:t>
            </w:r>
            <w:r w:rsidR="00BC22DA">
              <w:t xml:space="preserve"> </w:t>
            </w:r>
          </w:p>
        </w:tc>
        <w:tc>
          <w:tcPr>
            <w:tcW w:w="3420" w:type="dxa"/>
          </w:tcPr>
          <w:p w14:paraId="6299BF63" w14:textId="77777777" w:rsidR="005E6FF3" w:rsidRDefault="005E6FF3" w:rsidP="005776AE"/>
          <w:p w14:paraId="398869B1" w14:textId="4EA270F9" w:rsidR="00920896" w:rsidRPr="00C67AB9" w:rsidRDefault="00920896" w:rsidP="005776AE">
            <w:r>
              <w:t xml:space="preserve">Informational </w:t>
            </w:r>
          </w:p>
        </w:tc>
        <w:tc>
          <w:tcPr>
            <w:tcW w:w="2340" w:type="dxa"/>
          </w:tcPr>
          <w:p w14:paraId="414B76D4" w14:textId="77777777" w:rsidR="005E6FF3" w:rsidRPr="00C67AB9" w:rsidRDefault="005E6FF3" w:rsidP="005E6FF3"/>
        </w:tc>
        <w:tc>
          <w:tcPr>
            <w:tcW w:w="1998" w:type="dxa"/>
          </w:tcPr>
          <w:p w14:paraId="071A8074" w14:textId="77777777" w:rsidR="005E6FF3" w:rsidRPr="00C67AB9" w:rsidRDefault="005E6FF3" w:rsidP="005E6FF3"/>
        </w:tc>
      </w:tr>
      <w:tr w:rsidR="005776AE" w14:paraId="1D5AD6B9" w14:textId="77777777" w:rsidTr="005E6FF3">
        <w:tc>
          <w:tcPr>
            <w:tcW w:w="1818" w:type="dxa"/>
          </w:tcPr>
          <w:p w14:paraId="13671E94" w14:textId="77D6B1A6" w:rsidR="005776AE" w:rsidRDefault="00920896" w:rsidP="005E6FF3">
            <w:r>
              <w:t>Tour of WRCH</w:t>
            </w:r>
          </w:p>
        </w:tc>
        <w:tc>
          <w:tcPr>
            <w:tcW w:w="5040" w:type="dxa"/>
          </w:tcPr>
          <w:p w14:paraId="2EE3EDAF" w14:textId="5B754E63" w:rsidR="00542909" w:rsidRDefault="00920896" w:rsidP="00542909">
            <w:r>
              <w:t>Trustees toured parts of the hospital.  It was noted that NFI children’s program is no longer housed at WRCH as they moved to a different building in Westboro.  The UMass Adolescent Continuing Care Units E1 and E2 remain.</w:t>
            </w:r>
            <w:r w:rsidR="00F1638E">
              <w:t xml:space="preserve">  </w:t>
            </w:r>
            <w:r w:rsidR="00542909">
              <w:t>Related discussion</w:t>
            </w:r>
            <w:r w:rsidR="00F1638E">
              <w:t xml:space="preserve"> and suggestions</w:t>
            </w:r>
            <w:r w:rsidR="00542909">
              <w:t>:</w:t>
            </w:r>
          </w:p>
          <w:p w14:paraId="2E177B4E" w14:textId="77777777" w:rsidR="00542909" w:rsidRDefault="00542909" w:rsidP="00542909"/>
          <w:p w14:paraId="3050E526" w14:textId="203E982D" w:rsidR="00542909" w:rsidRDefault="00542909" w:rsidP="00542909">
            <w:r>
              <w:t xml:space="preserve">Book donations for the library would be helpful, especially more </w:t>
            </w:r>
            <w:r w:rsidR="0080316E">
              <w:t>diverse,</w:t>
            </w:r>
            <w:r>
              <w:t xml:space="preserve"> and updated material.</w:t>
            </w:r>
          </w:p>
          <w:p w14:paraId="6C2A79C9" w14:textId="4BCAE398" w:rsidR="00542909" w:rsidRDefault="00542909" w:rsidP="00542909">
            <w:r>
              <w:t xml:space="preserve">Suggestion made to have a lending library for </w:t>
            </w:r>
            <w:r w:rsidR="0080316E">
              <w:t>iPad</w:t>
            </w:r>
            <w:r w:rsidR="00F1638E">
              <w:t xml:space="preserve">, work with Worcester Library to get lending cards. </w:t>
            </w:r>
          </w:p>
          <w:p w14:paraId="57D41E9C" w14:textId="77777777" w:rsidR="00F1638E" w:rsidRDefault="00F1638E" w:rsidP="00542909"/>
          <w:p w14:paraId="4D208A86" w14:textId="44850822" w:rsidR="00F1638E" w:rsidRDefault="00F1638E" w:rsidP="00542909">
            <w:r>
              <w:t xml:space="preserve">Suggested more </w:t>
            </w:r>
            <w:r w:rsidR="00EE28B0">
              <w:t xml:space="preserve">art and </w:t>
            </w:r>
            <w:r>
              <w:t xml:space="preserve">cultural diversity throughout the hospital, in the chapel, etc. </w:t>
            </w:r>
            <w:r w:rsidR="00EE28B0">
              <w:t xml:space="preserve">  It was noted that each unit is decorated with wall decals, </w:t>
            </w:r>
            <w:r w:rsidR="0080316E">
              <w:t>artwork</w:t>
            </w:r>
            <w:r w:rsidR="00EE28B0">
              <w:t xml:space="preserve">, diversity posters, etc.   The chapel has been used as a testing site. </w:t>
            </w:r>
            <w:r>
              <w:t xml:space="preserve">   </w:t>
            </w:r>
          </w:p>
          <w:p w14:paraId="584FA93D" w14:textId="77777777" w:rsidR="0080316E" w:rsidRDefault="0080316E" w:rsidP="00542909"/>
          <w:p w14:paraId="77085AE3" w14:textId="77777777" w:rsidR="0080316E" w:rsidRDefault="0080316E" w:rsidP="00542909"/>
          <w:p w14:paraId="760CCD9B" w14:textId="4A7EB7BC" w:rsidR="00542909" w:rsidRDefault="00542909" w:rsidP="00542909"/>
        </w:tc>
        <w:tc>
          <w:tcPr>
            <w:tcW w:w="3420" w:type="dxa"/>
          </w:tcPr>
          <w:p w14:paraId="6438BC33" w14:textId="77777777" w:rsidR="005776AE" w:rsidRDefault="005776AE" w:rsidP="006D4844"/>
        </w:tc>
        <w:tc>
          <w:tcPr>
            <w:tcW w:w="2340" w:type="dxa"/>
          </w:tcPr>
          <w:p w14:paraId="6F98EB55" w14:textId="77777777" w:rsidR="005776AE" w:rsidRDefault="005776AE" w:rsidP="005E6FF3"/>
        </w:tc>
        <w:tc>
          <w:tcPr>
            <w:tcW w:w="1998" w:type="dxa"/>
          </w:tcPr>
          <w:p w14:paraId="588910EA" w14:textId="77777777" w:rsidR="005776AE" w:rsidRPr="00C67AB9" w:rsidRDefault="005776AE" w:rsidP="005E6FF3"/>
        </w:tc>
      </w:tr>
      <w:tr w:rsidR="009346A7" w14:paraId="1A63D0E6" w14:textId="77777777" w:rsidTr="005E6FF3">
        <w:tc>
          <w:tcPr>
            <w:tcW w:w="1818" w:type="dxa"/>
          </w:tcPr>
          <w:p w14:paraId="40EC3865" w14:textId="5CE994AC" w:rsidR="009346A7" w:rsidRDefault="00920896" w:rsidP="005E6FF3">
            <w:r>
              <w:lastRenderedPageBreak/>
              <w:t>COVID Update</w:t>
            </w:r>
          </w:p>
        </w:tc>
        <w:tc>
          <w:tcPr>
            <w:tcW w:w="5040" w:type="dxa"/>
          </w:tcPr>
          <w:p w14:paraId="0E5449E7" w14:textId="77777777" w:rsidR="003B25A6" w:rsidRDefault="00920896" w:rsidP="006D4844">
            <w:r>
              <w:t xml:space="preserve">There are currently no positive cases to report.  </w:t>
            </w:r>
            <w:r w:rsidR="00542909">
              <w:t xml:space="preserve">WRCH continues to work </w:t>
            </w:r>
            <w:r w:rsidR="0080316E">
              <w:t>to mitigate any spread.</w:t>
            </w:r>
          </w:p>
          <w:p w14:paraId="413C5594" w14:textId="2AAEDCB1" w:rsidR="005925A8" w:rsidRDefault="005925A8" w:rsidP="006D4844"/>
        </w:tc>
        <w:tc>
          <w:tcPr>
            <w:tcW w:w="3420" w:type="dxa"/>
          </w:tcPr>
          <w:p w14:paraId="42ABF545" w14:textId="77777777" w:rsidR="009346A7" w:rsidRDefault="009346A7" w:rsidP="00B3265A"/>
        </w:tc>
        <w:tc>
          <w:tcPr>
            <w:tcW w:w="2340" w:type="dxa"/>
          </w:tcPr>
          <w:p w14:paraId="59ED1E20" w14:textId="77777777" w:rsidR="009346A7" w:rsidRDefault="009346A7" w:rsidP="005E6FF3"/>
        </w:tc>
        <w:tc>
          <w:tcPr>
            <w:tcW w:w="1998" w:type="dxa"/>
          </w:tcPr>
          <w:p w14:paraId="78A98518" w14:textId="77777777" w:rsidR="009346A7" w:rsidRPr="00C67AB9" w:rsidRDefault="009346A7" w:rsidP="005E6FF3"/>
        </w:tc>
      </w:tr>
      <w:tr w:rsidR="00C92D7F" w14:paraId="77052C0A" w14:textId="77777777" w:rsidTr="005E6FF3">
        <w:tc>
          <w:tcPr>
            <w:tcW w:w="1818" w:type="dxa"/>
          </w:tcPr>
          <w:p w14:paraId="0251BFAE" w14:textId="54B8680B" w:rsidR="00C92D7F" w:rsidRDefault="00827F16" w:rsidP="005E6FF3">
            <w:r>
              <w:t xml:space="preserve">COO </w:t>
            </w:r>
            <w:r w:rsidR="0080316E">
              <w:t>Update</w:t>
            </w:r>
          </w:p>
        </w:tc>
        <w:tc>
          <w:tcPr>
            <w:tcW w:w="5040" w:type="dxa"/>
          </w:tcPr>
          <w:p w14:paraId="432CB761" w14:textId="77777777" w:rsidR="00EE6C79" w:rsidRDefault="00827F16" w:rsidP="00EE6C79">
            <w:r>
              <w:t>Kathy Wenzel, CEO gave an update:</w:t>
            </w:r>
          </w:p>
          <w:p w14:paraId="4D1F8BA1" w14:textId="77777777" w:rsidR="00827F16" w:rsidRDefault="00827F16" w:rsidP="00EE6C79"/>
          <w:p w14:paraId="6F048871" w14:textId="4D191779" w:rsidR="00827F16" w:rsidRDefault="007B341E" w:rsidP="00EE6C79">
            <w:r>
              <w:t>Initiatives around diversity and inclusion are ongoing, including training on racial trauma</w:t>
            </w:r>
            <w:r w:rsidR="00E24CF8">
              <w:t>;</w:t>
            </w:r>
            <w:r>
              <w:t xml:space="preserve"> </w:t>
            </w:r>
            <w:r w:rsidR="00E24CF8">
              <w:t>Human in common training that deals with racial bias, micro aggression, sustaining efforts; creating</w:t>
            </w:r>
            <w:r>
              <w:t xml:space="preserve"> more diverse food options.  </w:t>
            </w:r>
            <w:r w:rsidR="00E24CF8">
              <w:t xml:space="preserve">Discussed obtaining contracts for diverse, small business, women owned business, </w:t>
            </w:r>
            <w:proofErr w:type="gramStart"/>
            <w:r w:rsidR="00E24CF8">
              <w:t>etc. -having</w:t>
            </w:r>
            <w:proofErr w:type="gramEnd"/>
            <w:r w:rsidR="00E24CF8">
              <w:t xml:space="preserve"> to work with state contracts does limit the options but Kathy and Zena </w:t>
            </w:r>
            <w:r w:rsidR="0080316E">
              <w:t xml:space="preserve">can collaborate on </w:t>
            </w:r>
            <w:r w:rsidR="00E24CF8">
              <w:t>how business can get onto a state contract</w:t>
            </w:r>
            <w:r w:rsidR="0080316E">
              <w:t xml:space="preserve">/master service agreement.  </w:t>
            </w:r>
          </w:p>
          <w:p w14:paraId="5C904206" w14:textId="77777777" w:rsidR="007B341E" w:rsidRDefault="007B341E" w:rsidP="00EE6C79"/>
          <w:p w14:paraId="7F8F582E" w14:textId="77777777" w:rsidR="007B341E" w:rsidRDefault="007B341E" w:rsidP="00EE6C79">
            <w:r>
              <w:t>Rehab will be increasing the number of community groups being offered to patients.</w:t>
            </w:r>
          </w:p>
          <w:p w14:paraId="097AE6B0" w14:textId="77777777" w:rsidR="007B341E" w:rsidRDefault="007B341E" w:rsidP="00EE6C79"/>
          <w:p w14:paraId="24A10644" w14:textId="77777777" w:rsidR="007B341E" w:rsidRDefault="007B341E" w:rsidP="00EE6C79">
            <w:r>
              <w:t>Ideas for trustee involvement include becoming members of the canteen committee and human rights committee.</w:t>
            </w:r>
          </w:p>
          <w:p w14:paraId="7ABB6AF8" w14:textId="77777777" w:rsidR="007B341E" w:rsidRDefault="007B341E" w:rsidP="00EE6C79"/>
          <w:p w14:paraId="15332B90" w14:textId="247C8222" w:rsidR="007B341E" w:rsidRDefault="007B341E" w:rsidP="00EE6C79"/>
        </w:tc>
        <w:tc>
          <w:tcPr>
            <w:tcW w:w="3420" w:type="dxa"/>
          </w:tcPr>
          <w:p w14:paraId="671AF360" w14:textId="77777777" w:rsidR="00C92D7F" w:rsidRDefault="00C92D7F" w:rsidP="00B3265A"/>
        </w:tc>
        <w:tc>
          <w:tcPr>
            <w:tcW w:w="2340" w:type="dxa"/>
          </w:tcPr>
          <w:p w14:paraId="0FF7A656" w14:textId="77777777" w:rsidR="00C92D7F" w:rsidRDefault="00C92D7F" w:rsidP="005E6FF3"/>
        </w:tc>
        <w:tc>
          <w:tcPr>
            <w:tcW w:w="1998" w:type="dxa"/>
          </w:tcPr>
          <w:p w14:paraId="2AB4D968" w14:textId="77777777" w:rsidR="00C92D7F" w:rsidRPr="00C67AB9" w:rsidRDefault="00C92D7F" w:rsidP="005E6FF3"/>
        </w:tc>
      </w:tr>
      <w:tr w:rsidR="0080316E" w14:paraId="169C637A" w14:textId="77777777" w:rsidTr="005E6FF3">
        <w:tc>
          <w:tcPr>
            <w:tcW w:w="1818" w:type="dxa"/>
          </w:tcPr>
          <w:p w14:paraId="363B556A" w14:textId="172D5332" w:rsidR="0080316E" w:rsidRDefault="0080316E" w:rsidP="005E6FF3">
            <w:r>
              <w:t>Membership</w:t>
            </w:r>
          </w:p>
        </w:tc>
        <w:tc>
          <w:tcPr>
            <w:tcW w:w="5040" w:type="dxa"/>
          </w:tcPr>
          <w:p w14:paraId="2BF81C86" w14:textId="0D160493" w:rsidR="0080316E" w:rsidRDefault="0080316E" w:rsidP="008E596C">
            <w:r>
              <w:t>Jack Ross introduced Luke Knowles.  Luke is interested in serving on the board and elaborated on his background and why he is interested in becoming a board member.  The Board of Trustees unanimously voted to recommend his appointment.  Kathy Wenzel will follow up.</w:t>
            </w:r>
          </w:p>
          <w:p w14:paraId="1D489179" w14:textId="20BA2CC8" w:rsidR="0080316E" w:rsidRDefault="0080316E" w:rsidP="008E596C">
            <w:r>
              <w:t xml:space="preserve"> </w:t>
            </w:r>
          </w:p>
        </w:tc>
        <w:tc>
          <w:tcPr>
            <w:tcW w:w="3420" w:type="dxa"/>
          </w:tcPr>
          <w:p w14:paraId="0401958B" w14:textId="77777777" w:rsidR="0080316E" w:rsidRDefault="0080316E" w:rsidP="00B3265A"/>
        </w:tc>
        <w:tc>
          <w:tcPr>
            <w:tcW w:w="2340" w:type="dxa"/>
          </w:tcPr>
          <w:p w14:paraId="4BD2AD04" w14:textId="77777777" w:rsidR="0080316E" w:rsidRDefault="0080316E" w:rsidP="005E6FF3"/>
        </w:tc>
        <w:tc>
          <w:tcPr>
            <w:tcW w:w="1998" w:type="dxa"/>
          </w:tcPr>
          <w:p w14:paraId="6C446325" w14:textId="77777777" w:rsidR="0080316E" w:rsidRPr="00C67AB9" w:rsidRDefault="0080316E" w:rsidP="005E6FF3"/>
        </w:tc>
      </w:tr>
      <w:tr w:rsidR="00F03F42" w14:paraId="62059C39" w14:textId="77777777" w:rsidTr="005E6FF3">
        <w:tc>
          <w:tcPr>
            <w:tcW w:w="1818" w:type="dxa"/>
          </w:tcPr>
          <w:p w14:paraId="1C7783DB" w14:textId="77777777" w:rsidR="00F03F42" w:rsidRDefault="00F03F42" w:rsidP="005E6FF3"/>
          <w:p w14:paraId="300A24BA" w14:textId="77777777" w:rsidR="00F03F42" w:rsidRDefault="00F03F42" w:rsidP="005E6FF3">
            <w:r>
              <w:t>Next Meeting</w:t>
            </w:r>
          </w:p>
        </w:tc>
        <w:tc>
          <w:tcPr>
            <w:tcW w:w="5040" w:type="dxa"/>
          </w:tcPr>
          <w:p w14:paraId="102FC7F1" w14:textId="77777777" w:rsidR="00F03F42" w:rsidRDefault="00F03F42" w:rsidP="008E596C"/>
          <w:p w14:paraId="14163043" w14:textId="6C68182E" w:rsidR="00F03F42" w:rsidRDefault="00F03F42" w:rsidP="003D3C9D">
            <w:r>
              <w:t>The next meeting is scheduled for</w:t>
            </w:r>
            <w:r w:rsidR="00542909">
              <w:t xml:space="preserve"> July 19 at 4:30.</w:t>
            </w:r>
          </w:p>
          <w:p w14:paraId="3246274C" w14:textId="77777777" w:rsidR="00EE6C79" w:rsidRDefault="00EE6C79" w:rsidP="003D3C9D"/>
        </w:tc>
        <w:tc>
          <w:tcPr>
            <w:tcW w:w="3420" w:type="dxa"/>
          </w:tcPr>
          <w:p w14:paraId="485E67D9" w14:textId="77777777" w:rsidR="00F03F42" w:rsidRDefault="00F03F42" w:rsidP="00B3265A"/>
        </w:tc>
        <w:tc>
          <w:tcPr>
            <w:tcW w:w="2340" w:type="dxa"/>
          </w:tcPr>
          <w:p w14:paraId="68C2D67B" w14:textId="77777777" w:rsidR="00F03F42" w:rsidRDefault="00F03F42" w:rsidP="005E6FF3"/>
        </w:tc>
        <w:tc>
          <w:tcPr>
            <w:tcW w:w="1998" w:type="dxa"/>
          </w:tcPr>
          <w:p w14:paraId="15AB270B" w14:textId="77777777" w:rsidR="00F03F42" w:rsidRPr="00C67AB9" w:rsidRDefault="00F03F42" w:rsidP="005E6FF3"/>
        </w:tc>
      </w:tr>
    </w:tbl>
    <w:p w14:paraId="0C471EA3" w14:textId="77777777" w:rsidR="005E6FF3" w:rsidRPr="004F1A00" w:rsidRDefault="005E6FF3" w:rsidP="00EE6C79">
      <w:pPr>
        <w:rPr>
          <w:b/>
          <w:sz w:val="40"/>
          <w:szCs w:val="40"/>
        </w:rPr>
      </w:pPr>
    </w:p>
    <w:sectPr w:rsidR="005E6FF3" w:rsidRPr="004F1A00" w:rsidSect="005E6F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447D" w14:textId="77777777" w:rsidR="00016091" w:rsidRDefault="00016091" w:rsidP="00016091">
      <w:pPr>
        <w:spacing w:after="0" w:line="240" w:lineRule="auto"/>
      </w:pPr>
      <w:r>
        <w:separator/>
      </w:r>
    </w:p>
  </w:endnote>
  <w:endnote w:type="continuationSeparator" w:id="0">
    <w:p w14:paraId="037803B6" w14:textId="77777777" w:rsidR="00016091" w:rsidRDefault="00016091" w:rsidP="0001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0438" w14:textId="77777777" w:rsidR="00016091" w:rsidRDefault="00016091" w:rsidP="00016091">
      <w:pPr>
        <w:spacing w:after="0" w:line="240" w:lineRule="auto"/>
      </w:pPr>
      <w:r>
        <w:separator/>
      </w:r>
    </w:p>
  </w:footnote>
  <w:footnote w:type="continuationSeparator" w:id="0">
    <w:p w14:paraId="37ECD475" w14:textId="77777777" w:rsidR="00016091" w:rsidRDefault="00016091" w:rsidP="0001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54E"/>
    <w:multiLevelType w:val="hybridMultilevel"/>
    <w:tmpl w:val="CECC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40DA"/>
    <w:multiLevelType w:val="hybridMultilevel"/>
    <w:tmpl w:val="49DE25EE"/>
    <w:lvl w:ilvl="0" w:tplc="98429B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A1C53"/>
    <w:multiLevelType w:val="hybridMultilevel"/>
    <w:tmpl w:val="A6AA737E"/>
    <w:lvl w:ilvl="0" w:tplc="B68245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24476C"/>
    <w:multiLevelType w:val="hybridMultilevel"/>
    <w:tmpl w:val="75D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8220">
    <w:abstractNumId w:val="3"/>
  </w:num>
  <w:num w:numId="2" w16cid:durableId="1232155144">
    <w:abstractNumId w:val="2"/>
  </w:num>
  <w:num w:numId="3" w16cid:durableId="495146306">
    <w:abstractNumId w:val="0"/>
  </w:num>
  <w:num w:numId="4" w16cid:durableId="45849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FDE"/>
    <w:rsid w:val="00016091"/>
    <w:rsid w:val="00024D96"/>
    <w:rsid w:val="00064803"/>
    <w:rsid w:val="000F6515"/>
    <w:rsid w:val="00131C33"/>
    <w:rsid w:val="001B3F21"/>
    <w:rsid w:val="00220D5E"/>
    <w:rsid w:val="00240D56"/>
    <w:rsid w:val="00324604"/>
    <w:rsid w:val="0038686C"/>
    <w:rsid w:val="003914D8"/>
    <w:rsid w:val="003B25A6"/>
    <w:rsid w:val="003D3C9D"/>
    <w:rsid w:val="004B0758"/>
    <w:rsid w:val="004F1A00"/>
    <w:rsid w:val="00516905"/>
    <w:rsid w:val="00542909"/>
    <w:rsid w:val="00562190"/>
    <w:rsid w:val="005776AE"/>
    <w:rsid w:val="005925A8"/>
    <w:rsid w:val="005E6FF3"/>
    <w:rsid w:val="006879B3"/>
    <w:rsid w:val="00696A1A"/>
    <w:rsid w:val="006D4844"/>
    <w:rsid w:val="00710F4D"/>
    <w:rsid w:val="007A016D"/>
    <w:rsid w:val="007B341E"/>
    <w:rsid w:val="007F3A10"/>
    <w:rsid w:val="0080316E"/>
    <w:rsid w:val="00827F16"/>
    <w:rsid w:val="008B4063"/>
    <w:rsid w:val="008E596C"/>
    <w:rsid w:val="00920896"/>
    <w:rsid w:val="009346A7"/>
    <w:rsid w:val="0093558B"/>
    <w:rsid w:val="009A5647"/>
    <w:rsid w:val="00A05E91"/>
    <w:rsid w:val="00A25C22"/>
    <w:rsid w:val="00AA4E61"/>
    <w:rsid w:val="00B3265A"/>
    <w:rsid w:val="00BC22DA"/>
    <w:rsid w:val="00BC5FEF"/>
    <w:rsid w:val="00BD1FDE"/>
    <w:rsid w:val="00BF54B0"/>
    <w:rsid w:val="00C242BC"/>
    <w:rsid w:val="00C5255F"/>
    <w:rsid w:val="00C67AB9"/>
    <w:rsid w:val="00C92D7F"/>
    <w:rsid w:val="00CA472B"/>
    <w:rsid w:val="00CB420C"/>
    <w:rsid w:val="00D0344D"/>
    <w:rsid w:val="00D40269"/>
    <w:rsid w:val="00DB1D6F"/>
    <w:rsid w:val="00E2089E"/>
    <w:rsid w:val="00E24CF8"/>
    <w:rsid w:val="00E817B1"/>
    <w:rsid w:val="00E946B6"/>
    <w:rsid w:val="00EE28B0"/>
    <w:rsid w:val="00EE6C79"/>
    <w:rsid w:val="00F03F42"/>
    <w:rsid w:val="00F040F1"/>
    <w:rsid w:val="00F06E8F"/>
    <w:rsid w:val="00F1638E"/>
    <w:rsid w:val="00F65A0A"/>
    <w:rsid w:val="00F846D1"/>
    <w:rsid w:val="00FD0FF6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676B04"/>
  <w15:docId w15:val="{0666B92D-9D3B-4006-9A45-029C0220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91"/>
  </w:style>
  <w:style w:type="paragraph" w:styleId="Footer">
    <w:name w:val="footer"/>
    <w:basedOn w:val="Normal"/>
    <w:link w:val="FooterChar"/>
    <w:uiPriority w:val="99"/>
    <w:unhideWhenUsed/>
    <w:rsid w:val="0001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B657-4C52-4A5B-9F6F-1F63F8C0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Grogan, Maddy (DMH)</dc:creator>
  <cp:lastModifiedBy>Grogan, Maddy (DMH)</cp:lastModifiedBy>
  <cp:revision>14</cp:revision>
  <cp:lastPrinted>2019-02-13T20:52:00Z</cp:lastPrinted>
  <dcterms:created xsi:type="dcterms:W3CDTF">2019-06-11T14:52:00Z</dcterms:created>
  <dcterms:modified xsi:type="dcterms:W3CDTF">2023-07-06T17:55:00Z</dcterms:modified>
</cp:coreProperties>
</file>