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11905572"/>
        <w:docPartObj>
          <w:docPartGallery w:val="Cover Pages"/>
          <w:docPartUnique/>
        </w:docPartObj>
      </w:sdtPr>
      <w:sdtEndPr>
        <w:rPr>
          <w:noProof/>
        </w:rPr>
      </w:sdtEndPr>
      <w:sdtContent>
        <w:p w14:paraId="4BF44FFE" w14:textId="77777777" w:rsidR="00AF50B5" w:rsidRDefault="00590689">
          <w:r>
            <w:rPr>
              <w:noProof/>
            </w:rPr>
            <mc:AlternateContent>
              <mc:Choice Requires="wps">
                <w:drawing>
                  <wp:anchor distT="0" distB="0" distL="114300" distR="114300" simplePos="0" relativeHeight="251660288" behindDoc="0" locked="0" layoutInCell="1" allowOverlap="1" wp14:anchorId="3A371D14" wp14:editId="6F6357E9">
                    <wp:simplePos x="0" y="0"/>
                    <wp:positionH relativeFrom="page">
                      <wp:posOffset>5826125</wp:posOffset>
                    </wp:positionH>
                    <wp:positionV relativeFrom="margin">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E0C55" w14:textId="77777777" w:rsidR="00707D43" w:rsidRDefault="00707D43">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A371D14" id="Rectangle 472" o:spid="_x0000_s1026" style="position:absolute;margin-left:458.75pt;margin-top:0;width:148.1pt;height:760.3pt;z-index:251660288;visibility:visible;mso-wrap-style:square;mso-width-percent:242;mso-height-percent:960;mso-wrap-distance-left:9pt;mso-wrap-distance-top:0;mso-wrap-distance-right:9pt;mso-wrap-distance-bottom:0;mso-position-horizontal:absolute;mso-position-horizontal-relative:page;mso-position-vertical:center;mso-position-vertical-relative:margin;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" fillcolor="#373545 [3215]" stroked="f" strokeweight="1pt">
                    <v:textbox inset="14.4pt,,14.4pt">
                      <w:txbxContent>
                        <w:p w14:paraId="6B9E0C55" w14:textId="77777777" w:rsidR="00707D43" w:rsidRDefault="00707D43">
                          <w:pPr>
                            <w:pStyle w:val="Subtitle"/>
                            <w:rPr>
                              <w:color w:val="FFFFFF" w:themeColor="background1"/>
                            </w:rPr>
                          </w:pPr>
                        </w:p>
                      </w:txbxContent>
                    </v:textbox>
                    <w10:wrap anchorx="page" anchory="margin"/>
                  </v:rect>
                </w:pict>
              </mc:Fallback>
            </mc:AlternateContent>
          </w:r>
          <w:r w:rsidR="00AF50B5">
            <w:rPr>
              <w:noProof/>
            </w:rPr>
            <mc:AlternateContent>
              <mc:Choice Requires="wps">
                <w:drawing>
                  <wp:anchor distT="0" distB="0" distL="114300" distR="114300" simplePos="0" relativeHeight="251659264" behindDoc="0" locked="0" layoutInCell="1" allowOverlap="1" wp14:anchorId="51308911" wp14:editId="4E074218">
                    <wp:simplePos x="0" y="0"/>
                    <wp:positionH relativeFrom="page">
                      <wp:posOffset>38100</wp:posOffset>
                    </wp:positionH>
                    <wp:positionV relativeFrom="page">
                      <wp:posOffset>200025</wp:posOffset>
                    </wp:positionV>
                    <wp:extent cx="5572125" cy="9653270"/>
                    <wp:effectExtent l="0" t="0" r="9525"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9653270"/>
                            </a:xfrm>
                            <a:prstGeom prst="rect">
                              <a:avLst/>
                            </a:prstGeom>
                            <a:solidFill>
                              <a:schemeClr val="accent1"/>
                            </a:solidFill>
                            <a:ln>
                              <a:noFill/>
                            </a:ln>
                          </wps:spPr>
                          <wps:txbx>
                            <w:txbxContent>
                              <w:sdt>
                                <w:sdtPr>
                                  <w:rPr>
                                    <w:caps w:val="0"/>
                                    <w:color w:val="FFFFFF" w:themeColor="background1"/>
                                    <w:sz w:val="56"/>
                                    <w:szCs w:val="56"/>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64714EB8" w14:textId="1C642D9F" w:rsidR="00707D43" w:rsidRPr="00EA5928" w:rsidRDefault="00A858E2" w:rsidP="00AF50B5">
                                    <w:pPr>
                                      <w:pStyle w:val="Title"/>
                                      <w:rPr>
                                        <w:caps w:val="0"/>
                                        <w:color w:val="FFFFFF" w:themeColor="background1"/>
                                        <w:sz w:val="72"/>
                                        <w:szCs w:val="72"/>
                                      </w:rPr>
                                    </w:pPr>
                                    <w:r w:rsidRPr="00A858E2">
                                      <w:rPr>
                                        <w:caps w:val="0"/>
                                        <w:color w:val="FFFFFF" w:themeColor="background1"/>
                                        <w:sz w:val="56"/>
                                        <w:szCs w:val="56"/>
                                      </w:rPr>
                                      <w:t xml:space="preserve">Written Standards and Policies and Procedures for ESG and CoC Funded Programs    August 2022* </w:t>
                                    </w:r>
                                  </w:p>
                                </w:sdtContent>
                              </w:sdt>
                              <w:p w14:paraId="69E5E213" w14:textId="77777777" w:rsidR="00707D43" w:rsidRDefault="00707D43">
                                <w:pPr>
                                  <w:spacing w:before="240"/>
                                  <w:ind w:left="720"/>
                                  <w:jc w:val="right"/>
                                  <w:rPr>
                                    <w:color w:val="FFFFFF" w:themeColor="background1"/>
                                  </w:rPr>
                                </w:pPr>
                              </w:p>
                              <w:sdt>
                                <w:sdtPr>
                                  <w:rPr>
                                    <w:rFonts w:asciiTheme="minorBidi" w:hAnsiTheme="minorBidi"/>
                                    <w:b/>
                                    <w:bCs/>
                                    <w:color w:val="1A495D" w:themeColor="accent1" w:themeShade="80"/>
                                    <w:sz w:val="24"/>
                                    <w:szCs w:val="24"/>
                                  </w:rPr>
                                  <w:alias w:val="Abstract"/>
                                  <w:id w:val="-1812170092"/>
                                  <w:dataBinding w:prefixMappings="xmlns:ns0='http://schemas.microsoft.com/office/2006/coverPageProps'" w:xpath="/ns0:CoverPageProperties[1]/ns0:Abstract[1]" w:storeItemID="{55AF091B-3C7A-41E3-B477-F2FDAA23CFDA}"/>
                                  <w:text/>
                                </w:sdtPr>
                                <w:sdtContent>
                                  <w:p w14:paraId="331EEF0F" w14:textId="6411BBEF" w:rsidR="00707D43" w:rsidRPr="00EA5928" w:rsidRDefault="00A858E2" w:rsidP="00AF50B5">
                                    <w:pPr>
                                      <w:spacing w:before="240"/>
                                      <w:ind w:left="1008"/>
                                      <w:jc w:val="right"/>
                                      <w:rPr>
                                        <w:b/>
                                        <w:bCs/>
                                        <w:color w:val="1A495D" w:themeColor="accent1" w:themeShade="80"/>
                                      </w:rPr>
                                    </w:pPr>
                                    <w:r w:rsidRPr="00EA5928">
                                      <w:rPr>
                                        <w:rFonts w:asciiTheme="minorBidi" w:hAnsiTheme="minorBidi"/>
                                        <w:b/>
                                        <w:bCs/>
                                        <w:color w:val="1A495D" w:themeColor="accent1" w:themeShade="80"/>
                                        <w:sz w:val="24"/>
                                        <w:szCs w:val="24"/>
                                      </w:rPr>
                                      <w:t xml:space="preserve">Commonwealth of Massachusetts </w:t>
                                    </w:r>
                                    <w:r>
                                      <w:rPr>
                                        <w:rFonts w:asciiTheme="minorBidi" w:hAnsiTheme="minorBidi"/>
                                        <w:b/>
                                        <w:bCs/>
                                        <w:color w:val="1A495D" w:themeColor="accent1" w:themeShade="80"/>
                                        <w:sz w:val="24"/>
                                        <w:szCs w:val="24"/>
                                      </w:rPr>
                                      <w:t xml:space="preserve">                            Executive Office of Housing and Livable Communities</w:t>
                                    </w:r>
                                    <w:r w:rsidRPr="00EA5928">
                                      <w:rPr>
                                        <w:rFonts w:asciiTheme="minorBidi" w:hAnsiTheme="minorBidi"/>
                                        <w:b/>
                                        <w:bCs/>
                                        <w:color w:val="1A495D" w:themeColor="accent1" w:themeShade="80"/>
                                        <w:sz w:val="24"/>
                                        <w:szCs w:val="24"/>
                                      </w:rPr>
                                      <w:t>, Division of Housing Stabilization</w:t>
                                    </w:r>
                                    <w:r>
                                      <w:rPr>
                                        <w:rFonts w:asciiTheme="minorBidi" w:hAnsiTheme="minorBidi"/>
                                        <w:b/>
                                        <w:bCs/>
                                        <w:color w:val="1A495D" w:themeColor="accent1" w:themeShade="80"/>
                                        <w:sz w:val="24"/>
                                        <w:szCs w:val="24"/>
                                      </w:rPr>
                                      <w:t xml:space="preserve"> (</w:t>
                                    </w:r>
                                    <w:r w:rsidRPr="00230A93">
                                      <w:rPr>
                                        <w:rFonts w:asciiTheme="minorBidi" w:hAnsiTheme="minorBidi"/>
                                        <w:b/>
                                        <w:bCs/>
                                        <w:color w:val="1A495D" w:themeColor="accent1" w:themeShade="80"/>
                                        <w:sz w:val="24"/>
                                        <w:szCs w:val="24"/>
                                      </w:rPr>
                                      <w:t xml:space="preserve">*Updated June </w:t>
                                    </w:r>
                                    <w:r w:rsidR="00AB7D1A">
                                      <w:rPr>
                                        <w:rFonts w:asciiTheme="minorBidi" w:hAnsiTheme="minorBidi"/>
                                        <w:b/>
                                        <w:bCs/>
                                        <w:color w:val="1A495D" w:themeColor="accent1" w:themeShade="80"/>
                                        <w:sz w:val="24"/>
                                        <w:szCs w:val="24"/>
                                      </w:rPr>
                                      <w:t>‘</w:t>
                                    </w:r>
                                    <w:r>
                                      <w:rPr>
                                        <w:rFonts w:asciiTheme="minorBidi" w:hAnsiTheme="minorBidi"/>
                                        <w:b/>
                                        <w:bCs/>
                                        <w:color w:val="1A495D" w:themeColor="accent1" w:themeShade="80"/>
                                        <w:sz w:val="24"/>
                                        <w:szCs w:val="24"/>
                                      </w:rPr>
                                      <w:t>23)</w:t>
                                    </w:r>
                                    <w:r>
                                      <w:rPr>
                                        <w:rFonts w:asciiTheme="minorBidi" w:hAnsiTheme="minorBidi"/>
                                        <w:b/>
                                        <w:bCs/>
                                        <w:color w:val="1A495D" w:themeColor="accent1" w:themeShade="80"/>
                                        <w:sz w:val="24"/>
                                        <w:szCs w:val="24"/>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51308911" id="Rectangle 16" o:spid="_x0000_s1027" style="position:absolute;margin-left:3pt;margin-top:15.75pt;width:438.75pt;height:760.1pt;z-index:251659264;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" fillcolor="#3494ba [3204]" stroked="f">
                    <v:textbox inset="21.6pt,1in,21.6pt">
                      <w:txbxContent>
                        <w:sdt>
                          <w:sdtPr>
                            <w:rPr>
                              <w:caps w:val="0"/>
                              <w:color w:val="FFFFFF" w:themeColor="background1"/>
                              <w:sz w:val="56"/>
                              <w:szCs w:val="56"/>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64714EB8" w14:textId="1C642D9F" w:rsidR="00707D43" w:rsidRPr="00EA5928" w:rsidRDefault="00A858E2" w:rsidP="00AF50B5">
                              <w:pPr>
                                <w:pStyle w:val="Title"/>
                                <w:rPr>
                                  <w:caps w:val="0"/>
                                  <w:color w:val="FFFFFF" w:themeColor="background1"/>
                                  <w:sz w:val="72"/>
                                  <w:szCs w:val="72"/>
                                </w:rPr>
                              </w:pPr>
                              <w:r w:rsidRPr="00A858E2">
                                <w:rPr>
                                  <w:caps w:val="0"/>
                                  <w:color w:val="FFFFFF" w:themeColor="background1"/>
                                  <w:sz w:val="56"/>
                                  <w:szCs w:val="56"/>
                                </w:rPr>
                                <w:t xml:space="preserve">Written Standards and Policies and Procedures for ESG and CoC Funded Programs    August 2022* </w:t>
                              </w:r>
                            </w:p>
                          </w:sdtContent>
                        </w:sdt>
                        <w:p w14:paraId="69E5E213" w14:textId="77777777" w:rsidR="00707D43" w:rsidRDefault="00707D43">
                          <w:pPr>
                            <w:spacing w:before="240"/>
                            <w:ind w:left="720"/>
                            <w:jc w:val="right"/>
                            <w:rPr>
                              <w:color w:val="FFFFFF" w:themeColor="background1"/>
                            </w:rPr>
                          </w:pPr>
                        </w:p>
                        <w:sdt>
                          <w:sdtPr>
                            <w:rPr>
                              <w:rFonts w:asciiTheme="minorBidi" w:hAnsiTheme="minorBidi"/>
                              <w:b/>
                              <w:bCs/>
                              <w:color w:val="1A495D" w:themeColor="accent1" w:themeShade="80"/>
                              <w:sz w:val="24"/>
                              <w:szCs w:val="24"/>
                            </w:rPr>
                            <w:alias w:val="Abstract"/>
                            <w:id w:val="-1812170092"/>
                            <w:dataBinding w:prefixMappings="xmlns:ns0='http://schemas.microsoft.com/office/2006/coverPageProps'" w:xpath="/ns0:CoverPageProperties[1]/ns0:Abstract[1]" w:storeItemID="{55AF091B-3C7A-41E3-B477-F2FDAA23CFDA}"/>
                            <w:text/>
                          </w:sdtPr>
                          <w:sdtContent>
                            <w:p w14:paraId="331EEF0F" w14:textId="6411BBEF" w:rsidR="00707D43" w:rsidRPr="00EA5928" w:rsidRDefault="00A858E2" w:rsidP="00AF50B5">
                              <w:pPr>
                                <w:spacing w:before="240"/>
                                <w:ind w:left="1008"/>
                                <w:jc w:val="right"/>
                                <w:rPr>
                                  <w:b/>
                                  <w:bCs/>
                                  <w:color w:val="1A495D" w:themeColor="accent1" w:themeShade="80"/>
                                </w:rPr>
                              </w:pPr>
                              <w:r w:rsidRPr="00EA5928">
                                <w:rPr>
                                  <w:rFonts w:asciiTheme="minorBidi" w:hAnsiTheme="minorBidi"/>
                                  <w:b/>
                                  <w:bCs/>
                                  <w:color w:val="1A495D" w:themeColor="accent1" w:themeShade="80"/>
                                  <w:sz w:val="24"/>
                                  <w:szCs w:val="24"/>
                                </w:rPr>
                                <w:t xml:space="preserve">Commonwealth of Massachusetts </w:t>
                              </w:r>
                              <w:r>
                                <w:rPr>
                                  <w:rFonts w:asciiTheme="minorBidi" w:hAnsiTheme="minorBidi"/>
                                  <w:b/>
                                  <w:bCs/>
                                  <w:color w:val="1A495D" w:themeColor="accent1" w:themeShade="80"/>
                                  <w:sz w:val="24"/>
                                  <w:szCs w:val="24"/>
                                </w:rPr>
                                <w:t xml:space="preserve">                            Executive Office of Housing and Livable Communities</w:t>
                              </w:r>
                              <w:r w:rsidRPr="00EA5928">
                                <w:rPr>
                                  <w:rFonts w:asciiTheme="minorBidi" w:hAnsiTheme="minorBidi"/>
                                  <w:b/>
                                  <w:bCs/>
                                  <w:color w:val="1A495D" w:themeColor="accent1" w:themeShade="80"/>
                                  <w:sz w:val="24"/>
                                  <w:szCs w:val="24"/>
                                </w:rPr>
                                <w:t>, Division of Housing Stabilization</w:t>
                              </w:r>
                              <w:r>
                                <w:rPr>
                                  <w:rFonts w:asciiTheme="minorBidi" w:hAnsiTheme="minorBidi"/>
                                  <w:b/>
                                  <w:bCs/>
                                  <w:color w:val="1A495D" w:themeColor="accent1" w:themeShade="80"/>
                                  <w:sz w:val="24"/>
                                  <w:szCs w:val="24"/>
                                </w:rPr>
                                <w:t xml:space="preserve"> (</w:t>
                              </w:r>
                              <w:r w:rsidRPr="00230A93">
                                <w:rPr>
                                  <w:rFonts w:asciiTheme="minorBidi" w:hAnsiTheme="minorBidi"/>
                                  <w:b/>
                                  <w:bCs/>
                                  <w:color w:val="1A495D" w:themeColor="accent1" w:themeShade="80"/>
                                  <w:sz w:val="24"/>
                                  <w:szCs w:val="24"/>
                                </w:rPr>
                                <w:t xml:space="preserve">*Updated June </w:t>
                              </w:r>
                              <w:r w:rsidR="00AB7D1A">
                                <w:rPr>
                                  <w:rFonts w:asciiTheme="minorBidi" w:hAnsiTheme="minorBidi"/>
                                  <w:b/>
                                  <w:bCs/>
                                  <w:color w:val="1A495D" w:themeColor="accent1" w:themeShade="80"/>
                                  <w:sz w:val="24"/>
                                  <w:szCs w:val="24"/>
                                </w:rPr>
                                <w:t>‘</w:t>
                              </w:r>
                              <w:r>
                                <w:rPr>
                                  <w:rFonts w:asciiTheme="minorBidi" w:hAnsiTheme="minorBidi"/>
                                  <w:b/>
                                  <w:bCs/>
                                  <w:color w:val="1A495D" w:themeColor="accent1" w:themeShade="80"/>
                                  <w:sz w:val="24"/>
                                  <w:szCs w:val="24"/>
                                </w:rPr>
                                <w:t>23)</w:t>
                              </w:r>
                              <w:r>
                                <w:rPr>
                                  <w:rFonts w:asciiTheme="minorBidi" w:hAnsiTheme="minorBidi"/>
                                  <w:b/>
                                  <w:bCs/>
                                  <w:color w:val="1A495D" w:themeColor="accent1" w:themeShade="80"/>
                                  <w:sz w:val="24"/>
                                  <w:szCs w:val="24"/>
                                </w:rPr>
                                <w:t xml:space="preserve"> </w:t>
                              </w:r>
                            </w:p>
                          </w:sdtContent>
                        </w:sdt>
                      </w:txbxContent>
                    </v:textbox>
                    <w10:wrap anchorx="page" anchory="page"/>
                  </v:rect>
                </w:pict>
              </mc:Fallback>
            </mc:AlternateContent>
          </w:r>
        </w:p>
        <w:p w14:paraId="76AD958B" w14:textId="77777777" w:rsidR="00AF50B5" w:rsidRDefault="00AF50B5"/>
        <w:p w14:paraId="78FE8AC2" w14:textId="19C74AD0" w:rsidR="00B50F93" w:rsidRPr="00E07D5F" w:rsidRDefault="00AF50B5" w:rsidP="00E07D5F">
          <w:pPr>
            <w:rPr>
              <w:noProof/>
            </w:rPr>
          </w:pPr>
          <w:r>
            <w:rPr>
              <w:noProof/>
            </w:rPr>
            <w:br w:type="page"/>
          </w:r>
        </w:p>
      </w:sdtContent>
    </w:sdt>
    <w:sdt>
      <w:sdtPr>
        <w:rPr>
          <w:caps w:val="0"/>
          <w:color w:val="auto"/>
          <w:spacing w:val="0"/>
          <w:sz w:val="32"/>
          <w:szCs w:val="32"/>
        </w:rPr>
        <w:id w:val="-1104882130"/>
        <w:docPartObj>
          <w:docPartGallery w:val="Table of Contents"/>
          <w:docPartUnique/>
        </w:docPartObj>
      </w:sdtPr>
      <w:sdtEndPr>
        <w:rPr>
          <w:b/>
          <w:bCs/>
          <w:noProof/>
          <w:sz w:val="40"/>
          <w:szCs w:val="40"/>
        </w:rPr>
      </w:sdtEndPr>
      <w:sdtContent>
        <w:p w14:paraId="581E30A2" w14:textId="77777777" w:rsidR="00B50F93" w:rsidRPr="0068495D" w:rsidRDefault="00B50F93">
          <w:pPr>
            <w:pStyle w:val="TOCHeading"/>
            <w:rPr>
              <w:sz w:val="32"/>
              <w:szCs w:val="32"/>
            </w:rPr>
          </w:pPr>
          <w:r w:rsidRPr="0068495D">
            <w:rPr>
              <w:sz w:val="32"/>
              <w:szCs w:val="32"/>
            </w:rPr>
            <w:t>Table of Contents</w:t>
          </w:r>
        </w:p>
        <w:p w14:paraId="35B7BEDF" w14:textId="625A26F1" w:rsidR="00EE3F7A" w:rsidRDefault="00B50F93">
          <w:pPr>
            <w:pStyle w:val="TOC1"/>
            <w:tabs>
              <w:tab w:val="right" w:leader="dot" w:pos="9350"/>
            </w:tabs>
            <w:rPr>
              <w:noProof/>
              <w:sz w:val="22"/>
              <w:szCs w:val="22"/>
            </w:rPr>
          </w:pPr>
          <w:r w:rsidRPr="00B315DD">
            <w:rPr>
              <w:sz w:val="40"/>
              <w:szCs w:val="40"/>
            </w:rPr>
            <w:fldChar w:fldCharType="begin"/>
          </w:r>
          <w:r w:rsidRPr="00B315DD">
            <w:rPr>
              <w:sz w:val="40"/>
              <w:szCs w:val="40"/>
            </w:rPr>
            <w:instrText xml:space="preserve"> TOC \o "1-3" \h \z \u </w:instrText>
          </w:r>
          <w:r w:rsidRPr="00B315DD">
            <w:rPr>
              <w:sz w:val="40"/>
              <w:szCs w:val="40"/>
            </w:rPr>
            <w:fldChar w:fldCharType="separate"/>
          </w:r>
          <w:hyperlink w:anchor="_Toc110000628" w:history="1">
            <w:r w:rsidR="00EE3F7A" w:rsidRPr="00B273F2">
              <w:rPr>
                <w:rStyle w:val="Hyperlink"/>
                <w:rFonts w:asciiTheme="minorBidi" w:hAnsiTheme="minorBidi"/>
                <w:noProof/>
              </w:rPr>
              <w:t>INTRODUCTION</w:t>
            </w:r>
            <w:r w:rsidR="00EE3F7A">
              <w:rPr>
                <w:noProof/>
                <w:webHidden/>
              </w:rPr>
              <w:tab/>
            </w:r>
            <w:r w:rsidR="00EE3F7A">
              <w:rPr>
                <w:noProof/>
                <w:webHidden/>
              </w:rPr>
              <w:fldChar w:fldCharType="begin"/>
            </w:r>
            <w:r w:rsidR="00EE3F7A">
              <w:rPr>
                <w:noProof/>
                <w:webHidden/>
              </w:rPr>
              <w:instrText xml:space="preserve"> PAGEREF _Toc110000628 \h </w:instrText>
            </w:r>
            <w:r w:rsidR="00EE3F7A">
              <w:rPr>
                <w:noProof/>
                <w:webHidden/>
              </w:rPr>
            </w:r>
            <w:r w:rsidR="00EE3F7A">
              <w:rPr>
                <w:noProof/>
                <w:webHidden/>
              </w:rPr>
              <w:fldChar w:fldCharType="separate"/>
            </w:r>
            <w:r w:rsidR="00EE3F7A">
              <w:rPr>
                <w:noProof/>
                <w:webHidden/>
              </w:rPr>
              <w:t>3</w:t>
            </w:r>
            <w:r w:rsidR="00EE3F7A">
              <w:rPr>
                <w:noProof/>
                <w:webHidden/>
              </w:rPr>
              <w:fldChar w:fldCharType="end"/>
            </w:r>
          </w:hyperlink>
        </w:p>
        <w:p w14:paraId="6522332C" w14:textId="1AB4B157" w:rsidR="00EE3F7A" w:rsidRDefault="003E7871">
          <w:pPr>
            <w:pStyle w:val="TOC3"/>
            <w:tabs>
              <w:tab w:val="right" w:leader="dot" w:pos="9350"/>
            </w:tabs>
            <w:rPr>
              <w:noProof/>
              <w:sz w:val="22"/>
              <w:szCs w:val="22"/>
            </w:rPr>
          </w:pPr>
          <w:hyperlink w:anchor="_Toc110000629" w:history="1">
            <w:r w:rsidR="00EE3F7A" w:rsidRPr="00B273F2">
              <w:rPr>
                <w:rStyle w:val="Hyperlink"/>
                <w:rFonts w:ascii="Arial" w:hAnsi="Arial" w:cs="Arial"/>
                <w:noProof/>
              </w:rPr>
              <w:t>STATE CONTACTS</w:t>
            </w:r>
            <w:r w:rsidR="00EE3F7A">
              <w:rPr>
                <w:noProof/>
                <w:webHidden/>
              </w:rPr>
              <w:tab/>
            </w:r>
            <w:r w:rsidR="00EE3F7A">
              <w:rPr>
                <w:noProof/>
                <w:webHidden/>
              </w:rPr>
              <w:fldChar w:fldCharType="begin"/>
            </w:r>
            <w:r w:rsidR="00EE3F7A">
              <w:rPr>
                <w:noProof/>
                <w:webHidden/>
              </w:rPr>
              <w:instrText xml:space="preserve"> PAGEREF _Toc110000629 \h </w:instrText>
            </w:r>
            <w:r w:rsidR="00EE3F7A">
              <w:rPr>
                <w:noProof/>
                <w:webHidden/>
              </w:rPr>
            </w:r>
            <w:r w:rsidR="00EE3F7A">
              <w:rPr>
                <w:noProof/>
                <w:webHidden/>
              </w:rPr>
              <w:fldChar w:fldCharType="separate"/>
            </w:r>
            <w:r w:rsidR="00EE3F7A">
              <w:rPr>
                <w:noProof/>
                <w:webHidden/>
              </w:rPr>
              <w:t>3</w:t>
            </w:r>
            <w:r w:rsidR="00EE3F7A">
              <w:rPr>
                <w:noProof/>
                <w:webHidden/>
              </w:rPr>
              <w:fldChar w:fldCharType="end"/>
            </w:r>
          </w:hyperlink>
        </w:p>
        <w:p w14:paraId="6C121EBC" w14:textId="71421680" w:rsidR="00EE3F7A" w:rsidRDefault="003E7871">
          <w:pPr>
            <w:pStyle w:val="TOC1"/>
            <w:tabs>
              <w:tab w:val="right" w:leader="dot" w:pos="9350"/>
            </w:tabs>
            <w:rPr>
              <w:noProof/>
              <w:sz w:val="22"/>
              <w:szCs w:val="22"/>
            </w:rPr>
          </w:pPr>
          <w:hyperlink w:anchor="_Toc110000630" w:history="1">
            <w:r w:rsidR="00EE3F7A" w:rsidRPr="00B273F2">
              <w:rPr>
                <w:rStyle w:val="Hyperlink"/>
                <w:rFonts w:asciiTheme="minorBidi" w:hAnsiTheme="minorBidi"/>
                <w:noProof/>
              </w:rPr>
              <w:t>PREFACE: GLOSSARY OF TERMS USED IN THIS DOCUMENT</w:t>
            </w:r>
            <w:r w:rsidR="00EE3F7A">
              <w:rPr>
                <w:noProof/>
                <w:webHidden/>
              </w:rPr>
              <w:tab/>
            </w:r>
            <w:r w:rsidR="00EE3F7A">
              <w:rPr>
                <w:noProof/>
                <w:webHidden/>
              </w:rPr>
              <w:fldChar w:fldCharType="begin"/>
            </w:r>
            <w:r w:rsidR="00EE3F7A">
              <w:rPr>
                <w:noProof/>
                <w:webHidden/>
              </w:rPr>
              <w:instrText xml:space="preserve"> PAGEREF _Toc110000630 \h </w:instrText>
            </w:r>
            <w:r w:rsidR="00EE3F7A">
              <w:rPr>
                <w:noProof/>
                <w:webHidden/>
              </w:rPr>
            </w:r>
            <w:r w:rsidR="00EE3F7A">
              <w:rPr>
                <w:noProof/>
                <w:webHidden/>
              </w:rPr>
              <w:fldChar w:fldCharType="separate"/>
            </w:r>
            <w:r w:rsidR="00EE3F7A">
              <w:rPr>
                <w:noProof/>
                <w:webHidden/>
              </w:rPr>
              <w:t>4</w:t>
            </w:r>
            <w:r w:rsidR="00EE3F7A">
              <w:rPr>
                <w:noProof/>
                <w:webHidden/>
              </w:rPr>
              <w:fldChar w:fldCharType="end"/>
            </w:r>
          </w:hyperlink>
        </w:p>
        <w:p w14:paraId="0E3206E3" w14:textId="772965FC" w:rsidR="00EE3F7A" w:rsidRDefault="003E7871">
          <w:pPr>
            <w:pStyle w:val="TOC1"/>
            <w:tabs>
              <w:tab w:val="right" w:leader="dot" w:pos="9350"/>
            </w:tabs>
            <w:rPr>
              <w:noProof/>
              <w:sz w:val="22"/>
              <w:szCs w:val="22"/>
            </w:rPr>
          </w:pPr>
          <w:hyperlink w:anchor="_Toc110000631" w:history="1">
            <w:r w:rsidR="00923CA6">
              <w:rPr>
                <w:rStyle w:val="Hyperlink"/>
                <w:rFonts w:asciiTheme="minorBidi" w:hAnsiTheme="minorBidi"/>
                <w:noProof/>
              </w:rPr>
              <w:t>EOHLC</w:t>
            </w:r>
            <w:r w:rsidR="00EE3F7A" w:rsidRPr="00B273F2">
              <w:rPr>
                <w:rStyle w:val="Hyperlink"/>
                <w:rFonts w:asciiTheme="minorBidi" w:hAnsiTheme="minorBidi"/>
                <w:noProof/>
              </w:rPr>
              <w:t xml:space="preserve"> PROGRAM BACKGROUND, PURPOSE AND PHILOSOPHY</w:t>
            </w:r>
            <w:r w:rsidR="00EE3F7A">
              <w:rPr>
                <w:noProof/>
                <w:webHidden/>
              </w:rPr>
              <w:tab/>
            </w:r>
            <w:r w:rsidR="00EE3F7A">
              <w:rPr>
                <w:noProof/>
                <w:webHidden/>
              </w:rPr>
              <w:fldChar w:fldCharType="begin"/>
            </w:r>
            <w:r w:rsidR="00EE3F7A">
              <w:rPr>
                <w:noProof/>
                <w:webHidden/>
              </w:rPr>
              <w:instrText xml:space="preserve"> PAGEREF _Toc110000631 \h </w:instrText>
            </w:r>
            <w:r w:rsidR="00EE3F7A">
              <w:rPr>
                <w:noProof/>
                <w:webHidden/>
              </w:rPr>
            </w:r>
            <w:r w:rsidR="00EE3F7A">
              <w:rPr>
                <w:noProof/>
                <w:webHidden/>
              </w:rPr>
              <w:fldChar w:fldCharType="separate"/>
            </w:r>
            <w:r w:rsidR="00EE3F7A">
              <w:rPr>
                <w:noProof/>
                <w:webHidden/>
              </w:rPr>
              <w:t>9</w:t>
            </w:r>
            <w:r w:rsidR="00EE3F7A">
              <w:rPr>
                <w:noProof/>
                <w:webHidden/>
              </w:rPr>
              <w:fldChar w:fldCharType="end"/>
            </w:r>
          </w:hyperlink>
        </w:p>
        <w:p w14:paraId="303EFE38" w14:textId="445D8751" w:rsidR="00EE3F7A" w:rsidRDefault="003E7871">
          <w:pPr>
            <w:pStyle w:val="TOC1"/>
            <w:tabs>
              <w:tab w:val="right" w:leader="dot" w:pos="9350"/>
            </w:tabs>
            <w:rPr>
              <w:noProof/>
              <w:sz w:val="22"/>
              <w:szCs w:val="22"/>
            </w:rPr>
          </w:pPr>
          <w:hyperlink w:anchor="_Toc110000632" w:history="1">
            <w:r w:rsidR="00EE3F7A" w:rsidRPr="00B273F2">
              <w:rPr>
                <w:rStyle w:val="Hyperlink"/>
                <w:rFonts w:asciiTheme="minorBidi" w:hAnsiTheme="minorBidi"/>
                <w:noProof/>
              </w:rPr>
              <w:t>PROGRAM ELIGIBILITY (SEE RECORDKEEPING SECTION FOR NECESSARY DOCUMENTATION PROCEDURES)</w:t>
            </w:r>
            <w:r w:rsidR="00EE3F7A">
              <w:rPr>
                <w:noProof/>
                <w:webHidden/>
              </w:rPr>
              <w:tab/>
            </w:r>
            <w:r w:rsidR="00EE3F7A">
              <w:rPr>
                <w:noProof/>
                <w:webHidden/>
              </w:rPr>
              <w:fldChar w:fldCharType="begin"/>
            </w:r>
            <w:r w:rsidR="00EE3F7A">
              <w:rPr>
                <w:noProof/>
                <w:webHidden/>
              </w:rPr>
              <w:instrText xml:space="preserve"> PAGEREF _Toc110000632 \h </w:instrText>
            </w:r>
            <w:r w:rsidR="00EE3F7A">
              <w:rPr>
                <w:noProof/>
                <w:webHidden/>
              </w:rPr>
            </w:r>
            <w:r w:rsidR="00EE3F7A">
              <w:rPr>
                <w:noProof/>
                <w:webHidden/>
              </w:rPr>
              <w:fldChar w:fldCharType="separate"/>
            </w:r>
            <w:r w:rsidR="00EE3F7A">
              <w:rPr>
                <w:noProof/>
                <w:webHidden/>
              </w:rPr>
              <w:t>9</w:t>
            </w:r>
            <w:r w:rsidR="00EE3F7A">
              <w:rPr>
                <w:noProof/>
                <w:webHidden/>
              </w:rPr>
              <w:fldChar w:fldCharType="end"/>
            </w:r>
          </w:hyperlink>
        </w:p>
        <w:p w14:paraId="7BAB7651" w14:textId="2BE830A4" w:rsidR="00EE3F7A" w:rsidRDefault="003E7871">
          <w:pPr>
            <w:pStyle w:val="TOC1"/>
            <w:tabs>
              <w:tab w:val="right" w:leader="dot" w:pos="9350"/>
            </w:tabs>
            <w:rPr>
              <w:noProof/>
              <w:sz w:val="22"/>
              <w:szCs w:val="22"/>
            </w:rPr>
          </w:pPr>
          <w:hyperlink w:anchor="_Toc110000633" w:history="1">
            <w:r w:rsidR="00EE3F7A" w:rsidRPr="00B273F2">
              <w:rPr>
                <w:rStyle w:val="Hyperlink"/>
                <w:rFonts w:asciiTheme="minorBidi" w:hAnsiTheme="minorBidi"/>
                <w:noProof/>
              </w:rPr>
              <w:t>ACCESS TO SERVICES</w:t>
            </w:r>
            <w:r w:rsidR="00EE3F7A">
              <w:rPr>
                <w:noProof/>
                <w:webHidden/>
              </w:rPr>
              <w:tab/>
            </w:r>
            <w:r w:rsidR="00EE3F7A">
              <w:rPr>
                <w:noProof/>
                <w:webHidden/>
              </w:rPr>
              <w:fldChar w:fldCharType="begin"/>
            </w:r>
            <w:r w:rsidR="00EE3F7A">
              <w:rPr>
                <w:noProof/>
                <w:webHidden/>
              </w:rPr>
              <w:instrText xml:space="preserve"> PAGEREF _Toc110000633 \h </w:instrText>
            </w:r>
            <w:r w:rsidR="00EE3F7A">
              <w:rPr>
                <w:noProof/>
                <w:webHidden/>
              </w:rPr>
            </w:r>
            <w:r w:rsidR="00EE3F7A">
              <w:rPr>
                <w:noProof/>
                <w:webHidden/>
              </w:rPr>
              <w:fldChar w:fldCharType="separate"/>
            </w:r>
            <w:r w:rsidR="00EE3F7A">
              <w:rPr>
                <w:noProof/>
                <w:webHidden/>
              </w:rPr>
              <w:t>10</w:t>
            </w:r>
            <w:r w:rsidR="00EE3F7A">
              <w:rPr>
                <w:noProof/>
                <w:webHidden/>
              </w:rPr>
              <w:fldChar w:fldCharType="end"/>
            </w:r>
          </w:hyperlink>
        </w:p>
        <w:p w14:paraId="7BE708AB" w14:textId="2EDEF6AF" w:rsidR="00EE3F7A" w:rsidRDefault="003E7871">
          <w:pPr>
            <w:pStyle w:val="TOC1"/>
            <w:tabs>
              <w:tab w:val="right" w:leader="dot" w:pos="9350"/>
            </w:tabs>
            <w:rPr>
              <w:noProof/>
              <w:sz w:val="22"/>
              <w:szCs w:val="22"/>
            </w:rPr>
          </w:pPr>
          <w:hyperlink w:anchor="_Toc110000634" w:history="1">
            <w:r w:rsidR="00EE3F7A" w:rsidRPr="00B273F2">
              <w:rPr>
                <w:rStyle w:val="Hyperlink"/>
                <w:rFonts w:asciiTheme="minorBidi" w:hAnsiTheme="minorBidi"/>
                <w:noProof/>
              </w:rPr>
              <w:t>HOMELESS MANAGEMENT INFORMATION SYSTEM (HMIS)</w:t>
            </w:r>
            <w:r w:rsidR="00EE3F7A">
              <w:rPr>
                <w:noProof/>
                <w:webHidden/>
              </w:rPr>
              <w:tab/>
            </w:r>
            <w:r w:rsidR="00EE3F7A">
              <w:rPr>
                <w:noProof/>
                <w:webHidden/>
              </w:rPr>
              <w:fldChar w:fldCharType="begin"/>
            </w:r>
            <w:r w:rsidR="00EE3F7A">
              <w:rPr>
                <w:noProof/>
                <w:webHidden/>
              </w:rPr>
              <w:instrText xml:space="preserve"> PAGEREF _Toc110000634 \h </w:instrText>
            </w:r>
            <w:r w:rsidR="00EE3F7A">
              <w:rPr>
                <w:noProof/>
                <w:webHidden/>
              </w:rPr>
            </w:r>
            <w:r w:rsidR="00EE3F7A">
              <w:rPr>
                <w:noProof/>
                <w:webHidden/>
              </w:rPr>
              <w:fldChar w:fldCharType="separate"/>
            </w:r>
            <w:r w:rsidR="00EE3F7A">
              <w:rPr>
                <w:noProof/>
                <w:webHidden/>
              </w:rPr>
              <w:t>11</w:t>
            </w:r>
            <w:r w:rsidR="00EE3F7A">
              <w:rPr>
                <w:noProof/>
                <w:webHidden/>
              </w:rPr>
              <w:fldChar w:fldCharType="end"/>
            </w:r>
          </w:hyperlink>
        </w:p>
        <w:p w14:paraId="69448314" w14:textId="5196D08B" w:rsidR="00EE3F7A" w:rsidRDefault="003E7871">
          <w:pPr>
            <w:pStyle w:val="TOC1"/>
            <w:tabs>
              <w:tab w:val="right" w:leader="dot" w:pos="9350"/>
            </w:tabs>
            <w:rPr>
              <w:noProof/>
              <w:sz w:val="22"/>
              <w:szCs w:val="22"/>
            </w:rPr>
          </w:pPr>
          <w:hyperlink w:anchor="_Toc110000635" w:history="1">
            <w:r w:rsidR="00EE3F7A" w:rsidRPr="00B273F2">
              <w:rPr>
                <w:rStyle w:val="Hyperlink"/>
                <w:rFonts w:asciiTheme="minorBidi" w:eastAsia="Calibri" w:hAnsiTheme="minorBidi"/>
                <w:noProof/>
              </w:rPr>
              <w:t>ORGANIZATIONAL POLICIES AND OTHER HUD REQUIREMENTS</w:t>
            </w:r>
            <w:r w:rsidR="00EE3F7A">
              <w:rPr>
                <w:noProof/>
                <w:webHidden/>
              </w:rPr>
              <w:tab/>
            </w:r>
            <w:r w:rsidR="00EE3F7A">
              <w:rPr>
                <w:noProof/>
                <w:webHidden/>
              </w:rPr>
              <w:fldChar w:fldCharType="begin"/>
            </w:r>
            <w:r w:rsidR="00EE3F7A">
              <w:rPr>
                <w:noProof/>
                <w:webHidden/>
              </w:rPr>
              <w:instrText xml:space="preserve"> PAGEREF _Toc110000635 \h </w:instrText>
            </w:r>
            <w:r w:rsidR="00EE3F7A">
              <w:rPr>
                <w:noProof/>
                <w:webHidden/>
              </w:rPr>
            </w:r>
            <w:r w:rsidR="00EE3F7A">
              <w:rPr>
                <w:noProof/>
                <w:webHidden/>
              </w:rPr>
              <w:fldChar w:fldCharType="separate"/>
            </w:r>
            <w:r w:rsidR="00EE3F7A">
              <w:rPr>
                <w:noProof/>
                <w:webHidden/>
              </w:rPr>
              <w:t>13</w:t>
            </w:r>
            <w:r w:rsidR="00EE3F7A">
              <w:rPr>
                <w:noProof/>
                <w:webHidden/>
              </w:rPr>
              <w:fldChar w:fldCharType="end"/>
            </w:r>
          </w:hyperlink>
        </w:p>
        <w:p w14:paraId="046572F5" w14:textId="77984BC6" w:rsidR="00EE3F7A" w:rsidRDefault="003E7871">
          <w:pPr>
            <w:pStyle w:val="TOC1"/>
            <w:tabs>
              <w:tab w:val="right" w:leader="dot" w:pos="9350"/>
            </w:tabs>
            <w:rPr>
              <w:noProof/>
              <w:sz w:val="22"/>
              <w:szCs w:val="22"/>
            </w:rPr>
          </w:pPr>
          <w:hyperlink w:anchor="_Toc110000636" w:history="1">
            <w:r w:rsidR="00EE3F7A" w:rsidRPr="00B273F2">
              <w:rPr>
                <w:rStyle w:val="Hyperlink"/>
                <w:rFonts w:asciiTheme="minorBidi" w:hAnsiTheme="minorBidi"/>
                <w:noProof/>
              </w:rPr>
              <w:t>EMERGENCY SHELTER CASE MANAGEMENT AND SERVICE DELIVERY</w:t>
            </w:r>
            <w:r w:rsidR="00EE3F7A">
              <w:rPr>
                <w:noProof/>
                <w:webHidden/>
              </w:rPr>
              <w:tab/>
            </w:r>
            <w:r w:rsidR="00EE3F7A">
              <w:rPr>
                <w:noProof/>
                <w:webHidden/>
              </w:rPr>
              <w:fldChar w:fldCharType="begin"/>
            </w:r>
            <w:r w:rsidR="00EE3F7A">
              <w:rPr>
                <w:noProof/>
                <w:webHidden/>
              </w:rPr>
              <w:instrText xml:space="preserve"> PAGEREF _Toc110000636 \h </w:instrText>
            </w:r>
            <w:r w:rsidR="00EE3F7A">
              <w:rPr>
                <w:noProof/>
                <w:webHidden/>
              </w:rPr>
            </w:r>
            <w:r w:rsidR="00EE3F7A">
              <w:rPr>
                <w:noProof/>
                <w:webHidden/>
              </w:rPr>
              <w:fldChar w:fldCharType="separate"/>
            </w:r>
            <w:r w:rsidR="00EE3F7A">
              <w:rPr>
                <w:noProof/>
                <w:webHidden/>
              </w:rPr>
              <w:t>19</w:t>
            </w:r>
            <w:r w:rsidR="00EE3F7A">
              <w:rPr>
                <w:noProof/>
                <w:webHidden/>
              </w:rPr>
              <w:fldChar w:fldCharType="end"/>
            </w:r>
          </w:hyperlink>
        </w:p>
        <w:p w14:paraId="42F7C891" w14:textId="270A8A04" w:rsidR="00EE3F7A" w:rsidRDefault="003E7871">
          <w:pPr>
            <w:pStyle w:val="TOC1"/>
            <w:tabs>
              <w:tab w:val="right" w:leader="dot" w:pos="9350"/>
            </w:tabs>
            <w:rPr>
              <w:noProof/>
              <w:sz w:val="22"/>
              <w:szCs w:val="22"/>
            </w:rPr>
          </w:pPr>
          <w:hyperlink w:anchor="_Toc110000637" w:history="1">
            <w:r w:rsidR="00EE3F7A" w:rsidRPr="00B273F2">
              <w:rPr>
                <w:rStyle w:val="Hyperlink"/>
                <w:rFonts w:asciiTheme="minorBidi" w:hAnsiTheme="minorBidi"/>
                <w:noProof/>
              </w:rPr>
              <w:t>ALLOWABLE ACTIVITIES FOR EMERGENCY SHELTER</w:t>
            </w:r>
            <w:r w:rsidR="00EE3F7A">
              <w:rPr>
                <w:noProof/>
                <w:webHidden/>
              </w:rPr>
              <w:tab/>
            </w:r>
            <w:r w:rsidR="00EE3F7A">
              <w:rPr>
                <w:noProof/>
                <w:webHidden/>
              </w:rPr>
              <w:fldChar w:fldCharType="begin"/>
            </w:r>
            <w:r w:rsidR="00EE3F7A">
              <w:rPr>
                <w:noProof/>
                <w:webHidden/>
              </w:rPr>
              <w:instrText xml:space="preserve"> PAGEREF _Toc110000637 \h </w:instrText>
            </w:r>
            <w:r w:rsidR="00EE3F7A">
              <w:rPr>
                <w:noProof/>
                <w:webHidden/>
              </w:rPr>
            </w:r>
            <w:r w:rsidR="00EE3F7A">
              <w:rPr>
                <w:noProof/>
                <w:webHidden/>
              </w:rPr>
              <w:fldChar w:fldCharType="separate"/>
            </w:r>
            <w:r w:rsidR="00EE3F7A">
              <w:rPr>
                <w:noProof/>
                <w:webHidden/>
              </w:rPr>
              <w:t>20</w:t>
            </w:r>
            <w:r w:rsidR="00EE3F7A">
              <w:rPr>
                <w:noProof/>
                <w:webHidden/>
              </w:rPr>
              <w:fldChar w:fldCharType="end"/>
            </w:r>
          </w:hyperlink>
        </w:p>
        <w:p w14:paraId="36D638EB" w14:textId="6A47A979" w:rsidR="00EE3F7A" w:rsidRDefault="003E7871">
          <w:pPr>
            <w:pStyle w:val="TOC1"/>
            <w:tabs>
              <w:tab w:val="right" w:leader="dot" w:pos="9350"/>
            </w:tabs>
            <w:rPr>
              <w:noProof/>
              <w:sz w:val="22"/>
              <w:szCs w:val="22"/>
            </w:rPr>
          </w:pPr>
          <w:hyperlink w:anchor="_Toc110000638" w:history="1">
            <w:r w:rsidR="00EE3F7A" w:rsidRPr="00B273F2">
              <w:rPr>
                <w:rStyle w:val="Hyperlink"/>
                <w:rFonts w:asciiTheme="minorBidi" w:hAnsiTheme="minorBidi"/>
                <w:noProof/>
              </w:rPr>
              <w:t>DOCUMENTATION AND RECORDKEEPING REQUIREMENTS</w:t>
            </w:r>
            <w:r w:rsidR="00EE3F7A">
              <w:rPr>
                <w:noProof/>
                <w:webHidden/>
              </w:rPr>
              <w:tab/>
            </w:r>
            <w:r w:rsidR="00EE3F7A">
              <w:rPr>
                <w:noProof/>
                <w:webHidden/>
              </w:rPr>
              <w:fldChar w:fldCharType="begin"/>
            </w:r>
            <w:r w:rsidR="00EE3F7A">
              <w:rPr>
                <w:noProof/>
                <w:webHidden/>
              </w:rPr>
              <w:instrText xml:space="preserve"> PAGEREF _Toc110000638 \h </w:instrText>
            </w:r>
            <w:r w:rsidR="00EE3F7A">
              <w:rPr>
                <w:noProof/>
                <w:webHidden/>
              </w:rPr>
            </w:r>
            <w:r w:rsidR="00EE3F7A">
              <w:rPr>
                <w:noProof/>
                <w:webHidden/>
              </w:rPr>
              <w:fldChar w:fldCharType="separate"/>
            </w:r>
            <w:r w:rsidR="00EE3F7A">
              <w:rPr>
                <w:noProof/>
                <w:webHidden/>
              </w:rPr>
              <w:t>25</w:t>
            </w:r>
            <w:r w:rsidR="00EE3F7A">
              <w:rPr>
                <w:noProof/>
                <w:webHidden/>
              </w:rPr>
              <w:fldChar w:fldCharType="end"/>
            </w:r>
          </w:hyperlink>
        </w:p>
        <w:p w14:paraId="53526BD5" w14:textId="0FE32FBB" w:rsidR="00EE3F7A" w:rsidRDefault="003E7871">
          <w:pPr>
            <w:pStyle w:val="TOC1"/>
            <w:tabs>
              <w:tab w:val="right" w:leader="dot" w:pos="9350"/>
            </w:tabs>
            <w:rPr>
              <w:noProof/>
              <w:sz w:val="22"/>
              <w:szCs w:val="22"/>
            </w:rPr>
          </w:pPr>
          <w:hyperlink w:anchor="_Toc110000639" w:history="1">
            <w:r w:rsidR="00EE3F7A" w:rsidRPr="00B273F2">
              <w:rPr>
                <w:rStyle w:val="Hyperlink"/>
                <w:rFonts w:asciiTheme="minorBidi" w:hAnsiTheme="minorBidi"/>
                <w:noProof/>
              </w:rPr>
              <w:t>EMERGENCY SHELTER PROGRAM TERMINATION AND OPPORTUNITY FOR APPEAL</w:t>
            </w:r>
            <w:r w:rsidR="00EE3F7A">
              <w:rPr>
                <w:noProof/>
                <w:webHidden/>
              </w:rPr>
              <w:tab/>
            </w:r>
            <w:r w:rsidR="00EE3F7A">
              <w:rPr>
                <w:noProof/>
                <w:webHidden/>
              </w:rPr>
              <w:fldChar w:fldCharType="begin"/>
            </w:r>
            <w:r w:rsidR="00EE3F7A">
              <w:rPr>
                <w:noProof/>
                <w:webHidden/>
              </w:rPr>
              <w:instrText xml:space="preserve"> PAGEREF _Toc110000639 \h </w:instrText>
            </w:r>
            <w:r w:rsidR="00EE3F7A">
              <w:rPr>
                <w:noProof/>
                <w:webHidden/>
              </w:rPr>
            </w:r>
            <w:r w:rsidR="00EE3F7A">
              <w:rPr>
                <w:noProof/>
                <w:webHidden/>
              </w:rPr>
              <w:fldChar w:fldCharType="separate"/>
            </w:r>
            <w:r w:rsidR="00EE3F7A">
              <w:rPr>
                <w:noProof/>
                <w:webHidden/>
              </w:rPr>
              <w:t>25</w:t>
            </w:r>
            <w:r w:rsidR="00EE3F7A">
              <w:rPr>
                <w:noProof/>
                <w:webHidden/>
              </w:rPr>
              <w:fldChar w:fldCharType="end"/>
            </w:r>
          </w:hyperlink>
        </w:p>
        <w:p w14:paraId="1BFFA9C4" w14:textId="70F3835D" w:rsidR="00EE3F7A" w:rsidRDefault="003E7871">
          <w:pPr>
            <w:pStyle w:val="TOC1"/>
            <w:tabs>
              <w:tab w:val="right" w:leader="dot" w:pos="9350"/>
            </w:tabs>
            <w:rPr>
              <w:noProof/>
              <w:sz w:val="22"/>
              <w:szCs w:val="22"/>
            </w:rPr>
          </w:pPr>
          <w:hyperlink w:anchor="_Toc110000640" w:history="1">
            <w:r w:rsidR="00EE3F7A" w:rsidRPr="00B273F2">
              <w:rPr>
                <w:rStyle w:val="Hyperlink"/>
                <w:rFonts w:asciiTheme="minorBidi" w:hAnsiTheme="minorBidi"/>
                <w:noProof/>
              </w:rPr>
              <w:t>HOUSING PLACEMENT AND LANDLORD ENGAGEMENT</w:t>
            </w:r>
            <w:r w:rsidR="00EE3F7A">
              <w:rPr>
                <w:noProof/>
                <w:webHidden/>
              </w:rPr>
              <w:tab/>
            </w:r>
            <w:r w:rsidR="00EE3F7A">
              <w:rPr>
                <w:noProof/>
                <w:webHidden/>
              </w:rPr>
              <w:fldChar w:fldCharType="begin"/>
            </w:r>
            <w:r w:rsidR="00EE3F7A">
              <w:rPr>
                <w:noProof/>
                <w:webHidden/>
              </w:rPr>
              <w:instrText xml:space="preserve"> PAGEREF _Toc110000640 \h </w:instrText>
            </w:r>
            <w:r w:rsidR="00EE3F7A">
              <w:rPr>
                <w:noProof/>
                <w:webHidden/>
              </w:rPr>
            </w:r>
            <w:r w:rsidR="00EE3F7A">
              <w:rPr>
                <w:noProof/>
                <w:webHidden/>
              </w:rPr>
              <w:fldChar w:fldCharType="separate"/>
            </w:r>
            <w:r w:rsidR="00EE3F7A">
              <w:rPr>
                <w:noProof/>
                <w:webHidden/>
              </w:rPr>
              <w:t>27</w:t>
            </w:r>
            <w:r w:rsidR="00EE3F7A">
              <w:rPr>
                <w:noProof/>
                <w:webHidden/>
              </w:rPr>
              <w:fldChar w:fldCharType="end"/>
            </w:r>
          </w:hyperlink>
        </w:p>
        <w:p w14:paraId="3A208072" w14:textId="4CE0EAFC" w:rsidR="00EE3F7A" w:rsidRDefault="003E7871">
          <w:pPr>
            <w:pStyle w:val="TOC1"/>
            <w:tabs>
              <w:tab w:val="right" w:leader="dot" w:pos="9350"/>
            </w:tabs>
            <w:rPr>
              <w:noProof/>
              <w:sz w:val="22"/>
              <w:szCs w:val="22"/>
            </w:rPr>
          </w:pPr>
          <w:hyperlink w:anchor="_Toc110000641" w:history="1">
            <w:r w:rsidR="00EE3F7A" w:rsidRPr="00B273F2">
              <w:rPr>
                <w:rStyle w:val="Hyperlink"/>
                <w:rFonts w:asciiTheme="minorBidi" w:hAnsiTheme="minorBidi"/>
                <w:noProof/>
              </w:rPr>
              <w:t>RRH AND PREVENTION CASE MANAGEMENT AND SERVICE DELIVERY</w:t>
            </w:r>
            <w:r w:rsidR="00EE3F7A">
              <w:rPr>
                <w:noProof/>
                <w:webHidden/>
              </w:rPr>
              <w:tab/>
            </w:r>
            <w:r w:rsidR="00EE3F7A">
              <w:rPr>
                <w:noProof/>
                <w:webHidden/>
              </w:rPr>
              <w:fldChar w:fldCharType="begin"/>
            </w:r>
            <w:r w:rsidR="00EE3F7A">
              <w:rPr>
                <w:noProof/>
                <w:webHidden/>
              </w:rPr>
              <w:instrText xml:space="preserve"> PAGEREF _Toc110000641 \h </w:instrText>
            </w:r>
            <w:r w:rsidR="00EE3F7A">
              <w:rPr>
                <w:noProof/>
                <w:webHidden/>
              </w:rPr>
            </w:r>
            <w:r w:rsidR="00EE3F7A">
              <w:rPr>
                <w:noProof/>
                <w:webHidden/>
              </w:rPr>
              <w:fldChar w:fldCharType="separate"/>
            </w:r>
            <w:r w:rsidR="00EE3F7A">
              <w:rPr>
                <w:noProof/>
                <w:webHidden/>
              </w:rPr>
              <w:t>28</w:t>
            </w:r>
            <w:r w:rsidR="00EE3F7A">
              <w:rPr>
                <w:noProof/>
                <w:webHidden/>
              </w:rPr>
              <w:fldChar w:fldCharType="end"/>
            </w:r>
          </w:hyperlink>
        </w:p>
        <w:p w14:paraId="0BEC70C1" w14:textId="29DBADF8" w:rsidR="00EE3F7A" w:rsidRDefault="003E7871">
          <w:pPr>
            <w:pStyle w:val="TOC1"/>
            <w:tabs>
              <w:tab w:val="right" w:leader="dot" w:pos="9350"/>
            </w:tabs>
            <w:rPr>
              <w:noProof/>
              <w:sz w:val="22"/>
              <w:szCs w:val="22"/>
            </w:rPr>
          </w:pPr>
          <w:hyperlink w:anchor="_Toc110000642" w:history="1">
            <w:r w:rsidR="00EE3F7A" w:rsidRPr="00B273F2">
              <w:rPr>
                <w:rStyle w:val="Hyperlink"/>
                <w:rFonts w:asciiTheme="minorBidi" w:hAnsiTheme="minorBidi"/>
                <w:noProof/>
              </w:rPr>
              <w:t>ALLOWABLE ACTIVITIES FOR RAPID RE-HOUSING AND PREVENTION</w:t>
            </w:r>
            <w:r w:rsidR="00EE3F7A">
              <w:rPr>
                <w:noProof/>
                <w:webHidden/>
              </w:rPr>
              <w:tab/>
            </w:r>
            <w:r w:rsidR="00EE3F7A">
              <w:rPr>
                <w:noProof/>
                <w:webHidden/>
              </w:rPr>
              <w:fldChar w:fldCharType="begin"/>
            </w:r>
            <w:r w:rsidR="00EE3F7A">
              <w:rPr>
                <w:noProof/>
                <w:webHidden/>
              </w:rPr>
              <w:instrText xml:space="preserve"> PAGEREF _Toc110000642 \h </w:instrText>
            </w:r>
            <w:r w:rsidR="00EE3F7A">
              <w:rPr>
                <w:noProof/>
                <w:webHidden/>
              </w:rPr>
            </w:r>
            <w:r w:rsidR="00EE3F7A">
              <w:rPr>
                <w:noProof/>
                <w:webHidden/>
              </w:rPr>
              <w:fldChar w:fldCharType="separate"/>
            </w:r>
            <w:r w:rsidR="00EE3F7A">
              <w:rPr>
                <w:noProof/>
                <w:webHidden/>
              </w:rPr>
              <w:t>31</w:t>
            </w:r>
            <w:r w:rsidR="00EE3F7A">
              <w:rPr>
                <w:noProof/>
                <w:webHidden/>
              </w:rPr>
              <w:fldChar w:fldCharType="end"/>
            </w:r>
          </w:hyperlink>
        </w:p>
        <w:p w14:paraId="08AE5FB4" w14:textId="0F1F0CB4" w:rsidR="00EE3F7A" w:rsidRDefault="003E7871">
          <w:pPr>
            <w:pStyle w:val="TOC1"/>
            <w:tabs>
              <w:tab w:val="right" w:leader="dot" w:pos="9350"/>
            </w:tabs>
            <w:rPr>
              <w:noProof/>
              <w:sz w:val="22"/>
              <w:szCs w:val="22"/>
            </w:rPr>
          </w:pPr>
          <w:hyperlink w:anchor="_Toc110000643" w:history="1">
            <w:r w:rsidR="00EE3F7A" w:rsidRPr="00B273F2">
              <w:rPr>
                <w:rStyle w:val="Hyperlink"/>
                <w:rFonts w:asciiTheme="minorBidi" w:hAnsiTheme="minorBidi"/>
                <w:noProof/>
              </w:rPr>
              <w:t>DOCUMENTATION AND RECORDKEEPING REQUIREMENTS</w:t>
            </w:r>
            <w:r w:rsidR="00EE3F7A">
              <w:rPr>
                <w:noProof/>
                <w:webHidden/>
              </w:rPr>
              <w:tab/>
            </w:r>
            <w:r w:rsidR="00EE3F7A">
              <w:rPr>
                <w:noProof/>
                <w:webHidden/>
              </w:rPr>
              <w:fldChar w:fldCharType="begin"/>
            </w:r>
            <w:r w:rsidR="00EE3F7A">
              <w:rPr>
                <w:noProof/>
                <w:webHidden/>
              </w:rPr>
              <w:instrText xml:space="preserve"> PAGEREF _Toc110000643 \h </w:instrText>
            </w:r>
            <w:r w:rsidR="00EE3F7A">
              <w:rPr>
                <w:noProof/>
                <w:webHidden/>
              </w:rPr>
            </w:r>
            <w:r w:rsidR="00EE3F7A">
              <w:rPr>
                <w:noProof/>
                <w:webHidden/>
              </w:rPr>
              <w:fldChar w:fldCharType="separate"/>
            </w:r>
            <w:r w:rsidR="00EE3F7A">
              <w:rPr>
                <w:noProof/>
                <w:webHidden/>
              </w:rPr>
              <w:t>33</w:t>
            </w:r>
            <w:r w:rsidR="00EE3F7A">
              <w:rPr>
                <w:noProof/>
                <w:webHidden/>
              </w:rPr>
              <w:fldChar w:fldCharType="end"/>
            </w:r>
          </w:hyperlink>
        </w:p>
        <w:p w14:paraId="249A29B9" w14:textId="401DB68B" w:rsidR="00EE3F7A" w:rsidRDefault="003E7871">
          <w:pPr>
            <w:pStyle w:val="TOC1"/>
            <w:tabs>
              <w:tab w:val="right" w:leader="dot" w:pos="9350"/>
            </w:tabs>
            <w:rPr>
              <w:noProof/>
              <w:sz w:val="22"/>
              <w:szCs w:val="22"/>
            </w:rPr>
          </w:pPr>
          <w:hyperlink w:anchor="_Toc110000644" w:history="1">
            <w:r w:rsidR="00EE3F7A" w:rsidRPr="00B273F2">
              <w:rPr>
                <w:rStyle w:val="Hyperlink"/>
                <w:rFonts w:asciiTheme="minorBidi" w:hAnsiTheme="minorBidi"/>
                <w:noProof/>
              </w:rPr>
              <w:t>RAPID RE-HOUSING AND HOMELESSNESS PREVENTION PROGRAM TERMINATION AND OPPORTUNITY FOR APPEAL</w:t>
            </w:r>
            <w:r w:rsidR="00EE3F7A">
              <w:rPr>
                <w:noProof/>
                <w:webHidden/>
              </w:rPr>
              <w:tab/>
            </w:r>
            <w:r w:rsidR="00EE3F7A">
              <w:rPr>
                <w:noProof/>
                <w:webHidden/>
              </w:rPr>
              <w:fldChar w:fldCharType="begin"/>
            </w:r>
            <w:r w:rsidR="00EE3F7A">
              <w:rPr>
                <w:noProof/>
                <w:webHidden/>
              </w:rPr>
              <w:instrText xml:space="preserve"> PAGEREF _Toc110000644 \h </w:instrText>
            </w:r>
            <w:r w:rsidR="00EE3F7A">
              <w:rPr>
                <w:noProof/>
                <w:webHidden/>
              </w:rPr>
            </w:r>
            <w:r w:rsidR="00EE3F7A">
              <w:rPr>
                <w:noProof/>
                <w:webHidden/>
              </w:rPr>
              <w:fldChar w:fldCharType="separate"/>
            </w:r>
            <w:r w:rsidR="00EE3F7A">
              <w:rPr>
                <w:noProof/>
                <w:webHidden/>
              </w:rPr>
              <w:t>35</w:t>
            </w:r>
            <w:r w:rsidR="00EE3F7A">
              <w:rPr>
                <w:noProof/>
                <w:webHidden/>
              </w:rPr>
              <w:fldChar w:fldCharType="end"/>
            </w:r>
          </w:hyperlink>
        </w:p>
        <w:p w14:paraId="493F73ED" w14:textId="109BDF4F" w:rsidR="00EE3F7A" w:rsidRDefault="003E7871">
          <w:pPr>
            <w:pStyle w:val="TOC1"/>
            <w:tabs>
              <w:tab w:val="right" w:leader="dot" w:pos="9350"/>
            </w:tabs>
            <w:rPr>
              <w:noProof/>
              <w:sz w:val="22"/>
              <w:szCs w:val="22"/>
            </w:rPr>
          </w:pPr>
          <w:hyperlink w:anchor="_Toc110000645" w:history="1">
            <w:r w:rsidR="00EE3F7A" w:rsidRPr="00B273F2">
              <w:rPr>
                <w:rStyle w:val="Hyperlink"/>
                <w:rFonts w:asciiTheme="minorBidi" w:hAnsiTheme="minorBidi"/>
                <w:noProof/>
              </w:rPr>
              <w:t>APPENDIX A DOCUMENTATION REFERENCE CHART</w:t>
            </w:r>
            <w:r w:rsidR="00EE3F7A">
              <w:rPr>
                <w:noProof/>
                <w:webHidden/>
              </w:rPr>
              <w:tab/>
            </w:r>
            <w:r w:rsidR="00EE3F7A">
              <w:rPr>
                <w:noProof/>
                <w:webHidden/>
              </w:rPr>
              <w:fldChar w:fldCharType="begin"/>
            </w:r>
            <w:r w:rsidR="00EE3F7A">
              <w:rPr>
                <w:noProof/>
                <w:webHidden/>
              </w:rPr>
              <w:instrText xml:space="preserve"> PAGEREF _Toc110000645 \h </w:instrText>
            </w:r>
            <w:r w:rsidR="00EE3F7A">
              <w:rPr>
                <w:noProof/>
                <w:webHidden/>
              </w:rPr>
            </w:r>
            <w:r w:rsidR="00EE3F7A">
              <w:rPr>
                <w:noProof/>
                <w:webHidden/>
              </w:rPr>
              <w:fldChar w:fldCharType="separate"/>
            </w:r>
            <w:r w:rsidR="00EE3F7A">
              <w:rPr>
                <w:noProof/>
                <w:webHidden/>
              </w:rPr>
              <w:t>37</w:t>
            </w:r>
            <w:r w:rsidR="00EE3F7A">
              <w:rPr>
                <w:noProof/>
                <w:webHidden/>
              </w:rPr>
              <w:fldChar w:fldCharType="end"/>
            </w:r>
          </w:hyperlink>
        </w:p>
        <w:p w14:paraId="224F1D25" w14:textId="13943947" w:rsidR="00EE3F7A" w:rsidRDefault="003E7871">
          <w:pPr>
            <w:pStyle w:val="TOC1"/>
            <w:tabs>
              <w:tab w:val="right" w:leader="dot" w:pos="9350"/>
            </w:tabs>
            <w:rPr>
              <w:noProof/>
              <w:sz w:val="22"/>
              <w:szCs w:val="22"/>
            </w:rPr>
          </w:pPr>
          <w:hyperlink w:anchor="_Toc110000646" w:history="1">
            <w:r w:rsidR="00EE3F7A" w:rsidRPr="00B273F2">
              <w:rPr>
                <w:rStyle w:val="Hyperlink"/>
                <w:rFonts w:ascii="Arial" w:hAnsi="Arial" w:cs="Arial"/>
                <w:noProof/>
              </w:rPr>
              <w:t>FUNDING PROCESS AND REQUIREMENTS</w:t>
            </w:r>
            <w:r w:rsidR="00EE3F7A">
              <w:rPr>
                <w:noProof/>
                <w:webHidden/>
              </w:rPr>
              <w:tab/>
            </w:r>
            <w:r w:rsidR="00EE3F7A">
              <w:rPr>
                <w:noProof/>
                <w:webHidden/>
              </w:rPr>
              <w:fldChar w:fldCharType="begin"/>
            </w:r>
            <w:r w:rsidR="00EE3F7A">
              <w:rPr>
                <w:noProof/>
                <w:webHidden/>
              </w:rPr>
              <w:instrText xml:space="preserve"> PAGEREF _Toc110000646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501DEA4F" w14:textId="0AEB8C6E" w:rsidR="00EE3F7A" w:rsidRDefault="003E7871">
          <w:pPr>
            <w:pStyle w:val="TOC2"/>
            <w:tabs>
              <w:tab w:val="right" w:leader="dot" w:pos="9350"/>
            </w:tabs>
            <w:rPr>
              <w:noProof/>
              <w:sz w:val="22"/>
              <w:szCs w:val="22"/>
            </w:rPr>
          </w:pPr>
          <w:hyperlink w:anchor="_Toc110000647" w:history="1">
            <w:r w:rsidR="00EE3F7A" w:rsidRPr="00B273F2">
              <w:rPr>
                <w:rStyle w:val="Hyperlink"/>
                <w:rFonts w:ascii="Arial" w:hAnsi="Arial" w:cs="Arial"/>
                <w:noProof/>
              </w:rPr>
              <w:t>GRANT AWARDS</w:t>
            </w:r>
            <w:r w:rsidR="00EE3F7A">
              <w:rPr>
                <w:noProof/>
                <w:webHidden/>
              </w:rPr>
              <w:tab/>
            </w:r>
            <w:r w:rsidR="00EE3F7A">
              <w:rPr>
                <w:noProof/>
                <w:webHidden/>
              </w:rPr>
              <w:fldChar w:fldCharType="begin"/>
            </w:r>
            <w:r w:rsidR="00EE3F7A">
              <w:rPr>
                <w:noProof/>
                <w:webHidden/>
              </w:rPr>
              <w:instrText xml:space="preserve"> PAGEREF _Toc110000647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26B2B8AF" w14:textId="4ADDB5E0" w:rsidR="00EE3F7A" w:rsidRDefault="003E7871">
          <w:pPr>
            <w:pStyle w:val="TOC2"/>
            <w:tabs>
              <w:tab w:val="right" w:leader="dot" w:pos="9350"/>
            </w:tabs>
            <w:rPr>
              <w:noProof/>
              <w:sz w:val="22"/>
              <w:szCs w:val="22"/>
            </w:rPr>
          </w:pPr>
          <w:hyperlink w:anchor="_Toc110000648" w:history="1">
            <w:r w:rsidR="00EE3F7A" w:rsidRPr="00B273F2">
              <w:rPr>
                <w:rStyle w:val="Hyperlink"/>
                <w:rFonts w:ascii="Arial" w:eastAsiaTheme="majorEastAsia" w:hAnsi="Arial" w:cs="Arial"/>
                <w:noProof/>
              </w:rPr>
              <w:t>GRANT AGREEMENTS GENERAL TIMELINE</w:t>
            </w:r>
            <w:r w:rsidR="00EE3F7A">
              <w:rPr>
                <w:noProof/>
                <w:webHidden/>
              </w:rPr>
              <w:tab/>
            </w:r>
            <w:r w:rsidR="00EE3F7A">
              <w:rPr>
                <w:noProof/>
                <w:webHidden/>
              </w:rPr>
              <w:fldChar w:fldCharType="begin"/>
            </w:r>
            <w:r w:rsidR="00EE3F7A">
              <w:rPr>
                <w:noProof/>
                <w:webHidden/>
              </w:rPr>
              <w:instrText xml:space="preserve"> PAGEREF _Toc110000648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3163DF33" w14:textId="771F6036" w:rsidR="00EE3F7A" w:rsidRDefault="003E7871">
          <w:pPr>
            <w:pStyle w:val="TOC2"/>
            <w:tabs>
              <w:tab w:val="right" w:leader="dot" w:pos="9350"/>
            </w:tabs>
            <w:rPr>
              <w:noProof/>
              <w:sz w:val="22"/>
              <w:szCs w:val="22"/>
            </w:rPr>
          </w:pPr>
          <w:hyperlink w:anchor="_Toc110000649" w:history="1">
            <w:r w:rsidR="00EE3F7A" w:rsidRPr="00B273F2">
              <w:rPr>
                <w:rStyle w:val="Hyperlink"/>
                <w:rFonts w:ascii="Arial" w:eastAsiaTheme="majorEastAsia" w:hAnsi="Arial" w:cs="Arial"/>
                <w:noProof/>
              </w:rPr>
              <w:t>RECEIVING &amp; PROCESSING THE GRANT AGREEMENT</w:t>
            </w:r>
            <w:r w:rsidR="00EE3F7A">
              <w:rPr>
                <w:noProof/>
                <w:webHidden/>
              </w:rPr>
              <w:tab/>
            </w:r>
            <w:r w:rsidR="00EE3F7A">
              <w:rPr>
                <w:noProof/>
                <w:webHidden/>
              </w:rPr>
              <w:fldChar w:fldCharType="begin"/>
            </w:r>
            <w:r w:rsidR="00EE3F7A">
              <w:rPr>
                <w:noProof/>
                <w:webHidden/>
              </w:rPr>
              <w:instrText xml:space="preserve"> PAGEREF _Toc110000649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5F768842" w14:textId="6458525C" w:rsidR="00EE3F7A" w:rsidRDefault="003E7871">
          <w:pPr>
            <w:pStyle w:val="TOC2"/>
            <w:tabs>
              <w:tab w:val="right" w:leader="dot" w:pos="9350"/>
            </w:tabs>
            <w:rPr>
              <w:noProof/>
              <w:sz w:val="22"/>
              <w:szCs w:val="22"/>
            </w:rPr>
          </w:pPr>
          <w:hyperlink w:anchor="_Toc110000650" w:history="1">
            <w:r w:rsidR="00EE3F7A" w:rsidRPr="00B273F2">
              <w:rPr>
                <w:rStyle w:val="Hyperlink"/>
                <w:rFonts w:ascii="Arial" w:eastAsiaTheme="majorEastAsia" w:hAnsi="Arial" w:cs="Arial"/>
                <w:noProof/>
              </w:rPr>
              <w:t>PREPARING CONTRACTS &amp; AMENDMENTS</w:t>
            </w:r>
            <w:r w:rsidR="00EE3F7A">
              <w:rPr>
                <w:noProof/>
                <w:webHidden/>
              </w:rPr>
              <w:tab/>
            </w:r>
            <w:r w:rsidR="00EE3F7A">
              <w:rPr>
                <w:noProof/>
                <w:webHidden/>
              </w:rPr>
              <w:fldChar w:fldCharType="begin"/>
            </w:r>
            <w:r w:rsidR="00EE3F7A">
              <w:rPr>
                <w:noProof/>
                <w:webHidden/>
              </w:rPr>
              <w:instrText xml:space="preserve"> PAGEREF _Toc110000650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615638EC" w14:textId="50B6A5FE" w:rsidR="00EE3F7A" w:rsidRDefault="003E7871">
          <w:pPr>
            <w:pStyle w:val="TOC1"/>
            <w:tabs>
              <w:tab w:val="right" w:leader="dot" w:pos="9350"/>
            </w:tabs>
            <w:rPr>
              <w:noProof/>
              <w:sz w:val="22"/>
              <w:szCs w:val="22"/>
            </w:rPr>
          </w:pPr>
          <w:hyperlink w:anchor="_Toc110000651" w:history="1">
            <w:r w:rsidR="00EE3F7A" w:rsidRPr="00B273F2">
              <w:rPr>
                <w:rStyle w:val="Hyperlink"/>
                <w:rFonts w:ascii="Arial" w:eastAsiaTheme="majorEastAsia" w:hAnsi="Arial" w:cs="Arial"/>
                <w:noProof/>
              </w:rPr>
              <w:t>PAYMENT REQUESTS / INVOICE</w:t>
            </w:r>
            <w:r w:rsidR="00EE3F7A">
              <w:rPr>
                <w:noProof/>
                <w:webHidden/>
              </w:rPr>
              <w:tab/>
            </w:r>
            <w:r w:rsidR="00EE3F7A">
              <w:rPr>
                <w:noProof/>
                <w:webHidden/>
              </w:rPr>
              <w:fldChar w:fldCharType="begin"/>
            </w:r>
            <w:r w:rsidR="00EE3F7A">
              <w:rPr>
                <w:noProof/>
                <w:webHidden/>
              </w:rPr>
              <w:instrText xml:space="preserve"> PAGEREF _Toc110000651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43D2939F" w14:textId="15CF0C7E" w:rsidR="00EE3F7A" w:rsidRDefault="003E7871">
          <w:pPr>
            <w:pStyle w:val="TOC2"/>
            <w:tabs>
              <w:tab w:val="right" w:leader="dot" w:pos="9350"/>
            </w:tabs>
            <w:rPr>
              <w:noProof/>
              <w:sz w:val="22"/>
              <w:szCs w:val="22"/>
            </w:rPr>
          </w:pPr>
          <w:hyperlink w:anchor="_Toc110000652" w:history="1">
            <w:r w:rsidR="00EE3F7A" w:rsidRPr="00B273F2">
              <w:rPr>
                <w:rStyle w:val="Hyperlink"/>
                <w:rFonts w:ascii="Arial" w:eastAsiaTheme="majorEastAsia" w:hAnsi="Arial" w:cs="Arial"/>
                <w:noProof/>
              </w:rPr>
              <w:t>PROCESSING PAYMENT REQUESTS</w:t>
            </w:r>
            <w:r w:rsidR="00EE3F7A">
              <w:rPr>
                <w:noProof/>
                <w:webHidden/>
              </w:rPr>
              <w:tab/>
            </w:r>
            <w:r w:rsidR="00EE3F7A">
              <w:rPr>
                <w:noProof/>
                <w:webHidden/>
              </w:rPr>
              <w:fldChar w:fldCharType="begin"/>
            </w:r>
            <w:r w:rsidR="00EE3F7A">
              <w:rPr>
                <w:noProof/>
                <w:webHidden/>
              </w:rPr>
              <w:instrText xml:space="preserve"> PAGEREF _Toc110000652 \h </w:instrText>
            </w:r>
            <w:r w:rsidR="00EE3F7A">
              <w:rPr>
                <w:noProof/>
                <w:webHidden/>
              </w:rPr>
            </w:r>
            <w:r w:rsidR="00EE3F7A">
              <w:rPr>
                <w:noProof/>
                <w:webHidden/>
              </w:rPr>
              <w:fldChar w:fldCharType="separate"/>
            </w:r>
            <w:r w:rsidR="00EE3F7A">
              <w:rPr>
                <w:noProof/>
                <w:webHidden/>
              </w:rPr>
              <w:t>48</w:t>
            </w:r>
            <w:r w:rsidR="00EE3F7A">
              <w:rPr>
                <w:noProof/>
                <w:webHidden/>
              </w:rPr>
              <w:fldChar w:fldCharType="end"/>
            </w:r>
          </w:hyperlink>
        </w:p>
        <w:p w14:paraId="00760518" w14:textId="1FD8BF65" w:rsidR="00EE3F7A" w:rsidRDefault="003E7871">
          <w:pPr>
            <w:pStyle w:val="TOC2"/>
            <w:tabs>
              <w:tab w:val="right" w:leader="dot" w:pos="9350"/>
            </w:tabs>
            <w:rPr>
              <w:noProof/>
              <w:sz w:val="22"/>
              <w:szCs w:val="22"/>
            </w:rPr>
          </w:pPr>
          <w:hyperlink w:anchor="_Toc110000653" w:history="1">
            <w:r w:rsidR="00EE3F7A" w:rsidRPr="00B273F2">
              <w:rPr>
                <w:rStyle w:val="Hyperlink"/>
                <w:rFonts w:ascii="Arial" w:eastAsiaTheme="majorEastAsia" w:hAnsi="Arial" w:cs="Arial"/>
                <w:noProof/>
              </w:rPr>
              <w:t>RECEIVING REQUESTS IN A TIMELY WAY</w:t>
            </w:r>
            <w:r w:rsidR="00EE3F7A">
              <w:rPr>
                <w:noProof/>
                <w:webHidden/>
              </w:rPr>
              <w:tab/>
            </w:r>
            <w:r w:rsidR="00EE3F7A">
              <w:rPr>
                <w:noProof/>
                <w:webHidden/>
              </w:rPr>
              <w:fldChar w:fldCharType="begin"/>
            </w:r>
            <w:r w:rsidR="00EE3F7A">
              <w:rPr>
                <w:noProof/>
                <w:webHidden/>
              </w:rPr>
              <w:instrText xml:space="preserve"> PAGEREF _Toc110000653 \h </w:instrText>
            </w:r>
            <w:r w:rsidR="00EE3F7A">
              <w:rPr>
                <w:noProof/>
                <w:webHidden/>
              </w:rPr>
            </w:r>
            <w:r w:rsidR="00EE3F7A">
              <w:rPr>
                <w:noProof/>
                <w:webHidden/>
              </w:rPr>
              <w:fldChar w:fldCharType="separate"/>
            </w:r>
            <w:r w:rsidR="00EE3F7A">
              <w:rPr>
                <w:noProof/>
                <w:webHidden/>
              </w:rPr>
              <w:t>49</w:t>
            </w:r>
            <w:r w:rsidR="00EE3F7A">
              <w:rPr>
                <w:noProof/>
                <w:webHidden/>
              </w:rPr>
              <w:fldChar w:fldCharType="end"/>
            </w:r>
          </w:hyperlink>
        </w:p>
        <w:p w14:paraId="4AAE2463" w14:textId="264528A2" w:rsidR="00EE3F7A" w:rsidRDefault="003E7871">
          <w:pPr>
            <w:pStyle w:val="TOC1"/>
            <w:tabs>
              <w:tab w:val="right" w:leader="dot" w:pos="9350"/>
            </w:tabs>
            <w:rPr>
              <w:noProof/>
              <w:sz w:val="22"/>
              <w:szCs w:val="22"/>
            </w:rPr>
          </w:pPr>
          <w:hyperlink w:anchor="_Toc110000654" w:history="1">
            <w:r w:rsidR="00EE3F7A" w:rsidRPr="00B273F2">
              <w:rPr>
                <w:rStyle w:val="Hyperlink"/>
                <w:rFonts w:ascii="Arial" w:eastAsiaTheme="majorEastAsia" w:hAnsi="Arial" w:cs="Arial"/>
                <w:noProof/>
              </w:rPr>
              <w:t>FEDERAL CASH DRAW PROCESSING</w:t>
            </w:r>
            <w:r w:rsidR="00EE3F7A">
              <w:rPr>
                <w:noProof/>
                <w:webHidden/>
              </w:rPr>
              <w:tab/>
            </w:r>
            <w:r w:rsidR="00EE3F7A">
              <w:rPr>
                <w:noProof/>
                <w:webHidden/>
              </w:rPr>
              <w:fldChar w:fldCharType="begin"/>
            </w:r>
            <w:r w:rsidR="00EE3F7A">
              <w:rPr>
                <w:noProof/>
                <w:webHidden/>
              </w:rPr>
              <w:instrText xml:space="preserve"> PAGEREF _Toc110000654 \h </w:instrText>
            </w:r>
            <w:r w:rsidR="00EE3F7A">
              <w:rPr>
                <w:noProof/>
                <w:webHidden/>
              </w:rPr>
            </w:r>
            <w:r w:rsidR="00EE3F7A">
              <w:rPr>
                <w:noProof/>
                <w:webHidden/>
              </w:rPr>
              <w:fldChar w:fldCharType="separate"/>
            </w:r>
            <w:r w:rsidR="00EE3F7A">
              <w:rPr>
                <w:noProof/>
                <w:webHidden/>
              </w:rPr>
              <w:t>51</w:t>
            </w:r>
            <w:r w:rsidR="00EE3F7A">
              <w:rPr>
                <w:noProof/>
                <w:webHidden/>
              </w:rPr>
              <w:fldChar w:fldCharType="end"/>
            </w:r>
          </w:hyperlink>
        </w:p>
        <w:p w14:paraId="15B6CC6D" w14:textId="51F324C9" w:rsidR="00EE3F7A" w:rsidRDefault="003E7871">
          <w:pPr>
            <w:pStyle w:val="TOC1"/>
            <w:tabs>
              <w:tab w:val="right" w:leader="dot" w:pos="9350"/>
            </w:tabs>
            <w:rPr>
              <w:noProof/>
              <w:sz w:val="22"/>
              <w:szCs w:val="22"/>
            </w:rPr>
          </w:pPr>
          <w:hyperlink w:anchor="_Toc110000655" w:history="1">
            <w:r w:rsidR="00EE3F7A" w:rsidRPr="00B273F2">
              <w:rPr>
                <w:rStyle w:val="Hyperlink"/>
                <w:rFonts w:ascii="Arial" w:eastAsiaTheme="majorEastAsia" w:hAnsi="Arial" w:cs="Arial"/>
                <w:noProof/>
              </w:rPr>
              <w:t>PROJECT MONITORING</w:t>
            </w:r>
            <w:r w:rsidR="00EE3F7A">
              <w:rPr>
                <w:noProof/>
                <w:webHidden/>
              </w:rPr>
              <w:tab/>
            </w:r>
            <w:r w:rsidR="00EE3F7A">
              <w:rPr>
                <w:noProof/>
                <w:webHidden/>
              </w:rPr>
              <w:fldChar w:fldCharType="begin"/>
            </w:r>
            <w:r w:rsidR="00EE3F7A">
              <w:rPr>
                <w:noProof/>
                <w:webHidden/>
              </w:rPr>
              <w:instrText xml:space="preserve"> PAGEREF _Toc110000655 \h </w:instrText>
            </w:r>
            <w:r w:rsidR="00EE3F7A">
              <w:rPr>
                <w:noProof/>
                <w:webHidden/>
              </w:rPr>
            </w:r>
            <w:r w:rsidR="00EE3F7A">
              <w:rPr>
                <w:noProof/>
                <w:webHidden/>
              </w:rPr>
              <w:fldChar w:fldCharType="separate"/>
            </w:r>
            <w:r w:rsidR="00EE3F7A">
              <w:rPr>
                <w:noProof/>
                <w:webHidden/>
              </w:rPr>
              <w:t>53</w:t>
            </w:r>
            <w:r w:rsidR="00EE3F7A">
              <w:rPr>
                <w:noProof/>
                <w:webHidden/>
              </w:rPr>
              <w:fldChar w:fldCharType="end"/>
            </w:r>
          </w:hyperlink>
        </w:p>
        <w:p w14:paraId="20CD241A" w14:textId="5AF4577C" w:rsidR="00EE3F7A" w:rsidRDefault="003E7871">
          <w:pPr>
            <w:pStyle w:val="TOC2"/>
            <w:tabs>
              <w:tab w:val="right" w:leader="dot" w:pos="9350"/>
            </w:tabs>
            <w:rPr>
              <w:noProof/>
              <w:sz w:val="22"/>
              <w:szCs w:val="22"/>
            </w:rPr>
          </w:pPr>
          <w:hyperlink w:anchor="_Toc110000656" w:history="1">
            <w:r w:rsidR="00EE3F7A" w:rsidRPr="00B273F2">
              <w:rPr>
                <w:rStyle w:val="Hyperlink"/>
                <w:rFonts w:ascii="Arial" w:hAnsi="Arial" w:cs="Arial"/>
                <w:noProof/>
              </w:rPr>
              <w:t>PURPOSE</w:t>
            </w:r>
            <w:r w:rsidR="00EE3F7A">
              <w:rPr>
                <w:noProof/>
                <w:webHidden/>
              </w:rPr>
              <w:tab/>
            </w:r>
            <w:r w:rsidR="00EE3F7A">
              <w:rPr>
                <w:noProof/>
                <w:webHidden/>
              </w:rPr>
              <w:fldChar w:fldCharType="begin"/>
            </w:r>
            <w:r w:rsidR="00EE3F7A">
              <w:rPr>
                <w:noProof/>
                <w:webHidden/>
              </w:rPr>
              <w:instrText xml:space="preserve"> PAGEREF _Toc110000656 \h </w:instrText>
            </w:r>
            <w:r w:rsidR="00EE3F7A">
              <w:rPr>
                <w:noProof/>
                <w:webHidden/>
              </w:rPr>
            </w:r>
            <w:r w:rsidR="00EE3F7A">
              <w:rPr>
                <w:noProof/>
                <w:webHidden/>
              </w:rPr>
              <w:fldChar w:fldCharType="separate"/>
            </w:r>
            <w:r w:rsidR="00EE3F7A">
              <w:rPr>
                <w:noProof/>
                <w:webHidden/>
              </w:rPr>
              <w:t>53</w:t>
            </w:r>
            <w:r w:rsidR="00EE3F7A">
              <w:rPr>
                <w:noProof/>
                <w:webHidden/>
              </w:rPr>
              <w:fldChar w:fldCharType="end"/>
            </w:r>
          </w:hyperlink>
        </w:p>
        <w:p w14:paraId="78EEBD41" w14:textId="7AEAB22F" w:rsidR="00EE3F7A" w:rsidRDefault="003E7871">
          <w:pPr>
            <w:pStyle w:val="TOC2"/>
            <w:tabs>
              <w:tab w:val="right" w:leader="dot" w:pos="9350"/>
            </w:tabs>
            <w:rPr>
              <w:noProof/>
              <w:sz w:val="22"/>
              <w:szCs w:val="22"/>
            </w:rPr>
          </w:pPr>
          <w:hyperlink w:anchor="_Toc110000657" w:history="1">
            <w:r w:rsidR="00EE3F7A" w:rsidRPr="00B273F2">
              <w:rPr>
                <w:rStyle w:val="Hyperlink"/>
                <w:rFonts w:ascii="Arial" w:hAnsi="Arial" w:cs="Arial"/>
                <w:noProof/>
              </w:rPr>
              <w:t>POLICY STATEMENT</w:t>
            </w:r>
            <w:r w:rsidR="00EE3F7A">
              <w:rPr>
                <w:noProof/>
                <w:webHidden/>
              </w:rPr>
              <w:tab/>
            </w:r>
            <w:r w:rsidR="00EE3F7A">
              <w:rPr>
                <w:noProof/>
                <w:webHidden/>
              </w:rPr>
              <w:fldChar w:fldCharType="begin"/>
            </w:r>
            <w:r w:rsidR="00EE3F7A">
              <w:rPr>
                <w:noProof/>
                <w:webHidden/>
              </w:rPr>
              <w:instrText xml:space="preserve"> PAGEREF _Toc110000657 \h </w:instrText>
            </w:r>
            <w:r w:rsidR="00EE3F7A">
              <w:rPr>
                <w:noProof/>
                <w:webHidden/>
              </w:rPr>
            </w:r>
            <w:r w:rsidR="00EE3F7A">
              <w:rPr>
                <w:noProof/>
                <w:webHidden/>
              </w:rPr>
              <w:fldChar w:fldCharType="separate"/>
            </w:r>
            <w:r w:rsidR="00EE3F7A">
              <w:rPr>
                <w:noProof/>
                <w:webHidden/>
              </w:rPr>
              <w:t>53</w:t>
            </w:r>
            <w:r w:rsidR="00EE3F7A">
              <w:rPr>
                <w:noProof/>
                <w:webHidden/>
              </w:rPr>
              <w:fldChar w:fldCharType="end"/>
            </w:r>
          </w:hyperlink>
        </w:p>
        <w:p w14:paraId="79DF4F36" w14:textId="1348378D" w:rsidR="00EE3F7A" w:rsidRDefault="003E7871">
          <w:pPr>
            <w:pStyle w:val="TOC2"/>
            <w:tabs>
              <w:tab w:val="right" w:leader="dot" w:pos="9350"/>
            </w:tabs>
            <w:rPr>
              <w:noProof/>
              <w:sz w:val="22"/>
              <w:szCs w:val="22"/>
            </w:rPr>
          </w:pPr>
          <w:hyperlink w:anchor="_Toc110000658" w:history="1">
            <w:r w:rsidR="00EE3F7A" w:rsidRPr="00B273F2">
              <w:rPr>
                <w:rStyle w:val="Hyperlink"/>
                <w:rFonts w:ascii="Arial" w:hAnsi="Arial" w:cs="Arial"/>
                <w:noProof/>
              </w:rPr>
              <w:t>DEFINITION OF TERMS</w:t>
            </w:r>
            <w:r w:rsidR="00EE3F7A">
              <w:rPr>
                <w:noProof/>
                <w:webHidden/>
              </w:rPr>
              <w:tab/>
            </w:r>
            <w:r w:rsidR="00EE3F7A">
              <w:rPr>
                <w:noProof/>
                <w:webHidden/>
              </w:rPr>
              <w:fldChar w:fldCharType="begin"/>
            </w:r>
            <w:r w:rsidR="00EE3F7A">
              <w:rPr>
                <w:noProof/>
                <w:webHidden/>
              </w:rPr>
              <w:instrText xml:space="preserve"> PAGEREF _Toc110000658 \h </w:instrText>
            </w:r>
            <w:r w:rsidR="00EE3F7A">
              <w:rPr>
                <w:noProof/>
                <w:webHidden/>
              </w:rPr>
            </w:r>
            <w:r w:rsidR="00EE3F7A">
              <w:rPr>
                <w:noProof/>
                <w:webHidden/>
              </w:rPr>
              <w:fldChar w:fldCharType="separate"/>
            </w:r>
            <w:r w:rsidR="00EE3F7A">
              <w:rPr>
                <w:noProof/>
                <w:webHidden/>
              </w:rPr>
              <w:t>54</w:t>
            </w:r>
            <w:r w:rsidR="00EE3F7A">
              <w:rPr>
                <w:noProof/>
                <w:webHidden/>
              </w:rPr>
              <w:fldChar w:fldCharType="end"/>
            </w:r>
          </w:hyperlink>
        </w:p>
        <w:p w14:paraId="06EEBA57" w14:textId="26A31700" w:rsidR="00EE3F7A" w:rsidRDefault="003E7871">
          <w:pPr>
            <w:pStyle w:val="TOC2"/>
            <w:tabs>
              <w:tab w:val="right" w:leader="dot" w:pos="9350"/>
            </w:tabs>
            <w:rPr>
              <w:noProof/>
              <w:sz w:val="22"/>
              <w:szCs w:val="22"/>
            </w:rPr>
          </w:pPr>
          <w:hyperlink w:anchor="_Toc110000659" w:history="1">
            <w:r w:rsidR="00EE3F7A" w:rsidRPr="00B273F2">
              <w:rPr>
                <w:rStyle w:val="Hyperlink"/>
                <w:rFonts w:ascii="Arial" w:hAnsi="Arial" w:cs="Arial"/>
                <w:noProof/>
              </w:rPr>
              <w:t>PROCEDURES</w:t>
            </w:r>
            <w:r w:rsidR="00EE3F7A">
              <w:rPr>
                <w:noProof/>
                <w:webHidden/>
              </w:rPr>
              <w:tab/>
            </w:r>
            <w:r w:rsidR="00EE3F7A">
              <w:rPr>
                <w:noProof/>
                <w:webHidden/>
              </w:rPr>
              <w:fldChar w:fldCharType="begin"/>
            </w:r>
            <w:r w:rsidR="00EE3F7A">
              <w:rPr>
                <w:noProof/>
                <w:webHidden/>
              </w:rPr>
              <w:instrText xml:space="preserve"> PAGEREF _Toc110000659 \h </w:instrText>
            </w:r>
            <w:r w:rsidR="00EE3F7A">
              <w:rPr>
                <w:noProof/>
                <w:webHidden/>
              </w:rPr>
            </w:r>
            <w:r w:rsidR="00EE3F7A">
              <w:rPr>
                <w:noProof/>
                <w:webHidden/>
              </w:rPr>
              <w:fldChar w:fldCharType="separate"/>
            </w:r>
            <w:r w:rsidR="00EE3F7A">
              <w:rPr>
                <w:noProof/>
                <w:webHidden/>
              </w:rPr>
              <w:t>55</w:t>
            </w:r>
            <w:r w:rsidR="00EE3F7A">
              <w:rPr>
                <w:noProof/>
                <w:webHidden/>
              </w:rPr>
              <w:fldChar w:fldCharType="end"/>
            </w:r>
          </w:hyperlink>
        </w:p>
        <w:p w14:paraId="0F6F487E" w14:textId="6A280F26" w:rsidR="00EE3F7A" w:rsidRDefault="003E7871">
          <w:pPr>
            <w:pStyle w:val="TOC2"/>
            <w:tabs>
              <w:tab w:val="right" w:leader="dot" w:pos="9350"/>
            </w:tabs>
            <w:rPr>
              <w:noProof/>
              <w:sz w:val="22"/>
              <w:szCs w:val="22"/>
            </w:rPr>
          </w:pPr>
          <w:hyperlink w:anchor="_Toc110000660" w:history="1">
            <w:r w:rsidR="00EE3F7A" w:rsidRPr="00B273F2">
              <w:rPr>
                <w:rStyle w:val="Hyperlink"/>
                <w:rFonts w:ascii="Arial" w:hAnsi="Arial" w:cs="Arial"/>
                <w:noProof/>
              </w:rPr>
              <w:t>ACCESS TO RECORDS</w:t>
            </w:r>
            <w:r w:rsidR="00EE3F7A">
              <w:rPr>
                <w:noProof/>
                <w:webHidden/>
              </w:rPr>
              <w:tab/>
            </w:r>
            <w:r w:rsidR="00EE3F7A">
              <w:rPr>
                <w:noProof/>
                <w:webHidden/>
              </w:rPr>
              <w:fldChar w:fldCharType="begin"/>
            </w:r>
            <w:r w:rsidR="00EE3F7A">
              <w:rPr>
                <w:noProof/>
                <w:webHidden/>
              </w:rPr>
              <w:instrText xml:space="preserve"> PAGEREF _Toc110000660 \h </w:instrText>
            </w:r>
            <w:r w:rsidR="00EE3F7A">
              <w:rPr>
                <w:noProof/>
                <w:webHidden/>
              </w:rPr>
            </w:r>
            <w:r w:rsidR="00EE3F7A">
              <w:rPr>
                <w:noProof/>
                <w:webHidden/>
              </w:rPr>
              <w:fldChar w:fldCharType="separate"/>
            </w:r>
            <w:r w:rsidR="00EE3F7A">
              <w:rPr>
                <w:noProof/>
                <w:webHidden/>
              </w:rPr>
              <w:t>56</w:t>
            </w:r>
            <w:r w:rsidR="00EE3F7A">
              <w:rPr>
                <w:noProof/>
                <w:webHidden/>
              </w:rPr>
              <w:fldChar w:fldCharType="end"/>
            </w:r>
          </w:hyperlink>
        </w:p>
        <w:p w14:paraId="3B3CB5AF" w14:textId="4FC18E6D" w:rsidR="00EE3F7A" w:rsidRDefault="003E7871">
          <w:pPr>
            <w:pStyle w:val="TOC1"/>
            <w:tabs>
              <w:tab w:val="right" w:leader="dot" w:pos="9350"/>
            </w:tabs>
            <w:rPr>
              <w:noProof/>
              <w:sz w:val="22"/>
              <w:szCs w:val="22"/>
            </w:rPr>
          </w:pPr>
          <w:hyperlink w:anchor="_Toc110000661" w:history="1">
            <w:r w:rsidR="00EE3F7A" w:rsidRPr="00B273F2">
              <w:rPr>
                <w:rStyle w:val="Hyperlink"/>
                <w:rFonts w:asciiTheme="minorBidi" w:eastAsia="Calibri" w:hAnsiTheme="minorBidi"/>
                <w:noProof/>
              </w:rPr>
              <w:t>APPENDIX A ORGANIZATIONAL POLICY REQUIRMENT SUMMARY AND CHECKLIST</w:t>
            </w:r>
            <w:r w:rsidR="00EE3F7A">
              <w:rPr>
                <w:noProof/>
                <w:webHidden/>
              </w:rPr>
              <w:tab/>
            </w:r>
            <w:r w:rsidR="00EE3F7A">
              <w:rPr>
                <w:noProof/>
                <w:webHidden/>
              </w:rPr>
              <w:fldChar w:fldCharType="begin"/>
            </w:r>
            <w:r w:rsidR="00EE3F7A">
              <w:rPr>
                <w:noProof/>
                <w:webHidden/>
              </w:rPr>
              <w:instrText xml:space="preserve"> PAGEREF _Toc110000661 \h </w:instrText>
            </w:r>
            <w:r w:rsidR="00EE3F7A">
              <w:rPr>
                <w:noProof/>
                <w:webHidden/>
              </w:rPr>
            </w:r>
            <w:r w:rsidR="00EE3F7A">
              <w:rPr>
                <w:noProof/>
                <w:webHidden/>
              </w:rPr>
              <w:fldChar w:fldCharType="separate"/>
            </w:r>
            <w:r w:rsidR="00EE3F7A">
              <w:rPr>
                <w:noProof/>
                <w:webHidden/>
              </w:rPr>
              <w:t>57</w:t>
            </w:r>
            <w:r w:rsidR="00EE3F7A">
              <w:rPr>
                <w:noProof/>
                <w:webHidden/>
              </w:rPr>
              <w:fldChar w:fldCharType="end"/>
            </w:r>
          </w:hyperlink>
        </w:p>
        <w:p w14:paraId="2312BEFC" w14:textId="2D38FD62" w:rsidR="00EE3F7A" w:rsidRDefault="003E7871">
          <w:pPr>
            <w:pStyle w:val="TOC1"/>
            <w:tabs>
              <w:tab w:val="right" w:leader="dot" w:pos="9350"/>
            </w:tabs>
            <w:rPr>
              <w:noProof/>
              <w:sz w:val="22"/>
              <w:szCs w:val="22"/>
            </w:rPr>
          </w:pPr>
          <w:hyperlink w:anchor="_Toc110000662" w:history="1">
            <w:r w:rsidR="00EE3F7A" w:rsidRPr="00B273F2">
              <w:rPr>
                <w:rStyle w:val="Hyperlink"/>
                <w:rFonts w:asciiTheme="minorBidi" w:hAnsiTheme="minorBidi"/>
                <w:noProof/>
              </w:rPr>
              <w:t>APPENDIX B FILLABLE FORMS LIST</w:t>
            </w:r>
            <w:r w:rsidR="00EE3F7A">
              <w:rPr>
                <w:noProof/>
                <w:webHidden/>
              </w:rPr>
              <w:tab/>
            </w:r>
            <w:r w:rsidR="00EE3F7A">
              <w:rPr>
                <w:noProof/>
                <w:webHidden/>
              </w:rPr>
              <w:fldChar w:fldCharType="begin"/>
            </w:r>
            <w:r w:rsidR="00EE3F7A">
              <w:rPr>
                <w:noProof/>
                <w:webHidden/>
              </w:rPr>
              <w:instrText xml:space="preserve"> PAGEREF _Toc110000662 \h </w:instrText>
            </w:r>
            <w:r w:rsidR="00EE3F7A">
              <w:rPr>
                <w:noProof/>
                <w:webHidden/>
              </w:rPr>
            </w:r>
            <w:r w:rsidR="00EE3F7A">
              <w:rPr>
                <w:noProof/>
                <w:webHidden/>
              </w:rPr>
              <w:fldChar w:fldCharType="separate"/>
            </w:r>
            <w:r w:rsidR="00EE3F7A">
              <w:rPr>
                <w:noProof/>
                <w:webHidden/>
              </w:rPr>
              <w:t>60</w:t>
            </w:r>
            <w:r w:rsidR="00EE3F7A">
              <w:rPr>
                <w:noProof/>
                <w:webHidden/>
              </w:rPr>
              <w:fldChar w:fldCharType="end"/>
            </w:r>
          </w:hyperlink>
        </w:p>
        <w:p w14:paraId="661C15A5" w14:textId="21359D2B" w:rsidR="00B50F93" w:rsidRPr="00B315DD" w:rsidRDefault="00B50F93">
          <w:pPr>
            <w:rPr>
              <w:sz w:val="40"/>
              <w:szCs w:val="40"/>
            </w:rPr>
          </w:pPr>
          <w:r w:rsidRPr="00B315DD">
            <w:rPr>
              <w:b/>
              <w:bCs/>
              <w:noProof/>
              <w:sz w:val="40"/>
              <w:szCs w:val="40"/>
            </w:rPr>
            <w:fldChar w:fldCharType="end"/>
          </w:r>
        </w:p>
      </w:sdtContent>
    </w:sdt>
    <w:p w14:paraId="217248D3" w14:textId="31051D10" w:rsidR="00E744ED" w:rsidRDefault="00B50F93" w:rsidP="00E744ED">
      <w:r>
        <w:br w:type="page"/>
      </w:r>
    </w:p>
    <w:p w14:paraId="38609A33" w14:textId="72EF5489" w:rsidR="00341E87" w:rsidRPr="00584180" w:rsidRDefault="00D47533" w:rsidP="00934072">
      <w:pPr>
        <w:pStyle w:val="Style1"/>
        <w:rPr>
          <w:rFonts w:asciiTheme="minorBidi" w:hAnsiTheme="minorBidi"/>
        </w:rPr>
      </w:pPr>
      <w:bookmarkStart w:id="0" w:name="_Toc110000628"/>
      <w:r w:rsidRPr="00584180">
        <w:rPr>
          <w:rFonts w:asciiTheme="minorBidi" w:hAnsiTheme="minorBidi"/>
          <w:caps w:val="0"/>
        </w:rPr>
        <w:lastRenderedPageBreak/>
        <w:t>INTRODUCTION</w:t>
      </w:r>
      <w:bookmarkEnd w:id="0"/>
      <w:r w:rsidRPr="00584180">
        <w:rPr>
          <w:rFonts w:asciiTheme="minorBidi" w:hAnsiTheme="minorBidi"/>
          <w:caps w:val="0"/>
        </w:rPr>
        <w:t xml:space="preserve"> </w:t>
      </w:r>
    </w:p>
    <w:p w14:paraId="6D085E4E" w14:textId="01518EEA" w:rsidR="00341E87" w:rsidRPr="004E5FB2" w:rsidRDefault="00923CA6" w:rsidP="004E5FB2">
      <w:pPr>
        <w:pStyle w:val="Default"/>
        <w:spacing w:line="300" w:lineRule="auto"/>
        <w:contextualSpacing/>
        <w:rPr>
          <w:rFonts w:asciiTheme="minorBidi" w:hAnsiTheme="minorBidi" w:cstheme="minorBidi"/>
          <w:sz w:val="22"/>
          <w:szCs w:val="22"/>
        </w:rPr>
      </w:pPr>
      <w:r>
        <w:rPr>
          <w:rFonts w:asciiTheme="minorBidi" w:hAnsiTheme="minorBidi" w:cstheme="minorBidi"/>
          <w:sz w:val="22"/>
          <w:szCs w:val="22"/>
        </w:rPr>
        <w:t>The Executive Office of Housing and Livable Communities (EOHLC)</w:t>
      </w:r>
      <w:r w:rsidR="00F550EF" w:rsidRPr="004E5FB2">
        <w:rPr>
          <w:rFonts w:asciiTheme="minorBidi" w:hAnsiTheme="minorBidi" w:cstheme="minorBidi"/>
          <w:sz w:val="22"/>
          <w:szCs w:val="22"/>
        </w:rPr>
        <w:t xml:space="preserve">, the ESG recipient for the </w:t>
      </w:r>
      <w:r w:rsidR="005B26A9">
        <w:rPr>
          <w:rFonts w:asciiTheme="minorBidi" w:hAnsiTheme="minorBidi" w:cstheme="minorBidi"/>
          <w:sz w:val="22"/>
          <w:szCs w:val="22"/>
        </w:rPr>
        <w:t>C</w:t>
      </w:r>
      <w:r w:rsidR="008A46FB" w:rsidRPr="004E5FB2">
        <w:rPr>
          <w:rFonts w:asciiTheme="minorBidi" w:hAnsiTheme="minorBidi" w:cstheme="minorBidi"/>
          <w:sz w:val="22"/>
          <w:szCs w:val="22"/>
        </w:rPr>
        <w:t>ommonwealth</w:t>
      </w:r>
      <w:r w:rsidR="00F550EF" w:rsidRPr="004E5FB2">
        <w:rPr>
          <w:rFonts w:asciiTheme="minorBidi" w:hAnsiTheme="minorBidi" w:cstheme="minorBidi"/>
          <w:sz w:val="22"/>
          <w:szCs w:val="22"/>
        </w:rPr>
        <w:t xml:space="preserve"> of Massachusetts, along with the Massachusetts Balance of State CoC, </w:t>
      </w:r>
      <w:r w:rsidR="00341E87" w:rsidRPr="004E5FB2">
        <w:rPr>
          <w:rFonts w:asciiTheme="minorBidi" w:hAnsiTheme="minorBidi" w:cstheme="minorBidi"/>
          <w:sz w:val="22"/>
          <w:szCs w:val="22"/>
        </w:rPr>
        <w:t xml:space="preserve">have developed the following written standards, which are applicable to all </w:t>
      </w:r>
      <w:r w:rsidR="00197473">
        <w:rPr>
          <w:rFonts w:asciiTheme="minorBidi" w:hAnsiTheme="minorBidi" w:cstheme="minorBidi"/>
          <w:sz w:val="22"/>
          <w:szCs w:val="22"/>
        </w:rPr>
        <w:t>r</w:t>
      </w:r>
      <w:r w:rsidR="00171CE4">
        <w:rPr>
          <w:rFonts w:asciiTheme="minorBidi" w:hAnsiTheme="minorBidi" w:cstheme="minorBidi"/>
          <w:sz w:val="22"/>
          <w:szCs w:val="22"/>
        </w:rPr>
        <w:t xml:space="preserve">apid </w:t>
      </w:r>
      <w:r w:rsidR="00197473">
        <w:rPr>
          <w:rFonts w:asciiTheme="minorBidi" w:hAnsiTheme="minorBidi" w:cstheme="minorBidi"/>
          <w:sz w:val="22"/>
          <w:szCs w:val="22"/>
        </w:rPr>
        <w:t>r</w:t>
      </w:r>
      <w:r w:rsidR="00171CE4">
        <w:rPr>
          <w:rFonts w:asciiTheme="minorBidi" w:hAnsiTheme="minorBidi" w:cstheme="minorBidi"/>
          <w:sz w:val="22"/>
          <w:szCs w:val="22"/>
        </w:rPr>
        <w:t>e-</w:t>
      </w:r>
      <w:r w:rsidR="00197473">
        <w:rPr>
          <w:rFonts w:asciiTheme="minorBidi" w:hAnsiTheme="minorBidi" w:cstheme="minorBidi"/>
          <w:sz w:val="22"/>
          <w:szCs w:val="22"/>
        </w:rPr>
        <w:t>h</w:t>
      </w:r>
      <w:r w:rsidR="00171CE4">
        <w:rPr>
          <w:rFonts w:asciiTheme="minorBidi" w:hAnsiTheme="minorBidi" w:cstheme="minorBidi"/>
          <w:sz w:val="22"/>
          <w:szCs w:val="22"/>
        </w:rPr>
        <w:t>ousing</w:t>
      </w:r>
      <w:r w:rsidR="00341E87" w:rsidRPr="004E5FB2">
        <w:rPr>
          <w:rFonts w:asciiTheme="minorBidi" w:hAnsiTheme="minorBidi" w:cstheme="minorBidi"/>
          <w:sz w:val="22"/>
          <w:szCs w:val="22"/>
        </w:rPr>
        <w:t xml:space="preserve"> projects that receive Continuum of Care (CoC)</w:t>
      </w:r>
      <w:r w:rsidR="008A46FB" w:rsidRPr="004E5FB2">
        <w:rPr>
          <w:rFonts w:asciiTheme="minorBidi" w:hAnsiTheme="minorBidi" w:cstheme="minorBidi"/>
          <w:sz w:val="22"/>
          <w:szCs w:val="22"/>
        </w:rPr>
        <w:t xml:space="preserve"> </w:t>
      </w:r>
      <w:r w:rsidR="00E01973">
        <w:rPr>
          <w:rFonts w:asciiTheme="minorBidi" w:hAnsiTheme="minorBidi" w:cstheme="minorBidi"/>
          <w:sz w:val="22"/>
          <w:szCs w:val="22"/>
        </w:rPr>
        <w:t>or</w:t>
      </w:r>
      <w:r w:rsidR="008A46FB" w:rsidRPr="004E5FB2">
        <w:rPr>
          <w:rFonts w:asciiTheme="minorBidi" w:hAnsiTheme="minorBidi" w:cstheme="minorBidi"/>
          <w:sz w:val="22"/>
          <w:szCs w:val="22"/>
        </w:rPr>
        <w:t xml:space="preserve"> </w:t>
      </w:r>
      <w:r w:rsidR="00341E87" w:rsidRPr="004E5FB2">
        <w:rPr>
          <w:rFonts w:asciiTheme="minorBidi" w:hAnsiTheme="minorBidi" w:cstheme="minorBidi"/>
          <w:sz w:val="22"/>
          <w:szCs w:val="22"/>
        </w:rPr>
        <w:t>Emergency Solutions Grant (ESG)</w:t>
      </w:r>
      <w:r w:rsidR="00AF75DB">
        <w:rPr>
          <w:rFonts w:asciiTheme="minorBidi" w:hAnsiTheme="minorBidi" w:cstheme="minorBidi"/>
          <w:sz w:val="22"/>
          <w:szCs w:val="22"/>
        </w:rPr>
        <w:t xml:space="preserve"> funds</w:t>
      </w:r>
      <w:r w:rsidR="00341E87" w:rsidRPr="004E5FB2">
        <w:rPr>
          <w:rFonts w:asciiTheme="minorBidi" w:hAnsiTheme="minorBidi" w:cstheme="minorBidi"/>
          <w:sz w:val="22"/>
          <w:szCs w:val="22"/>
        </w:rPr>
        <w:t xml:space="preserve">, </w:t>
      </w:r>
      <w:r w:rsidR="00171CE4">
        <w:rPr>
          <w:rFonts w:asciiTheme="minorBidi" w:hAnsiTheme="minorBidi" w:cstheme="minorBidi"/>
          <w:sz w:val="22"/>
          <w:szCs w:val="22"/>
        </w:rPr>
        <w:t xml:space="preserve">as well as </w:t>
      </w:r>
      <w:r w:rsidR="00E56996">
        <w:rPr>
          <w:rFonts w:asciiTheme="minorBidi" w:hAnsiTheme="minorBidi" w:cstheme="minorBidi"/>
          <w:sz w:val="22"/>
          <w:szCs w:val="22"/>
        </w:rPr>
        <w:t xml:space="preserve">other </w:t>
      </w:r>
      <w:r>
        <w:rPr>
          <w:rFonts w:asciiTheme="minorBidi" w:hAnsiTheme="minorBidi" w:cstheme="minorBidi"/>
          <w:sz w:val="22"/>
          <w:szCs w:val="22"/>
        </w:rPr>
        <w:t>EOHLC</w:t>
      </w:r>
      <w:r w:rsidR="00B050A2">
        <w:rPr>
          <w:rFonts w:asciiTheme="minorBidi" w:hAnsiTheme="minorBidi" w:cstheme="minorBidi"/>
          <w:sz w:val="22"/>
          <w:szCs w:val="22"/>
        </w:rPr>
        <w:t xml:space="preserve"> ESG</w:t>
      </w:r>
      <w:r w:rsidR="002A1585">
        <w:rPr>
          <w:rFonts w:asciiTheme="minorBidi" w:hAnsiTheme="minorBidi" w:cstheme="minorBidi"/>
          <w:sz w:val="22"/>
          <w:szCs w:val="22"/>
        </w:rPr>
        <w:t>-</w:t>
      </w:r>
      <w:r w:rsidR="00171CE4">
        <w:rPr>
          <w:rFonts w:asciiTheme="minorBidi" w:hAnsiTheme="minorBidi" w:cstheme="minorBidi"/>
          <w:sz w:val="22"/>
          <w:szCs w:val="22"/>
        </w:rPr>
        <w:t>funded programs</w:t>
      </w:r>
      <w:r w:rsidR="00341E87" w:rsidRPr="004E5FB2">
        <w:rPr>
          <w:rFonts w:asciiTheme="minorBidi" w:hAnsiTheme="minorBidi" w:cstheme="minorBidi"/>
          <w:sz w:val="22"/>
          <w:szCs w:val="22"/>
        </w:rPr>
        <w:t>. These written standards are intended to set basic, minimum requirements</w:t>
      </w:r>
      <w:r w:rsidR="006F507E" w:rsidRPr="004E5FB2">
        <w:rPr>
          <w:rFonts w:asciiTheme="minorBidi" w:hAnsiTheme="minorBidi" w:cstheme="minorBidi"/>
          <w:sz w:val="22"/>
          <w:szCs w:val="22"/>
        </w:rPr>
        <w:t xml:space="preserve">. </w:t>
      </w:r>
      <w:r w:rsidR="00744264">
        <w:rPr>
          <w:rFonts w:asciiTheme="minorBidi" w:hAnsiTheme="minorBidi" w:cstheme="minorBidi"/>
          <w:sz w:val="22"/>
          <w:szCs w:val="22"/>
        </w:rPr>
        <w:t>Providers</w:t>
      </w:r>
      <w:r w:rsidR="00341E87" w:rsidRPr="004E5FB2">
        <w:rPr>
          <w:rFonts w:asciiTheme="minorBidi" w:hAnsiTheme="minorBidi" w:cstheme="minorBidi"/>
          <w:sz w:val="22"/>
          <w:szCs w:val="22"/>
        </w:rPr>
        <w:t xml:space="preserve"> are permitted to build upon these expectations and establish more </w:t>
      </w:r>
      <w:r w:rsidR="00197473">
        <w:rPr>
          <w:rFonts w:asciiTheme="minorBidi" w:hAnsiTheme="minorBidi" w:cstheme="minorBidi"/>
          <w:sz w:val="22"/>
          <w:szCs w:val="22"/>
        </w:rPr>
        <w:t>specific</w:t>
      </w:r>
      <w:r w:rsidR="00341E87" w:rsidRPr="004E5FB2">
        <w:rPr>
          <w:rFonts w:asciiTheme="minorBidi" w:hAnsiTheme="minorBidi" w:cstheme="minorBidi"/>
          <w:sz w:val="22"/>
          <w:szCs w:val="22"/>
        </w:rPr>
        <w:t xml:space="preserve"> standards applicable to their own projects,</w:t>
      </w:r>
      <w:r w:rsidR="00197473">
        <w:rPr>
          <w:rFonts w:asciiTheme="minorBidi" w:hAnsiTheme="minorBidi" w:cstheme="minorBidi"/>
          <w:sz w:val="22"/>
          <w:szCs w:val="22"/>
        </w:rPr>
        <w:t xml:space="preserve"> so long as those standards are informed by equity and maintain a Housing First philosophy</w:t>
      </w:r>
      <w:r w:rsidR="00341E87" w:rsidRPr="004E5FB2">
        <w:rPr>
          <w:rFonts w:asciiTheme="minorBidi" w:hAnsiTheme="minorBidi" w:cstheme="minorBidi"/>
          <w:sz w:val="22"/>
          <w:szCs w:val="22"/>
        </w:rPr>
        <w:t>.</w:t>
      </w:r>
      <w:r w:rsidR="00197473">
        <w:rPr>
          <w:rFonts w:asciiTheme="minorBidi" w:hAnsiTheme="minorBidi" w:cstheme="minorBidi"/>
          <w:sz w:val="22"/>
          <w:szCs w:val="22"/>
        </w:rPr>
        <w:t xml:space="preserve"> </w:t>
      </w:r>
      <w:r w:rsidR="00341E87" w:rsidRPr="004E5FB2">
        <w:rPr>
          <w:rFonts w:asciiTheme="minorBidi" w:hAnsiTheme="minorBidi" w:cstheme="minorBidi"/>
          <w:sz w:val="22"/>
          <w:szCs w:val="22"/>
        </w:rPr>
        <w:t xml:space="preserve">Projects remain bound by the terms of the programs under which they are funded and nothing in these standards should be construed to relieve projects of this responsibility. In addition, all </w:t>
      </w:r>
      <w:r w:rsidR="00197473">
        <w:rPr>
          <w:rFonts w:asciiTheme="minorBidi" w:hAnsiTheme="minorBidi" w:cstheme="minorBidi"/>
          <w:sz w:val="22"/>
          <w:szCs w:val="22"/>
        </w:rPr>
        <w:t xml:space="preserve">rapid re-housing </w:t>
      </w:r>
      <w:r w:rsidR="00341E87" w:rsidRPr="004E5FB2">
        <w:rPr>
          <w:rFonts w:asciiTheme="minorBidi" w:hAnsiTheme="minorBidi" w:cstheme="minorBidi"/>
          <w:sz w:val="22"/>
          <w:szCs w:val="22"/>
        </w:rPr>
        <w:t xml:space="preserve">projects must comply with the applicable Notice of Funding Availability (NOFA) under which the project was originally awarded. </w:t>
      </w:r>
    </w:p>
    <w:p w14:paraId="7516D6FC" w14:textId="7ED1734E" w:rsidR="007900F0" w:rsidRPr="004E5FB2" w:rsidRDefault="00341E87" w:rsidP="004E5FB2">
      <w:pPr>
        <w:spacing w:line="300" w:lineRule="auto"/>
        <w:contextualSpacing/>
        <w:rPr>
          <w:rFonts w:asciiTheme="minorBidi" w:hAnsiTheme="minorBidi"/>
          <w:sz w:val="22"/>
          <w:szCs w:val="22"/>
        </w:rPr>
      </w:pPr>
      <w:r w:rsidRPr="004E5FB2">
        <w:rPr>
          <w:rFonts w:asciiTheme="minorBidi" w:hAnsiTheme="minorBidi"/>
          <w:sz w:val="22"/>
          <w:szCs w:val="22"/>
        </w:rPr>
        <w:t xml:space="preserve">The goal of these standards is to synthesize key regulatory elements with the processes and priorities of </w:t>
      </w:r>
      <w:r w:rsidR="00923CA6">
        <w:rPr>
          <w:rFonts w:asciiTheme="minorBidi" w:hAnsiTheme="minorBidi"/>
          <w:sz w:val="22"/>
          <w:szCs w:val="22"/>
        </w:rPr>
        <w:t>EOHLC</w:t>
      </w:r>
      <w:r w:rsidRPr="004E5FB2">
        <w:rPr>
          <w:rFonts w:asciiTheme="minorBidi" w:hAnsiTheme="minorBidi"/>
          <w:sz w:val="22"/>
          <w:szCs w:val="22"/>
        </w:rPr>
        <w:t xml:space="preserve"> and to ensure that </w:t>
      </w:r>
      <w:r w:rsidR="00197473">
        <w:rPr>
          <w:rFonts w:asciiTheme="minorBidi" w:hAnsiTheme="minorBidi"/>
          <w:sz w:val="22"/>
          <w:szCs w:val="22"/>
        </w:rPr>
        <w:t>rapid re-housing</w:t>
      </w:r>
      <w:r w:rsidR="00197473" w:rsidRPr="004E5FB2">
        <w:rPr>
          <w:rFonts w:asciiTheme="minorBidi" w:hAnsiTheme="minorBidi"/>
          <w:sz w:val="22"/>
          <w:szCs w:val="22"/>
        </w:rPr>
        <w:t xml:space="preserve"> </w:t>
      </w:r>
      <w:r w:rsidR="008A46FB" w:rsidRPr="004E5FB2">
        <w:rPr>
          <w:rFonts w:asciiTheme="minorBidi" w:hAnsiTheme="minorBidi"/>
          <w:sz w:val="22"/>
          <w:szCs w:val="22"/>
        </w:rPr>
        <w:t xml:space="preserve">and </w:t>
      </w:r>
      <w:r w:rsidR="00197473">
        <w:rPr>
          <w:rFonts w:asciiTheme="minorBidi" w:hAnsiTheme="minorBidi"/>
          <w:sz w:val="22"/>
          <w:szCs w:val="22"/>
        </w:rPr>
        <w:t>homelessness prevention</w:t>
      </w:r>
      <w:r w:rsidR="00197473" w:rsidRPr="004E5FB2">
        <w:rPr>
          <w:rFonts w:asciiTheme="minorBidi" w:hAnsiTheme="minorBidi"/>
          <w:sz w:val="22"/>
          <w:szCs w:val="22"/>
        </w:rPr>
        <w:t xml:space="preserve"> </w:t>
      </w:r>
      <w:r w:rsidRPr="004E5FB2">
        <w:rPr>
          <w:rFonts w:asciiTheme="minorBidi" w:hAnsiTheme="minorBidi"/>
          <w:sz w:val="22"/>
          <w:szCs w:val="22"/>
        </w:rPr>
        <w:t xml:space="preserve">projects are administered fairly and methodically. Note that </w:t>
      </w:r>
      <w:r w:rsidR="00197473">
        <w:rPr>
          <w:rFonts w:asciiTheme="minorBidi" w:hAnsiTheme="minorBidi"/>
          <w:sz w:val="22"/>
          <w:szCs w:val="22"/>
        </w:rPr>
        <w:t>rapid re-housing</w:t>
      </w:r>
      <w:r w:rsidRPr="004E5FB2">
        <w:rPr>
          <w:rFonts w:asciiTheme="minorBidi" w:hAnsiTheme="minorBidi"/>
          <w:sz w:val="22"/>
          <w:szCs w:val="22"/>
        </w:rPr>
        <w:t xml:space="preserve"> programs are subject to differing requirements, depending upon the funding source of the program, and this document</w:t>
      </w:r>
      <w:r w:rsidR="00805C13">
        <w:rPr>
          <w:rFonts w:asciiTheme="minorBidi" w:hAnsiTheme="minorBidi"/>
          <w:sz w:val="22"/>
          <w:szCs w:val="22"/>
        </w:rPr>
        <w:t xml:space="preserve"> points out the details of these programmatic</w:t>
      </w:r>
      <w:r w:rsidRPr="004E5FB2">
        <w:rPr>
          <w:rFonts w:asciiTheme="minorBidi" w:hAnsiTheme="minorBidi"/>
          <w:sz w:val="22"/>
          <w:szCs w:val="22"/>
        </w:rPr>
        <w:t xml:space="preserve"> differences. </w:t>
      </w:r>
      <w:r w:rsidR="00923CA6">
        <w:rPr>
          <w:rFonts w:asciiTheme="minorBidi" w:hAnsiTheme="minorBidi"/>
          <w:sz w:val="22"/>
          <w:szCs w:val="22"/>
        </w:rPr>
        <w:t>EOHLC</w:t>
      </w:r>
      <w:r w:rsidR="008A46FB" w:rsidRPr="004E5FB2">
        <w:rPr>
          <w:rFonts w:asciiTheme="minorBidi" w:hAnsiTheme="minorBidi"/>
          <w:sz w:val="22"/>
          <w:szCs w:val="22"/>
        </w:rPr>
        <w:t xml:space="preserve"> </w:t>
      </w:r>
      <w:r w:rsidRPr="004E5FB2">
        <w:rPr>
          <w:rFonts w:asciiTheme="minorBidi" w:hAnsiTheme="minorBidi"/>
          <w:sz w:val="22"/>
          <w:szCs w:val="22"/>
        </w:rPr>
        <w:t>will continue to build upon and refine this documen</w:t>
      </w:r>
      <w:r w:rsidR="008A46FB" w:rsidRPr="004E5FB2">
        <w:rPr>
          <w:rFonts w:asciiTheme="minorBidi" w:hAnsiTheme="minorBidi"/>
          <w:sz w:val="22"/>
          <w:szCs w:val="22"/>
        </w:rPr>
        <w:t xml:space="preserve">t through regular, publicly released updates. </w:t>
      </w:r>
    </w:p>
    <w:p w14:paraId="08427D1B" w14:textId="77777777" w:rsidR="00171CE4" w:rsidRDefault="00171CE4" w:rsidP="004E5FB2">
      <w:pPr>
        <w:spacing w:line="300" w:lineRule="auto"/>
        <w:contextualSpacing/>
        <w:rPr>
          <w:rFonts w:asciiTheme="minorBidi" w:hAnsiTheme="minorBidi"/>
          <w:sz w:val="22"/>
          <w:szCs w:val="22"/>
        </w:rPr>
      </w:pPr>
    </w:p>
    <w:p w14:paraId="1B302AE2" w14:textId="015AFB7F" w:rsidR="00DD7225" w:rsidRDefault="008362FA" w:rsidP="004E5FB2">
      <w:pPr>
        <w:spacing w:line="300" w:lineRule="auto"/>
        <w:contextualSpacing/>
        <w:rPr>
          <w:rFonts w:asciiTheme="minorBidi" w:hAnsiTheme="minorBidi"/>
          <w:sz w:val="22"/>
          <w:szCs w:val="22"/>
        </w:rPr>
      </w:pPr>
      <w:r w:rsidRPr="004E5FB2">
        <w:rPr>
          <w:rFonts w:asciiTheme="minorBidi" w:hAnsiTheme="minorBidi"/>
          <w:sz w:val="22"/>
          <w:szCs w:val="22"/>
        </w:rPr>
        <w:t xml:space="preserve">The additional funding award provided through ESG-CV, as well as </w:t>
      </w:r>
      <w:hyperlink r:id="rId9" w:history="1">
        <w:r w:rsidRPr="00BA40DF">
          <w:rPr>
            <w:rStyle w:val="Hyperlink"/>
            <w:rFonts w:asciiTheme="minorBidi" w:hAnsiTheme="minorBidi"/>
            <w:sz w:val="22"/>
            <w:szCs w:val="22"/>
          </w:rPr>
          <w:t>HUD waivers</w:t>
        </w:r>
      </w:hyperlink>
      <w:r w:rsidRPr="004E5FB2">
        <w:rPr>
          <w:rFonts w:asciiTheme="minorBidi" w:hAnsiTheme="minorBidi"/>
          <w:sz w:val="22"/>
          <w:szCs w:val="22"/>
        </w:rPr>
        <w:t xml:space="preserve"> granted to address the challenges of C</w:t>
      </w:r>
      <w:r w:rsidR="00805C13">
        <w:rPr>
          <w:rFonts w:asciiTheme="minorBidi" w:hAnsiTheme="minorBidi"/>
          <w:sz w:val="22"/>
          <w:szCs w:val="22"/>
        </w:rPr>
        <w:t>OVID</w:t>
      </w:r>
      <w:r w:rsidRPr="004E5FB2">
        <w:rPr>
          <w:rFonts w:asciiTheme="minorBidi" w:hAnsiTheme="minorBidi"/>
          <w:sz w:val="22"/>
          <w:szCs w:val="22"/>
        </w:rPr>
        <w:t xml:space="preserve">-19, add some additional nuances to activities, program operation, and documentation. These differences are called out in the document when </w:t>
      </w:r>
      <w:r w:rsidR="00171CE4">
        <w:rPr>
          <w:rFonts w:asciiTheme="minorBidi" w:hAnsiTheme="minorBidi"/>
          <w:sz w:val="22"/>
          <w:szCs w:val="22"/>
        </w:rPr>
        <w:t>pertinent</w:t>
      </w:r>
      <w:r w:rsidRPr="004E5FB2">
        <w:rPr>
          <w:rFonts w:asciiTheme="minorBidi" w:hAnsiTheme="minorBidi"/>
          <w:sz w:val="22"/>
          <w:szCs w:val="22"/>
        </w:rPr>
        <w:t>.</w:t>
      </w:r>
    </w:p>
    <w:p w14:paraId="768979F7" w14:textId="77777777" w:rsidR="00C0024F" w:rsidRDefault="00C0024F" w:rsidP="00226ED0">
      <w:pPr>
        <w:rPr>
          <w:rFonts w:asciiTheme="minorBidi" w:hAnsiTheme="minorBidi"/>
          <w:sz w:val="22"/>
          <w:szCs w:val="22"/>
        </w:rPr>
      </w:pPr>
    </w:p>
    <w:p w14:paraId="0F9C9874" w14:textId="1D8866FC" w:rsidR="001115D6" w:rsidRPr="002D365A" w:rsidRDefault="00226ED0" w:rsidP="002D365A">
      <w:r>
        <w:rPr>
          <w:rFonts w:asciiTheme="minorBidi" w:hAnsiTheme="minorBidi"/>
          <w:sz w:val="22"/>
          <w:szCs w:val="22"/>
        </w:rPr>
        <w:t xml:space="preserve">For more information on the ESG-CV waivers and flexibilities, see </w:t>
      </w:r>
      <w:hyperlink r:id="rId10" w:history="1">
        <w:r w:rsidR="00C0024F" w:rsidRPr="00C0024F">
          <w:rPr>
            <w:rStyle w:val="Hyperlink"/>
            <w:rFonts w:asciiTheme="minorBidi" w:hAnsiTheme="minorBidi"/>
            <w:sz w:val="22"/>
            <w:szCs w:val="22"/>
          </w:rPr>
          <w:t xml:space="preserve"> ESG-CV Notice CPD-22-06</w:t>
        </w:r>
      </w:hyperlink>
      <w:r w:rsidR="00BA40DF">
        <w:rPr>
          <w:rFonts w:asciiTheme="minorBidi" w:hAnsiTheme="minorBidi"/>
          <w:sz w:val="22"/>
          <w:szCs w:val="22"/>
        </w:rPr>
        <w:t xml:space="preserve">. If you have additional questions about the applicability of the </w:t>
      </w:r>
      <w:r w:rsidR="002D365A">
        <w:rPr>
          <w:rFonts w:asciiTheme="minorBidi" w:hAnsiTheme="minorBidi"/>
          <w:sz w:val="22"/>
          <w:szCs w:val="22"/>
        </w:rPr>
        <w:t>waivers</w:t>
      </w:r>
      <w:r w:rsidR="00BA40DF">
        <w:rPr>
          <w:rFonts w:asciiTheme="minorBidi" w:hAnsiTheme="minorBidi"/>
          <w:sz w:val="22"/>
          <w:szCs w:val="22"/>
        </w:rPr>
        <w:t xml:space="preserve"> or </w:t>
      </w:r>
      <w:r w:rsidR="002D365A">
        <w:rPr>
          <w:rFonts w:asciiTheme="minorBidi" w:hAnsiTheme="minorBidi"/>
          <w:sz w:val="22"/>
          <w:szCs w:val="22"/>
        </w:rPr>
        <w:t>flexibilities for ESG-</w:t>
      </w:r>
      <w:proofErr w:type="gramStart"/>
      <w:r w:rsidR="002D365A">
        <w:rPr>
          <w:rFonts w:asciiTheme="minorBidi" w:hAnsiTheme="minorBidi"/>
          <w:sz w:val="22"/>
          <w:szCs w:val="22"/>
        </w:rPr>
        <w:t>CV</w:t>
      </w:r>
      <w:proofErr w:type="gramEnd"/>
      <w:r w:rsidR="002D365A">
        <w:rPr>
          <w:rFonts w:asciiTheme="minorBidi" w:hAnsiTheme="minorBidi"/>
          <w:sz w:val="22"/>
          <w:szCs w:val="22"/>
        </w:rPr>
        <w:t xml:space="preserve"> please contact your designated contact at </w:t>
      </w:r>
      <w:r w:rsidR="00923CA6">
        <w:rPr>
          <w:rFonts w:asciiTheme="minorBidi" w:hAnsiTheme="minorBidi"/>
          <w:sz w:val="22"/>
          <w:szCs w:val="22"/>
        </w:rPr>
        <w:t>EOHLC</w:t>
      </w:r>
      <w:r w:rsidR="002D365A">
        <w:rPr>
          <w:rFonts w:asciiTheme="minorBidi" w:hAnsiTheme="minorBidi"/>
          <w:sz w:val="22"/>
          <w:szCs w:val="22"/>
        </w:rPr>
        <w:t>.</w:t>
      </w:r>
    </w:p>
    <w:p w14:paraId="6908F292" w14:textId="0A73E68C" w:rsidR="00E97D63" w:rsidRPr="00D47533" w:rsidRDefault="00D47533" w:rsidP="00DD7225">
      <w:pPr>
        <w:pStyle w:val="Heading3"/>
        <w:rPr>
          <w:rFonts w:ascii="Arial" w:hAnsi="Arial" w:cs="Arial"/>
          <w:sz w:val="22"/>
          <w:szCs w:val="22"/>
        </w:rPr>
      </w:pPr>
      <w:bookmarkStart w:id="1" w:name="_Toc110000629"/>
      <w:r w:rsidRPr="00D47533">
        <w:rPr>
          <w:rFonts w:ascii="Arial" w:hAnsi="Arial" w:cs="Arial"/>
          <w:caps w:val="0"/>
          <w:sz w:val="22"/>
          <w:szCs w:val="22"/>
        </w:rPr>
        <w:t>STATE CONTACTS</w:t>
      </w:r>
      <w:bookmarkEnd w:id="1"/>
    </w:p>
    <w:tbl>
      <w:tblPr>
        <w:tblStyle w:val="GridTable4-Accent1"/>
        <w:tblW w:w="0" w:type="auto"/>
        <w:tblLook w:val="04A0" w:firstRow="1" w:lastRow="0" w:firstColumn="1" w:lastColumn="0" w:noHBand="0" w:noVBand="1"/>
      </w:tblPr>
      <w:tblGrid>
        <w:gridCol w:w="3012"/>
        <w:gridCol w:w="3013"/>
        <w:gridCol w:w="3013"/>
      </w:tblGrid>
      <w:tr w:rsidR="00E97D63" w:rsidRPr="00D47533" w14:paraId="31F545AA" w14:textId="77777777" w:rsidTr="00707D4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012" w:type="dxa"/>
          </w:tcPr>
          <w:p w14:paraId="285F31DA" w14:textId="77777777" w:rsidR="00E97D63" w:rsidRPr="00D47533" w:rsidRDefault="00E97D63" w:rsidP="00707D43">
            <w:pPr>
              <w:rPr>
                <w:rFonts w:ascii="Arial" w:hAnsi="Arial" w:cs="Arial"/>
                <w:sz w:val="22"/>
                <w:szCs w:val="22"/>
              </w:rPr>
            </w:pPr>
            <w:r w:rsidRPr="00D47533">
              <w:rPr>
                <w:rFonts w:ascii="Arial" w:hAnsi="Arial" w:cs="Arial"/>
                <w:sz w:val="22"/>
                <w:szCs w:val="22"/>
              </w:rPr>
              <w:t>Name</w:t>
            </w:r>
          </w:p>
        </w:tc>
        <w:tc>
          <w:tcPr>
            <w:tcW w:w="3013" w:type="dxa"/>
          </w:tcPr>
          <w:p w14:paraId="67084F53" w14:textId="77777777" w:rsidR="00E97D63" w:rsidRPr="00D47533" w:rsidRDefault="00E97D63" w:rsidP="00707D43">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47533">
              <w:rPr>
                <w:rFonts w:ascii="Arial" w:hAnsi="Arial" w:cs="Arial"/>
                <w:sz w:val="22"/>
                <w:szCs w:val="22"/>
              </w:rPr>
              <w:t>Contact</w:t>
            </w:r>
          </w:p>
        </w:tc>
        <w:tc>
          <w:tcPr>
            <w:tcW w:w="3013" w:type="dxa"/>
          </w:tcPr>
          <w:p w14:paraId="44D81D9F" w14:textId="77777777" w:rsidR="00E97D63" w:rsidRPr="00D47533" w:rsidRDefault="00E97D63" w:rsidP="00707D43">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47533">
              <w:rPr>
                <w:rFonts w:ascii="Arial" w:hAnsi="Arial" w:cs="Arial"/>
                <w:sz w:val="22"/>
                <w:szCs w:val="22"/>
              </w:rPr>
              <w:t>Title</w:t>
            </w:r>
          </w:p>
        </w:tc>
      </w:tr>
      <w:tr w:rsidR="00E97D63" w:rsidRPr="00D47533" w14:paraId="5706F1AB" w14:textId="77777777" w:rsidTr="00707D4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3012" w:type="dxa"/>
          </w:tcPr>
          <w:p w14:paraId="297E49A0" w14:textId="34ECF970" w:rsidR="00E97D63" w:rsidRPr="00D47533" w:rsidRDefault="00707D43" w:rsidP="00707D43">
            <w:pPr>
              <w:rPr>
                <w:rFonts w:ascii="Arial" w:hAnsi="Arial" w:cs="Arial"/>
                <w:sz w:val="22"/>
                <w:szCs w:val="22"/>
              </w:rPr>
            </w:pPr>
            <w:r>
              <w:rPr>
                <w:rFonts w:ascii="Arial" w:hAnsi="Arial" w:cs="Arial"/>
                <w:sz w:val="22"/>
                <w:szCs w:val="22"/>
              </w:rPr>
              <w:t>Tyler McEachron</w:t>
            </w:r>
          </w:p>
        </w:tc>
        <w:tc>
          <w:tcPr>
            <w:tcW w:w="3013" w:type="dxa"/>
          </w:tcPr>
          <w:p w14:paraId="6CDB41CF" w14:textId="4A111603" w:rsidR="00E97D63" w:rsidRPr="00D47533" w:rsidRDefault="00707D43"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07D43">
              <w:rPr>
                <w:rFonts w:ascii="Arial" w:hAnsi="Arial" w:cs="Arial"/>
                <w:sz w:val="22"/>
                <w:szCs w:val="22"/>
              </w:rPr>
              <w:t>tyler.mceachron@mass.gov</w:t>
            </w:r>
          </w:p>
        </w:tc>
        <w:tc>
          <w:tcPr>
            <w:tcW w:w="3013" w:type="dxa"/>
          </w:tcPr>
          <w:p w14:paraId="3278955D" w14:textId="1E520C65" w:rsidR="00E97D63" w:rsidRPr="00D47533" w:rsidRDefault="00707D43"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ESG Contract Manager</w:t>
            </w:r>
          </w:p>
        </w:tc>
      </w:tr>
      <w:tr w:rsidR="00E97D63" w:rsidRPr="00D47533" w14:paraId="086F5029" w14:textId="77777777" w:rsidTr="00707D43">
        <w:trPr>
          <w:trHeight w:val="371"/>
        </w:trPr>
        <w:tc>
          <w:tcPr>
            <w:cnfStyle w:val="001000000000" w:firstRow="0" w:lastRow="0" w:firstColumn="1" w:lastColumn="0" w:oddVBand="0" w:evenVBand="0" w:oddHBand="0" w:evenHBand="0" w:firstRowFirstColumn="0" w:firstRowLastColumn="0" w:lastRowFirstColumn="0" w:lastRowLastColumn="0"/>
            <w:tcW w:w="3012" w:type="dxa"/>
          </w:tcPr>
          <w:p w14:paraId="407201A4" w14:textId="63FBBB24" w:rsidR="00E97D63" w:rsidRPr="00D47533" w:rsidRDefault="00707D43" w:rsidP="00707D43">
            <w:pPr>
              <w:rPr>
                <w:rFonts w:ascii="Arial" w:hAnsi="Arial" w:cs="Arial"/>
                <w:sz w:val="22"/>
                <w:szCs w:val="22"/>
              </w:rPr>
            </w:pPr>
            <w:r>
              <w:rPr>
                <w:rFonts w:ascii="Arial" w:hAnsi="Arial" w:cs="Arial"/>
                <w:sz w:val="22"/>
                <w:szCs w:val="22"/>
              </w:rPr>
              <w:t xml:space="preserve">Sara </w:t>
            </w:r>
            <w:proofErr w:type="spellStart"/>
            <w:r w:rsidRPr="00707D43">
              <w:rPr>
                <w:rFonts w:ascii="Arial" w:hAnsi="Arial" w:cs="Arial"/>
                <w:sz w:val="22"/>
                <w:szCs w:val="22"/>
              </w:rPr>
              <w:t>Jerdenius</w:t>
            </w:r>
            <w:proofErr w:type="spellEnd"/>
          </w:p>
        </w:tc>
        <w:tc>
          <w:tcPr>
            <w:tcW w:w="3013" w:type="dxa"/>
          </w:tcPr>
          <w:p w14:paraId="70B5C638" w14:textId="5695C210" w:rsidR="00E97D63" w:rsidRPr="00D47533" w:rsidRDefault="00707D43"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7D43">
              <w:rPr>
                <w:rFonts w:ascii="Arial" w:hAnsi="Arial" w:cs="Arial"/>
                <w:sz w:val="22"/>
                <w:szCs w:val="22"/>
              </w:rPr>
              <w:t>sara.jerdenius@mass.gov</w:t>
            </w:r>
          </w:p>
        </w:tc>
        <w:tc>
          <w:tcPr>
            <w:tcW w:w="3013" w:type="dxa"/>
          </w:tcPr>
          <w:p w14:paraId="088243CA" w14:textId="4296F4F0" w:rsidR="00E97D63" w:rsidRPr="00D47533" w:rsidRDefault="00707D43"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18EA">
              <w:rPr>
                <w:rFonts w:ascii="Arial" w:hAnsi="Arial" w:cs="Arial"/>
                <w:sz w:val="22"/>
                <w:szCs w:val="22"/>
              </w:rPr>
              <w:t>Contracts Coordinator</w:t>
            </w:r>
          </w:p>
        </w:tc>
      </w:tr>
      <w:tr w:rsidR="00E97D63" w:rsidRPr="00D47533" w14:paraId="705962C8" w14:textId="77777777" w:rsidTr="00707D43">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12" w:type="dxa"/>
          </w:tcPr>
          <w:p w14:paraId="3162FC14" w14:textId="18FC8475" w:rsidR="00E97D63" w:rsidRPr="00D47533" w:rsidRDefault="00C618EA" w:rsidP="00707D43">
            <w:pPr>
              <w:rPr>
                <w:rFonts w:ascii="Arial" w:hAnsi="Arial" w:cs="Arial"/>
                <w:sz w:val="22"/>
                <w:szCs w:val="22"/>
              </w:rPr>
            </w:pPr>
            <w:r>
              <w:rPr>
                <w:rFonts w:ascii="Arial" w:hAnsi="Arial" w:cs="Arial"/>
                <w:sz w:val="22"/>
                <w:szCs w:val="22"/>
              </w:rPr>
              <w:t xml:space="preserve">Anthony </w:t>
            </w:r>
            <w:proofErr w:type="spellStart"/>
            <w:r>
              <w:rPr>
                <w:rFonts w:ascii="Arial" w:hAnsi="Arial" w:cs="Arial"/>
                <w:sz w:val="22"/>
                <w:szCs w:val="22"/>
              </w:rPr>
              <w:t>Nappo</w:t>
            </w:r>
            <w:proofErr w:type="spellEnd"/>
          </w:p>
        </w:tc>
        <w:tc>
          <w:tcPr>
            <w:tcW w:w="3013" w:type="dxa"/>
          </w:tcPr>
          <w:p w14:paraId="3D6D542C" w14:textId="320FB5EF" w:rsidR="00E97D63" w:rsidRPr="00D47533" w:rsidRDefault="00707D43"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07D43">
              <w:rPr>
                <w:rFonts w:ascii="Arial" w:hAnsi="Arial" w:cs="Arial"/>
                <w:sz w:val="22"/>
                <w:szCs w:val="22"/>
              </w:rPr>
              <w:t>anthony.nappo@mass.gov</w:t>
            </w:r>
          </w:p>
        </w:tc>
        <w:tc>
          <w:tcPr>
            <w:tcW w:w="3013" w:type="dxa"/>
          </w:tcPr>
          <w:p w14:paraId="2642EBB6" w14:textId="062525C8" w:rsidR="00E97D63" w:rsidRPr="00D47533" w:rsidRDefault="00707D43"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18EA">
              <w:rPr>
                <w:rFonts w:ascii="Arial" w:hAnsi="Arial" w:cs="Arial"/>
                <w:sz w:val="22"/>
                <w:szCs w:val="22"/>
              </w:rPr>
              <w:t>ESG</w:t>
            </w:r>
            <w:r w:rsidR="00C618EA" w:rsidRPr="00C618EA">
              <w:rPr>
                <w:rFonts w:ascii="Arial" w:hAnsi="Arial" w:cs="Arial"/>
                <w:sz w:val="22"/>
                <w:szCs w:val="22"/>
              </w:rPr>
              <w:t xml:space="preserve"> HMIS</w:t>
            </w:r>
            <w:r w:rsidRPr="00C618EA">
              <w:rPr>
                <w:rFonts w:ascii="Arial" w:hAnsi="Arial" w:cs="Arial"/>
                <w:sz w:val="22"/>
                <w:szCs w:val="22"/>
              </w:rPr>
              <w:t xml:space="preserve"> Reporting Specialist</w:t>
            </w:r>
          </w:p>
        </w:tc>
      </w:tr>
      <w:tr w:rsidR="00E97D63" w:rsidRPr="00D47533" w14:paraId="4CEA08C1" w14:textId="77777777" w:rsidTr="00707D43">
        <w:trPr>
          <w:trHeight w:val="341"/>
        </w:trPr>
        <w:tc>
          <w:tcPr>
            <w:cnfStyle w:val="001000000000" w:firstRow="0" w:lastRow="0" w:firstColumn="1" w:lastColumn="0" w:oddVBand="0" w:evenVBand="0" w:oddHBand="0" w:evenHBand="0" w:firstRowFirstColumn="0" w:firstRowLastColumn="0" w:lastRowFirstColumn="0" w:lastRowLastColumn="0"/>
            <w:tcW w:w="3012" w:type="dxa"/>
          </w:tcPr>
          <w:p w14:paraId="302F7F4E" w14:textId="1551C205" w:rsidR="00E97D63" w:rsidRPr="00D47533" w:rsidRDefault="00C618EA" w:rsidP="00707D43">
            <w:pPr>
              <w:rPr>
                <w:rFonts w:ascii="Arial" w:hAnsi="Arial" w:cs="Arial"/>
                <w:sz w:val="22"/>
                <w:szCs w:val="22"/>
              </w:rPr>
            </w:pPr>
            <w:r>
              <w:rPr>
                <w:rFonts w:ascii="Arial" w:hAnsi="Arial" w:cs="Arial"/>
                <w:sz w:val="22"/>
                <w:szCs w:val="22"/>
              </w:rPr>
              <w:t>Yolanda Ortiz</w:t>
            </w:r>
          </w:p>
        </w:tc>
        <w:tc>
          <w:tcPr>
            <w:tcW w:w="3013" w:type="dxa"/>
          </w:tcPr>
          <w:p w14:paraId="29339580" w14:textId="476CD4B8" w:rsidR="00E97D63" w:rsidRPr="00D47533" w:rsidRDefault="00C618EA"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18EA">
              <w:rPr>
                <w:rFonts w:ascii="Arial" w:hAnsi="Arial" w:cs="Arial"/>
                <w:sz w:val="22"/>
                <w:szCs w:val="22"/>
              </w:rPr>
              <w:t>yolanda.ortiz@mass.gov</w:t>
            </w:r>
          </w:p>
        </w:tc>
        <w:tc>
          <w:tcPr>
            <w:tcW w:w="3013" w:type="dxa"/>
          </w:tcPr>
          <w:p w14:paraId="3AFB11E3" w14:textId="48AFB3E3" w:rsidR="00E97D63" w:rsidRPr="00D47533" w:rsidRDefault="00C618EA"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SOR Contract Manager</w:t>
            </w:r>
          </w:p>
        </w:tc>
      </w:tr>
      <w:tr w:rsidR="00E97D63" w:rsidRPr="00D47533" w14:paraId="155750D6" w14:textId="77777777" w:rsidTr="00707D4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3012" w:type="dxa"/>
          </w:tcPr>
          <w:p w14:paraId="495EC568" w14:textId="0A1D5A93" w:rsidR="00E97D63" w:rsidRPr="00D47533" w:rsidRDefault="00C618EA" w:rsidP="00707D43">
            <w:pPr>
              <w:rPr>
                <w:rFonts w:ascii="Arial" w:hAnsi="Arial" w:cs="Arial"/>
                <w:sz w:val="22"/>
                <w:szCs w:val="22"/>
              </w:rPr>
            </w:pPr>
            <w:proofErr w:type="spellStart"/>
            <w:r>
              <w:rPr>
                <w:rFonts w:ascii="Arial" w:hAnsi="Arial" w:cs="Arial"/>
                <w:sz w:val="22"/>
                <w:szCs w:val="22"/>
              </w:rPr>
              <w:t>Lamine</w:t>
            </w:r>
            <w:proofErr w:type="spellEnd"/>
            <w:r>
              <w:rPr>
                <w:rFonts w:ascii="Arial" w:hAnsi="Arial" w:cs="Arial"/>
                <w:sz w:val="22"/>
                <w:szCs w:val="22"/>
              </w:rPr>
              <w:t xml:space="preserve"> Sagna</w:t>
            </w:r>
          </w:p>
        </w:tc>
        <w:tc>
          <w:tcPr>
            <w:tcW w:w="3013" w:type="dxa"/>
          </w:tcPr>
          <w:p w14:paraId="53C7F2D5" w14:textId="6F2CFC52" w:rsidR="00E97D63" w:rsidRPr="00D47533" w:rsidRDefault="00C618EA"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618EA">
              <w:rPr>
                <w:rFonts w:ascii="Arial" w:hAnsi="Arial" w:cs="Arial"/>
                <w:sz w:val="22"/>
                <w:szCs w:val="22"/>
              </w:rPr>
              <w:t>lamine.sagna@mass.gov</w:t>
            </w:r>
          </w:p>
        </w:tc>
        <w:tc>
          <w:tcPr>
            <w:tcW w:w="3013" w:type="dxa"/>
          </w:tcPr>
          <w:p w14:paraId="38BBBD3B" w14:textId="22B5373B" w:rsidR="00E97D63" w:rsidRPr="00D47533" w:rsidRDefault="00E35FF6"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CoC</w:t>
            </w:r>
            <w:r w:rsidR="00C618EA" w:rsidRPr="00C618EA">
              <w:rPr>
                <w:rFonts w:ascii="Arial" w:hAnsi="Arial" w:cs="Arial"/>
                <w:sz w:val="22"/>
                <w:szCs w:val="22"/>
              </w:rPr>
              <w:t xml:space="preserve"> Compliance Monitoring </w:t>
            </w:r>
          </w:p>
        </w:tc>
      </w:tr>
      <w:tr w:rsidR="00707D43" w:rsidRPr="00D47533" w14:paraId="6A8D2B5A" w14:textId="77777777" w:rsidTr="00707D43">
        <w:trPr>
          <w:trHeight w:val="585"/>
        </w:trPr>
        <w:tc>
          <w:tcPr>
            <w:cnfStyle w:val="001000000000" w:firstRow="0" w:lastRow="0" w:firstColumn="1" w:lastColumn="0" w:oddVBand="0" w:evenVBand="0" w:oddHBand="0" w:evenHBand="0" w:firstRowFirstColumn="0" w:firstRowLastColumn="0" w:lastRowFirstColumn="0" w:lastRowLastColumn="0"/>
            <w:tcW w:w="3012" w:type="dxa"/>
          </w:tcPr>
          <w:p w14:paraId="51C4D165" w14:textId="0172B578" w:rsidR="00707D43" w:rsidRPr="00D47533" w:rsidRDefault="00707D43" w:rsidP="00707D43">
            <w:pPr>
              <w:rPr>
                <w:rFonts w:ascii="Arial" w:hAnsi="Arial" w:cs="Arial"/>
                <w:sz w:val="22"/>
                <w:szCs w:val="22"/>
              </w:rPr>
            </w:pPr>
            <w:r>
              <w:rPr>
                <w:rFonts w:ascii="Arial" w:hAnsi="Arial" w:cs="Arial"/>
                <w:sz w:val="22"/>
                <w:szCs w:val="22"/>
              </w:rPr>
              <w:t>Gordon Calkins</w:t>
            </w:r>
          </w:p>
        </w:tc>
        <w:tc>
          <w:tcPr>
            <w:tcW w:w="3013" w:type="dxa"/>
          </w:tcPr>
          <w:p w14:paraId="06A1FD9D" w14:textId="47094A58" w:rsidR="00707D43" w:rsidRPr="00D47533" w:rsidRDefault="00707D43"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7D43">
              <w:rPr>
                <w:rFonts w:ascii="Arial" w:hAnsi="Arial" w:cs="Arial"/>
                <w:sz w:val="22"/>
                <w:szCs w:val="22"/>
              </w:rPr>
              <w:t>gordon.calkins@mass.gov</w:t>
            </w:r>
          </w:p>
        </w:tc>
        <w:tc>
          <w:tcPr>
            <w:tcW w:w="3013" w:type="dxa"/>
          </w:tcPr>
          <w:p w14:paraId="0F8B356C" w14:textId="4B6AB312" w:rsidR="00707D43" w:rsidRPr="00D47533" w:rsidRDefault="00707D43"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7D43">
              <w:rPr>
                <w:rFonts w:ascii="Arial" w:hAnsi="Arial" w:cs="Arial"/>
                <w:sz w:val="22"/>
                <w:szCs w:val="22"/>
              </w:rPr>
              <w:t>Director of Individual</w:t>
            </w:r>
            <w:r>
              <w:rPr>
                <w:rFonts w:ascii="Arial" w:hAnsi="Arial" w:cs="Arial"/>
                <w:sz w:val="22"/>
                <w:szCs w:val="22"/>
              </w:rPr>
              <w:t xml:space="preserve"> </w:t>
            </w:r>
            <w:r w:rsidRPr="00707D43">
              <w:rPr>
                <w:rFonts w:ascii="Arial" w:hAnsi="Arial" w:cs="Arial"/>
                <w:sz w:val="22"/>
                <w:szCs w:val="22"/>
              </w:rPr>
              <w:t>Homelessness</w:t>
            </w:r>
          </w:p>
        </w:tc>
      </w:tr>
      <w:tr w:rsidR="00E56996" w:rsidRPr="00D47533" w14:paraId="73B37A6E" w14:textId="77777777" w:rsidTr="00707D43">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12" w:type="dxa"/>
          </w:tcPr>
          <w:p w14:paraId="0C7E31BF" w14:textId="4B1B7063" w:rsidR="00E56996" w:rsidRDefault="00E56996" w:rsidP="00707D43">
            <w:pPr>
              <w:rPr>
                <w:rFonts w:ascii="Arial" w:hAnsi="Arial" w:cs="Arial"/>
                <w:sz w:val="22"/>
                <w:szCs w:val="22"/>
              </w:rPr>
            </w:pPr>
            <w:r>
              <w:rPr>
                <w:rFonts w:ascii="Arial" w:hAnsi="Arial" w:cs="Arial"/>
                <w:sz w:val="22"/>
                <w:szCs w:val="22"/>
              </w:rPr>
              <w:lastRenderedPageBreak/>
              <w:t xml:space="preserve">Karen </w:t>
            </w:r>
            <w:r w:rsidRPr="00E56996">
              <w:rPr>
                <w:rFonts w:ascii="Arial" w:hAnsi="Arial" w:cs="Arial"/>
                <w:sz w:val="22"/>
                <w:szCs w:val="22"/>
              </w:rPr>
              <w:t>Byron</w:t>
            </w:r>
          </w:p>
        </w:tc>
        <w:tc>
          <w:tcPr>
            <w:tcW w:w="3013" w:type="dxa"/>
          </w:tcPr>
          <w:p w14:paraId="6047137F" w14:textId="55EA80E9" w:rsidR="00E56996" w:rsidRPr="00707D43" w:rsidRDefault="00E56996"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6996">
              <w:rPr>
                <w:rFonts w:ascii="Arial" w:hAnsi="Arial" w:cs="Arial"/>
                <w:sz w:val="22"/>
                <w:szCs w:val="22"/>
              </w:rPr>
              <w:t>karen.byron@mass.gov</w:t>
            </w:r>
          </w:p>
        </w:tc>
        <w:tc>
          <w:tcPr>
            <w:tcW w:w="3013" w:type="dxa"/>
          </w:tcPr>
          <w:p w14:paraId="21C3E84C" w14:textId="19614040" w:rsidR="00E56996" w:rsidRPr="00707D43" w:rsidRDefault="00E56996"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6996">
              <w:rPr>
                <w:rFonts w:ascii="Arial" w:hAnsi="Arial" w:cs="Arial"/>
                <w:sz w:val="22"/>
                <w:szCs w:val="22"/>
              </w:rPr>
              <w:t>Balance of State CoC Supervisor</w:t>
            </w:r>
          </w:p>
        </w:tc>
      </w:tr>
    </w:tbl>
    <w:p w14:paraId="1C25B716" w14:textId="77777777" w:rsidR="00D47533" w:rsidRDefault="00D47533" w:rsidP="004E5FB2">
      <w:pPr>
        <w:spacing w:line="300" w:lineRule="auto"/>
        <w:contextualSpacing/>
        <w:rPr>
          <w:rFonts w:asciiTheme="minorBidi" w:hAnsiTheme="minorBidi"/>
          <w:sz w:val="22"/>
          <w:szCs w:val="22"/>
        </w:rPr>
      </w:pPr>
    </w:p>
    <w:p w14:paraId="1EC4310A" w14:textId="63324BFE" w:rsidR="00606302" w:rsidRPr="00D47533" w:rsidRDefault="00D47533" w:rsidP="00606302">
      <w:pPr>
        <w:pStyle w:val="Heading4"/>
        <w:rPr>
          <w:rFonts w:ascii="Arial" w:eastAsiaTheme="majorEastAsia" w:hAnsi="Arial" w:cs="Arial"/>
          <w:sz w:val="22"/>
          <w:szCs w:val="22"/>
        </w:rPr>
      </w:pPr>
      <w:bookmarkStart w:id="2" w:name="_Toc466894347"/>
      <w:r w:rsidRPr="00D47533">
        <w:rPr>
          <w:rFonts w:ascii="Arial" w:eastAsiaTheme="majorEastAsia" w:hAnsi="Arial" w:cs="Arial"/>
          <w:caps w:val="0"/>
          <w:sz w:val="22"/>
          <w:szCs w:val="22"/>
        </w:rPr>
        <w:t>EXTERNAL COMMUNICATIONS</w:t>
      </w:r>
      <w:bookmarkEnd w:id="2"/>
      <w:r w:rsidRPr="00D47533">
        <w:rPr>
          <w:rFonts w:ascii="Arial" w:eastAsiaTheme="majorEastAsia" w:hAnsi="Arial" w:cs="Arial"/>
          <w:caps w:val="0"/>
          <w:sz w:val="22"/>
          <w:szCs w:val="22"/>
        </w:rPr>
        <w:t xml:space="preserve"> </w:t>
      </w:r>
    </w:p>
    <w:p w14:paraId="679A00C8" w14:textId="77777777" w:rsidR="00606302" w:rsidRPr="00D47533" w:rsidRDefault="00606302" w:rsidP="00606302">
      <w:pPr>
        <w:rPr>
          <w:rFonts w:ascii="Arial" w:hAnsi="Arial" w:cs="Arial"/>
          <w:sz w:val="22"/>
          <w:szCs w:val="22"/>
        </w:rPr>
      </w:pPr>
      <w:r w:rsidRPr="00D47533">
        <w:rPr>
          <w:rFonts w:ascii="Arial" w:hAnsi="Arial" w:cs="Arial"/>
          <w:sz w:val="22"/>
          <w:szCs w:val="22"/>
        </w:rPr>
        <w:t>It is important to Map out communication channels with external parties.  Much of the routine communications has been mapped out in the processes above, but situations arise that require communication that are not delineated above.</w:t>
      </w:r>
    </w:p>
    <w:tbl>
      <w:tblPr>
        <w:tblStyle w:val="GridTable4-Accent1"/>
        <w:tblW w:w="0" w:type="auto"/>
        <w:tblLook w:val="04A0" w:firstRow="1" w:lastRow="0" w:firstColumn="1" w:lastColumn="0" w:noHBand="0" w:noVBand="1"/>
      </w:tblPr>
      <w:tblGrid>
        <w:gridCol w:w="2337"/>
        <w:gridCol w:w="2337"/>
        <w:gridCol w:w="2338"/>
        <w:gridCol w:w="2338"/>
      </w:tblGrid>
      <w:tr w:rsidR="00606302" w:rsidRPr="00D47533" w14:paraId="4EFC8A37" w14:textId="77777777" w:rsidTr="00707D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A1CE2AF" w14:textId="77777777" w:rsidR="00606302" w:rsidRPr="00D47533" w:rsidRDefault="00606302" w:rsidP="00707D43">
            <w:pPr>
              <w:jc w:val="center"/>
              <w:rPr>
                <w:rFonts w:ascii="Arial" w:hAnsi="Arial" w:cs="Arial"/>
                <w:b w:val="0"/>
                <w:sz w:val="6"/>
                <w:szCs w:val="6"/>
              </w:rPr>
            </w:pPr>
          </w:p>
          <w:p w14:paraId="613107DF" w14:textId="77777777" w:rsidR="00606302" w:rsidRPr="00D47533" w:rsidRDefault="00606302" w:rsidP="00707D43">
            <w:pPr>
              <w:jc w:val="center"/>
              <w:rPr>
                <w:rFonts w:ascii="Arial" w:hAnsi="Arial" w:cs="Arial"/>
                <w:b w:val="0"/>
                <w:sz w:val="6"/>
                <w:szCs w:val="6"/>
              </w:rPr>
            </w:pPr>
          </w:p>
          <w:p w14:paraId="3107EDF9" w14:textId="77777777" w:rsidR="00606302" w:rsidRPr="00D47533" w:rsidRDefault="00606302" w:rsidP="00707D43">
            <w:pPr>
              <w:jc w:val="center"/>
              <w:rPr>
                <w:rFonts w:ascii="Arial" w:hAnsi="Arial" w:cs="Arial"/>
                <w:b w:val="0"/>
                <w:sz w:val="6"/>
                <w:szCs w:val="6"/>
              </w:rPr>
            </w:pPr>
          </w:p>
          <w:p w14:paraId="18413BE2" w14:textId="77777777" w:rsidR="00606302" w:rsidRPr="00D47533" w:rsidRDefault="00606302" w:rsidP="00707D43">
            <w:pPr>
              <w:jc w:val="center"/>
              <w:rPr>
                <w:rFonts w:ascii="Arial" w:hAnsi="Arial" w:cs="Arial"/>
                <w:b w:val="0"/>
                <w:sz w:val="22"/>
                <w:szCs w:val="22"/>
              </w:rPr>
            </w:pPr>
            <w:r w:rsidRPr="00D47533">
              <w:rPr>
                <w:rFonts w:ascii="Arial" w:hAnsi="Arial" w:cs="Arial"/>
                <w:sz w:val="22"/>
                <w:szCs w:val="22"/>
              </w:rPr>
              <w:t>External Party</w:t>
            </w:r>
          </w:p>
        </w:tc>
        <w:tc>
          <w:tcPr>
            <w:tcW w:w="2337" w:type="dxa"/>
          </w:tcPr>
          <w:p w14:paraId="19A2F916" w14:textId="77777777" w:rsidR="00606302" w:rsidRPr="00D47533" w:rsidRDefault="00606302" w:rsidP="00707D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D47533">
              <w:rPr>
                <w:rFonts w:ascii="Arial" w:hAnsi="Arial" w:cs="Arial"/>
                <w:sz w:val="22"/>
                <w:szCs w:val="22"/>
              </w:rPr>
              <w:t>Reason for Communication</w:t>
            </w:r>
          </w:p>
        </w:tc>
        <w:tc>
          <w:tcPr>
            <w:tcW w:w="2338" w:type="dxa"/>
          </w:tcPr>
          <w:p w14:paraId="1C3A8C5F" w14:textId="77777777" w:rsidR="00606302" w:rsidRPr="00D47533" w:rsidRDefault="00606302" w:rsidP="00707D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D47533">
              <w:rPr>
                <w:rFonts w:ascii="Arial" w:hAnsi="Arial" w:cs="Arial"/>
                <w:sz w:val="22"/>
                <w:szCs w:val="22"/>
              </w:rPr>
              <w:t>Primary Communicator</w:t>
            </w:r>
          </w:p>
        </w:tc>
        <w:tc>
          <w:tcPr>
            <w:tcW w:w="2338" w:type="dxa"/>
          </w:tcPr>
          <w:p w14:paraId="0D27E804" w14:textId="77777777" w:rsidR="00606302" w:rsidRPr="00D47533" w:rsidRDefault="00606302" w:rsidP="00707D4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D47533">
              <w:rPr>
                <w:rFonts w:ascii="Arial" w:hAnsi="Arial" w:cs="Arial"/>
                <w:sz w:val="22"/>
                <w:szCs w:val="22"/>
              </w:rPr>
              <w:t>Back-up / Communicator</w:t>
            </w:r>
          </w:p>
        </w:tc>
      </w:tr>
      <w:tr w:rsidR="00606302" w:rsidRPr="00D47533" w14:paraId="31381D97" w14:textId="77777777" w:rsidTr="00707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94F32A0" w14:textId="77777777" w:rsidR="00606302" w:rsidRPr="00D47533" w:rsidRDefault="00606302" w:rsidP="00707D43">
            <w:pPr>
              <w:rPr>
                <w:rFonts w:ascii="Arial" w:hAnsi="Arial" w:cs="Arial"/>
                <w:sz w:val="22"/>
                <w:szCs w:val="22"/>
              </w:rPr>
            </w:pPr>
            <w:r w:rsidRPr="00D47533">
              <w:rPr>
                <w:rFonts w:ascii="Arial" w:hAnsi="Arial" w:cs="Arial"/>
                <w:sz w:val="22"/>
                <w:szCs w:val="22"/>
              </w:rPr>
              <w:t>Subrecipient / Provider</w:t>
            </w:r>
          </w:p>
        </w:tc>
        <w:tc>
          <w:tcPr>
            <w:tcW w:w="2337" w:type="dxa"/>
          </w:tcPr>
          <w:p w14:paraId="7E560B5F" w14:textId="77777777" w:rsidR="00606302" w:rsidRPr="00D47533" w:rsidRDefault="00606302"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7533">
              <w:rPr>
                <w:rFonts w:ascii="Arial" w:hAnsi="Arial" w:cs="Arial"/>
                <w:sz w:val="22"/>
                <w:szCs w:val="22"/>
              </w:rPr>
              <w:t>PVs or Contracts</w:t>
            </w:r>
          </w:p>
        </w:tc>
        <w:tc>
          <w:tcPr>
            <w:tcW w:w="2338" w:type="dxa"/>
          </w:tcPr>
          <w:p w14:paraId="45FF4741" w14:textId="0A51804D" w:rsidR="00606302" w:rsidRPr="00D47533" w:rsidRDefault="00C618EA"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ESG Contract Manager</w:t>
            </w:r>
          </w:p>
        </w:tc>
        <w:tc>
          <w:tcPr>
            <w:tcW w:w="2338" w:type="dxa"/>
          </w:tcPr>
          <w:p w14:paraId="6D5D594F" w14:textId="0DE9F0CF" w:rsidR="00606302" w:rsidRPr="00D47533" w:rsidRDefault="00C618EA"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07D43">
              <w:rPr>
                <w:rFonts w:ascii="Arial" w:hAnsi="Arial" w:cs="Arial"/>
                <w:sz w:val="22"/>
                <w:szCs w:val="22"/>
              </w:rPr>
              <w:t>Director of Individual</w:t>
            </w:r>
            <w:r>
              <w:rPr>
                <w:rFonts w:ascii="Arial" w:hAnsi="Arial" w:cs="Arial"/>
                <w:sz w:val="22"/>
                <w:szCs w:val="22"/>
              </w:rPr>
              <w:t xml:space="preserve"> </w:t>
            </w:r>
            <w:r w:rsidRPr="00707D43">
              <w:rPr>
                <w:rFonts w:ascii="Arial" w:hAnsi="Arial" w:cs="Arial"/>
                <w:sz w:val="22"/>
                <w:szCs w:val="22"/>
              </w:rPr>
              <w:t>Homelessness</w:t>
            </w:r>
          </w:p>
        </w:tc>
      </w:tr>
      <w:tr w:rsidR="00606302" w:rsidRPr="00D47533" w14:paraId="2853329A" w14:textId="77777777" w:rsidTr="00707D43">
        <w:tc>
          <w:tcPr>
            <w:cnfStyle w:val="001000000000" w:firstRow="0" w:lastRow="0" w:firstColumn="1" w:lastColumn="0" w:oddVBand="0" w:evenVBand="0" w:oddHBand="0" w:evenHBand="0" w:firstRowFirstColumn="0" w:firstRowLastColumn="0" w:lastRowFirstColumn="0" w:lastRowLastColumn="0"/>
            <w:tcW w:w="2337" w:type="dxa"/>
          </w:tcPr>
          <w:p w14:paraId="50D4074A" w14:textId="77777777" w:rsidR="00606302" w:rsidRPr="00D47533" w:rsidRDefault="00606302" w:rsidP="00707D43">
            <w:pPr>
              <w:rPr>
                <w:rFonts w:ascii="Arial" w:hAnsi="Arial" w:cs="Arial"/>
                <w:sz w:val="22"/>
                <w:szCs w:val="22"/>
              </w:rPr>
            </w:pPr>
            <w:r w:rsidRPr="00D47533">
              <w:rPr>
                <w:rFonts w:ascii="Arial" w:hAnsi="Arial" w:cs="Arial"/>
                <w:sz w:val="22"/>
                <w:szCs w:val="22"/>
              </w:rPr>
              <w:t>HUD</w:t>
            </w:r>
          </w:p>
        </w:tc>
        <w:tc>
          <w:tcPr>
            <w:tcW w:w="2337" w:type="dxa"/>
          </w:tcPr>
          <w:p w14:paraId="71288F20" w14:textId="77777777" w:rsidR="00606302" w:rsidRPr="00D47533" w:rsidRDefault="00606302"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7533">
              <w:rPr>
                <w:rFonts w:ascii="Arial" w:hAnsi="Arial" w:cs="Arial"/>
                <w:sz w:val="22"/>
                <w:szCs w:val="22"/>
              </w:rPr>
              <w:t>Reporting, Grants</w:t>
            </w:r>
          </w:p>
        </w:tc>
        <w:tc>
          <w:tcPr>
            <w:tcW w:w="2338" w:type="dxa"/>
          </w:tcPr>
          <w:p w14:paraId="3C07B862" w14:textId="51BCB358" w:rsidR="00606302" w:rsidRPr="00D47533" w:rsidRDefault="00C618EA"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ESG Contract Manager</w:t>
            </w:r>
          </w:p>
        </w:tc>
        <w:tc>
          <w:tcPr>
            <w:tcW w:w="2338" w:type="dxa"/>
          </w:tcPr>
          <w:p w14:paraId="0F3967E3" w14:textId="5C20C689" w:rsidR="00606302" w:rsidRPr="00D47533" w:rsidRDefault="00C618EA" w:rsidP="00707D4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7D43">
              <w:rPr>
                <w:rFonts w:ascii="Arial" w:hAnsi="Arial" w:cs="Arial"/>
                <w:sz w:val="22"/>
                <w:szCs w:val="22"/>
              </w:rPr>
              <w:t>Director of Individual</w:t>
            </w:r>
            <w:r>
              <w:rPr>
                <w:rFonts w:ascii="Arial" w:hAnsi="Arial" w:cs="Arial"/>
                <w:sz w:val="22"/>
                <w:szCs w:val="22"/>
              </w:rPr>
              <w:t xml:space="preserve"> </w:t>
            </w:r>
            <w:r w:rsidRPr="00707D43">
              <w:rPr>
                <w:rFonts w:ascii="Arial" w:hAnsi="Arial" w:cs="Arial"/>
                <w:sz w:val="22"/>
                <w:szCs w:val="22"/>
              </w:rPr>
              <w:t>Homelessness</w:t>
            </w:r>
          </w:p>
        </w:tc>
      </w:tr>
      <w:tr w:rsidR="00606302" w:rsidRPr="00D47533" w14:paraId="4C46E990" w14:textId="77777777" w:rsidTr="00707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AC90E32" w14:textId="77777777" w:rsidR="00606302" w:rsidRPr="00D47533" w:rsidRDefault="00606302" w:rsidP="00707D43">
            <w:pPr>
              <w:rPr>
                <w:rFonts w:ascii="Arial" w:hAnsi="Arial" w:cs="Arial"/>
                <w:sz w:val="22"/>
                <w:szCs w:val="22"/>
              </w:rPr>
            </w:pPr>
            <w:r w:rsidRPr="00D47533">
              <w:rPr>
                <w:rFonts w:ascii="Arial" w:hAnsi="Arial" w:cs="Arial"/>
                <w:sz w:val="22"/>
                <w:szCs w:val="22"/>
              </w:rPr>
              <w:t>State Agency Partner</w:t>
            </w:r>
          </w:p>
        </w:tc>
        <w:tc>
          <w:tcPr>
            <w:tcW w:w="2337" w:type="dxa"/>
          </w:tcPr>
          <w:p w14:paraId="2E325C3F" w14:textId="77777777" w:rsidR="00606302" w:rsidRPr="00D47533" w:rsidRDefault="00606302"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7533">
              <w:rPr>
                <w:rFonts w:ascii="Arial" w:hAnsi="Arial" w:cs="Arial"/>
                <w:sz w:val="22"/>
                <w:szCs w:val="22"/>
              </w:rPr>
              <w:t>All</w:t>
            </w:r>
          </w:p>
        </w:tc>
        <w:tc>
          <w:tcPr>
            <w:tcW w:w="2338" w:type="dxa"/>
          </w:tcPr>
          <w:p w14:paraId="5D09ACAF" w14:textId="5DA80B74" w:rsidR="00606302" w:rsidRPr="00D47533" w:rsidRDefault="00C618EA"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ESG Contract Manager</w:t>
            </w:r>
          </w:p>
        </w:tc>
        <w:tc>
          <w:tcPr>
            <w:tcW w:w="2338" w:type="dxa"/>
          </w:tcPr>
          <w:p w14:paraId="5732A092" w14:textId="2D49A316" w:rsidR="00606302" w:rsidRPr="00D47533" w:rsidRDefault="00C618EA" w:rsidP="00707D4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07D43">
              <w:rPr>
                <w:rFonts w:ascii="Arial" w:hAnsi="Arial" w:cs="Arial"/>
                <w:sz w:val="22"/>
                <w:szCs w:val="22"/>
              </w:rPr>
              <w:t>Director of Individual</w:t>
            </w:r>
            <w:r>
              <w:rPr>
                <w:rFonts w:ascii="Arial" w:hAnsi="Arial" w:cs="Arial"/>
                <w:sz w:val="22"/>
                <w:szCs w:val="22"/>
              </w:rPr>
              <w:t xml:space="preserve"> </w:t>
            </w:r>
            <w:r w:rsidRPr="00707D43">
              <w:rPr>
                <w:rFonts w:ascii="Arial" w:hAnsi="Arial" w:cs="Arial"/>
                <w:sz w:val="22"/>
                <w:szCs w:val="22"/>
              </w:rPr>
              <w:t>Homelessness</w:t>
            </w:r>
          </w:p>
        </w:tc>
      </w:tr>
    </w:tbl>
    <w:p w14:paraId="577B2210" w14:textId="77777777" w:rsidR="00606302" w:rsidRPr="00D47533" w:rsidRDefault="00606302" w:rsidP="00606302">
      <w:pPr>
        <w:rPr>
          <w:rFonts w:ascii="Arial" w:hAnsi="Arial" w:cs="Arial"/>
          <w:sz w:val="22"/>
          <w:szCs w:val="22"/>
        </w:rPr>
      </w:pPr>
      <w:r w:rsidRPr="00D47533">
        <w:rPr>
          <w:rFonts w:ascii="Arial" w:hAnsi="Arial" w:cs="Arial"/>
          <w:sz w:val="22"/>
          <w:szCs w:val="22"/>
        </w:rPr>
        <w:t>*Communications may be delegated by the Primary Communicator in specific situations.</w:t>
      </w:r>
    </w:p>
    <w:p w14:paraId="450C6746" w14:textId="3D0EC335" w:rsidR="002A1585" w:rsidRPr="002A1585" w:rsidRDefault="00D47533" w:rsidP="002A1585">
      <w:pPr>
        <w:pStyle w:val="Heading1"/>
        <w:spacing w:line="300" w:lineRule="auto"/>
        <w:contextualSpacing/>
        <w:rPr>
          <w:rFonts w:asciiTheme="minorBidi" w:hAnsiTheme="minorBidi"/>
        </w:rPr>
      </w:pPr>
      <w:bookmarkStart w:id="3" w:name="_Toc110000630"/>
      <w:r w:rsidRPr="004E5FB2">
        <w:rPr>
          <w:rFonts w:asciiTheme="minorBidi" w:hAnsiTheme="minorBidi"/>
          <w:caps w:val="0"/>
        </w:rPr>
        <w:t>PREFACE: GLOSSARY OF TERMS USED IN THIS DOCUMENT</w:t>
      </w:r>
      <w:bookmarkEnd w:id="3"/>
      <w:r w:rsidRPr="004E5FB2">
        <w:rPr>
          <w:rFonts w:asciiTheme="minorBidi" w:hAnsiTheme="minorBidi"/>
          <w:caps w:val="0"/>
        </w:rPr>
        <w:t xml:space="preserve"> </w:t>
      </w:r>
    </w:p>
    <w:p w14:paraId="07E2C1AC" w14:textId="77777777" w:rsidR="004E7349" w:rsidRPr="00B315DD" w:rsidRDefault="004E7349" w:rsidP="004E5FB2">
      <w:pPr>
        <w:autoSpaceDE w:val="0"/>
        <w:autoSpaceDN w:val="0"/>
        <w:adjustRightInd w:val="0"/>
        <w:spacing w:after="0" w:line="300" w:lineRule="auto"/>
        <w:contextualSpacing/>
        <w:rPr>
          <w:rFonts w:asciiTheme="minorBidi" w:hAnsiTheme="minorBidi"/>
          <w:b/>
          <w:bCs/>
          <w:color w:val="000000"/>
          <w:sz w:val="22"/>
          <w:szCs w:val="22"/>
          <w:u w:val="single"/>
        </w:rPr>
      </w:pPr>
      <w:r w:rsidRPr="00B315DD">
        <w:rPr>
          <w:rFonts w:asciiTheme="minorBidi" w:hAnsiTheme="minorBidi"/>
          <w:b/>
          <w:bCs/>
          <w:color w:val="000000"/>
          <w:sz w:val="22"/>
          <w:szCs w:val="22"/>
          <w:u w:val="single"/>
        </w:rPr>
        <w:t>Coordinated Entry</w:t>
      </w:r>
    </w:p>
    <w:p w14:paraId="212CA3C6" w14:textId="77777777" w:rsidR="004E7349" w:rsidRPr="004E7349" w:rsidRDefault="00805C13" w:rsidP="004E5FB2">
      <w:pPr>
        <w:autoSpaceDE w:val="0"/>
        <w:autoSpaceDN w:val="0"/>
        <w:adjustRightInd w:val="0"/>
        <w:spacing w:after="0" w:line="300" w:lineRule="auto"/>
        <w:contextualSpacing/>
        <w:rPr>
          <w:rFonts w:asciiTheme="minorBidi" w:hAnsiTheme="minorBidi"/>
          <w:color w:val="000000"/>
          <w:sz w:val="22"/>
          <w:szCs w:val="22"/>
        </w:rPr>
      </w:pPr>
      <w:r>
        <w:rPr>
          <w:rFonts w:asciiTheme="minorBidi" w:hAnsiTheme="minorBidi"/>
          <w:color w:val="000000"/>
          <w:sz w:val="22"/>
          <w:szCs w:val="22"/>
        </w:rPr>
        <w:t>C</w:t>
      </w:r>
      <w:r w:rsidR="004E7349" w:rsidRPr="004E7349">
        <w:rPr>
          <w:rFonts w:asciiTheme="minorBidi" w:hAnsiTheme="minorBidi"/>
          <w:color w:val="000000"/>
          <w:sz w:val="22"/>
          <w:szCs w:val="22"/>
        </w:rPr>
        <w:t>oordinated entry is a process developed to ensure that all people experiencing a housing crisis have fair and equal access and are quickly identified, assessed for, referred, and connected to housing and assistance based on their strengths and needs.</w:t>
      </w:r>
    </w:p>
    <w:p w14:paraId="4893B6ED" w14:textId="77777777" w:rsidR="004E7349" w:rsidRDefault="004E7349" w:rsidP="004E5FB2">
      <w:pPr>
        <w:autoSpaceDE w:val="0"/>
        <w:autoSpaceDN w:val="0"/>
        <w:adjustRightInd w:val="0"/>
        <w:spacing w:after="0" w:line="300" w:lineRule="auto"/>
        <w:contextualSpacing/>
        <w:rPr>
          <w:rFonts w:asciiTheme="minorBidi" w:hAnsiTheme="minorBidi"/>
          <w:b/>
          <w:bCs/>
          <w:color w:val="000000"/>
          <w:sz w:val="22"/>
          <w:szCs w:val="22"/>
        </w:rPr>
      </w:pPr>
    </w:p>
    <w:p w14:paraId="65DD6D53" w14:textId="77777777" w:rsidR="00101C7A" w:rsidRPr="00B315DD" w:rsidRDefault="00101C7A" w:rsidP="004E5FB2">
      <w:pPr>
        <w:autoSpaceDE w:val="0"/>
        <w:autoSpaceDN w:val="0"/>
        <w:adjustRightInd w:val="0"/>
        <w:spacing w:after="0" w:line="300" w:lineRule="auto"/>
        <w:contextualSpacing/>
        <w:rPr>
          <w:rFonts w:asciiTheme="minorBidi" w:hAnsiTheme="minorBidi"/>
          <w:b/>
          <w:bCs/>
          <w:color w:val="000000"/>
          <w:sz w:val="22"/>
          <w:szCs w:val="22"/>
          <w:u w:val="single"/>
        </w:rPr>
      </w:pPr>
      <w:r w:rsidRPr="00B315DD">
        <w:rPr>
          <w:rFonts w:asciiTheme="minorBidi" w:hAnsiTheme="minorBidi"/>
          <w:b/>
          <w:bCs/>
          <w:color w:val="000000"/>
          <w:sz w:val="22"/>
          <w:szCs w:val="22"/>
          <w:u w:val="single"/>
        </w:rPr>
        <w:t>ESG-CV</w:t>
      </w:r>
    </w:p>
    <w:p w14:paraId="7AB7F113" w14:textId="77777777" w:rsidR="00101C7A" w:rsidRPr="00101C7A" w:rsidRDefault="00101C7A" w:rsidP="00101C7A">
      <w:pPr>
        <w:autoSpaceDE w:val="0"/>
        <w:autoSpaceDN w:val="0"/>
        <w:adjustRightInd w:val="0"/>
        <w:spacing w:after="0" w:line="300" w:lineRule="auto"/>
        <w:contextualSpacing/>
        <w:rPr>
          <w:rFonts w:asciiTheme="minorBidi" w:hAnsiTheme="minorBidi"/>
          <w:color w:val="000000"/>
          <w:sz w:val="22"/>
          <w:szCs w:val="22"/>
        </w:rPr>
      </w:pPr>
      <w:r w:rsidRPr="00101C7A">
        <w:rPr>
          <w:rFonts w:asciiTheme="minorBidi" w:hAnsiTheme="minorBidi"/>
          <w:color w:val="000000"/>
          <w:sz w:val="22"/>
          <w:szCs w:val="22"/>
        </w:rPr>
        <w:t>Emergency Solutions Grants Program (ESG) under the Coronavirus Aid, Relief, and Economic Security Act (CARES Act)</w:t>
      </w:r>
      <w:r>
        <w:rPr>
          <w:rFonts w:asciiTheme="minorBidi" w:hAnsiTheme="minorBidi"/>
          <w:color w:val="000000"/>
          <w:sz w:val="22"/>
          <w:szCs w:val="22"/>
        </w:rPr>
        <w:t>. F</w:t>
      </w:r>
      <w:r w:rsidRPr="00101C7A">
        <w:rPr>
          <w:rFonts w:asciiTheme="minorBidi" w:hAnsiTheme="minorBidi"/>
          <w:color w:val="000000"/>
          <w:sz w:val="22"/>
          <w:szCs w:val="22"/>
        </w:rPr>
        <w:t xml:space="preserve">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 </w:t>
      </w:r>
      <w:r>
        <w:rPr>
          <w:rFonts w:asciiTheme="minorBidi" w:hAnsiTheme="minorBidi"/>
          <w:color w:val="000000"/>
          <w:sz w:val="22"/>
          <w:szCs w:val="22"/>
        </w:rPr>
        <w:t>All r</w:t>
      </w:r>
      <w:r w:rsidRPr="00101C7A">
        <w:rPr>
          <w:rFonts w:asciiTheme="minorBidi" w:hAnsiTheme="minorBidi"/>
          <w:color w:val="000000"/>
          <w:sz w:val="22"/>
          <w:szCs w:val="22"/>
        </w:rPr>
        <w:t xml:space="preserve">equirements at 24 CFR Part 576 will apply to the use of these funds, unless otherwise provided by the alternative requirements and flexibilities established under the CARES Act. </w:t>
      </w:r>
    </w:p>
    <w:p w14:paraId="7DA863A1" w14:textId="77777777" w:rsidR="00101C7A" w:rsidRDefault="00101C7A" w:rsidP="004E5FB2">
      <w:pPr>
        <w:autoSpaceDE w:val="0"/>
        <w:autoSpaceDN w:val="0"/>
        <w:adjustRightInd w:val="0"/>
        <w:spacing w:after="0" w:line="300" w:lineRule="auto"/>
        <w:contextualSpacing/>
        <w:rPr>
          <w:rFonts w:asciiTheme="minorBidi" w:hAnsiTheme="minorBidi"/>
          <w:b/>
          <w:bCs/>
          <w:color w:val="000000"/>
          <w:sz w:val="22"/>
          <w:szCs w:val="22"/>
        </w:rPr>
      </w:pPr>
    </w:p>
    <w:p w14:paraId="40030FE6" w14:textId="6C462B02" w:rsidR="00341E87" w:rsidRPr="00B315DD" w:rsidRDefault="00341E87" w:rsidP="004E5FB2">
      <w:pPr>
        <w:autoSpaceDE w:val="0"/>
        <w:autoSpaceDN w:val="0"/>
        <w:adjustRightInd w:val="0"/>
        <w:spacing w:after="0" w:line="300" w:lineRule="auto"/>
        <w:contextualSpacing/>
        <w:rPr>
          <w:rFonts w:asciiTheme="minorBidi" w:hAnsiTheme="minorBidi"/>
          <w:color w:val="000000"/>
          <w:sz w:val="22"/>
          <w:szCs w:val="22"/>
          <w:u w:val="single"/>
        </w:rPr>
      </w:pPr>
      <w:r w:rsidRPr="00B315DD">
        <w:rPr>
          <w:rFonts w:asciiTheme="minorBidi" w:hAnsiTheme="minorBidi"/>
          <w:b/>
          <w:bCs/>
          <w:color w:val="000000"/>
          <w:sz w:val="22"/>
          <w:szCs w:val="22"/>
          <w:u w:val="single"/>
        </w:rPr>
        <w:t xml:space="preserve">Family </w:t>
      </w:r>
    </w:p>
    <w:p w14:paraId="0E0288F8" w14:textId="2643B7DB" w:rsidR="00341E87" w:rsidRDefault="00B47BCC" w:rsidP="004E5FB2">
      <w:pPr>
        <w:autoSpaceDE w:val="0"/>
        <w:autoSpaceDN w:val="0"/>
        <w:adjustRightInd w:val="0"/>
        <w:spacing w:after="0" w:line="300" w:lineRule="auto"/>
        <w:contextualSpacing/>
        <w:rPr>
          <w:rFonts w:asciiTheme="minorBidi" w:hAnsiTheme="minorBidi"/>
          <w:color w:val="000000"/>
          <w:sz w:val="22"/>
          <w:szCs w:val="22"/>
        </w:rPr>
      </w:pPr>
      <w:r w:rsidRPr="00B47BCC">
        <w:rPr>
          <w:rFonts w:asciiTheme="minorBidi" w:hAnsiTheme="minorBidi"/>
          <w:color w:val="000000"/>
          <w:sz w:val="22"/>
          <w:szCs w:val="22"/>
        </w:rPr>
        <w:t>Family </w:t>
      </w:r>
      <w:r w:rsidR="002D46B1">
        <w:rPr>
          <w:rFonts w:asciiTheme="minorBidi" w:hAnsiTheme="minorBidi"/>
          <w:color w:val="000000"/>
          <w:sz w:val="22"/>
          <w:szCs w:val="22"/>
        </w:rPr>
        <w:t>is any self-identified family unit</w:t>
      </w:r>
      <w:r w:rsidRPr="00B47BCC">
        <w:rPr>
          <w:rFonts w:asciiTheme="minorBidi" w:hAnsiTheme="minorBidi"/>
          <w:color w:val="000000"/>
          <w:sz w:val="22"/>
          <w:szCs w:val="22"/>
        </w:rPr>
        <w:t xml:space="preserve"> regardless of marital status, actual or perceived sexual orientation, or gender identity, any group of persons presenting for assistance together with or without children and irrespective of age, relationship, or </w:t>
      </w:r>
      <w:proofErr w:type="gramStart"/>
      <w:r w:rsidRPr="00B47BCC">
        <w:rPr>
          <w:rFonts w:asciiTheme="minorBidi" w:hAnsiTheme="minorBidi"/>
          <w:color w:val="000000"/>
          <w:sz w:val="22"/>
          <w:szCs w:val="22"/>
        </w:rPr>
        <w:t>whether or not</w:t>
      </w:r>
      <w:proofErr w:type="gramEnd"/>
      <w:r w:rsidRPr="00B47BCC">
        <w:rPr>
          <w:rFonts w:asciiTheme="minorBidi" w:hAnsiTheme="minorBidi"/>
          <w:color w:val="000000"/>
          <w:sz w:val="22"/>
          <w:szCs w:val="22"/>
        </w:rPr>
        <w:t xml:space="preserve"> a member of the household has a disability. A child who is temporarily away from the home because of placement in foster care is considered a member of the family.</w:t>
      </w:r>
      <w:r w:rsidRPr="004E5FB2">
        <w:rPr>
          <w:rFonts w:asciiTheme="minorBidi" w:hAnsiTheme="minorBidi"/>
          <w:color w:val="000000"/>
          <w:sz w:val="22"/>
          <w:szCs w:val="22"/>
        </w:rPr>
        <w:t xml:space="preserve"> </w:t>
      </w:r>
      <w:r w:rsidR="00341E87" w:rsidRPr="004E5FB2">
        <w:rPr>
          <w:rFonts w:asciiTheme="minorBidi" w:hAnsiTheme="minorBidi"/>
          <w:color w:val="000000"/>
          <w:sz w:val="22"/>
          <w:szCs w:val="22"/>
        </w:rPr>
        <w:t xml:space="preserve">Section 576.102(b) of the ESG </w:t>
      </w:r>
      <w:r w:rsidR="00341E87" w:rsidRPr="004E5FB2">
        <w:rPr>
          <w:rFonts w:asciiTheme="minorBidi" w:hAnsiTheme="minorBidi"/>
          <w:color w:val="000000"/>
          <w:sz w:val="22"/>
          <w:szCs w:val="22"/>
        </w:rPr>
        <w:lastRenderedPageBreak/>
        <w:t xml:space="preserve">interim rule prohibits ESG-funded programs from denying a family admission to an ESG-funded program or ESG-funded services based on the age of a child under the age of 18 if the program provides services to families with children. Similar requirements for CoC programs can be found in Section 578.93(e) of the CoC Program Interim Rule. </w:t>
      </w:r>
    </w:p>
    <w:p w14:paraId="0EF10C53" w14:textId="77777777" w:rsidR="00D55869" w:rsidRPr="004E5FB2" w:rsidRDefault="00D55869" w:rsidP="004E5FB2">
      <w:pPr>
        <w:autoSpaceDE w:val="0"/>
        <w:autoSpaceDN w:val="0"/>
        <w:adjustRightInd w:val="0"/>
        <w:spacing w:after="0" w:line="300" w:lineRule="auto"/>
        <w:contextualSpacing/>
        <w:rPr>
          <w:rFonts w:asciiTheme="minorBidi" w:hAnsiTheme="minorBidi"/>
          <w:color w:val="000000"/>
          <w:sz w:val="22"/>
          <w:szCs w:val="22"/>
        </w:rPr>
      </w:pPr>
    </w:p>
    <w:p w14:paraId="124D5B60" w14:textId="77777777" w:rsidR="002A1585" w:rsidRPr="00B315DD" w:rsidRDefault="002A1585" w:rsidP="00A8585D">
      <w:pPr>
        <w:autoSpaceDE w:val="0"/>
        <w:autoSpaceDN w:val="0"/>
        <w:adjustRightInd w:val="0"/>
        <w:spacing w:after="0" w:line="300" w:lineRule="auto"/>
        <w:contextualSpacing/>
        <w:rPr>
          <w:rFonts w:asciiTheme="minorBidi" w:hAnsiTheme="minorBidi"/>
          <w:b/>
          <w:bCs/>
          <w:color w:val="000000"/>
          <w:sz w:val="22"/>
          <w:szCs w:val="22"/>
          <w:u w:val="single"/>
        </w:rPr>
      </w:pPr>
      <w:r w:rsidRPr="00B315DD">
        <w:rPr>
          <w:rFonts w:asciiTheme="minorBidi" w:hAnsiTheme="minorBidi"/>
          <w:b/>
          <w:bCs/>
          <w:color w:val="000000"/>
          <w:sz w:val="22"/>
          <w:szCs w:val="22"/>
          <w:u w:val="single"/>
        </w:rPr>
        <w:t xml:space="preserve">Homelessness Prevention </w:t>
      </w:r>
    </w:p>
    <w:p w14:paraId="5CD554B0" w14:textId="54CBFC23" w:rsidR="002A1585" w:rsidRPr="004E5FB2" w:rsidRDefault="002A1585" w:rsidP="00A8585D">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Homelessness Prevention refers to activities designed to keep households that are at-risk of</w:t>
      </w:r>
      <w:r w:rsidR="00B47BCC">
        <w:rPr>
          <w:rFonts w:asciiTheme="minorBidi" w:hAnsiTheme="minorBidi"/>
          <w:color w:val="000000"/>
          <w:sz w:val="22"/>
          <w:szCs w:val="22"/>
        </w:rPr>
        <w:t xml:space="preserve"> </w:t>
      </w:r>
      <w:r w:rsidRPr="004E5FB2">
        <w:rPr>
          <w:rFonts w:asciiTheme="minorBidi" w:hAnsiTheme="minorBidi"/>
          <w:color w:val="000000"/>
          <w:sz w:val="22"/>
          <w:szCs w:val="22"/>
        </w:rPr>
        <w:t>losing their housing from becoming homeless. Homelessness prevention services include</w:t>
      </w:r>
    </w:p>
    <w:p w14:paraId="5C7CA945" w14:textId="3094B74A" w:rsidR="002A1585" w:rsidRPr="004E5FB2" w:rsidRDefault="002A1585" w:rsidP="00A8585D">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housing relocation and stabilization services and/or short- and/or medium-term rental</w:t>
      </w:r>
      <w:r w:rsidR="00B47BCC">
        <w:rPr>
          <w:rFonts w:asciiTheme="minorBidi" w:hAnsiTheme="minorBidi"/>
          <w:color w:val="000000"/>
          <w:sz w:val="22"/>
          <w:szCs w:val="22"/>
        </w:rPr>
        <w:t xml:space="preserve"> </w:t>
      </w:r>
      <w:r w:rsidRPr="004E5FB2">
        <w:rPr>
          <w:rFonts w:asciiTheme="minorBidi" w:hAnsiTheme="minorBidi"/>
          <w:color w:val="000000"/>
          <w:sz w:val="22"/>
          <w:szCs w:val="22"/>
        </w:rPr>
        <w:t>assistance as necessary to prevent the individual or family from moving to an emergency</w:t>
      </w:r>
    </w:p>
    <w:p w14:paraId="235BA032" w14:textId="54484CED" w:rsidR="002A1585" w:rsidRPr="004E5FB2" w:rsidRDefault="002A1585" w:rsidP="00A8585D">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shelter, a place not meant for human habitation, or another place described in “category</w:t>
      </w:r>
      <w:r w:rsidR="00B47BCC">
        <w:rPr>
          <w:rFonts w:asciiTheme="minorBidi" w:hAnsiTheme="minorBidi"/>
          <w:color w:val="000000"/>
          <w:sz w:val="22"/>
          <w:szCs w:val="22"/>
        </w:rPr>
        <w:t xml:space="preserve"> </w:t>
      </w:r>
      <w:r w:rsidRPr="004E5FB2">
        <w:rPr>
          <w:rFonts w:asciiTheme="minorBidi" w:hAnsiTheme="minorBidi"/>
          <w:color w:val="000000"/>
          <w:sz w:val="22"/>
          <w:szCs w:val="22"/>
        </w:rPr>
        <w:t>one” (literally homeless) of the homeless definition. It is most efficiently implemented when</w:t>
      </w:r>
    </w:p>
    <w:p w14:paraId="0D1D54CA" w14:textId="25678DEB" w:rsidR="002A1585" w:rsidRPr="004E5FB2" w:rsidRDefault="002A1585" w:rsidP="00A8585D">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 xml:space="preserve">targeted to those at greatest risk of losing housing. Refer to </w:t>
      </w:r>
      <w:r w:rsidR="002D46B1">
        <w:rPr>
          <w:rFonts w:asciiTheme="minorBidi" w:hAnsiTheme="minorBidi"/>
          <w:color w:val="000000"/>
          <w:sz w:val="22"/>
          <w:szCs w:val="22"/>
        </w:rPr>
        <w:t>the Documentation and Recordkeeping section of this document</w:t>
      </w:r>
      <w:r w:rsidRPr="004E5FB2">
        <w:rPr>
          <w:rFonts w:asciiTheme="minorBidi" w:hAnsiTheme="minorBidi"/>
          <w:color w:val="000000"/>
          <w:sz w:val="22"/>
          <w:szCs w:val="22"/>
        </w:rPr>
        <w:t xml:space="preserve"> for the at-risk definition, and documentation requirements. </w:t>
      </w:r>
    </w:p>
    <w:p w14:paraId="394A8CD2" w14:textId="77777777" w:rsidR="002A1585" w:rsidRDefault="002A1585" w:rsidP="00A8585D">
      <w:pPr>
        <w:autoSpaceDE w:val="0"/>
        <w:autoSpaceDN w:val="0"/>
        <w:adjustRightInd w:val="0"/>
        <w:spacing w:after="0" w:line="300" w:lineRule="auto"/>
        <w:contextualSpacing/>
        <w:rPr>
          <w:rFonts w:asciiTheme="minorBidi" w:hAnsiTheme="minorBidi"/>
          <w:b/>
          <w:bCs/>
          <w:color w:val="000000"/>
          <w:sz w:val="22"/>
          <w:szCs w:val="22"/>
        </w:rPr>
      </w:pPr>
    </w:p>
    <w:p w14:paraId="7C091A0B" w14:textId="77777777" w:rsidR="00B47BCC" w:rsidRPr="00B47BCC" w:rsidRDefault="00B47BCC" w:rsidP="00A8585D">
      <w:pPr>
        <w:autoSpaceDE w:val="0"/>
        <w:autoSpaceDN w:val="0"/>
        <w:adjustRightInd w:val="0"/>
        <w:spacing w:after="0" w:line="300" w:lineRule="auto"/>
        <w:contextualSpacing/>
        <w:rPr>
          <w:rFonts w:asciiTheme="minorBidi" w:hAnsiTheme="minorBidi"/>
          <w:b/>
          <w:bCs/>
          <w:color w:val="000000"/>
          <w:sz w:val="22"/>
          <w:szCs w:val="22"/>
          <w:u w:val="single"/>
        </w:rPr>
      </w:pPr>
      <w:r w:rsidRPr="00B47BCC">
        <w:rPr>
          <w:rFonts w:asciiTheme="minorBidi" w:hAnsiTheme="minorBidi"/>
          <w:b/>
          <w:bCs/>
          <w:color w:val="000000"/>
          <w:sz w:val="22"/>
          <w:szCs w:val="22"/>
          <w:u w:val="single"/>
        </w:rPr>
        <w:t>Household Types</w:t>
      </w:r>
    </w:p>
    <w:p w14:paraId="04391C53" w14:textId="77777777" w:rsidR="00B47BCC" w:rsidRDefault="00B47BCC" w:rsidP="00A8585D">
      <w:pPr>
        <w:autoSpaceDE w:val="0"/>
        <w:autoSpaceDN w:val="0"/>
        <w:adjustRightInd w:val="0"/>
        <w:spacing w:after="0" w:line="300" w:lineRule="auto"/>
        <w:contextualSpacing/>
        <w:rPr>
          <w:rFonts w:asciiTheme="minorBidi" w:hAnsiTheme="minorBidi"/>
          <w:color w:val="000000"/>
          <w:sz w:val="22"/>
          <w:szCs w:val="22"/>
        </w:rPr>
      </w:pPr>
      <w:r>
        <w:rPr>
          <w:rFonts w:asciiTheme="minorBidi" w:hAnsiTheme="minorBidi"/>
          <w:color w:val="000000"/>
          <w:sz w:val="22"/>
          <w:szCs w:val="22"/>
        </w:rPr>
        <w:t xml:space="preserve">HUD categorizes households into three separate groups </w:t>
      </w:r>
      <w:r w:rsidRPr="00B47BCC">
        <w:rPr>
          <w:rFonts w:asciiTheme="minorBidi" w:hAnsiTheme="minorBidi"/>
          <w:color w:val="000000"/>
          <w:sz w:val="22"/>
          <w:szCs w:val="22"/>
        </w:rPr>
        <w:t>regardless of marital status, actual or perceived sexual orientation, or gender identity</w:t>
      </w:r>
      <w:r>
        <w:rPr>
          <w:rFonts w:asciiTheme="minorBidi" w:hAnsiTheme="minorBidi"/>
          <w:color w:val="000000"/>
          <w:sz w:val="22"/>
          <w:szCs w:val="22"/>
        </w:rPr>
        <w:t xml:space="preserve"> and </w:t>
      </w:r>
      <w:r w:rsidRPr="00B47BCC">
        <w:rPr>
          <w:rFonts w:asciiTheme="minorBidi" w:hAnsiTheme="minorBidi"/>
          <w:color w:val="000000"/>
          <w:sz w:val="22"/>
          <w:szCs w:val="22"/>
        </w:rPr>
        <w:t>irrespective of age</w:t>
      </w:r>
      <w:r>
        <w:rPr>
          <w:rFonts w:asciiTheme="minorBidi" w:hAnsiTheme="minorBidi"/>
          <w:color w:val="000000"/>
          <w:sz w:val="22"/>
          <w:szCs w:val="22"/>
        </w:rPr>
        <w:t xml:space="preserve"> or</w:t>
      </w:r>
      <w:r w:rsidRPr="00B47BCC">
        <w:rPr>
          <w:rFonts w:asciiTheme="minorBidi" w:hAnsiTheme="minorBidi"/>
          <w:color w:val="000000"/>
          <w:sz w:val="22"/>
          <w:szCs w:val="22"/>
        </w:rPr>
        <w:t xml:space="preserve"> relationship</w:t>
      </w:r>
      <w:r>
        <w:rPr>
          <w:rFonts w:asciiTheme="minorBidi" w:hAnsiTheme="minorBidi"/>
          <w:color w:val="000000"/>
          <w:sz w:val="22"/>
          <w:szCs w:val="22"/>
        </w:rPr>
        <w:t>.</w:t>
      </w:r>
    </w:p>
    <w:p w14:paraId="1E00473D" w14:textId="77777777" w:rsidR="00B47BCC" w:rsidRPr="00B47BCC" w:rsidRDefault="00B47BCC" w:rsidP="004A10EE">
      <w:pPr>
        <w:pStyle w:val="ListParagraph"/>
        <w:numPr>
          <w:ilvl w:val="0"/>
          <w:numId w:val="18"/>
        </w:numPr>
        <w:autoSpaceDE w:val="0"/>
        <w:autoSpaceDN w:val="0"/>
        <w:adjustRightInd w:val="0"/>
        <w:spacing w:after="0" w:line="300" w:lineRule="auto"/>
        <w:rPr>
          <w:rFonts w:asciiTheme="minorBidi" w:hAnsiTheme="minorBidi"/>
          <w:color w:val="000000"/>
          <w:sz w:val="22"/>
          <w:szCs w:val="22"/>
        </w:rPr>
      </w:pPr>
      <w:r w:rsidRPr="00B47BCC">
        <w:rPr>
          <w:rFonts w:asciiTheme="minorBidi" w:hAnsiTheme="minorBidi"/>
          <w:color w:val="000000"/>
          <w:sz w:val="22"/>
          <w:szCs w:val="22"/>
        </w:rPr>
        <w:t>Household without Children</w:t>
      </w:r>
    </w:p>
    <w:p w14:paraId="0BB9B3A6" w14:textId="2695F6BB" w:rsidR="00B47BCC" w:rsidRPr="00B47BCC" w:rsidRDefault="00B47BCC" w:rsidP="004A10EE">
      <w:pPr>
        <w:pStyle w:val="ListParagraph"/>
        <w:numPr>
          <w:ilvl w:val="0"/>
          <w:numId w:val="18"/>
        </w:numPr>
        <w:autoSpaceDE w:val="0"/>
        <w:autoSpaceDN w:val="0"/>
        <w:adjustRightInd w:val="0"/>
        <w:spacing w:after="0" w:line="300" w:lineRule="auto"/>
        <w:rPr>
          <w:rFonts w:asciiTheme="minorBidi" w:hAnsiTheme="minorBidi"/>
          <w:color w:val="000000"/>
          <w:sz w:val="22"/>
          <w:szCs w:val="22"/>
        </w:rPr>
      </w:pPr>
      <w:r w:rsidRPr="00B47BCC">
        <w:rPr>
          <w:rFonts w:asciiTheme="minorBidi" w:hAnsiTheme="minorBidi"/>
          <w:color w:val="000000"/>
          <w:sz w:val="22"/>
          <w:szCs w:val="22"/>
        </w:rPr>
        <w:t xml:space="preserve">Household with </w:t>
      </w:r>
      <w:r w:rsidR="00AF75DB">
        <w:rPr>
          <w:rFonts w:asciiTheme="minorBidi" w:hAnsiTheme="minorBidi"/>
          <w:color w:val="000000"/>
          <w:sz w:val="22"/>
          <w:szCs w:val="22"/>
        </w:rPr>
        <w:t xml:space="preserve">Adults and </w:t>
      </w:r>
      <w:r w:rsidRPr="00B47BCC">
        <w:rPr>
          <w:rFonts w:asciiTheme="minorBidi" w:hAnsiTheme="minorBidi"/>
          <w:color w:val="000000"/>
          <w:sz w:val="22"/>
          <w:szCs w:val="22"/>
        </w:rPr>
        <w:t>Children</w:t>
      </w:r>
    </w:p>
    <w:p w14:paraId="6E2D9B87" w14:textId="77777777" w:rsidR="00B47BCC" w:rsidRPr="00B47BCC" w:rsidRDefault="00B47BCC" w:rsidP="004A10EE">
      <w:pPr>
        <w:pStyle w:val="ListParagraph"/>
        <w:numPr>
          <w:ilvl w:val="0"/>
          <w:numId w:val="18"/>
        </w:numPr>
        <w:autoSpaceDE w:val="0"/>
        <w:autoSpaceDN w:val="0"/>
        <w:adjustRightInd w:val="0"/>
        <w:spacing w:after="0" w:line="300" w:lineRule="auto"/>
        <w:rPr>
          <w:rFonts w:asciiTheme="minorBidi" w:hAnsiTheme="minorBidi"/>
          <w:color w:val="000000"/>
          <w:sz w:val="22"/>
          <w:szCs w:val="22"/>
        </w:rPr>
      </w:pPr>
      <w:r w:rsidRPr="00B47BCC">
        <w:rPr>
          <w:rFonts w:asciiTheme="minorBidi" w:hAnsiTheme="minorBidi"/>
          <w:color w:val="000000"/>
          <w:sz w:val="22"/>
          <w:szCs w:val="22"/>
        </w:rPr>
        <w:t>Household with ONLY Children</w:t>
      </w:r>
    </w:p>
    <w:p w14:paraId="66B47B08" w14:textId="77777777" w:rsidR="00B47BCC" w:rsidRPr="00C1115A" w:rsidRDefault="00B47BCC" w:rsidP="00A8585D">
      <w:pPr>
        <w:autoSpaceDE w:val="0"/>
        <w:autoSpaceDN w:val="0"/>
        <w:adjustRightInd w:val="0"/>
        <w:spacing w:after="0" w:line="300" w:lineRule="auto"/>
        <w:contextualSpacing/>
        <w:rPr>
          <w:rFonts w:asciiTheme="minorBidi" w:hAnsiTheme="minorBidi"/>
          <w:color w:val="000000"/>
          <w:sz w:val="22"/>
        </w:rPr>
      </w:pPr>
    </w:p>
    <w:p w14:paraId="34E0DED0" w14:textId="77777777" w:rsidR="002A1585" w:rsidRPr="00B315DD" w:rsidRDefault="002A1585" w:rsidP="00A8585D">
      <w:pPr>
        <w:autoSpaceDE w:val="0"/>
        <w:autoSpaceDN w:val="0"/>
        <w:adjustRightInd w:val="0"/>
        <w:spacing w:after="0" w:line="300" w:lineRule="auto"/>
        <w:contextualSpacing/>
        <w:rPr>
          <w:rFonts w:asciiTheme="minorBidi" w:hAnsiTheme="minorBidi"/>
          <w:color w:val="000000"/>
          <w:sz w:val="22"/>
          <w:szCs w:val="22"/>
          <w:u w:val="single"/>
        </w:rPr>
      </w:pPr>
      <w:r w:rsidRPr="00B315DD">
        <w:rPr>
          <w:rFonts w:asciiTheme="minorBidi" w:hAnsiTheme="minorBidi"/>
          <w:b/>
          <w:bCs/>
          <w:color w:val="000000"/>
          <w:sz w:val="22"/>
          <w:szCs w:val="22"/>
          <w:u w:val="single"/>
        </w:rPr>
        <w:t xml:space="preserve">Housing First </w:t>
      </w:r>
    </w:p>
    <w:p w14:paraId="31D0A389" w14:textId="77777777" w:rsidR="002A1585" w:rsidRPr="004E5FB2" w:rsidRDefault="002A1585" w:rsidP="00A8585D">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 xml:space="preserve">Housing First emerged as an alternative to the linear approach in which people experiencing homelessness were required to first participate in and graduate from short-term residential and treatment programs before obtaining permanent housing. In the linear approach, permanent housing was offered only after a person experiencing homelessness could demonstrate that they were “ready” for housing. By contrast, Housing First is premised on the following principles: </w:t>
      </w:r>
    </w:p>
    <w:p w14:paraId="2C1E8DAC" w14:textId="77777777" w:rsidR="002A1585" w:rsidRPr="005422BF" w:rsidRDefault="002A1585" w:rsidP="004A10EE">
      <w:pPr>
        <w:pStyle w:val="ListParagraph"/>
        <w:numPr>
          <w:ilvl w:val="0"/>
          <w:numId w:val="17"/>
        </w:numPr>
        <w:autoSpaceDE w:val="0"/>
        <w:autoSpaceDN w:val="0"/>
        <w:adjustRightInd w:val="0"/>
        <w:spacing w:after="0" w:line="300" w:lineRule="auto"/>
        <w:ind w:left="270" w:hanging="270"/>
        <w:rPr>
          <w:rFonts w:asciiTheme="minorBidi" w:hAnsiTheme="minorBidi"/>
          <w:color w:val="000000"/>
          <w:sz w:val="22"/>
          <w:szCs w:val="22"/>
        </w:rPr>
      </w:pPr>
      <w:r w:rsidRPr="005422BF">
        <w:rPr>
          <w:rFonts w:asciiTheme="minorBidi" w:hAnsiTheme="minorBidi"/>
          <w:color w:val="000000"/>
          <w:sz w:val="22"/>
          <w:szCs w:val="22"/>
        </w:rPr>
        <w:t>Homelessness is first and foremost a housing crisis and can be addressed through the provision of safe and affordable housing.</w:t>
      </w:r>
    </w:p>
    <w:p w14:paraId="2B2DBD3A" w14:textId="77777777" w:rsidR="002A1585" w:rsidRPr="00171CE4" w:rsidRDefault="002A1585" w:rsidP="004A10EE">
      <w:pPr>
        <w:pStyle w:val="ListParagraph"/>
        <w:numPr>
          <w:ilvl w:val="0"/>
          <w:numId w:val="17"/>
        </w:numPr>
        <w:tabs>
          <w:tab w:val="left" w:pos="270"/>
        </w:tabs>
        <w:autoSpaceDE w:val="0"/>
        <w:autoSpaceDN w:val="0"/>
        <w:adjustRightInd w:val="0"/>
        <w:spacing w:after="0" w:line="300" w:lineRule="auto"/>
        <w:ind w:left="270" w:hanging="270"/>
        <w:rPr>
          <w:rFonts w:asciiTheme="minorBidi" w:hAnsiTheme="minorBidi"/>
          <w:color w:val="000000"/>
          <w:sz w:val="22"/>
          <w:szCs w:val="22"/>
        </w:rPr>
      </w:pPr>
      <w:r w:rsidRPr="00171CE4">
        <w:rPr>
          <w:rFonts w:asciiTheme="minorBidi" w:hAnsiTheme="minorBidi"/>
          <w:color w:val="000000"/>
          <w:sz w:val="22"/>
          <w:szCs w:val="22"/>
        </w:rPr>
        <w:t xml:space="preserve">All people experiencing homelessness, regardless of their housing history and duration of homelessness, can achieve housing stability in permanent housing. Some may need very little support for a brief </w:t>
      </w:r>
      <w:proofErr w:type="gramStart"/>
      <w:r w:rsidRPr="00171CE4">
        <w:rPr>
          <w:rFonts w:asciiTheme="minorBidi" w:hAnsiTheme="minorBidi"/>
          <w:color w:val="000000"/>
          <w:sz w:val="22"/>
          <w:szCs w:val="22"/>
        </w:rPr>
        <w:t>period of time</w:t>
      </w:r>
      <w:proofErr w:type="gramEnd"/>
      <w:r w:rsidRPr="00171CE4">
        <w:rPr>
          <w:rFonts w:asciiTheme="minorBidi" w:hAnsiTheme="minorBidi"/>
          <w:color w:val="000000"/>
          <w:sz w:val="22"/>
          <w:szCs w:val="22"/>
        </w:rPr>
        <w:t xml:space="preserve">, while others may need more intensive and long-term supports. </w:t>
      </w:r>
    </w:p>
    <w:p w14:paraId="14C12753" w14:textId="4DD91DBB" w:rsidR="002A1585" w:rsidRPr="005422BF" w:rsidRDefault="002A1585" w:rsidP="004A10EE">
      <w:pPr>
        <w:pStyle w:val="ListParagraph"/>
        <w:numPr>
          <w:ilvl w:val="0"/>
          <w:numId w:val="17"/>
        </w:numPr>
        <w:autoSpaceDE w:val="0"/>
        <w:autoSpaceDN w:val="0"/>
        <w:adjustRightInd w:val="0"/>
        <w:spacing w:after="65" w:line="300" w:lineRule="auto"/>
        <w:ind w:left="270" w:hanging="270"/>
        <w:rPr>
          <w:rFonts w:asciiTheme="minorBidi" w:hAnsiTheme="minorBidi"/>
          <w:color w:val="000000"/>
          <w:sz w:val="22"/>
          <w:szCs w:val="22"/>
        </w:rPr>
      </w:pPr>
      <w:r w:rsidRPr="005422BF">
        <w:rPr>
          <w:rFonts w:asciiTheme="minorBidi" w:hAnsiTheme="minorBidi"/>
          <w:color w:val="000000"/>
          <w:sz w:val="22"/>
          <w:szCs w:val="22"/>
        </w:rPr>
        <w:t>Everyone is “housing ready”</w:t>
      </w:r>
      <w:r w:rsidR="00803781">
        <w:rPr>
          <w:rFonts w:asciiTheme="minorBidi" w:hAnsiTheme="minorBidi"/>
          <w:color w:val="000000"/>
          <w:sz w:val="22"/>
          <w:szCs w:val="22"/>
        </w:rPr>
        <w:t xml:space="preserve">, regardless of drug or alcohol use, </w:t>
      </w:r>
      <w:r w:rsidRPr="005422BF">
        <w:rPr>
          <w:rFonts w:asciiTheme="minorBidi" w:hAnsiTheme="minorBidi"/>
          <w:color w:val="000000"/>
          <w:sz w:val="22"/>
          <w:szCs w:val="22"/>
        </w:rPr>
        <w:t xml:space="preserve">compliance in </w:t>
      </w:r>
      <w:r w:rsidR="00803781">
        <w:rPr>
          <w:rFonts w:asciiTheme="minorBidi" w:hAnsiTheme="minorBidi"/>
          <w:color w:val="000000"/>
          <w:sz w:val="22"/>
          <w:szCs w:val="22"/>
        </w:rPr>
        <w:t xml:space="preserve">behavioral health </w:t>
      </w:r>
      <w:r w:rsidRPr="005422BF">
        <w:rPr>
          <w:rFonts w:asciiTheme="minorBidi" w:hAnsiTheme="minorBidi"/>
          <w:color w:val="000000"/>
          <w:sz w:val="22"/>
          <w:szCs w:val="22"/>
        </w:rPr>
        <w:t>treatment, or criminal histor</w:t>
      </w:r>
      <w:r w:rsidR="002D46B1">
        <w:rPr>
          <w:rFonts w:asciiTheme="minorBidi" w:hAnsiTheme="minorBidi"/>
          <w:color w:val="000000"/>
          <w:sz w:val="22"/>
          <w:szCs w:val="22"/>
        </w:rPr>
        <w:t>y</w:t>
      </w:r>
      <w:r w:rsidR="00803781">
        <w:rPr>
          <w:rFonts w:asciiTheme="minorBidi" w:hAnsiTheme="minorBidi"/>
          <w:color w:val="000000"/>
          <w:sz w:val="22"/>
          <w:szCs w:val="22"/>
        </w:rPr>
        <w:t>.</w:t>
      </w:r>
      <w:r w:rsidRPr="005422BF">
        <w:rPr>
          <w:rFonts w:asciiTheme="minorBidi" w:hAnsiTheme="minorBidi"/>
          <w:color w:val="000000"/>
          <w:sz w:val="22"/>
          <w:szCs w:val="22"/>
        </w:rPr>
        <w:t xml:space="preserve"> </w:t>
      </w:r>
      <w:r w:rsidR="00803781">
        <w:rPr>
          <w:rFonts w:asciiTheme="minorBidi" w:hAnsiTheme="minorBidi"/>
          <w:color w:val="000000"/>
          <w:sz w:val="22"/>
          <w:szCs w:val="22"/>
        </w:rPr>
        <w:t>H</w:t>
      </w:r>
      <w:r w:rsidRPr="005422BF">
        <w:rPr>
          <w:rFonts w:asciiTheme="minorBidi" w:hAnsiTheme="minorBidi"/>
          <w:color w:val="000000"/>
          <w:sz w:val="22"/>
          <w:szCs w:val="22"/>
        </w:rPr>
        <w:t xml:space="preserve">omelessness programs and housing providers must be “consumer ready.” </w:t>
      </w:r>
    </w:p>
    <w:p w14:paraId="510E590B" w14:textId="4967E683" w:rsidR="002A1585" w:rsidRPr="005422BF" w:rsidRDefault="002A1585" w:rsidP="004A10EE">
      <w:pPr>
        <w:pStyle w:val="ListParagraph"/>
        <w:numPr>
          <w:ilvl w:val="0"/>
          <w:numId w:val="17"/>
        </w:numPr>
        <w:autoSpaceDE w:val="0"/>
        <w:autoSpaceDN w:val="0"/>
        <w:adjustRightInd w:val="0"/>
        <w:spacing w:after="65" w:line="300" w:lineRule="auto"/>
        <w:ind w:left="270" w:hanging="270"/>
        <w:rPr>
          <w:rFonts w:asciiTheme="minorBidi" w:hAnsiTheme="minorBidi"/>
          <w:color w:val="000000"/>
          <w:sz w:val="22"/>
          <w:szCs w:val="22"/>
        </w:rPr>
      </w:pPr>
      <w:r w:rsidRPr="005422BF">
        <w:rPr>
          <w:rFonts w:asciiTheme="minorBidi" w:hAnsiTheme="minorBidi"/>
          <w:color w:val="000000"/>
          <w:sz w:val="22"/>
          <w:szCs w:val="22"/>
        </w:rPr>
        <w:t>Many people experience improvements in quality of life</w:t>
      </w:r>
      <w:r w:rsidR="002D46B1">
        <w:rPr>
          <w:rFonts w:asciiTheme="minorBidi" w:hAnsiTheme="minorBidi"/>
          <w:color w:val="000000"/>
          <w:sz w:val="22"/>
          <w:szCs w:val="22"/>
        </w:rPr>
        <w:t xml:space="preserve"> </w:t>
      </w:r>
      <w:proofErr w:type="gramStart"/>
      <w:r w:rsidRPr="005422BF">
        <w:rPr>
          <w:rFonts w:asciiTheme="minorBidi" w:hAnsiTheme="minorBidi"/>
          <w:color w:val="000000"/>
          <w:sz w:val="22"/>
          <w:szCs w:val="22"/>
        </w:rPr>
        <w:t>as a result of</w:t>
      </w:r>
      <w:proofErr w:type="gramEnd"/>
      <w:r w:rsidRPr="005422BF">
        <w:rPr>
          <w:rFonts w:asciiTheme="minorBidi" w:hAnsiTheme="minorBidi"/>
          <w:color w:val="000000"/>
          <w:sz w:val="22"/>
          <w:szCs w:val="22"/>
        </w:rPr>
        <w:t xml:space="preserve"> </w:t>
      </w:r>
      <w:r w:rsidR="002D46B1">
        <w:rPr>
          <w:rFonts w:asciiTheme="minorBidi" w:hAnsiTheme="minorBidi"/>
          <w:color w:val="000000"/>
          <w:sz w:val="22"/>
          <w:szCs w:val="22"/>
        </w:rPr>
        <w:t>obtaining</w:t>
      </w:r>
      <w:r w:rsidRPr="005422BF">
        <w:rPr>
          <w:rFonts w:asciiTheme="minorBidi" w:hAnsiTheme="minorBidi"/>
          <w:color w:val="000000"/>
          <w:sz w:val="22"/>
          <w:szCs w:val="22"/>
        </w:rPr>
        <w:t xml:space="preserve"> housing. </w:t>
      </w:r>
    </w:p>
    <w:p w14:paraId="2E7AD62F" w14:textId="77777777" w:rsidR="002A1585" w:rsidRPr="005422BF" w:rsidRDefault="002A1585" w:rsidP="004A10EE">
      <w:pPr>
        <w:pStyle w:val="ListParagraph"/>
        <w:numPr>
          <w:ilvl w:val="0"/>
          <w:numId w:val="17"/>
        </w:numPr>
        <w:autoSpaceDE w:val="0"/>
        <w:autoSpaceDN w:val="0"/>
        <w:adjustRightInd w:val="0"/>
        <w:spacing w:after="65" w:line="300" w:lineRule="auto"/>
        <w:ind w:left="270" w:hanging="270"/>
        <w:rPr>
          <w:rFonts w:asciiTheme="minorBidi" w:hAnsiTheme="minorBidi"/>
          <w:color w:val="000000"/>
          <w:sz w:val="22"/>
          <w:szCs w:val="22"/>
        </w:rPr>
      </w:pPr>
      <w:r w:rsidRPr="005422BF">
        <w:rPr>
          <w:rFonts w:asciiTheme="minorBidi" w:hAnsiTheme="minorBidi"/>
          <w:color w:val="000000"/>
          <w:sz w:val="22"/>
          <w:szCs w:val="22"/>
        </w:rPr>
        <w:lastRenderedPageBreak/>
        <w:t xml:space="preserve">People experiencing homelessness have the right to self-determination and should be treated with dignity and respect. </w:t>
      </w:r>
    </w:p>
    <w:p w14:paraId="3977A516" w14:textId="090F871E" w:rsidR="00171CE4" w:rsidRPr="005422BF" w:rsidRDefault="002A1585" w:rsidP="004A10EE">
      <w:pPr>
        <w:pStyle w:val="ListParagraph"/>
        <w:numPr>
          <w:ilvl w:val="0"/>
          <w:numId w:val="17"/>
        </w:numPr>
        <w:autoSpaceDE w:val="0"/>
        <w:autoSpaceDN w:val="0"/>
        <w:adjustRightInd w:val="0"/>
        <w:spacing w:after="0" w:line="300" w:lineRule="auto"/>
        <w:ind w:left="270" w:hanging="270"/>
        <w:rPr>
          <w:rFonts w:asciiTheme="minorBidi" w:hAnsiTheme="minorBidi"/>
          <w:color w:val="000000"/>
          <w:sz w:val="22"/>
          <w:szCs w:val="22"/>
        </w:rPr>
      </w:pPr>
      <w:r w:rsidRPr="005422BF">
        <w:rPr>
          <w:rFonts w:asciiTheme="minorBidi" w:hAnsiTheme="minorBidi"/>
          <w:color w:val="000000"/>
          <w:sz w:val="22"/>
          <w:szCs w:val="22"/>
        </w:rPr>
        <w:t xml:space="preserve">The exact configuration of housing and services depends upon the needs and preferences of the </w:t>
      </w:r>
      <w:r w:rsidR="002D46B1">
        <w:rPr>
          <w:rFonts w:asciiTheme="minorBidi" w:hAnsiTheme="minorBidi"/>
          <w:color w:val="000000"/>
          <w:sz w:val="22"/>
          <w:szCs w:val="22"/>
        </w:rPr>
        <w:t>individual household</w:t>
      </w:r>
      <w:r w:rsidRPr="005422BF">
        <w:rPr>
          <w:rFonts w:asciiTheme="minorBidi" w:hAnsiTheme="minorBidi"/>
          <w:color w:val="000000"/>
          <w:sz w:val="22"/>
          <w:szCs w:val="22"/>
        </w:rPr>
        <w:t xml:space="preserve">. </w:t>
      </w:r>
    </w:p>
    <w:p w14:paraId="3E0518EE" w14:textId="77777777" w:rsidR="00A564B9" w:rsidRDefault="00A564B9" w:rsidP="00A8585D">
      <w:pPr>
        <w:autoSpaceDE w:val="0"/>
        <w:autoSpaceDN w:val="0"/>
        <w:adjustRightInd w:val="0"/>
        <w:spacing w:after="0" w:line="300" w:lineRule="auto"/>
        <w:contextualSpacing/>
        <w:rPr>
          <w:rFonts w:asciiTheme="minorBidi" w:hAnsiTheme="minorBidi"/>
          <w:b/>
          <w:bCs/>
          <w:color w:val="000000"/>
          <w:sz w:val="22"/>
          <w:szCs w:val="22"/>
        </w:rPr>
      </w:pPr>
    </w:p>
    <w:p w14:paraId="649A376D" w14:textId="77777777" w:rsidR="00341E87" w:rsidRPr="00B315DD" w:rsidRDefault="00341E87" w:rsidP="00A8585D">
      <w:pPr>
        <w:autoSpaceDE w:val="0"/>
        <w:autoSpaceDN w:val="0"/>
        <w:adjustRightInd w:val="0"/>
        <w:spacing w:after="0" w:line="300" w:lineRule="auto"/>
        <w:contextualSpacing/>
        <w:rPr>
          <w:rFonts w:asciiTheme="minorBidi" w:hAnsiTheme="minorBidi"/>
          <w:color w:val="000000"/>
          <w:sz w:val="22"/>
          <w:szCs w:val="22"/>
          <w:u w:val="single"/>
        </w:rPr>
      </w:pPr>
      <w:r w:rsidRPr="00B315DD">
        <w:rPr>
          <w:rFonts w:asciiTheme="minorBidi" w:hAnsiTheme="minorBidi"/>
          <w:b/>
          <w:bCs/>
          <w:color w:val="000000"/>
          <w:sz w:val="22"/>
          <w:szCs w:val="22"/>
          <w:u w:val="single"/>
        </w:rPr>
        <w:t xml:space="preserve">Permanent Housing </w:t>
      </w:r>
    </w:p>
    <w:p w14:paraId="0B4D500E" w14:textId="09E7F00E" w:rsidR="00341E87" w:rsidRPr="004E5FB2" w:rsidRDefault="00341E87" w:rsidP="008443F6">
      <w:pPr>
        <w:autoSpaceDE w:val="0"/>
        <w:autoSpaceDN w:val="0"/>
        <w:adjustRightInd w:val="0"/>
        <w:spacing w:after="0" w:line="300" w:lineRule="auto"/>
        <w:contextualSpacing/>
        <w:rPr>
          <w:rFonts w:asciiTheme="minorBidi" w:hAnsiTheme="minorBidi"/>
          <w:color w:val="000000"/>
          <w:sz w:val="22"/>
          <w:szCs w:val="22"/>
        </w:rPr>
      </w:pPr>
      <w:r w:rsidRPr="004E5FB2">
        <w:rPr>
          <w:rFonts w:asciiTheme="minorBidi" w:hAnsiTheme="minorBidi"/>
          <w:color w:val="000000"/>
          <w:sz w:val="22"/>
          <w:szCs w:val="22"/>
        </w:rPr>
        <w:t xml:space="preserve">Permanent housing </w:t>
      </w:r>
      <w:r w:rsidR="00805C13">
        <w:rPr>
          <w:rFonts w:asciiTheme="minorBidi" w:hAnsiTheme="minorBidi"/>
          <w:color w:val="000000"/>
          <w:sz w:val="22"/>
          <w:szCs w:val="22"/>
        </w:rPr>
        <w:t>is</w:t>
      </w:r>
      <w:r w:rsidRPr="004E5FB2">
        <w:rPr>
          <w:rFonts w:asciiTheme="minorBidi" w:hAnsiTheme="minorBidi"/>
          <w:color w:val="000000"/>
          <w:sz w:val="22"/>
          <w:szCs w:val="22"/>
        </w:rPr>
        <w:t xml:space="preserve"> community-based housing without a designated length of </w:t>
      </w:r>
      <w:r w:rsidR="00171CE4" w:rsidRPr="004E5FB2">
        <w:rPr>
          <w:rFonts w:asciiTheme="minorBidi" w:hAnsiTheme="minorBidi"/>
          <w:color w:val="000000"/>
          <w:sz w:val="22"/>
          <w:szCs w:val="22"/>
        </w:rPr>
        <w:t>stay</w:t>
      </w:r>
      <w:r w:rsidR="00197473">
        <w:rPr>
          <w:rFonts w:asciiTheme="minorBidi" w:hAnsiTheme="minorBidi"/>
          <w:color w:val="000000"/>
          <w:sz w:val="22"/>
          <w:szCs w:val="22"/>
        </w:rPr>
        <w:t xml:space="preserve"> </w:t>
      </w:r>
      <w:r w:rsidR="00171CE4" w:rsidRPr="004E5FB2">
        <w:rPr>
          <w:rFonts w:asciiTheme="minorBidi" w:hAnsiTheme="minorBidi"/>
          <w:color w:val="000000"/>
          <w:sz w:val="22"/>
          <w:szCs w:val="22"/>
        </w:rPr>
        <w:t>and</w:t>
      </w:r>
      <w:r w:rsidRPr="004E5FB2">
        <w:rPr>
          <w:rFonts w:asciiTheme="minorBidi" w:hAnsiTheme="minorBidi"/>
          <w:color w:val="000000"/>
          <w:sz w:val="22"/>
          <w:szCs w:val="22"/>
        </w:rPr>
        <w:t xml:space="preserve"> </w:t>
      </w:r>
      <w:r w:rsidR="002D46B1">
        <w:rPr>
          <w:rFonts w:asciiTheme="minorBidi" w:hAnsiTheme="minorBidi"/>
          <w:color w:val="000000"/>
          <w:sz w:val="22"/>
          <w:szCs w:val="22"/>
        </w:rPr>
        <w:t xml:space="preserve">can </w:t>
      </w:r>
      <w:r w:rsidRPr="004E5FB2">
        <w:rPr>
          <w:rFonts w:asciiTheme="minorBidi" w:hAnsiTheme="minorBidi"/>
          <w:color w:val="000000"/>
          <w:sz w:val="22"/>
          <w:szCs w:val="22"/>
        </w:rPr>
        <w:t>include</w:t>
      </w:r>
      <w:r w:rsidR="002D46B1">
        <w:rPr>
          <w:rFonts w:asciiTheme="minorBidi" w:hAnsiTheme="minorBidi"/>
          <w:color w:val="000000"/>
          <w:sz w:val="22"/>
          <w:szCs w:val="22"/>
        </w:rPr>
        <w:t xml:space="preserve"> </w:t>
      </w:r>
      <w:r w:rsidRPr="004E5FB2">
        <w:rPr>
          <w:rFonts w:asciiTheme="minorBidi" w:hAnsiTheme="minorBidi"/>
          <w:color w:val="000000"/>
          <w:sz w:val="22"/>
          <w:szCs w:val="22"/>
        </w:rPr>
        <w:t xml:space="preserve">permanent supportive housing and rapid re-housing. </w:t>
      </w:r>
    </w:p>
    <w:p w14:paraId="3004DB70" w14:textId="77777777" w:rsidR="00171CE4" w:rsidRDefault="00171CE4" w:rsidP="00A8585D">
      <w:pPr>
        <w:autoSpaceDE w:val="0"/>
        <w:autoSpaceDN w:val="0"/>
        <w:adjustRightInd w:val="0"/>
        <w:spacing w:after="0" w:line="300" w:lineRule="auto"/>
        <w:contextualSpacing/>
        <w:rPr>
          <w:rFonts w:asciiTheme="minorBidi" w:hAnsiTheme="minorBidi"/>
          <w:b/>
          <w:bCs/>
          <w:color w:val="000000"/>
          <w:sz w:val="22"/>
          <w:szCs w:val="22"/>
        </w:rPr>
      </w:pPr>
    </w:p>
    <w:p w14:paraId="456333ED" w14:textId="380DDB12" w:rsidR="002A1585" w:rsidRPr="00B315DD" w:rsidRDefault="002A1585" w:rsidP="00A8585D">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Progressive Engagement</w:t>
      </w:r>
    </w:p>
    <w:p w14:paraId="09CBD594" w14:textId="77777777" w:rsidR="002A1585" w:rsidRPr="006116F9" w:rsidRDefault="002A1585" w:rsidP="00A8585D">
      <w:pPr>
        <w:autoSpaceDE w:val="0"/>
        <w:autoSpaceDN w:val="0"/>
        <w:adjustRightInd w:val="0"/>
        <w:spacing w:after="0" w:line="300" w:lineRule="auto"/>
        <w:contextualSpacing/>
        <w:rPr>
          <w:rFonts w:asciiTheme="minorBidi" w:hAnsiTheme="minorBidi"/>
          <w:sz w:val="22"/>
          <w:szCs w:val="22"/>
        </w:rPr>
      </w:pPr>
      <w:r>
        <w:rPr>
          <w:rFonts w:asciiTheme="minorBidi" w:hAnsiTheme="minorBidi"/>
          <w:sz w:val="22"/>
          <w:szCs w:val="22"/>
        </w:rPr>
        <w:t xml:space="preserve">Progressive Engagement </w:t>
      </w:r>
      <w:r w:rsidRPr="006116F9">
        <w:rPr>
          <w:rFonts w:asciiTheme="minorBidi" w:hAnsiTheme="minorBidi"/>
          <w:sz w:val="22"/>
          <w:szCs w:val="22"/>
        </w:rPr>
        <w:t>is a</w:t>
      </w:r>
      <w:r>
        <w:rPr>
          <w:rFonts w:asciiTheme="minorBidi" w:hAnsiTheme="minorBidi"/>
          <w:sz w:val="22"/>
          <w:szCs w:val="22"/>
        </w:rPr>
        <w:t xml:space="preserve"> service</w:t>
      </w:r>
      <w:r w:rsidRPr="006116F9">
        <w:rPr>
          <w:rFonts w:asciiTheme="minorBidi" w:hAnsiTheme="minorBidi"/>
          <w:sz w:val="22"/>
          <w:szCs w:val="22"/>
        </w:rPr>
        <w:t xml:space="preserve"> approach to helping households end their homelessness as rapidly as possible, despite barriers, with m</w:t>
      </w:r>
      <w:r w:rsidR="00805C13">
        <w:rPr>
          <w:rFonts w:asciiTheme="minorBidi" w:hAnsiTheme="minorBidi"/>
          <w:sz w:val="22"/>
          <w:szCs w:val="22"/>
        </w:rPr>
        <w:t>inimal</w:t>
      </w:r>
      <w:r w:rsidRPr="006116F9">
        <w:rPr>
          <w:rFonts w:asciiTheme="minorBidi" w:hAnsiTheme="minorBidi"/>
          <w:sz w:val="22"/>
          <w:szCs w:val="22"/>
        </w:rPr>
        <w:t xml:space="preserve"> financial and support resources. More supports are offered to those households who struggle to stabilize and cannot maintain their housing without assistance.</w:t>
      </w:r>
    </w:p>
    <w:p w14:paraId="6BCD575E" w14:textId="77777777" w:rsidR="002A1585" w:rsidRDefault="002A1585" w:rsidP="002A1585">
      <w:pPr>
        <w:autoSpaceDE w:val="0"/>
        <w:autoSpaceDN w:val="0"/>
        <w:adjustRightInd w:val="0"/>
        <w:spacing w:after="0" w:line="300" w:lineRule="auto"/>
        <w:contextualSpacing/>
        <w:rPr>
          <w:rFonts w:asciiTheme="minorBidi" w:hAnsiTheme="minorBidi"/>
          <w:b/>
          <w:bCs/>
          <w:color w:val="000000"/>
          <w:sz w:val="22"/>
          <w:szCs w:val="22"/>
        </w:rPr>
      </w:pPr>
    </w:p>
    <w:p w14:paraId="3F9DB1BA" w14:textId="77777777" w:rsidR="002A1585" w:rsidRPr="00B315DD" w:rsidRDefault="002A1585" w:rsidP="002A1585">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 xml:space="preserve">Racial Equity </w:t>
      </w:r>
    </w:p>
    <w:p w14:paraId="1FB7FAB9" w14:textId="31071C75" w:rsidR="002A1585" w:rsidRPr="007C4636" w:rsidRDefault="002A1585" w:rsidP="002A1585">
      <w:pPr>
        <w:autoSpaceDE w:val="0"/>
        <w:autoSpaceDN w:val="0"/>
        <w:adjustRightInd w:val="0"/>
        <w:spacing w:after="0" w:line="300" w:lineRule="auto"/>
        <w:contextualSpacing/>
        <w:rPr>
          <w:rFonts w:asciiTheme="minorBidi" w:hAnsiTheme="minorBidi"/>
          <w:sz w:val="22"/>
          <w:szCs w:val="22"/>
        </w:rPr>
      </w:pPr>
      <w:r w:rsidRPr="006116F9">
        <w:rPr>
          <w:rFonts w:asciiTheme="minorBidi" w:hAnsiTheme="minorBidi"/>
          <w:sz w:val="22"/>
          <w:szCs w:val="22"/>
        </w:rPr>
        <w:t xml:space="preserve">Racial equity is the condition that would be achieved if racial identity no longer statistically predicted </w:t>
      </w:r>
      <w:r w:rsidR="002D46B1">
        <w:rPr>
          <w:rFonts w:asciiTheme="minorBidi" w:hAnsiTheme="minorBidi"/>
          <w:sz w:val="22"/>
          <w:szCs w:val="22"/>
        </w:rPr>
        <w:t>outcomes for individuals</w:t>
      </w:r>
      <w:r w:rsidRPr="006116F9">
        <w:rPr>
          <w:rFonts w:asciiTheme="minorBidi" w:hAnsiTheme="minorBidi"/>
          <w:sz w:val="22"/>
          <w:szCs w:val="22"/>
        </w:rPr>
        <w:t>. At a systems level, achieving equity means eliminating policies, practices, attitudes, and cultural messages</w:t>
      </w:r>
      <w:r>
        <w:rPr>
          <w:rFonts w:asciiTheme="minorBidi" w:hAnsiTheme="minorBidi"/>
          <w:sz w:val="22"/>
          <w:szCs w:val="22"/>
        </w:rPr>
        <w:t xml:space="preserve"> </w:t>
      </w:r>
      <w:r w:rsidRPr="006116F9">
        <w:rPr>
          <w:rFonts w:asciiTheme="minorBidi" w:hAnsiTheme="minorBidi"/>
          <w:sz w:val="22"/>
          <w:szCs w:val="22"/>
        </w:rPr>
        <w:t xml:space="preserve">that reinforce differential outcomes by race. In the homelessness arena, equity would mean that </w:t>
      </w:r>
      <w:r>
        <w:rPr>
          <w:rFonts w:asciiTheme="minorBidi" w:hAnsiTheme="minorBidi"/>
          <w:sz w:val="22"/>
          <w:szCs w:val="22"/>
        </w:rPr>
        <w:t xml:space="preserve">the race and ethnicities of </w:t>
      </w:r>
      <w:r w:rsidRPr="006116F9">
        <w:rPr>
          <w:rFonts w:asciiTheme="minorBidi" w:hAnsiTheme="minorBidi"/>
          <w:sz w:val="22"/>
          <w:szCs w:val="22"/>
        </w:rPr>
        <w:t>people</w:t>
      </w:r>
      <w:r>
        <w:rPr>
          <w:rFonts w:asciiTheme="minorBidi" w:hAnsiTheme="minorBidi"/>
          <w:sz w:val="22"/>
          <w:szCs w:val="22"/>
        </w:rPr>
        <w:t xml:space="preserve"> </w:t>
      </w:r>
      <w:r w:rsidRPr="006116F9">
        <w:rPr>
          <w:rFonts w:asciiTheme="minorBidi" w:hAnsiTheme="minorBidi"/>
          <w:sz w:val="22"/>
          <w:szCs w:val="22"/>
        </w:rPr>
        <w:t xml:space="preserve">experiencing homelessness </w:t>
      </w:r>
      <w:r>
        <w:rPr>
          <w:rFonts w:asciiTheme="minorBidi" w:hAnsiTheme="minorBidi"/>
          <w:sz w:val="22"/>
          <w:szCs w:val="22"/>
        </w:rPr>
        <w:t xml:space="preserve">roughly reflected </w:t>
      </w:r>
      <w:r w:rsidRPr="006116F9">
        <w:rPr>
          <w:rFonts w:asciiTheme="minorBidi" w:hAnsiTheme="minorBidi"/>
          <w:sz w:val="22"/>
          <w:szCs w:val="22"/>
        </w:rPr>
        <w:t>local demographics</w:t>
      </w:r>
      <w:r>
        <w:rPr>
          <w:rFonts w:asciiTheme="minorBidi" w:hAnsiTheme="minorBidi"/>
          <w:sz w:val="22"/>
          <w:szCs w:val="22"/>
        </w:rPr>
        <w:t xml:space="preserve">. National data tells us the significant inequities exist as Black, Indigenous and People of Color are far overrepresented in the homelessness system. CoCs and </w:t>
      </w:r>
      <w:r w:rsidR="00803781">
        <w:rPr>
          <w:rFonts w:asciiTheme="minorBidi" w:hAnsiTheme="minorBidi"/>
          <w:sz w:val="22"/>
          <w:szCs w:val="22"/>
        </w:rPr>
        <w:t>provider</w:t>
      </w:r>
      <w:r>
        <w:rPr>
          <w:rFonts w:asciiTheme="minorBidi" w:hAnsiTheme="minorBidi"/>
          <w:sz w:val="22"/>
          <w:szCs w:val="22"/>
        </w:rPr>
        <w:t xml:space="preserve"> organizations are encouraged to review data regularly to understand and address inequities in representation, access to services and housing outcomes. </w:t>
      </w:r>
    </w:p>
    <w:p w14:paraId="701A4FFD" w14:textId="77777777" w:rsidR="002A1585" w:rsidRPr="004E5FB2" w:rsidRDefault="002A1585" w:rsidP="002A1585">
      <w:pPr>
        <w:autoSpaceDE w:val="0"/>
        <w:autoSpaceDN w:val="0"/>
        <w:adjustRightInd w:val="0"/>
        <w:spacing w:before="0" w:after="0" w:line="300" w:lineRule="auto"/>
        <w:contextualSpacing/>
        <w:rPr>
          <w:rFonts w:asciiTheme="minorBidi" w:hAnsiTheme="minorBidi"/>
          <w:b/>
          <w:bCs/>
          <w:color w:val="000000"/>
          <w:sz w:val="22"/>
          <w:szCs w:val="22"/>
        </w:rPr>
      </w:pPr>
    </w:p>
    <w:p w14:paraId="3C7B935F" w14:textId="77777777" w:rsidR="002A1585" w:rsidRPr="00B315DD" w:rsidRDefault="002A1585" w:rsidP="002A1585">
      <w:pPr>
        <w:autoSpaceDE w:val="0"/>
        <w:autoSpaceDN w:val="0"/>
        <w:adjustRightInd w:val="0"/>
        <w:spacing w:after="0" w:line="300" w:lineRule="auto"/>
        <w:contextualSpacing/>
        <w:rPr>
          <w:rFonts w:asciiTheme="minorBidi" w:hAnsiTheme="minorBidi"/>
          <w:color w:val="000000"/>
          <w:sz w:val="22"/>
          <w:szCs w:val="22"/>
          <w:u w:val="single"/>
        </w:rPr>
      </w:pPr>
      <w:r w:rsidRPr="00B315DD">
        <w:rPr>
          <w:rFonts w:asciiTheme="minorBidi" w:hAnsiTheme="minorBidi"/>
          <w:b/>
          <w:bCs/>
          <w:color w:val="000000"/>
          <w:sz w:val="22"/>
          <w:szCs w:val="22"/>
          <w:u w:val="single"/>
        </w:rPr>
        <w:t xml:space="preserve">Rapid Re-Housing </w:t>
      </w:r>
    </w:p>
    <w:p w14:paraId="6BD18418" w14:textId="71285102" w:rsidR="002A1585" w:rsidRDefault="002A1585" w:rsidP="002A1585">
      <w:pPr>
        <w:autoSpaceDE w:val="0"/>
        <w:autoSpaceDN w:val="0"/>
        <w:adjustRightInd w:val="0"/>
        <w:spacing w:before="0" w:after="0" w:line="300" w:lineRule="auto"/>
        <w:contextualSpacing/>
        <w:rPr>
          <w:rFonts w:asciiTheme="minorBidi" w:hAnsiTheme="minorBidi"/>
          <w:color w:val="000000"/>
          <w:sz w:val="22"/>
          <w:szCs w:val="22"/>
        </w:rPr>
      </w:pPr>
      <w:r w:rsidRPr="00464C0D">
        <w:rPr>
          <w:rFonts w:asciiTheme="minorBidi" w:hAnsiTheme="minorBidi"/>
          <w:color w:val="000000"/>
          <w:sz w:val="22"/>
          <w:szCs w:val="22"/>
        </w:rPr>
        <w:t xml:space="preserve">Rapid Re-Housing is a short-term intervention to help individuals and families exit homelessness as quickly as possible, move into permanent housing, and achieve stability in housing. </w:t>
      </w:r>
      <w:r>
        <w:rPr>
          <w:rFonts w:asciiTheme="minorBidi" w:hAnsiTheme="minorBidi"/>
          <w:color w:val="000000"/>
          <w:sz w:val="22"/>
          <w:szCs w:val="22"/>
        </w:rPr>
        <w:t>Refer to</w:t>
      </w:r>
      <w:r w:rsidR="002D46B1">
        <w:rPr>
          <w:rFonts w:asciiTheme="minorBidi" w:hAnsiTheme="minorBidi"/>
          <w:color w:val="000000"/>
          <w:sz w:val="22"/>
          <w:szCs w:val="22"/>
        </w:rPr>
        <w:t xml:space="preserve"> the Documentation and Recordkeeping section of this document</w:t>
      </w:r>
      <w:r>
        <w:rPr>
          <w:rFonts w:asciiTheme="minorBidi" w:hAnsiTheme="minorBidi"/>
          <w:color w:val="000000"/>
          <w:sz w:val="22"/>
          <w:szCs w:val="22"/>
        </w:rPr>
        <w:t xml:space="preserve"> for detailed rapid re-housing program eligibility. </w:t>
      </w:r>
      <w:r w:rsidRPr="00464C0D">
        <w:rPr>
          <w:rFonts w:asciiTheme="minorBidi" w:hAnsiTheme="minorBidi"/>
          <w:color w:val="000000"/>
          <w:sz w:val="22"/>
          <w:szCs w:val="22"/>
        </w:rPr>
        <w:t xml:space="preserve">To be defined as </w:t>
      </w:r>
      <w:r>
        <w:rPr>
          <w:rFonts w:asciiTheme="minorBidi" w:hAnsiTheme="minorBidi"/>
          <w:color w:val="000000"/>
          <w:sz w:val="22"/>
          <w:szCs w:val="22"/>
        </w:rPr>
        <w:t>r</w:t>
      </w:r>
      <w:r w:rsidRPr="00464C0D">
        <w:rPr>
          <w:rFonts w:asciiTheme="minorBidi" w:hAnsiTheme="minorBidi"/>
          <w:color w:val="000000"/>
          <w:sz w:val="22"/>
          <w:szCs w:val="22"/>
        </w:rPr>
        <w:t xml:space="preserve">apid </w:t>
      </w:r>
      <w:r>
        <w:rPr>
          <w:rFonts w:asciiTheme="minorBidi" w:hAnsiTheme="minorBidi"/>
          <w:color w:val="000000"/>
          <w:sz w:val="22"/>
          <w:szCs w:val="22"/>
        </w:rPr>
        <w:t>r</w:t>
      </w:r>
      <w:r w:rsidRPr="00464C0D">
        <w:rPr>
          <w:rFonts w:asciiTheme="minorBidi" w:hAnsiTheme="minorBidi"/>
          <w:color w:val="000000"/>
          <w:sz w:val="22"/>
          <w:szCs w:val="22"/>
        </w:rPr>
        <w:t>e-</w:t>
      </w:r>
      <w:r w:rsidR="00805C13">
        <w:rPr>
          <w:rFonts w:asciiTheme="minorBidi" w:hAnsiTheme="minorBidi"/>
          <w:color w:val="000000"/>
          <w:sz w:val="22"/>
          <w:szCs w:val="22"/>
        </w:rPr>
        <w:t>h</w:t>
      </w:r>
      <w:r w:rsidRPr="00464C0D">
        <w:rPr>
          <w:rFonts w:asciiTheme="minorBidi" w:hAnsiTheme="minorBidi"/>
          <w:color w:val="000000"/>
          <w:sz w:val="22"/>
          <w:szCs w:val="22"/>
        </w:rPr>
        <w:t xml:space="preserve">ousing, a project must be comprised of the following three core components: housing identification assistance, financial assistance, and case management and supportive services. </w:t>
      </w:r>
      <w:r w:rsidRPr="004E5FB2">
        <w:rPr>
          <w:rFonts w:asciiTheme="minorBidi" w:hAnsiTheme="minorBidi"/>
          <w:color w:val="000000"/>
          <w:sz w:val="22"/>
          <w:szCs w:val="22"/>
        </w:rPr>
        <w:t xml:space="preserve">High quality </w:t>
      </w:r>
      <w:r w:rsidR="00EA5928">
        <w:rPr>
          <w:rFonts w:asciiTheme="minorBidi" w:hAnsiTheme="minorBidi"/>
          <w:color w:val="000000"/>
          <w:sz w:val="22"/>
          <w:szCs w:val="22"/>
        </w:rPr>
        <w:t>r</w:t>
      </w:r>
      <w:r w:rsidRPr="004E5FB2">
        <w:rPr>
          <w:rFonts w:asciiTheme="minorBidi" w:hAnsiTheme="minorBidi"/>
          <w:color w:val="000000"/>
          <w:sz w:val="22"/>
          <w:szCs w:val="22"/>
        </w:rPr>
        <w:t xml:space="preserve">apid </w:t>
      </w:r>
      <w:r w:rsidR="00EA5928">
        <w:rPr>
          <w:rFonts w:asciiTheme="minorBidi" w:hAnsiTheme="minorBidi"/>
          <w:color w:val="000000"/>
          <w:sz w:val="22"/>
          <w:szCs w:val="22"/>
        </w:rPr>
        <w:t>r</w:t>
      </w:r>
      <w:r w:rsidRPr="004E5FB2">
        <w:rPr>
          <w:rFonts w:asciiTheme="minorBidi" w:hAnsiTheme="minorBidi"/>
          <w:color w:val="000000"/>
          <w:sz w:val="22"/>
          <w:szCs w:val="22"/>
        </w:rPr>
        <w:t>e-</w:t>
      </w:r>
      <w:r w:rsidR="00EA5928">
        <w:rPr>
          <w:rFonts w:asciiTheme="minorBidi" w:hAnsiTheme="minorBidi"/>
          <w:color w:val="000000"/>
          <w:sz w:val="22"/>
          <w:szCs w:val="22"/>
        </w:rPr>
        <w:t>h</w:t>
      </w:r>
      <w:r w:rsidRPr="004E5FB2">
        <w:rPr>
          <w:rFonts w:asciiTheme="minorBidi" w:hAnsiTheme="minorBidi"/>
          <w:color w:val="000000"/>
          <w:sz w:val="22"/>
          <w:szCs w:val="22"/>
        </w:rPr>
        <w:t xml:space="preserve">ousing programs help increase the number of people communities </w:t>
      </w:r>
      <w:r w:rsidR="00805C13" w:rsidRPr="004E5FB2">
        <w:rPr>
          <w:rFonts w:asciiTheme="minorBidi" w:hAnsiTheme="minorBidi"/>
          <w:color w:val="000000"/>
          <w:sz w:val="22"/>
          <w:szCs w:val="22"/>
        </w:rPr>
        <w:t>can</w:t>
      </w:r>
      <w:r w:rsidRPr="004E5FB2">
        <w:rPr>
          <w:rFonts w:asciiTheme="minorBidi" w:hAnsiTheme="minorBidi"/>
          <w:color w:val="000000"/>
          <w:sz w:val="22"/>
          <w:szCs w:val="22"/>
        </w:rPr>
        <w:t xml:space="preserve"> serve by reducing the length of shelter stays, which frees up crisis beds for others in need, reduces the negative impacts of long-term homelessness, and connects people to other community assistance to improve overall well-being and increase self-sufficiency. </w:t>
      </w:r>
    </w:p>
    <w:p w14:paraId="5FC56BBA" w14:textId="77777777" w:rsidR="002A1585" w:rsidRDefault="002A1585" w:rsidP="004E5FB2">
      <w:pPr>
        <w:autoSpaceDE w:val="0"/>
        <w:autoSpaceDN w:val="0"/>
        <w:adjustRightInd w:val="0"/>
        <w:spacing w:after="0" w:line="300" w:lineRule="auto"/>
        <w:contextualSpacing/>
        <w:rPr>
          <w:rFonts w:asciiTheme="minorBidi" w:hAnsiTheme="minorBidi"/>
          <w:b/>
          <w:bCs/>
          <w:color w:val="000000"/>
          <w:sz w:val="22"/>
          <w:szCs w:val="22"/>
        </w:rPr>
      </w:pPr>
    </w:p>
    <w:p w14:paraId="33C2A4B3" w14:textId="77777777" w:rsidR="00341E87" w:rsidRPr="00B315DD" w:rsidRDefault="00341E87" w:rsidP="004E5FB2">
      <w:pPr>
        <w:autoSpaceDE w:val="0"/>
        <w:autoSpaceDN w:val="0"/>
        <w:adjustRightInd w:val="0"/>
        <w:spacing w:after="0" w:line="300" w:lineRule="auto"/>
        <w:contextualSpacing/>
        <w:rPr>
          <w:rFonts w:asciiTheme="minorBidi" w:hAnsiTheme="minorBidi"/>
          <w:color w:val="000000"/>
          <w:sz w:val="22"/>
          <w:szCs w:val="22"/>
          <w:u w:val="single"/>
        </w:rPr>
      </w:pPr>
      <w:r w:rsidRPr="00B315DD">
        <w:rPr>
          <w:rFonts w:asciiTheme="minorBidi" w:hAnsiTheme="minorBidi"/>
          <w:b/>
          <w:bCs/>
          <w:color w:val="000000"/>
          <w:sz w:val="22"/>
          <w:szCs w:val="22"/>
          <w:u w:val="single"/>
        </w:rPr>
        <w:t xml:space="preserve">Rent Reasonableness and Fair Market Rent (FMR) </w:t>
      </w:r>
    </w:p>
    <w:p w14:paraId="4D35309B" w14:textId="49D0523F" w:rsidR="00341E87" w:rsidRPr="004E5FB2" w:rsidRDefault="00341E87" w:rsidP="004E5FB2">
      <w:pPr>
        <w:autoSpaceDE w:val="0"/>
        <w:autoSpaceDN w:val="0"/>
        <w:adjustRightInd w:val="0"/>
        <w:spacing w:after="0" w:line="300" w:lineRule="auto"/>
        <w:contextualSpacing/>
        <w:rPr>
          <w:rFonts w:asciiTheme="minorBidi" w:hAnsiTheme="minorBidi"/>
          <w:sz w:val="22"/>
          <w:szCs w:val="22"/>
        </w:rPr>
      </w:pPr>
      <w:r w:rsidRPr="004E5FB2">
        <w:rPr>
          <w:rFonts w:asciiTheme="minorBidi" w:hAnsiTheme="minorBidi"/>
          <w:color w:val="000000"/>
          <w:sz w:val="22"/>
          <w:szCs w:val="22"/>
        </w:rPr>
        <w:lastRenderedPageBreak/>
        <w:t xml:space="preserve">Rental assistance cannot be provided for a housing unit unless total rent for the unit </w:t>
      </w:r>
      <w:r w:rsidR="002D46B1">
        <w:rPr>
          <w:rFonts w:asciiTheme="minorBidi" w:hAnsiTheme="minorBidi"/>
          <w:color w:val="000000"/>
          <w:sz w:val="22"/>
          <w:szCs w:val="22"/>
        </w:rPr>
        <w:t>is at or under the</w:t>
      </w:r>
      <w:r w:rsidRPr="004E5FB2">
        <w:rPr>
          <w:rFonts w:asciiTheme="minorBidi" w:hAnsiTheme="minorBidi"/>
          <w:color w:val="000000"/>
          <w:sz w:val="22"/>
          <w:szCs w:val="22"/>
        </w:rPr>
        <w:t xml:space="preserve"> fair market rent (FMR) established by HUD, as provided under 24 CFR 982.503. The total rent for the unit must also comply with HUD’s standard of rent reasonableness, as established under 24 CFR 982.507. These rent restrictions are intended to ensure that program participants can remain in their housing after their assistance ends. In many areas, the easiest way to determine rent reasonableness is to use a housing database search engine that will compare units and rents against one another. Other local resources may also be used to obtain information, such as market surveys, classified ads, and information from real estate agents. When comparing rent reasonableness, the proposed unit must be compared to three other units. Rent reasonableness and FMR requirements do not apply when a program participant receives only financial assistance or services under Housing Stabilization and Relocation Services. This includes </w:t>
      </w:r>
      <w:r w:rsidRPr="004E5FB2">
        <w:rPr>
          <w:rFonts w:asciiTheme="minorBidi" w:hAnsiTheme="minorBidi"/>
          <w:sz w:val="22"/>
          <w:szCs w:val="22"/>
        </w:rPr>
        <w:t>rental application fees, security deposits, an initial payment of last month’s rent, utility payments/deposits, moving costs, housing search and placement, housing stability case management, landlord</w:t>
      </w:r>
      <w:r w:rsidRPr="004E5FB2">
        <w:rPr>
          <w:rFonts w:ascii="Cambria Math" w:hAnsi="Cambria Math" w:cs="Cambria Math"/>
          <w:sz w:val="22"/>
          <w:szCs w:val="22"/>
        </w:rPr>
        <w:t>‐</w:t>
      </w:r>
      <w:r w:rsidRPr="004E5FB2">
        <w:rPr>
          <w:rFonts w:asciiTheme="minorBidi" w:hAnsiTheme="minorBidi"/>
          <w:sz w:val="22"/>
          <w:szCs w:val="22"/>
        </w:rPr>
        <w:t xml:space="preserve">tenant mediation, legal services, credit repair. </w:t>
      </w:r>
    </w:p>
    <w:p w14:paraId="0C969263" w14:textId="0C731B5F" w:rsidR="00464C0D" w:rsidRDefault="00341E87" w:rsidP="004E5FB2">
      <w:pPr>
        <w:autoSpaceDE w:val="0"/>
        <w:autoSpaceDN w:val="0"/>
        <w:adjustRightInd w:val="0"/>
        <w:spacing w:after="0" w:line="300" w:lineRule="auto"/>
        <w:contextualSpacing/>
        <w:rPr>
          <w:rFonts w:asciiTheme="minorBidi" w:hAnsiTheme="minorBidi"/>
          <w:sz w:val="22"/>
          <w:szCs w:val="22"/>
        </w:rPr>
      </w:pPr>
      <w:r w:rsidRPr="004E5FB2">
        <w:rPr>
          <w:rFonts w:asciiTheme="minorBidi" w:hAnsiTheme="minorBidi"/>
          <w:sz w:val="22"/>
          <w:szCs w:val="22"/>
        </w:rPr>
        <w:t>Note that this guidance only applies to ESG homeless</w:t>
      </w:r>
      <w:r w:rsidR="00171CE4">
        <w:rPr>
          <w:rFonts w:asciiTheme="minorBidi" w:hAnsiTheme="minorBidi"/>
          <w:sz w:val="22"/>
          <w:szCs w:val="22"/>
        </w:rPr>
        <w:t>ness</w:t>
      </w:r>
      <w:r w:rsidRPr="004E5FB2">
        <w:rPr>
          <w:rFonts w:asciiTheme="minorBidi" w:hAnsiTheme="minorBidi"/>
          <w:sz w:val="22"/>
          <w:szCs w:val="22"/>
        </w:rPr>
        <w:t xml:space="preserve"> prevention and rapid re-housing. </w:t>
      </w:r>
      <w:r w:rsidR="00A564B9" w:rsidRPr="004E5FB2">
        <w:rPr>
          <w:rFonts w:asciiTheme="minorBidi" w:hAnsiTheme="minorBidi"/>
          <w:sz w:val="22"/>
          <w:szCs w:val="22"/>
        </w:rPr>
        <w:t>For CoC</w:t>
      </w:r>
      <w:r w:rsidR="00464C0D" w:rsidRPr="004E5FB2">
        <w:rPr>
          <w:rFonts w:asciiTheme="minorBidi" w:hAnsiTheme="minorBidi"/>
          <w:sz w:val="22"/>
          <w:szCs w:val="22"/>
        </w:rPr>
        <w:t xml:space="preserve"> </w:t>
      </w:r>
      <w:r w:rsidR="00A564B9">
        <w:rPr>
          <w:rFonts w:asciiTheme="minorBidi" w:hAnsiTheme="minorBidi"/>
          <w:sz w:val="22"/>
          <w:szCs w:val="22"/>
        </w:rPr>
        <w:t xml:space="preserve">rapid re-housing, rent reasonableness applies, but </w:t>
      </w:r>
      <w:r w:rsidR="00464C0D" w:rsidRPr="004E5FB2">
        <w:rPr>
          <w:rFonts w:asciiTheme="minorBidi" w:hAnsiTheme="minorBidi"/>
          <w:sz w:val="22"/>
          <w:szCs w:val="22"/>
        </w:rPr>
        <w:t>FMR</w:t>
      </w:r>
      <w:r w:rsidR="00A564B9">
        <w:rPr>
          <w:rFonts w:asciiTheme="minorBidi" w:hAnsiTheme="minorBidi"/>
          <w:sz w:val="22"/>
          <w:szCs w:val="22"/>
        </w:rPr>
        <w:t xml:space="preserve"> does not. P</w:t>
      </w:r>
      <w:r w:rsidR="00464C0D" w:rsidRPr="004E5FB2">
        <w:rPr>
          <w:rFonts w:asciiTheme="minorBidi" w:hAnsiTheme="minorBidi"/>
          <w:sz w:val="22"/>
          <w:szCs w:val="22"/>
        </w:rPr>
        <w:t xml:space="preserve">lease consult the following </w:t>
      </w:r>
      <w:hyperlink r:id="rId11" w:history="1">
        <w:r w:rsidR="00464C0D" w:rsidRPr="007C4636">
          <w:rPr>
            <w:rStyle w:val="Hyperlink"/>
            <w:rFonts w:asciiTheme="minorBidi" w:hAnsiTheme="minorBidi"/>
            <w:sz w:val="22"/>
            <w:szCs w:val="22"/>
          </w:rPr>
          <w:t>HUD Exchange resource</w:t>
        </w:r>
      </w:hyperlink>
      <w:r w:rsidR="00A564B9">
        <w:rPr>
          <w:rFonts w:asciiTheme="minorBidi" w:hAnsiTheme="minorBidi"/>
          <w:sz w:val="22"/>
          <w:szCs w:val="22"/>
        </w:rPr>
        <w:t xml:space="preserve"> for more information. </w:t>
      </w:r>
    </w:p>
    <w:p w14:paraId="36EDD5C4" w14:textId="77777777" w:rsidR="00893717" w:rsidRPr="004E5FB2" w:rsidRDefault="00893717" w:rsidP="004E5FB2">
      <w:pPr>
        <w:autoSpaceDE w:val="0"/>
        <w:autoSpaceDN w:val="0"/>
        <w:adjustRightInd w:val="0"/>
        <w:spacing w:after="0" w:line="300" w:lineRule="auto"/>
        <w:contextualSpacing/>
        <w:rPr>
          <w:rFonts w:asciiTheme="minorBidi" w:hAnsiTheme="minorBidi"/>
          <w:sz w:val="22"/>
          <w:szCs w:val="22"/>
        </w:rPr>
      </w:pPr>
    </w:p>
    <w:p w14:paraId="077A9EE9" w14:textId="1A58A867" w:rsidR="006051CC" w:rsidRDefault="00893717" w:rsidP="004E5FB2">
      <w:pPr>
        <w:autoSpaceDE w:val="0"/>
        <w:autoSpaceDN w:val="0"/>
        <w:adjustRightInd w:val="0"/>
        <w:spacing w:after="0" w:line="300" w:lineRule="auto"/>
        <w:contextualSpacing/>
        <w:rPr>
          <w:rFonts w:asciiTheme="minorBidi" w:hAnsiTheme="minorBidi"/>
          <w:b/>
          <w:bCs/>
          <w:sz w:val="22"/>
          <w:szCs w:val="22"/>
          <w:u w:val="single"/>
        </w:rPr>
      </w:pPr>
      <w:r w:rsidRPr="00893717">
        <w:rPr>
          <w:rFonts w:asciiTheme="minorBidi" w:hAnsiTheme="minorBidi"/>
          <w:b/>
          <w:bCs/>
          <w:sz w:val="22"/>
          <w:szCs w:val="22"/>
          <w:u w:val="single"/>
        </w:rPr>
        <w:t>Recipient</w:t>
      </w:r>
    </w:p>
    <w:p w14:paraId="28C713E7" w14:textId="796A1237" w:rsidR="00893717" w:rsidRDefault="00923CA6" w:rsidP="004E5FB2">
      <w:pPr>
        <w:autoSpaceDE w:val="0"/>
        <w:autoSpaceDN w:val="0"/>
        <w:adjustRightInd w:val="0"/>
        <w:spacing w:after="0" w:line="300" w:lineRule="auto"/>
        <w:contextualSpacing/>
        <w:rPr>
          <w:rFonts w:asciiTheme="minorBidi" w:hAnsiTheme="minorBidi"/>
          <w:sz w:val="22"/>
          <w:szCs w:val="22"/>
        </w:rPr>
      </w:pPr>
      <w:r>
        <w:rPr>
          <w:rFonts w:asciiTheme="minorBidi" w:hAnsiTheme="minorBidi"/>
          <w:sz w:val="22"/>
          <w:szCs w:val="22"/>
        </w:rPr>
        <w:t>EOHLC</w:t>
      </w:r>
      <w:r w:rsidR="00343D89" w:rsidRPr="004E5FB2">
        <w:rPr>
          <w:rFonts w:asciiTheme="minorBidi" w:hAnsiTheme="minorBidi"/>
          <w:sz w:val="22"/>
          <w:szCs w:val="22"/>
        </w:rPr>
        <w:t xml:space="preserve">, the ESG recipient for the </w:t>
      </w:r>
      <w:r w:rsidR="00343D89">
        <w:rPr>
          <w:rFonts w:asciiTheme="minorBidi" w:hAnsiTheme="minorBidi"/>
          <w:sz w:val="22"/>
          <w:szCs w:val="22"/>
        </w:rPr>
        <w:t>C</w:t>
      </w:r>
      <w:r w:rsidR="00343D89" w:rsidRPr="004E5FB2">
        <w:rPr>
          <w:rFonts w:asciiTheme="minorBidi" w:hAnsiTheme="minorBidi"/>
          <w:sz w:val="22"/>
          <w:szCs w:val="22"/>
        </w:rPr>
        <w:t>ommonwealth of Massachusetts</w:t>
      </w:r>
      <w:r w:rsidR="00343D89">
        <w:rPr>
          <w:rFonts w:asciiTheme="minorBidi" w:hAnsiTheme="minorBidi"/>
          <w:sz w:val="22"/>
          <w:szCs w:val="22"/>
        </w:rPr>
        <w:t>.</w:t>
      </w:r>
    </w:p>
    <w:p w14:paraId="448FE47B" w14:textId="77777777" w:rsidR="00343D89" w:rsidRDefault="00343D89" w:rsidP="004E5FB2">
      <w:pPr>
        <w:autoSpaceDE w:val="0"/>
        <w:autoSpaceDN w:val="0"/>
        <w:adjustRightInd w:val="0"/>
        <w:spacing w:after="0" w:line="300" w:lineRule="auto"/>
        <w:contextualSpacing/>
        <w:rPr>
          <w:rFonts w:asciiTheme="minorBidi" w:hAnsiTheme="minorBidi"/>
          <w:b/>
          <w:bCs/>
          <w:sz w:val="22"/>
          <w:szCs w:val="22"/>
        </w:rPr>
      </w:pPr>
    </w:p>
    <w:p w14:paraId="062EF3F1" w14:textId="163D63DA" w:rsidR="00143209" w:rsidRPr="00B315DD" w:rsidRDefault="00803781" w:rsidP="004E5FB2">
      <w:pPr>
        <w:autoSpaceDE w:val="0"/>
        <w:autoSpaceDN w:val="0"/>
        <w:adjustRightInd w:val="0"/>
        <w:spacing w:after="0" w:line="300" w:lineRule="auto"/>
        <w:contextualSpacing/>
        <w:rPr>
          <w:rFonts w:asciiTheme="minorBidi" w:hAnsiTheme="minorBidi"/>
          <w:b/>
          <w:bCs/>
          <w:sz w:val="22"/>
          <w:szCs w:val="22"/>
          <w:u w:val="single"/>
        </w:rPr>
      </w:pPr>
      <w:r>
        <w:rPr>
          <w:rFonts w:asciiTheme="minorBidi" w:hAnsiTheme="minorBidi"/>
          <w:b/>
          <w:bCs/>
          <w:sz w:val="22"/>
          <w:szCs w:val="22"/>
          <w:u w:val="single"/>
        </w:rPr>
        <w:t>Provider</w:t>
      </w:r>
      <w:r w:rsidR="00893717">
        <w:rPr>
          <w:rFonts w:asciiTheme="minorBidi" w:hAnsiTheme="minorBidi"/>
          <w:b/>
          <w:bCs/>
          <w:sz w:val="22"/>
          <w:szCs w:val="22"/>
          <w:u w:val="single"/>
        </w:rPr>
        <w:t>/</w:t>
      </w:r>
      <w:r w:rsidR="00893717" w:rsidRPr="00893717">
        <w:rPr>
          <w:rFonts w:asciiTheme="minorBidi" w:hAnsiTheme="minorBidi"/>
          <w:b/>
          <w:bCs/>
          <w:sz w:val="22"/>
          <w:szCs w:val="22"/>
          <w:u w:val="single"/>
        </w:rPr>
        <w:t xml:space="preserve"> </w:t>
      </w:r>
      <w:r w:rsidR="00893717" w:rsidRPr="00AC3AF3">
        <w:rPr>
          <w:rFonts w:asciiTheme="minorBidi" w:hAnsiTheme="minorBidi"/>
          <w:b/>
          <w:bCs/>
          <w:sz w:val="22"/>
          <w:szCs w:val="22"/>
          <w:u w:val="single"/>
        </w:rPr>
        <w:t>Subrecipient</w:t>
      </w:r>
    </w:p>
    <w:p w14:paraId="525106DE" w14:textId="2BA85834" w:rsidR="00143209" w:rsidRDefault="00143209" w:rsidP="00143209">
      <w:pPr>
        <w:autoSpaceDE w:val="0"/>
        <w:autoSpaceDN w:val="0"/>
        <w:adjustRightInd w:val="0"/>
        <w:spacing w:after="0" w:line="300" w:lineRule="auto"/>
        <w:contextualSpacing/>
        <w:rPr>
          <w:rFonts w:asciiTheme="minorBidi" w:hAnsiTheme="minorBidi"/>
          <w:b/>
          <w:bCs/>
          <w:sz w:val="22"/>
          <w:szCs w:val="22"/>
        </w:rPr>
      </w:pPr>
      <w:r w:rsidRPr="00143209">
        <w:rPr>
          <w:rFonts w:asciiTheme="minorBidi" w:hAnsiTheme="minorBidi"/>
          <w:sz w:val="22"/>
          <w:szCs w:val="22"/>
        </w:rPr>
        <w:t xml:space="preserve">A local government or private nonprofit organization to which </w:t>
      </w:r>
      <w:r w:rsidR="006A6AA8">
        <w:rPr>
          <w:rFonts w:asciiTheme="minorBidi" w:hAnsiTheme="minorBidi"/>
          <w:sz w:val="22"/>
          <w:szCs w:val="22"/>
        </w:rPr>
        <w:t xml:space="preserve">the recipient, </w:t>
      </w:r>
      <w:r w:rsidR="00923CA6">
        <w:rPr>
          <w:rFonts w:asciiTheme="minorBidi" w:hAnsiTheme="minorBidi"/>
          <w:sz w:val="22"/>
          <w:szCs w:val="22"/>
        </w:rPr>
        <w:t>EOHLC</w:t>
      </w:r>
      <w:r w:rsidR="006A6AA8">
        <w:rPr>
          <w:rFonts w:asciiTheme="minorBidi" w:hAnsiTheme="minorBidi"/>
          <w:sz w:val="22"/>
          <w:szCs w:val="22"/>
        </w:rPr>
        <w:t>,</w:t>
      </w:r>
      <w:r w:rsidRPr="00143209">
        <w:rPr>
          <w:rFonts w:asciiTheme="minorBidi" w:hAnsiTheme="minorBidi"/>
          <w:sz w:val="22"/>
          <w:szCs w:val="22"/>
        </w:rPr>
        <w:t xml:space="preserve"> awards ESG grant funds</w:t>
      </w:r>
      <w:r w:rsidRPr="00143209">
        <w:rPr>
          <w:rFonts w:asciiTheme="minorBidi" w:hAnsiTheme="minorBidi"/>
          <w:b/>
          <w:bCs/>
          <w:sz w:val="22"/>
          <w:szCs w:val="22"/>
        </w:rPr>
        <w:t>.</w:t>
      </w:r>
      <w:r w:rsidR="00A564B9">
        <w:rPr>
          <w:rFonts w:asciiTheme="minorBidi" w:hAnsiTheme="minorBidi"/>
          <w:b/>
          <w:bCs/>
          <w:sz w:val="22"/>
          <w:szCs w:val="22"/>
        </w:rPr>
        <w:t xml:space="preserve"> For the purposes of this document, the term </w:t>
      </w:r>
      <w:r w:rsidR="00803781">
        <w:rPr>
          <w:rFonts w:asciiTheme="minorBidi" w:hAnsiTheme="minorBidi"/>
          <w:b/>
          <w:bCs/>
          <w:sz w:val="22"/>
          <w:szCs w:val="22"/>
        </w:rPr>
        <w:t>provider</w:t>
      </w:r>
      <w:r w:rsidR="00A564B9">
        <w:rPr>
          <w:rFonts w:asciiTheme="minorBidi" w:hAnsiTheme="minorBidi"/>
          <w:b/>
          <w:bCs/>
          <w:sz w:val="22"/>
          <w:szCs w:val="22"/>
        </w:rPr>
        <w:t xml:space="preserve"> refers to any agency administering rapid re-housing or homelessness prevention, regardless of funding source. </w:t>
      </w:r>
    </w:p>
    <w:p w14:paraId="005B18A9" w14:textId="41CDCA69" w:rsidR="00AC3AF3" w:rsidRPr="00AC3AF3" w:rsidRDefault="00AC3AF3" w:rsidP="00143209">
      <w:pPr>
        <w:autoSpaceDE w:val="0"/>
        <w:autoSpaceDN w:val="0"/>
        <w:adjustRightInd w:val="0"/>
        <w:spacing w:after="0" w:line="300" w:lineRule="auto"/>
        <w:contextualSpacing/>
        <w:rPr>
          <w:rFonts w:asciiTheme="minorBidi" w:hAnsiTheme="minorBidi"/>
          <w:b/>
          <w:bCs/>
          <w:sz w:val="22"/>
          <w:szCs w:val="22"/>
        </w:rPr>
      </w:pPr>
    </w:p>
    <w:p w14:paraId="0EDAEEC6" w14:textId="44C44101" w:rsidR="00AC3AF3" w:rsidRPr="00AC3AF3" w:rsidRDefault="00AC3AF3" w:rsidP="00143209">
      <w:pPr>
        <w:autoSpaceDE w:val="0"/>
        <w:autoSpaceDN w:val="0"/>
        <w:adjustRightInd w:val="0"/>
        <w:spacing w:after="0" w:line="300" w:lineRule="auto"/>
        <w:contextualSpacing/>
        <w:rPr>
          <w:rFonts w:asciiTheme="minorBidi" w:hAnsiTheme="minorBidi"/>
          <w:b/>
          <w:bCs/>
          <w:sz w:val="22"/>
          <w:szCs w:val="22"/>
          <w:u w:val="single"/>
        </w:rPr>
      </w:pPr>
      <w:r w:rsidRPr="00AC3AF3">
        <w:rPr>
          <w:rFonts w:asciiTheme="minorBidi" w:hAnsiTheme="minorBidi"/>
          <w:b/>
          <w:bCs/>
          <w:sz w:val="22"/>
          <w:szCs w:val="22"/>
          <w:u w:val="single"/>
        </w:rPr>
        <w:t>Sub</w:t>
      </w:r>
      <w:r w:rsidR="00893717">
        <w:rPr>
          <w:rFonts w:asciiTheme="minorBidi" w:hAnsiTheme="minorBidi"/>
          <w:b/>
          <w:bCs/>
          <w:sz w:val="22"/>
          <w:szCs w:val="22"/>
          <w:u w:val="single"/>
        </w:rPr>
        <w:t>-provider</w:t>
      </w:r>
    </w:p>
    <w:p w14:paraId="098153D6" w14:textId="705DFFF0" w:rsidR="00143209" w:rsidRPr="00893717" w:rsidRDefault="00AC3AF3" w:rsidP="00AC3AF3">
      <w:pPr>
        <w:autoSpaceDE w:val="0"/>
        <w:autoSpaceDN w:val="0"/>
        <w:adjustRightInd w:val="0"/>
        <w:spacing w:after="0" w:line="300" w:lineRule="auto"/>
        <w:contextualSpacing/>
        <w:rPr>
          <w:rFonts w:asciiTheme="minorBidi" w:hAnsiTheme="minorBidi"/>
          <w:b/>
          <w:bCs/>
          <w:sz w:val="22"/>
          <w:szCs w:val="22"/>
          <w:u w:val="single"/>
        </w:rPr>
      </w:pPr>
      <w:r w:rsidRPr="00AC3AF3">
        <w:rPr>
          <w:rFonts w:asciiTheme="minorBidi" w:hAnsiTheme="minorBidi"/>
          <w:sz w:val="22"/>
          <w:szCs w:val="22"/>
        </w:rPr>
        <w:t xml:space="preserve">For the purposes of this manual and guidance, when providers </w:t>
      </w:r>
      <w:proofErr w:type="gramStart"/>
      <w:r w:rsidRPr="00AC3AF3">
        <w:rPr>
          <w:rFonts w:asciiTheme="minorBidi" w:hAnsiTheme="minorBidi"/>
          <w:sz w:val="22"/>
          <w:szCs w:val="22"/>
        </w:rPr>
        <w:t>enter into</w:t>
      </w:r>
      <w:proofErr w:type="gramEnd"/>
      <w:r w:rsidRPr="00AC3AF3">
        <w:rPr>
          <w:rFonts w:asciiTheme="minorBidi" w:hAnsiTheme="minorBidi"/>
          <w:sz w:val="22"/>
          <w:szCs w:val="22"/>
        </w:rPr>
        <w:t xml:space="preserve"> </w:t>
      </w:r>
      <w:r w:rsidR="00BA0ED2">
        <w:rPr>
          <w:rFonts w:asciiTheme="minorBidi" w:hAnsiTheme="minorBidi"/>
          <w:sz w:val="22"/>
          <w:szCs w:val="22"/>
        </w:rPr>
        <w:t>formal partnerships with another agency to provide some</w:t>
      </w:r>
      <w:r w:rsidR="00AE7CA1">
        <w:rPr>
          <w:rFonts w:asciiTheme="minorBidi" w:hAnsiTheme="minorBidi"/>
          <w:sz w:val="22"/>
          <w:szCs w:val="22"/>
        </w:rPr>
        <w:t xml:space="preserve"> </w:t>
      </w:r>
      <w:r w:rsidR="00BA0ED2">
        <w:rPr>
          <w:rFonts w:asciiTheme="minorBidi" w:hAnsiTheme="minorBidi"/>
          <w:sz w:val="22"/>
          <w:szCs w:val="22"/>
        </w:rPr>
        <w:t xml:space="preserve">or all of the services identified in the project application, the partner agency is referred to as a </w:t>
      </w:r>
      <w:r w:rsidR="00893717" w:rsidRPr="00893717">
        <w:rPr>
          <w:rFonts w:asciiTheme="minorBidi" w:hAnsiTheme="minorBidi"/>
          <w:sz w:val="22"/>
          <w:szCs w:val="22"/>
        </w:rPr>
        <w:t>Sub</w:t>
      </w:r>
      <w:r w:rsidR="00893717">
        <w:rPr>
          <w:rFonts w:asciiTheme="minorBidi" w:hAnsiTheme="minorBidi"/>
          <w:sz w:val="22"/>
          <w:szCs w:val="22"/>
        </w:rPr>
        <w:t>-</w:t>
      </w:r>
      <w:r w:rsidR="00893717" w:rsidRPr="00893717">
        <w:rPr>
          <w:rFonts w:asciiTheme="minorBidi" w:hAnsiTheme="minorBidi"/>
          <w:sz w:val="22"/>
          <w:szCs w:val="22"/>
        </w:rPr>
        <w:t>provider</w:t>
      </w:r>
      <w:r w:rsidR="00BA0ED2">
        <w:rPr>
          <w:rFonts w:asciiTheme="minorBidi" w:hAnsiTheme="minorBidi"/>
          <w:sz w:val="22"/>
          <w:szCs w:val="22"/>
        </w:rPr>
        <w:t xml:space="preserve">. For </w:t>
      </w:r>
      <w:r w:rsidR="00893717">
        <w:rPr>
          <w:rFonts w:asciiTheme="minorBidi" w:hAnsiTheme="minorBidi"/>
          <w:sz w:val="22"/>
          <w:szCs w:val="22"/>
        </w:rPr>
        <w:t>s</w:t>
      </w:r>
      <w:r w:rsidR="00893717" w:rsidRPr="00893717">
        <w:rPr>
          <w:rFonts w:asciiTheme="minorBidi" w:hAnsiTheme="minorBidi"/>
          <w:sz w:val="22"/>
          <w:szCs w:val="22"/>
        </w:rPr>
        <w:t>ub</w:t>
      </w:r>
      <w:r w:rsidR="00893717">
        <w:rPr>
          <w:rFonts w:asciiTheme="minorBidi" w:hAnsiTheme="minorBidi"/>
          <w:sz w:val="22"/>
          <w:szCs w:val="22"/>
        </w:rPr>
        <w:t>-</w:t>
      </w:r>
      <w:r w:rsidR="00893717" w:rsidRPr="00893717">
        <w:rPr>
          <w:rFonts w:asciiTheme="minorBidi" w:hAnsiTheme="minorBidi"/>
          <w:sz w:val="22"/>
          <w:szCs w:val="22"/>
        </w:rPr>
        <w:t xml:space="preserve">provider </w:t>
      </w:r>
      <w:r w:rsidRPr="00AC3AF3">
        <w:rPr>
          <w:rFonts w:asciiTheme="minorBidi" w:hAnsiTheme="minorBidi"/>
          <w:sz w:val="22"/>
          <w:szCs w:val="22"/>
        </w:rPr>
        <w:t xml:space="preserve">relationships, all required processes, </w:t>
      </w:r>
      <w:proofErr w:type="gramStart"/>
      <w:r w:rsidRPr="00AC3AF3">
        <w:rPr>
          <w:rFonts w:asciiTheme="minorBidi" w:hAnsiTheme="minorBidi"/>
          <w:sz w:val="22"/>
          <w:szCs w:val="22"/>
        </w:rPr>
        <w:t>policies</w:t>
      </w:r>
      <w:proofErr w:type="gramEnd"/>
      <w:r w:rsidRPr="00AC3AF3">
        <w:rPr>
          <w:rFonts w:asciiTheme="minorBidi" w:hAnsiTheme="minorBidi"/>
          <w:sz w:val="22"/>
          <w:szCs w:val="22"/>
        </w:rPr>
        <w:t xml:space="preserve"> and documentation outlined here are still required. </w:t>
      </w:r>
      <w:r w:rsidR="00BA0ED2">
        <w:rPr>
          <w:rFonts w:asciiTheme="minorBidi" w:hAnsiTheme="minorBidi"/>
          <w:sz w:val="22"/>
          <w:szCs w:val="22"/>
        </w:rPr>
        <w:t>Because the provider is responsible for ensuring adherence to program rules, p</w:t>
      </w:r>
      <w:r w:rsidRPr="00AC3AF3">
        <w:rPr>
          <w:rFonts w:asciiTheme="minorBidi" w:hAnsiTheme="minorBidi"/>
          <w:sz w:val="22"/>
          <w:szCs w:val="22"/>
        </w:rPr>
        <w:t xml:space="preserve">roviders are encouraged to clearly outline responsibilities via MOU or other written documentation for all partnerships. </w:t>
      </w:r>
    </w:p>
    <w:p w14:paraId="55537298" w14:textId="37AD200F" w:rsidR="00BA0ED2" w:rsidRDefault="00343D89" w:rsidP="00AC3AF3">
      <w:pPr>
        <w:autoSpaceDE w:val="0"/>
        <w:autoSpaceDN w:val="0"/>
        <w:adjustRightInd w:val="0"/>
        <w:spacing w:after="0" w:line="300" w:lineRule="auto"/>
        <w:contextualSpacing/>
        <w:rPr>
          <w:rFonts w:asciiTheme="minorBidi" w:hAnsiTheme="minorBidi"/>
          <w:sz w:val="22"/>
          <w:szCs w:val="22"/>
        </w:rPr>
      </w:pPr>
      <w:r>
        <w:rPr>
          <w:rFonts w:asciiTheme="minorBidi" w:hAnsiTheme="minorBidi"/>
          <w:sz w:val="22"/>
          <w:szCs w:val="22"/>
        </w:rPr>
        <w:t>Sub-provider</w:t>
      </w:r>
      <w:r w:rsidRPr="00893717">
        <w:rPr>
          <w:rFonts w:asciiTheme="minorBidi" w:hAnsiTheme="minorBidi"/>
          <w:sz w:val="22"/>
          <w:szCs w:val="22"/>
        </w:rPr>
        <w:t xml:space="preserve"> </w:t>
      </w:r>
      <w:r w:rsidR="00BA0ED2">
        <w:rPr>
          <w:rFonts w:asciiTheme="minorBidi" w:hAnsiTheme="minorBidi"/>
          <w:sz w:val="22"/>
          <w:szCs w:val="22"/>
        </w:rPr>
        <w:t xml:space="preserve">partnerships must be reviewed and approved by </w:t>
      </w:r>
      <w:r w:rsidR="00923CA6">
        <w:rPr>
          <w:rFonts w:asciiTheme="minorBidi" w:hAnsiTheme="minorBidi"/>
          <w:sz w:val="22"/>
          <w:szCs w:val="22"/>
        </w:rPr>
        <w:t>EOHLC</w:t>
      </w:r>
      <w:r w:rsidR="00BA0ED2">
        <w:rPr>
          <w:rFonts w:asciiTheme="minorBidi" w:hAnsiTheme="minorBidi"/>
          <w:sz w:val="22"/>
          <w:szCs w:val="22"/>
        </w:rPr>
        <w:t>.</w:t>
      </w:r>
    </w:p>
    <w:p w14:paraId="68466497" w14:textId="62A20810" w:rsidR="00216BE9" w:rsidRDefault="00216BE9" w:rsidP="00AC3AF3">
      <w:pPr>
        <w:autoSpaceDE w:val="0"/>
        <w:autoSpaceDN w:val="0"/>
        <w:adjustRightInd w:val="0"/>
        <w:spacing w:after="0" w:line="300" w:lineRule="auto"/>
        <w:contextualSpacing/>
        <w:rPr>
          <w:rFonts w:asciiTheme="minorBidi" w:hAnsiTheme="minorBidi"/>
          <w:sz w:val="22"/>
          <w:szCs w:val="22"/>
        </w:rPr>
      </w:pPr>
    </w:p>
    <w:p w14:paraId="7D1C3FC6" w14:textId="469FB58C" w:rsidR="00216BE9" w:rsidRPr="00D47533" w:rsidRDefault="00216BE9" w:rsidP="00AC3AF3">
      <w:pPr>
        <w:autoSpaceDE w:val="0"/>
        <w:autoSpaceDN w:val="0"/>
        <w:adjustRightInd w:val="0"/>
        <w:spacing w:after="0" w:line="300" w:lineRule="auto"/>
        <w:contextualSpacing/>
        <w:rPr>
          <w:rFonts w:asciiTheme="minorBidi" w:hAnsiTheme="minorBidi"/>
          <w:b/>
          <w:bCs/>
          <w:sz w:val="22"/>
          <w:szCs w:val="22"/>
          <w:u w:val="single"/>
        </w:rPr>
      </w:pPr>
      <w:r w:rsidRPr="00D47533">
        <w:rPr>
          <w:rFonts w:asciiTheme="minorBidi" w:hAnsiTheme="minorBidi"/>
          <w:b/>
          <w:bCs/>
          <w:sz w:val="22"/>
          <w:szCs w:val="22"/>
          <w:u w:val="single"/>
        </w:rPr>
        <w:t>Trauma Informed Care</w:t>
      </w:r>
    </w:p>
    <w:p w14:paraId="3C6FBFF7" w14:textId="77777777" w:rsidR="008D2FDC" w:rsidRPr="008D2FDC" w:rsidRDefault="008D2FDC" w:rsidP="008D2FDC">
      <w:pPr>
        <w:autoSpaceDE w:val="0"/>
        <w:autoSpaceDN w:val="0"/>
        <w:adjustRightInd w:val="0"/>
        <w:spacing w:after="0" w:line="300" w:lineRule="auto"/>
        <w:contextualSpacing/>
        <w:rPr>
          <w:rFonts w:asciiTheme="minorBidi" w:hAnsiTheme="minorBidi"/>
          <w:sz w:val="22"/>
          <w:szCs w:val="22"/>
        </w:rPr>
      </w:pPr>
      <w:r w:rsidRPr="008D2FDC">
        <w:rPr>
          <w:rFonts w:asciiTheme="minorBidi" w:hAnsiTheme="minorBidi"/>
          <w:sz w:val="22"/>
          <w:szCs w:val="22"/>
        </w:rPr>
        <w:t xml:space="preserve">A trauma-informed approach begins with understanding the physical, social, and emotional impact of trauma on the individual, as well as on the professionals who partner with them. It incorporates three elements: 1. Realizing the prevalence of trauma. 2. Recognizing how trauma affects all individuals involved with the program, organization, or system, including its own </w:t>
      </w:r>
      <w:r w:rsidRPr="008D2FDC">
        <w:rPr>
          <w:rFonts w:asciiTheme="minorBidi" w:hAnsiTheme="minorBidi"/>
          <w:sz w:val="22"/>
          <w:szCs w:val="22"/>
        </w:rPr>
        <w:lastRenderedPageBreak/>
        <w:t xml:space="preserve">workforce. 3. Responding by putting this knowledge into practice. Because homelessness and the threat of becoming homeless can be a crisis of major significance, stabilizing a person in housing requires case managers who understand the impact of trauma and stress on participants’ emotional, behavioral, and cognitive capacity. Until the housing crisis is </w:t>
      </w:r>
      <w:proofErr w:type="gramStart"/>
      <w:r w:rsidRPr="008D2FDC">
        <w:rPr>
          <w:rFonts w:asciiTheme="minorBidi" w:hAnsiTheme="minorBidi"/>
          <w:sz w:val="22"/>
          <w:szCs w:val="22"/>
        </w:rPr>
        <w:t>resolved</w:t>
      </w:r>
      <w:proofErr w:type="gramEnd"/>
      <w:r w:rsidRPr="008D2FDC">
        <w:rPr>
          <w:rFonts w:asciiTheme="minorBidi" w:hAnsiTheme="minorBidi"/>
          <w:sz w:val="22"/>
          <w:szCs w:val="22"/>
        </w:rPr>
        <w:t xml:space="preserve"> and the participant’s stress is decreased, case managers should support the household in setting short-term, achievable, and appropriate goals instead of focusing on longer-term goals. While many of these symptoms of stress will subside once the crisis is resolved, the case manager must be skilled at assessing participants’ various and changing levels of ability to carry out goals and action steps. The case manager should focus on the essential steps required to end the housing crisis.</w:t>
      </w:r>
    </w:p>
    <w:p w14:paraId="79DBA45E" w14:textId="77777777" w:rsidR="00AC3AF3" w:rsidRDefault="00AC3AF3" w:rsidP="00AC3AF3">
      <w:pPr>
        <w:autoSpaceDE w:val="0"/>
        <w:autoSpaceDN w:val="0"/>
        <w:adjustRightInd w:val="0"/>
        <w:spacing w:after="0" w:line="300" w:lineRule="auto"/>
        <w:contextualSpacing/>
        <w:rPr>
          <w:rFonts w:asciiTheme="minorBidi" w:hAnsiTheme="minorBidi"/>
          <w:b/>
          <w:bCs/>
          <w:sz w:val="22"/>
          <w:szCs w:val="22"/>
        </w:rPr>
      </w:pPr>
    </w:p>
    <w:p w14:paraId="4179DC69" w14:textId="77777777" w:rsidR="004E7349" w:rsidRPr="00B315DD" w:rsidRDefault="004E7349" w:rsidP="004E5FB2">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 xml:space="preserve">Victim Service Provider </w:t>
      </w:r>
    </w:p>
    <w:p w14:paraId="7B096D4D" w14:textId="26E3060A" w:rsidR="0068495D" w:rsidRDefault="0068495D" w:rsidP="004E5FB2">
      <w:pPr>
        <w:autoSpaceDE w:val="0"/>
        <w:autoSpaceDN w:val="0"/>
        <w:adjustRightInd w:val="0"/>
        <w:spacing w:after="0" w:line="300" w:lineRule="auto"/>
        <w:contextualSpacing/>
        <w:rPr>
          <w:rFonts w:asciiTheme="minorBidi" w:hAnsiTheme="minorBidi"/>
          <w:sz w:val="22"/>
          <w:szCs w:val="22"/>
        </w:rPr>
      </w:pPr>
      <w:r>
        <w:rPr>
          <w:rFonts w:asciiTheme="minorBidi" w:hAnsiTheme="minorBidi"/>
          <w:sz w:val="22"/>
          <w:szCs w:val="22"/>
        </w:rPr>
        <w:t xml:space="preserve">A </w:t>
      </w:r>
      <w:r w:rsidRPr="0068495D">
        <w:rPr>
          <w:rFonts w:asciiTheme="minorBidi" w:hAnsiTheme="minorBidi"/>
          <w:sz w:val="22"/>
          <w:szCs w:val="22"/>
        </w:rPr>
        <w:t>victim service provider</w:t>
      </w:r>
      <w:r>
        <w:rPr>
          <w:rFonts w:asciiTheme="minorBidi" w:hAnsiTheme="minorBidi"/>
          <w:sz w:val="22"/>
          <w:szCs w:val="22"/>
        </w:rPr>
        <w:t xml:space="preserve"> is</w:t>
      </w:r>
      <w:r w:rsidRPr="0068495D">
        <w:rPr>
          <w:rFonts w:asciiTheme="minorBidi" w:hAnsiTheme="minorBidi"/>
          <w:sz w:val="22"/>
          <w:szCs w:val="22"/>
        </w:rPr>
        <w:t xml:space="preserve"> a private nonprofit organization whose primary mission is to provide direct services to victims of domestic violence</w:t>
      </w:r>
      <w:r w:rsidR="00A557A7">
        <w:rPr>
          <w:rFonts w:asciiTheme="minorBidi" w:hAnsiTheme="minorBidi"/>
          <w:sz w:val="22"/>
          <w:szCs w:val="22"/>
        </w:rPr>
        <w:t>, dating violence, sexual assault, or stalking</w:t>
      </w:r>
      <w:r w:rsidRPr="0068495D">
        <w:rPr>
          <w:rFonts w:asciiTheme="minorBidi" w:hAnsiTheme="minorBidi"/>
          <w:sz w:val="22"/>
          <w:szCs w:val="22"/>
        </w:rPr>
        <w:t xml:space="preserve">. This term includes permanent housing providers—including rapid re-housing, </w:t>
      </w:r>
      <w:r w:rsidR="00805C13">
        <w:rPr>
          <w:rFonts w:asciiTheme="minorBidi" w:hAnsiTheme="minorBidi"/>
          <w:sz w:val="22"/>
          <w:szCs w:val="22"/>
        </w:rPr>
        <w:t xml:space="preserve">as well as other </w:t>
      </w:r>
      <w:r w:rsidRPr="0068495D">
        <w:rPr>
          <w:rFonts w:asciiTheme="minorBidi" w:hAnsiTheme="minorBidi"/>
          <w:sz w:val="22"/>
          <w:szCs w:val="22"/>
        </w:rPr>
        <w:t>domestic violence programs</w:t>
      </w:r>
      <w:r w:rsidR="00805C13">
        <w:rPr>
          <w:rFonts w:asciiTheme="minorBidi" w:hAnsiTheme="minorBidi"/>
          <w:sz w:val="22"/>
          <w:szCs w:val="22"/>
        </w:rPr>
        <w:t xml:space="preserve"> and </w:t>
      </w:r>
      <w:r w:rsidRPr="0068495D">
        <w:rPr>
          <w:rFonts w:asciiTheme="minorBidi" w:hAnsiTheme="minorBidi"/>
          <w:sz w:val="22"/>
          <w:szCs w:val="22"/>
        </w:rPr>
        <w:t>related advocacy and supportive services programs.</w:t>
      </w:r>
    </w:p>
    <w:p w14:paraId="33B315EA" w14:textId="161E3AE7" w:rsidR="00111FB3" w:rsidRDefault="00111FB3">
      <w:pPr>
        <w:rPr>
          <w:rFonts w:asciiTheme="minorBidi" w:hAnsiTheme="minorBidi"/>
          <w:sz w:val="22"/>
          <w:szCs w:val="22"/>
        </w:rPr>
      </w:pPr>
      <w:r>
        <w:rPr>
          <w:rFonts w:asciiTheme="minorBidi" w:hAnsiTheme="minorBidi"/>
          <w:sz w:val="22"/>
          <w:szCs w:val="22"/>
        </w:rPr>
        <w:br w:type="page"/>
      </w:r>
    </w:p>
    <w:p w14:paraId="785C7E0F" w14:textId="12B03663" w:rsidR="0059445F" w:rsidRPr="00584180" w:rsidRDefault="00923CA6" w:rsidP="0059445F">
      <w:pPr>
        <w:pStyle w:val="Heading1"/>
        <w:rPr>
          <w:rFonts w:asciiTheme="minorBidi" w:hAnsiTheme="minorBidi"/>
        </w:rPr>
      </w:pPr>
      <w:bookmarkStart w:id="4" w:name="_Toc110000631"/>
      <w:r>
        <w:rPr>
          <w:rFonts w:asciiTheme="minorBidi" w:hAnsiTheme="minorBidi"/>
          <w:caps w:val="0"/>
        </w:rPr>
        <w:lastRenderedPageBreak/>
        <w:t>EOHLC</w:t>
      </w:r>
      <w:r w:rsidR="00E5508A">
        <w:rPr>
          <w:rFonts w:asciiTheme="minorBidi" w:hAnsiTheme="minorBidi"/>
          <w:caps w:val="0"/>
        </w:rPr>
        <w:t xml:space="preserve"> </w:t>
      </w:r>
      <w:r w:rsidR="00E5508A" w:rsidRPr="00584180">
        <w:rPr>
          <w:rFonts w:asciiTheme="minorBidi" w:hAnsiTheme="minorBidi"/>
          <w:caps w:val="0"/>
        </w:rPr>
        <w:t xml:space="preserve">PROGRAM BACKGROUND, </w:t>
      </w:r>
      <w:proofErr w:type="gramStart"/>
      <w:r w:rsidR="00E5508A" w:rsidRPr="00584180">
        <w:rPr>
          <w:rFonts w:asciiTheme="minorBidi" w:hAnsiTheme="minorBidi"/>
          <w:caps w:val="0"/>
        </w:rPr>
        <w:t>PURPOSE</w:t>
      </w:r>
      <w:proofErr w:type="gramEnd"/>
      <w:r w:rsidR="00E5508A" w:rsidRPr="00584180">
        <w:rPr>
          <w:rFonts w:asciiTheme="minorBidi" w:hAnsiTheme="minorBidi"/>
          <w:caps w:val="0"/>
        </w:rPr>
        <w:t xml:space="preserve"> AND PHILOSOPHY</w:t>
      </w:r>
      <w:bookmarkEnd w:id="4"/>
      <w:r w:rsidR="00E5508A" w:rsidRPr="00584180">
        <w:rPr>
          <w:rFonts w:asciiTheme="minorBidi" w:hAnsiTheme="minorBidi"/>
          <w:caps w:val="0"/>
        </w:rPr>
        <w:t xml:space="preserve"> </w:t>
      </w:r>
    </w:p>
    <w:p w14:paraId="0F5CED4E" w14:textId="77777777" w:rsidR="002A1585" w:rsidRDefault="002A1585" w:rsidP="004A6F41">
      <w:pPr>
        <w:autoSpaceDE w:val="0"/>
        <w:autoSpaceDN w:val="0"/>
        <w:adjustRightInd w:val="0"/>
        <w:spacing w:before="0" w:after="0" w:line="300" w:lineRule="auto"/>
        <w:contextualSpacing/>
        <w:rPr>
          <w:rFonts w:asciiTheme="minorBidi" w:hAnsiTheme="minorBidi"/>
          <w:b/>
          <w:bCs/>
          <w:color w:val="000000"/>
          <w:sz w:val="22"/>
          <w:szCs w:val="22"/>
        </w:rPr>
      </w:pPr>
    </w:p>
    <w:p w14:paraId="7B087384" w14:textId="252044FC" w:rsidR="004A6F41" w:rsidRPr="004A6F41" w:rsidRDefault="004A6F41" w:rsidP="004A6F41">
      <w:pPr>
        <w:autoSpaceDE w:val="0"/>
        <w:autoSpaceDN w:val="0"/>
        <w:adjustRightInd w:val="0"/>
        <w:spacing w:before="0" w:after="0" w:line="300" w:lineRule="auto"/>
        <w:contextualSpacing/>
        <w:rPr>
          <w:rFonts w:asciiTheme="minorBidi" w:hAnsiTheme="minorBidi"/>
          <w:color w:val="000000"/>
          <w:sz w:val="22"/>
          <w:szCs w:val="22"/>
        </w:rPr>
      </w:pPr>
      <w:r w:rsidRPr="004A6F41">
        <w:rPr>
          <w:rFonts w:asciiTheme="minorBidi" w:hAnsiTheme="minorBidi"/>
          <w:color w:val="000000"/>
          <w:sz w:val="22"/>
          <w:szCs w:val="22"/>
        </w:rPr>
        <w:t xml:space="preserve">The US Department of Housing and Urban Development (HUD), via its Emergency Solutions Grant Rules and Regulations (ESG) and the Homeless Emergency Assistance and Rapid Transition to Housing (HEARTH) Continuum of Care Program Interim Rules, requires that </w:t>
      </w:r>
      <w:r w:rsidR="00E56996" w:rsidRPr="004A6F41">
        <w:rPr>
          <w:rFonts w:asciiTheme="minorBidi" w:hAnsiTheme="minorBidi"/>
          <w:color w:val="000000"/>
          <w:sz w:val="22"/>
          <w:szCs w:val="22"/>
        </w:rPr>
        <w:t>Continu</w:t>
      </w:r>
      <w:r w:rsidR="00E56996">
        <w:rPr>
          <w:rFonts w:asciiTheme="minorBidi" w:hAnsiTheme="minorBidi"/>
          <w:color w:val="000000"/>
          <w:sz w:val="22"/>
          <w:szCs w:val="22"/>
        </w:rPr>
        <w:t>um</w:t>
      </w:r>
      <w:r w:rsidRPr="004A6F41">
        <w:rPr>
          <w:rFonts w:asciiTheme="minorBidi" w:hAnsiTheme="minorBidi"/>
          <w:color w:val="000000"/>
          <w:sz w:val="22"/>
          <w:szCs w:val="22"/>
        </w:rPr>
        <w:t xml:space="preserve"> of Care (CoC) establish and consistently follow written standards for providing CoC and ESG assistance. T</w:t>
      </w:r>
      <w:r w:rsidR="001E0169">
        <w:rPr>
          <w:rFonts w:asciiTheme="minorBidi" w:hAnsiTheme="minorBidi"/>
          <w:color w:val="000000"/>
          <w:sz w:val="22"/>
          <w:szCs w:val="22"/>
        </w:rPr>
        <w:t xml:space="preserve">he </w:t>
      </w:r>
      <w:r w:rsidR="00EA5928">
        <w:rPr>
          <w:rFonts w:asciiTheme="minorBidi" w:hAnsiTheme="minorBidi"/>
          <w:color w:val="000000"/>
          <w:sz w:val="22"/>
          <w:szCs w:val="22"/>
        </w:rPr>
        <w:t>C</w:t>
      </w:r>
      <w:r w:rsidR="001E0169">
        <w:rPr>
          <w:rFonts w:asciiTheme="minorBidi" w:hAnsiTheme="minorBidi"/>
          <w:color w:val="000000"/>
          <w:sz w:val="22"/>
          <w:szCs w:val="22"/>
        </w:rPr>
        <w:t>ommonwealth of M</w:t>
      </w:r>
      <w:r w:rsidR="00EA5928">
        <w:rPr>
          <w:rFonts w:asciiTheme="minorBidi" w:hAnsiTheme="minorBidi"/>
          <w:color w:val="000000"/>
          <w:sz w:val="22"/>
          <w:szCs w:val="22"/>
        </w:rPr>
        <w:t xml:space="preserve">assachusetts, through the Department of Housing and Community Development, </w:t>
      </w:r>
      <w:r w:rsidRPr="004A6F41">
        <w:rPr>
          <w:rFonts w:asciiTheme="minorBidi" w:hAnsiTheme="minorBidi"/>
          <w:color w:val="000000"/>
          <w:sz w:val="22"/>
          <w:szCs w:val="22"/>
        </w:rPr>
        <w:t xml:space="preserve">has developed </w:t>
      </w:r>
      <w:r w:rsidR="00273E9A">
        <w:rPr>
          <w:rFonts w:asciiTheme="minorBidi" w:hAnsiTheme="minorBidi"/>
          <w:color w:val="000000"/>
          <w:sz w:val="22"/>
          <w:szCs w:val="22"/>
        </w:rPr>
        <w:t xml:space="preserve">these </w:t>
      </w:r>
      <w:r w:rsidRPr="004A6F41">
        <w:rPr>
          <w:rFonts w:asciiTheme="minorBidi" w:hAnsiTheme="minorBidi"/>
          <w:color w:val="000000"/>
          <w:sz w:val="22"/>
          <w:szCs w:val="22"/>
        </w:rPr>
        <w:t xml:space="preserve">Program Standards to help fulfill these requirements and to </w:t>
      </w:r>
      <w:r w:rsidR="001E0169">
        <w:rPr>
          <w:rFonts w:asciiTheme="minorBidi" w:hAnsiTheme="minorBidi"/>
          <w:color w:val="000000"/>
          <w:sz w:val="22"/>
          <w:szCs w:val="22"/>
        </w:rPr>
        <w:t>support</w:t>
      </w:r>
      <w:r w:rsidRPr="004A6F41">
        <w:rPr>
          <w:rFonts w:asciiTheme="minorBidi" w:hAnsiTheme="minorBidi"/>
          <w:color w:val="000000"/>
          <w:sz w:val="22"/>
          <w:szCs w:val="22"/>
        </w:rPr>
        <w:t xml:space="preserve"> HUD’s goal of reducing and ending homelessness across the United States.</w:t>
      </w:r>
      <w:r w:rsidR="00273E9A">
        <w:rPr>
          <w:rFonts w:asciiTheme="minorBidi" w:hAnsiTheme="minorBidi"/>
          <w:color w:val="000000"/>
          <w:sz w:val="22"/>
          <w:szCs w:val="22"/>
        </w:rPr>
        <w:t xml:space="preserve"> </w:t>
      </w:r>
      <w:r w:rsidRPr="004A6F41">
        <w:rPr>
          <w:rFonts w:asciiTheme="minorBidi" w:hAnsiTheme="minorBidi"/>
          <w:color w:val="000000"/>
          <w:sz w:val="22"/>
          <w:szCs w:val="22"/>
        </w:rPr>
        <w:t xml:space="preserve">In addition to meeting federal requirements, these standards will also help ensure more consistent use of best practices and help to standardize program design and implementation of our </w:t>
      </w:r>
      <w:r w:rsidR="00273E9A" w:rsidRPr="004A6F41">
        <w:rPr>
          <w:rFonts w:asciiTheme="minorBidi" w:hAnsiTheme="minorBidi"/>
          <w:color w:val="000000"/>
          <w:sz w:val="22"/>
          <w:szCs w:val="22"/>
        </w:rPr>
        <w:t xml:space="preserve">rapid re-housing </w:t>
      </w:r>
      <w:r w:rsidRPr="004A6F41">
        <w:rPr>
          <w:rFonts w:asciiTheme="minorBidi" w:hAnsiTheme="minorBidi"/>
          <w:color w:val="000000"/>
          <w:sz w:val="22"/>
          <w:szCs w:val="22"/>
        </w:rPr>
        <w:t xml:space="preserve">projects across </w:t>
      </w:r>
      <w:r w:rsidR="00316A02">
        <w:rPr>
          <w:rFonts w:asciiTheme="minorBidi" w:hAnsiTheme="minorBidi"/>
          <w:color w:val="000000"/>
          <w:sz w:val="22"/>
          <w:szCs w:val="22"/>
        </w:rPr>
        <w:t>the</w:t>
      </w:r>
      <w:r w:rsidR="00EA5928">
        <w:rPr>
          <w:rFonts w:asciiTheme="minorBidi" w:hAnsiTheme="minorBidi"/>
          <w:color w:val="000000"/>
          <w:sz w:val="22"/>
          <w:szCs w:val="22"/>
        </w:rPr>
        <w:t xml:space="preserve"> statewide </w:t>
      </w:r>
      <w:r w:rsidRPr="004A6F41">
        <w:rPr>
          <w:rFonts w:asciiTheme="minorBidi" w:hAnsiTheme="minorBidi"/>
          <w:color w:val="000000"/>
          <w:sz w:val="22"/>
          <w:szCs w:val="22"/>
        </w:rPr>
        <w:t xml:space="preserve">homeless </w:t>
      </w:r>
      <w:r w:rsidR="00EA5928">
        <w:rPr>
          <w:rFonts w:asciiTheme="minorBidi" w:hAnsiTheme="minorBidi"/>
          <w:color w:val="000000"/>
          <w:sz w:val="22"/>
          <w:szCs w:val="22"/>
        </w:rPr>
        <w:t xml:space="preserve">response </w:t>
      </w:r>
      <w:r w:rsidRPr="004A6F41">
        <w:rPr>
          <w:rFonts w:asciiTheme="minorBidi" w:hAnsiTheme="minorBidi"/>
          <w:color w:val="000000"/>
          <w:sz w:val="22"/>
          <w:szCs w:val="22"/>
        </w:rPr>
        <w:t>system.</w:t>
      </w:r>
      <w:r w:rsidR="00EA5928">
        <w:rPr>
          <w:rFonts w:asciiTheme="minorBidi" w:hAnsiTheme="minorBidi"/>
          <w:color w:val="000000"/>
          <w:sz w:val="22"/>
          <w:szCs w:val="22"/>
        </w:rPr>
        <w:t xml:space="preserve"> </w:t>
      </w:r>
      <w:r w:rsidRPr="004A6F41">
        <w:rPr>
          <w:rFonts w:asciiTheme="minorBidi" w:hAnsiTheme="minorBidi"/>
          <w:color w:val="000000"/>
          <w:sz w:val="22"/>
          <w:szCs w:val="22"/>
        </w:rPr>
        <w:t>This manual is intended to</w:t>
      </w:r>
      <w:r w:rsidR="00273E9A">
        <w:rPr>
          <w:rFonts w:asciiTheme="minorBidi" w:hAnsiTheme="minorBidi"/>
          <w:color w:val="000000"/>
          <w:sz w:val="22"/>
          <w:szCs w:val="22"/>
        </w:rPr>
        <w:t xml:space="preserve"> provide both written standards and </w:t>
      </w:r>
      <w:r w:rsidRPr="004A6F41">
        <w:rPr>
          <w:rFonts w:asciiTheme="minorBidi" w:hAnsiTheme="minorBidi"/>
          <w:color w:val="000000"/>
          <w:sz w:val="22"/>
          <w:szCs w:val="22"/>
        </w:rPr>
        <w:t xml:space="preserve">further clarify </w:t>
      </w:r>
      <w:r w:rsidR="00273E9A" w:rsidRPr="004A6F41">
        <w:rPr>
          <w:rFonts w:asciiTheme="minorBidi" w:hAnsiTheme="minorBidi"/>
          <w:color w:val="000000"/>
          <w:sz w:val="22"/>
          <w:szCs w:val="22"/>
        </w:rPr>
        <w:t>poli</w:t>
      </w:r>
      <w:r w:rsidR="00796E65">
        <w:rPr>
          <w:rFonts w:asciiTheme="minorBidi" w:hAnsiTheme="minorBidi"/>
          <w:color w:val="000000"/>
          <w:sz w:val="22"/>
          <w:szCs w:val="22"/>
        </w:rPr>
        <w:t xml:space="preserve">cies </w:t>
      </w:r>
      <w:r w:rsidR="00273E9A" w:rsidRPr="004A6F41">
        <w:rPr>
          <w:rFonts w:asciiTheme="minorBidi" w:hAnsiTheme="minorBidi"/>
          <w:color w:val="000000"/>
          <w:sz w:val="22"/>
          <w:szCs w:val="22"/>
        </w:rPr>
        <w:t>and procedure</w:t>
      </w:r>
      <w:r w:rsidR="00273E9A">
        <w:rPr>
          <w:rFonts w:asciiTheme="minorBidi" w:hAnsiTheme="minorBidi"/>
          <w:color w:val="000000"/>
          <w:sz w:val="22"/>
          <w:szCs w:val="22"/>
        </w:rPr>
        <w:t>s t</w:t>
      </w:r>
      <w:r w:rsidR="00796E65">
        <w:rPr>
          <w:rFonts w:asciiTheme="minorBidi" w:hAnsiTheme="minorBidi"/>
          <w:color w:val="000000"/>
          <w:sz w:val="22"/>
          <w:szCs w:val="22"/>
        </w:rPr>
        <w:t>hat</w:t>
      </w:r>
      <w:r w:rsidR="00273E9A">
        <w:rPr>
          <w:rFonts w:asciiTheme="minorBidi" w:hAnsiTheme="minorBidi"/>
          <w:color w:val="000000"/>
          <w:sz w:val="22"/>
          <w:szCs w:val="22"/>
        </w:rPr>
        <w:t xml:space="preserve"> </w:t>
      </w:r>
      <w:r w:rsidRPr="004A6F41">
        <w:rPr>
          <w:rFonts w:asciiTheme="minorBidi" w:hAnsiTheme="minorBidi"/>
          <w:color w:val="000000"/>
          <w:sz w:val="22"/>
          <w:szCs w:val="22"/>
        </w:rPr>
        <w:t>inform service expectations</w:t>
      </w:r>
      <w:r w:rsidR="00273E9A">
        <w:rPr>
          <w:rFonts w:asciiTheme="minorBidi" w:hAnsiTheme="minorBidi"/>
          <w:color w:val="000000"/>
          <w:sz w:val="22"/>
          <w:szCs w:val="22"/>
        </w:rPr>
        <w:t xml:space="preserve"> for </w:t>
      </w:r>
      <w:r w:rsidR="00923CA6">
        <w:rPr>
          <w:rFonts w:asciiTheme="minorBidi" w:hAnsiTheme="minorBidi"/>
          <w:color w:val="000000"/>
          <w:sz w:val="22"/>
          <w:szCs w:val="22"/>
        </w:rPr>
        <w:t>EOHLC</w:t>
      </w:r>
      <w:r w:rsidR="00273E9A">
        <w:rPr>
          <w:rFonts w:asciiTheme="minorBidi" w:hAnsiTheme="minorBidi"/>
          <w:color w:val="000000"/>
          <w:sz w:val="22"/>
          <w:szCs w:val="22"/>
        </w:rPr>
        <w:t xml:space="preserve"> </w:t>
      </w:r>
      <w:r w:rsidR="00343D89">
        <w:rPr>
          <w:rFonts w:asciiTheme="minorBidi" w:hAnsiTheme="minorBidi"/>
          <w:color w:val="000000"/>
          <w:sz w:val="22"/>
          <w:szCs w:val="22"/>
        </w:rPr>
        <w:t>provider</w:t>
      </w:r>
      <w:r w:rsidR="00A8585D">
        <w:rPr>
          <w:rFonts w:asciiTheme="minorBidi" w:hAnsiTheme="minorBidi"/>
          <w:color w:val="000000"/>
          <w:sz w:val="22"/>
          <w:szCs w:val="22"/>
        </w:rPr>
        <w:t>s</w:t>
      </w:r>
      <w:r w:rsidR="00E744ED">
        <w:rPr>
          <w:rFonts w:asciiTheme="minorBidi" w:hAnsiTheme="minorBidi"/>
          <w:color w:val="000000"/>
          <w:sz w:val="22"/>
          <w:szCs w:val="22"/>
        </w:rPr>
        <w:t xml:space="preserve">. </w:t>
      </w:r>
    </w:p>
    <w:p w14:paraId="0E449946" w14:textId="77777777" w:rsidR="001E0169" w:rsidRDefault="001E0169" w:rsidP="004A6F41">
      <w:pPr>
        <w:autoSpaceDE w:val="0"/>
        <w:autoSpaceDN w:val="0"/>
        <w:adjustRightInd w:val="0"/>
        <w:spacing w:before="0" w:after="0" w:line="300" w:lineRule="auto"/>
        <w:contextualSpacing/>
        <w:rPr>
          <w:rFonts w:asciiTheme="minorBidi" w:hAnsiTheme="minorBidi"/>
          <w:color w:val="000000"/>
          <w:sz w:val="22"/>
          <w:szCs w:val="22"/>
        </w:rPr>
      </w:pPr>
    </w:p>
    <w:p w14:paraId="78B8D1E4" w14:textId="305102F0" w:rsidR="00253E42" w:rsidRDefault="002A1585" w:rsidP="00EA5928">
      <w:pPr>
        <w:autoSpaceDE w:val="0"/>
        <w:autoSpaceDN w:val="0"/>
        <w:adjustRightInd w:val="0"/>
        <w:spacing w:after="0" w:line="300" w:lineRule="auto"/>
        <w:contextualSpacing/>
        <w:rPr>
          <w:rFonts w:asciiTheme="minorBidi" w:hAnsiTheme="minorBidi"/>
          <w:sz w:val="22"/>
          <w:szCs w:val="22"/>
          <w:shd w:val="clear" w:color="auto" w:fill="FFFFFF"/>
        </w:rPr>
      </w:pPr>
      <w:r w:rsidRPr="005422BF">
        <w:rPr>
          <w:rFonts w:asciiTheme="minorBidi" w:hAnsiTheme="minorBidi"/>
          <w:b/>
          <w:bCs/>
          <w:sz w:val="22"/>
          <w:szCs w:val="22"/>
        </w:rPr>
        <w:t>Note:</w:t>
      </w:r>
      <w:r w:rsidRPr="00EA5928">
        <w:rPr>
          <w:rFonts w:asciiTheme="minorBidi" w:hAnsiTheme="minorBidi"/>
          <w:sz w:val="22"/>
          <w:szCs w:val="22"/>
        </w:rPr>
        <w:t xml:space="preserve"> </w:t>
      </w:r>
      <w:r w:rsidR="00796E65" w:rsidRPr="00EA5928">
        <w:rPr>
          <w:rFonts w:asciiTheme="minorBidi" w:hAnsiTheme="minorBidi"/>
          <w:sz w:val="22"/>
          <w:szCs w:val="22"/>
        </w:rPr>
        <w:t>C</w:t>
      </w:r>
      <w:r w:rsidR="00796E65" w:rsidRPr="00EA5928">
        <w:rPr>
          <w:rFonts w:asciiTheme="minorBidi" w:hAnsiTheme="minorBidi"/>
          <w:sz w:val="22"/>
          <w:szCs w:val="22"/>
          <w:shd w:val="clear" w:color="auto" w:fill="FFFFFF"/>
        </w:rPr>
        <w:t>OVID</w:t>
      </w:r>
      <w:r w:rsidRPr="00EA5928">
        <w:rPr>
          <w:rFonts w:asciiTheme="minorBidi" w:hAnsiTheme="minorBidi"/>
          <w:sz w:val="22"/>
          <w:szCs w:val="22"/>
          <w:shd w:val="clear" w:color="auto" w:fill="FFFFFF"/>
        </w:rPr>
        <w:t xml:space="preserve">-19 has amplified the historic and current racial biases and discrimination embedded in our systems, processes, and practices. The disparities in deaths among Black, Indigenous </w:t>
      </w:r>
      <w:r w:rsidR="00BD33E8" w:rsidRPr="00EA5928">
        <w:rPr>
          <w:rFonts w:asciiTheme="minorBidi" w:hAnsiTheme="minorBidi"/>
          <w:sz w:val="22"/>
          <w:szCs w:val="22"/>
          <w:shd w:val="clear" w:color="auto" w:fill="FFFFFF"/>
        </w:rPr>
        <w:t xml:space="preserve">and People of Color have been staggering. </w:t>
      </w:r>
      <w:r w:rsidR="00923CA6">
        <w:rPr>
          <w:rFonts w:asciiTheme="minorBidi" w:hAnsiTheme="minorBidi"/>
          <w:sz w:val="22"/>
          <w:szCs w:val="22"/>
          <w:shd w:val="clear" w:color="auto" w:fill="FFFFFF"/>
        </w:rPr>
        <w:t>EOHLC</w:t>
      </w:r>
      <w:r w:rsidR="00A8585D" w:rsidRPr="00EA5928">
        <w:rPr>
          <w:rFonts w:asciiTheme="minorBidi" w:hAnsiTheme="minorBidi"/>
          <w:sz w:val="22"/>
          <w:szCs w:val="22"/>
          <w:shd w:val="clear" w:color="auto" w:fill="FFFFFF"/>
        </w:rPr>
        <w:t xml:space="preserve"> is</w:t>
      </w:r>
      <w:r w:rsidR="00BD33E8" w:rsidRPr="00EA5928">
        <w:rPr>
          <w:rFonts w:asciiTheme="minorBidi" w:hAnsiTheme="minorBidi"/>
          <w:sz w:val="22"/>
          <w:szCs w:val="22"/>
          <w:shd w:val="clear" w:color="auto" w:fill="FFFFFF"/>
        </w:rPr>
        <w:t xml:space="preserve"> committed to using the resources available through ESG-CV to address these disparities</w:t>
      </w:r>
      <w:r w:rsidR="00A8585D" w:rsidRPr="00EA5928">
        <w:rPr>
          <w:rFonts w:asciiTheme="minorBidi" w:hAnsiTheme="minorBidi"/>
          <w:sz w:val="22"/>
          <w:szCs w:val="22"/>
          <w:shd w:val="clear" w:color="auto" w:fill="FFFFFF"/>
        </w:rPr>
        <w:t xml:space="preserve"> and to promote equity in </w:t>
      </w:r>
      <w:r w:rsidR="00796E65">
        <w:rPr>
          <w:rFonts w:asciiTheme="minorBidi" w:hAnsiTheme="minorBidi"/>
          <w:sz w:val="22"/>
          <w:szCs w:val="22"/>
          <w:shd w:val="clear" w:color="auto" w:fill="FFFFFF"/>
        </w:rPr>
        <w:t xml:space="preserve">access and outcomes in </w:t>
      </w:r>
      <w:r w:rsidR="00A8585D" w:rsidRPr="00EA5928">
        <w:rPr>
          <w:rFonts w:asciiTheme="minorBidi" w:hAnsiTheme="minorBidi"/>
          <w:sz w:val="22"/>
          <w:szCs w:val="22"/>
          <w:shd w:val="clear" w:color="auto" w:fill="FFFFFF"/>
        </w:rPr>
        <w:t xml:space="preserve">housing and homelessness programs. </w:t>
      </w:r>
    </w:p>
    <w:p w14:paraId="65591242" w14:textId="77777777" w:rsidR="00A564B9" w:rsidRPr="00EA5928" w:rsidRDefault="00A564B9" w:rsidP="00EA5928">
      <w:pPr>
        <w:autoSpaceDE w:val="0"/>
        <w:autoSpaceDN w:val="0"/>
        <w:adjustRightInd w:val="0"/>
        <w:spacing w:after="0" w:line="300" w:lineRule="auto"/>
        <w:contextualSpacing/>
        <w:rPr>
          <w:rFonts w:asciiTheme="minorBidi" w:hAnsiTheme="minorBidi"/>
          <w:b/>
          <w:bCs/>
          <w:sz w:val="22"/>
          <w:szCs w:val="22"/>
          <w:shd w:val="clear" w:color="auto" w:fill="FFFFFF"/>
        </w:rPr>
      </w:pPr>
    </w:p>
    <w:p w14:paraId="251E66B0" w14:textId="5CA11783" w:rsidR="00253E42" w:rsidRPr="00F00F75" w:rsidRDefault="00E5508A" w:rsidP="00F00F75">
      <w:pPr>
        <w:pStyle w:val="Heading1"/>
        <w:rPr>
          <w:rFonts w:asciiTheme="minorBidi" w:hAnsiTheme="minorBidi"/>
        </w:rPr>
      </w:pPr>
      <w:bookmarkStart w:id="5" w:name="_Toc110000632"/>
      <w:r>
        <w:rPr>
          <w:rFonts w:asciiTheme="minorBidi" w:hAnsiTheme="minorBidi"/>
          <w:caps w:val="0"/>
        </w:rPr>
        <w:t>PROGRAM</w:t>
      </w:r>
      <w:r w:rsidRPr="00F00F75">
        <w:rPr>
          <w:rFonts w:asciiTheme="minorBidi" w:hAnsiTheme="minorBidi"/>
          <w:caps w:val="0"/>
        </w:rPr>
        <w:t xml:space="preserve"> ELIGIBILITY (SEE RECORDKEEPING SECTION FOR NECESSARY DOCUMENTATION PROCEDURES)</w:t>
      </w:r>
      <w:bookmarkStart w:id="6" w:name="_Toc465070513"/>
      <w:bookmarkEnd w:id="5"/>
    </w:p>
    <w:p w14:paraId="19092080" w14:textId="7E373231" w:rsidR="008A50BE" w:rsidRPr="00EA5928" w:rsidRDefault="00EA5928" w:rsidP="00253E42">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EA5928">
        <w:rPr>
          <w:rFonts w:asciiTheme="minorBidi" w:hAnsiTheme="minorBidi"/>
          <w:color w:val="333333"/>
          <w:sz w:val="22"/>
          <w:szCs w:val="22"/>
          <w:shd w:val="clear" w:color="auto" w:fill="FFFFFF"/>
        </w:rPr>
        <w:t xml:space="preserve">It is the responsibility of the </w:t>
      </w:r>
      <w:r w:rsidR="00803781">
        <w:rPr>
          <w:rFonts w:asciiTheme="minorBidi" w:hAnsiTheme="minorBidi"/>
          <w:color w:val="333333"/>
          <w:sz w:val="22"/>
          <w:szCs w:val="22"/>
          <w:shd w:val="clear" w:color="auto" w:fill="FFFFFF"/>
        </w:rPr>
        <w:t>provider</w:t>
      </w:r>
      <w:r w:rsidRPr="00EA5928">
        <w:rPr>
          <w:rFonts w:asciiTheme="minorBidi" w:hAnsiTheme="minorBidi"/>
          <w:color w:val="333333"/>
          <w:sz w:val="22"/>
          <w:szCs w:val="22"/>
          <w:shd w:val="clear" w:color="auto" w:fill="FFFFFF"/>
        </w:rPr>
        <w:t xml:space="preserve"> to confirm and document eligibility for ESG and CoC programs prior to providing services. The recordkeeping section of this manual </w:t>
      </w:r>
      <w:r w:rsidR="002D46B1">
        <w:rPr>
          <w:rFonts w:asciiTheme="minorBidi" w:hAnsiTheme="minorBidi"/>
          <w:color w:val="333333"/>
          <w:sz w:val="22"/>
          <w:szCs w:val="22"/>
          <w:shd w:val="clear" w:color="auto" w:fill="FFFFFF"/>
        </w:rPr>
        <w:t xml:space="preserve">further </w:t>
      </w:r>
      <w:proofErr w:type="gramStart"/>
      <w:r w:rsidRPr="00EA5928">
        <w:rPr>
          <w:rFonts w:asciiTheme="minorBidi" w:hAnsiTheme="minorBidi"/>
          <w:color w:val="333333"/>
          <w:sz w:val="22"/>
          <w:szCs w:val="22"/>
          <w:shd w:val="clear" w:color="auto" w:fill="FFFFFF"/>
        </w:rPr>
        <w:t>outlines</w:t>
      </w:r>
      <w:proofErr w:type="gramEnd"/>
      <w:r w:rsidRPr="00EA5928">
        <w:rPr>
          <w:rFonts w:asciiTheme="minorBidi" w:hAnsiTheme="minorBidi"/>
          <w:color w:val="333333"/>
          <w:sz w:val="22"/>
          <w:szCs w:val="22"/>
          <w:shd w:val="clear" w:color="auto" w:fill="FFFFFF"/>
        </w:rPr>
        <w:t xml:space="preserve"> documentation expectations. </w:t>
      </w:r>
    </w:p>
    <w:p w14:paraId="78E1A7EC" w14:textId="77777777" w:rsidR="00EA5928" w:rsidRDefault="00EA5928"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tbl>
      <w:tblPr>
        <w:tblW w:w="931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3"/>
        <w:gridCol w:w="2728"/>
        <w:gridCol w:w="2823"/>
      </w:tblGrid>
      <w:tr w:rsidR="008A50BE" w:rsidRPr="008A50BE" w14:paraId="7841F7E5" w14:textId="77777777" w:rsidTr="00D47533">
        <w:trPr>
          <w:trHeight w:val="306"/>
        </w:trPr>
        <w:tc>
          <w:tcPr>
            <w:tcW w:w="3763" w:type="dxa"/>
            <w:vMerge w:val="restart"/>
          </w:tcPr>
          <w:p w14:paraId="3B93DF0D"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p w14:paraId="32E0BFD4" w14:textId="77777777" w:rsidR="008A50BE" w:rsidRPr="008A50BE" w:rsidRDefault="008A50BE"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sidRPr="008A50BE">
              <w:rPr>
                <w:rFonts w:asciiTheme="minorBidi" w:hAnsiTheme="minorBidi"/>
                <w:b/>
                <w:color w:val="333333"/>
                <w:sz w:val="22"/>
                <w:szCs w:val="22"/>
                <w:shd w:val="clear" w:color="auto" w:fill="FFFFFF"/>
                <w:lang w:bidi="en-US"/>
              </w:rPr>
              <w:t>Component</w:t>
            </w:r>
          </w:p>
        </w:tc>
        <w:tc>
          <w:tcPr>
            <w:tcW w:w="5551" w:type="dxa"/>
            <w:gridSpan w:val="2"/>
          </w:tcPr>
          <w:p w14:paraId="732BF424" w14:textId="77777777" w:rsidR="008A50BE" w:rsidRPr="008A50BE" w:rsidRDefault="008A50BE" w:rsidP="00D47533">
            <w:pPr>
              <w:autoSpaceDE w:val="0"/>
              <w:autoSpaceDN w:val="0"/>
              <w:adjustRightInd w:val="0"/>
              <w:spacing w:after="0" w:line="300" w:lineRule="auto"/>
              <w:contextualSpacing/>
              <w:jc w:val="center"/>
              <w:rPr>
                <w:rFonts w:asciiTheme="minorBidi" w:hAnsiTheme="minorBidi"/>
                <w:b/>
                <w:color w:val="333333"/>
                <w:sz w:val="22"/>
                <w:szCs w:val="22"/>
                <w:shd w:val="clear" w:color="auto" w:fill="FFFFFF"/>
                <w:lang w:bidi="en-US"/>
              </w:rPr>
            </w:pPr>
            <w:r w:rsidRPr="008A50BE">
              <w:rPr>
                <w:rFonts w:asciiTheme="minorBidi" w:hAnsiTheme="minorBidi"/>
                <w:b/>
                <w:color w:val="333333"/>
                <w:sz w:val="22"/>
                <w:szCs w:val="22"/>
                <w:shd w:val="clear" w:color="auto" w:fill="FFFFFF"/>
                <w:lang w:bidi="en-US"/>
              </w:rPr>
              <w:t>Serving</w:t>
            </w:r>
          </w:p>
        </w:tc>
      </w:tr>
      <w:tr w:rsidR="008A50BE" w:rsidRPr="008A50BE" w14:paraId="5CC966F7" w14:textId="77777777" w:rsidTr="00D47533">
        <w:trPr>
          <w:trHeight w:val="665"/>
        </w:trPr>
        <w:tc>
          <w:tcPr>
            <w:tcW w:w="3763" w:type="dxa"/>
            <w:vMerge/>
          </w:tcPr>
          <w:p w14:paraId="15CFFEE9" w14:textId="77777777" w:rsidR="008A50BE" w:rsidRPr="008A50BE" w:rsidRDefault="008A50BE"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p>
        </w:tc>
        <w:tc>
          <w:tcPr>
            <w:tcW w:w="2728" w:type="dxa"/>
            <w:vAlign w:val="center"/>
          </w:tcPr>
          <w:p w14:paraId="6772E7B7"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Literally Homeless Individuals and Families</w:t>
            </w:r>
          </w:p>
        </w:tc>
        <w:tc>
          <w:tcPr>
            <w:tcW w:w="2822" w:type="dxa"/>
            <w:vAlign w:val="center"/>
          </w:tcPr>
          <w:p w14:paraId="3E3044BA"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Homeless Individuals and Families at Risk of Homelessness</w:t>
            </w:r>
          </w:p>
        </w:tc>
      </w:tr>
      <w:tr w:rsidR="008A50BE" w:rsidRPr="008A50BE" w14:paraId="6B6386AF" w14:textId="77777777" w:rsidTr="00D47533">
        <w:trPr>
          <w:trHeight w:val="410"/>
        </w:trPr>
        <w:tc>
          <w:tcPr>
            <w:tcW w:w="3763" w:type="dxa"/>
            <w:vAlign w:val="center"/>
          </w:tcPr>
          <w:p w14:paraId="357FF1F0" w14:textId="77777777" w:rsidR="008A50BE" w:rsidRPr="008A50BE" w:rsidRDefault="008A50BE"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sidRPr="008A50BE">
              <w:rPr>
                <w:rFonts w:asciiTheme="minorBidi" w:hAnsiTheme="minorBidi"/>
                <w:b/>
                <w:color w:val="333333"/>
                <w:sz w:val="22"/>
                <w:szCs w:val="22"/>
                <w:shd w:val="clear" w:color="auto" w:fill="FFFFFF"/>
                <w:lang w:bidi="en-US"/>
              </w:rPr>
              <w:t>Street Outreach</w:t>
            </w:r>
          </w:p>
        </w:tc>
        <w:tc>
          <w:tcPr>
            <w:tcW w:w="2728" w:type="dxa"/>
          </w:tcPr>
          <w:p w14:paraId="087166B9"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X</w:t>
            </w:r>
          </w:p>
        </w:tc>
        <w:tc>
          <w:tcPr>
            <w:tcW w:w="2822" w:type="dxa"/>
          </w:tcPr>
          <w:p w14:paraId="017E7538"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r>
      <w:tr w:rsidR="008A50BE" w:rsidRPr="008A50BE" w14:paraId="24B0AC03" w14:textId="77777777" w:rsidTr="00D47533">
        <w:trPr>
          <w:trHeight w:val="408"/>
        </w:trPr>
        <w:tc>
          <w:tcPr>
            <w:tcW w:w="3763" w:type="dxa"/>
            <w:vAlign w:val="center"/>
          </w:tcPr>
          <w:p w14:paraId="6432E142" w14:textId="77777777" w:rsidR="008A50BE" w:rsidRPr="008A50BE" w:rsidRDefault="008A50BE"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sidRPr="008A50BE">
              <w:rPr>
                <w:rFonts w:asciiTheme="minorBidi" w:hAnsiTheme="minorBidi"/>
                <w:b/>
                <w:color w:val="333333"/>
                <w:sz w:val="22"/>
                <w:szCs w:val="22"/>
                <w:shd w:val="clear" w:color="auto" w:fill="FFFFFF"/>
                <w:lang w:bidi="en-US"/>
              </w:rPr>
              <w:t>Emergency Shelter</w:t>
            </w:r>
          </w:p>
        </w:tc>
        <w:tc>
          <w:tcPr>
            <w:tcW w:w="2728" w:type="dxa"/>
          </w:tcPr>
          <w:p w14:paraId="0EF885C2"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X</w:t>
            </w:r>
          </w:p>
        </w:tc>
        <w:tc>
          <w:tcPr>
            <w:tcW w:w="2822" w:type="dxa"/>
          </w:tcPr>
          <w:p w14:paraId="6F3022B7"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r>
      <w:tr w:rsidR="008A50BE" w:rsidRPr="008A50BE" w14:paraId="1597BD7D" w14:textId="77777777" w:rsidTr="00D47533">
        <w:trPr>
          <w:trHeight w:val="408"/>
        </w:trPr>
        <w:tc>
          <w:tcPr>
            <w:tcW w:w="3763" w:type="dxa"/>
            <w:vAlign w:val="center"/>
          </w:tcPr>
          <w:p w14:paraId="28C3A75D" w14:textId="77777777" w:rsidR="008A50BE" w:rsidRPr="008A50BE" w:rsidRDefault="008A50BE"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sidRPr="008A50BE">
              <w:rPr>
                <w:rFonts w:asciiTheme="minorBidi" w:hAnsiTheme="minorBidi"/>
                <w:b/>
                <w:color w:val="333333"/>
                <w:sz w:val="22"/>
                <w:szCs w:val="22"/>
                <w:shd w:val="clear" w:color="auto" w:fill="FFFFFF"/>
                <w:lang w:bidi="en-US"/>
              </w:rPr>
              <w:t>Rapid Rehousing</w:t>
            </w:r>
          </w:p>
        </w:tc>
        <w:tc>
          <w:tcPr>
            <w:tcW w:w="2728" w:type="dxa"/>
          </w:tcPr>
          <w:p w14:paraId="74F85E11"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X</w:t>
            </w:r>
          </w:p>
        </w:tc>
        <w:tc>
          <w:tcPr>
            <w:tcW w:w="2822" w:type="dxa"/>
          </w:tcPr>
          <w:p w14:paraId="773DB6B9"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r>
      <w:tr w:rsidR="006D0060" w:rsidRPr="008A50BE" w14:paraId="339B2C5A" w14:textId="77777777" w:rsidTr="00D47533">
        <w:trPr>
          <w:trHeight w:val="408"/>
        </w:trPr>
        <w:tc>
          <w:tcPr>
            <w:tcW w:w="3763" w:type="dxa"/>
            <w:vAlign w:val="center"/>
          </w:tcPr>
          <w:p w14:paraId="13AD2285" w14:textId="6F584C2B" w:rsidR="006D0060" w:rsidRPr="008A50BE" w:rsidRDefault="006D0060"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Pr>
                <w:rFonts w:asciiTheme="minorBidi" w:hAnsiTheme="minorBidi"/>
                <w:b/>
                <w:color w:val="333333"/>
                <w:sz w:val="22"/>
                <w:szCs w:val="22"/>
                <w:shd w:val="clear" w:color="auto" w:fill="FFFFFF"/>
                <w:lang w:bidi="en-US"/>
              </w:rPr>
              <w:t>Homeless Prevention</w:t>
            </w:r>
          </w:p>
        </w:tc>
        <w:tc>
          <w:tcPr>
            <w:tcW w:w="2728" w:type="dxa"/>
          </w:tcPr>
          <w:p w14:paraId="741202AF" w14:textId="77777777" w:rsidR="006D0060" w:rsidRPr="008A50BE" w:rsidRDefault="006D0060"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c>
          <w:tcPr>
            <w:tcW w:w="2822" w:type="dxa"/>
          </w:tcPr>
          <w:p w14:paraId="71FDE084" w14:textId="296EF15A" w:rsidR="006D0060" w:rsidRPr="008A50BE" w:rsidRDefault="006D0060"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Pr>
                <w:rFonts w:asciiTheme="minorBidi" w:hAnsiTheme="minorBidi"/>
                <w:color w:val="333333"/>
                <w:sz w:val="22"/>
                <w:szCs w:val="22"/>
                <w:shd w:val="clear" w:color="auto" w:fill="FFFFFF"/>
                <w:lang w:bidi="en-US"/>
              </w:rPr>
              <w:t>X</w:t>
            </w:r>
          </w:p>
        </w:tc>
      </w:tr>
      <w:tr w:rsidR="008A50BE" w:rsidRPr="008A50BE" w14:paraId="607FA4F3" w14:textId="77777777" w:rsidTr="00D47533">
        <w:trPr>
          <w:trHeight w:val="426"/>
        </w:trPr>
        <w:tc>
          <w:tcPr>
            <w:tcW w:w="3763" w:type="dxa"/>
            <w:vAlign w:val="center"/>
          </w:tcPr>
          <w:p w14:paraId="794D15A3" w14:textId="26E6C825" w:rsidR="008A50BE" w:rsidRPr="008A50BE" w:rsidRDefault="006D0060"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Pr>
                <w:rFonts w:asciiTheme="minorBidi" w:hAnsiTheme="minorBidi"/>
                <w:b/>
                <w:color w:val="333333"/>
                <w:sz w:val="22"/>
                <w:szCs w:val="22"/>
                <w:shd w:val="clear" w:color="auto" w:fill="FFFFFF"/>
                <w:lang w:bidi="en-US"/>
              </w:rPr>
              <w:t>Permanent Supportive Housing</w:t>
            </w:r>
          </w:p>
        </w:tc>
        <w:tc>
          <w:tcPr>
            <w:tcW w:w="2728" w:type="dxa"/>
          </w:tcPr>
          <w:p w14:paraId="1D43F505" w14:textId="7E98F9DF" w:rsidR="008A50BE" w:rsidRPr="008A50BE" w:rsidRDefault="006D0060"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Pr>
                <w:rFonts w:asciiTheme="minorBidi" w:hAnsiTheme="minorBidi"/>
                <w:color w:val="333333"/>
                <w:sz w:val="22"/>
                <w:szCs w:val="22"/>
                <w:shd w:val="clear" w:color="auto" w:fill="FFFFFF"/>
                <w:lang w:bidi="en-US"/>
              </w:rPr>
              <w:t>X</w:t>
            </w:r>
          </w:p>
        </w:tc>
        <w:tc>
          <w:tcPr>
            <w:tcW w:w="2822" w:type="dxa"/>
          </w:tcPr>
          <w:p w14:paraId="531B7C62" w14:textId="77777777" w:rsidR="008A50BE" w:rsidRPr="008A50BE" w:rsidRDefault="008A50BE"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sidRPr="008A50BE">
              <w:rPr>
                <w:rFonts w:asciiTheme="minorBidi" w:hAnsiTheme="minorBidi"/>
                <w:color w:val="333333"/>
                <w:sz w:val="22"/>
                <w:szCs w:val="22"/>
                <w:shd w:val="clear" w:color="auto" w:fill="FFFFFF"/>
                <w:lang w:bidi="en-US"/>
              </w:rPr>
              <w:t>X</w:t>
            </w:r>
          </w:p>
        </w:tc>
      </w:tr>
      <w:tr w:rsidR="006D0060" w:rsidRPr="008A50BE" w14:paraId="59944468" w14:textId="77777777" w:rsidTr="00D47533">
        <w:trPr>
          <w:trHeight w:val="426"/>
        </w:trPr>
        <w:tc>
          <w:tcPr>
            <w:tcW w:w="3763" w:type="dxa"/>
            <w:vAlign w:val="center"/>
          </w:tcPr>
          <w:p w14:paraId="7EA39C38" w14:textId="4D1407E9" w:rsidR="006D0060" w:rsidRPr="008A50BE" w:rsidRDefault="00243C5D"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Pr>
                <w:rFonts w:asciiTheme="minorBidi" w:hAnsiTheme="minorBidi"/>
                <w:b/>
                <w:color w:val="333333"/>
                <w:sz w:val="22"/>
                <w:szCs w:val="22"/>
                <w:shd w:val="clear" w:color="auto" w:fill="FFFFFF"/>
                <w:lang w:bidi="en-US"/>
              </w:rPr>
              <w:t>TH-RRH Component Projects</w:t>
            </w:r>
          </w:p>
        </w:tc>
        <w:tc>
          <w:tcPr>
            <w:tcW w:w="2728" w:type="dxa"/>
          </w:tcPr>
          <w:p w14:paraId="65ACFC2A" w14:textId="14805CF9" w:rsidR="006D0060" w:rsidRPr="008A50BE" w:rsidRDefault="00243C5D"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Pr>
                <w:rFonts w:asciiTheme="minorBidi" w:hAnsiTheme="minorBidi"/>
                <w:color w:val="333333"/>
                <w:sz w:val="22"/>
                <w:szCs w:val="22"/>
                <w:shd w:val="clear" w:color="auto" w:fill="FFFFFF"/>
                <w:lang w:bidi="en-US"/>
              </w:rPr>
              <w:t>X</w:t>
            </w:r>
          </w:p>
        </w:tc>
        <w:tc>
          <w:tcPr>
            <w:tcW w:w="2822" w:type="dxa"/>
          </w:tcPr>
          <w:p w14:paraId="3852BFC9" w14:textId="77777777" w:rsidR="006D0060" w:rsidRPr="008A50BE" w:rsidRDefault="006D0060"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r>
      <w:tr w:rsidR="006D0060" w:rsidRPr="008A50BE" w14:paraId="3BD7014E" w14:textId="77777777" w:rsidTr="00D47533">
        <w:trPr>
          <w:trHeight w:val="426"/>
        </w:trPr>
        <w:tc>
          <w:tcPr>
            <w:tcW w:w="3763" w:type="dxa"/>
            <w:vAlign w:val="center"/>
          </w:tcPr>
          <w:p w14:paraId="62417ECF" w14:textId="6CC5498D" w:rsidR="006D0060" w:rsidRPr="008A50BE" w:rsidRDefault="00E8109B" w:rsidP="00707D43">
            <w:pPr>
              <w:autoSpaceDE w:val="0"/>
              <w:autoSpaceDN w:val="0"/>
              <w:adjustRightInd w:val="0"/>
              <w:spacing w:after="0" w:line="300" w:lineRule="auto"/>
              <w:contextualSpacing/>
              <w:rPr>
                <w:rFonts w:asciiTheme="minorBidi" w:hAnsiTheme="minorBidi"/>
                <w:b/>
                <w:color w:val="333333"/>
                <w:sz w:val="22"/>
                <w:szCs w:val="22"/>
                <w:shd w:val="clear" w:color="auto" w:fill="FFFFFF"/>
                <w:lang w:bidi="en-US"/>
              </w:rPr>
            </w:pPr>
            <w:r>
              <w:rPr>
                <w:rFonts w:asciiTheme="minorBidi" w:hAnsiTheme="minorBidi"/>
                <w:b/>
                <w:color w:val="333333"/>
                <w:sz w:val="22"/>
                <w:szCs w:val="22"/>
                <w:shd w:val="clear" w:color="auto" w:fill="FFFFFF"/>
                <w:lang w:bidi="en-US"/>
              </w:rPr>
              <w:lastRenderedPageBreak/>
              <w:t>Transitional Housing</w:t>
            </w:r>
          </w:p>
        </w:tc>
        <w:tc>
          <w:tcPr>
            <w:tcW w:w="2728" w:type="dxa"/>
          </w:tcPr>
          <w:p w14:paraId="05AAC21D" w14:textId="67A38DFF" w:rsidR="006D0060" w:rsidRPr="008A50BE" w:rsidRDefault="00E8109B"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r>
              <w:rPr>
                <w:rFonts w:asciiTheme="minorBidi" w:hAnsiTheme="minorBidi"/>
                <w:color w:val="333333"/>
                <w:sz w:val="22"/>
                <w:szCs w:val="22"/>
                <w:shd w:val="clear" w:color="auto" w:fill="FFFFFF"/>
                <w:lang w:bidi="en-US"/>
              </w:rPr>
              <w:t>X</w:t>
            </w:r>
          </w:p>
        </w:tc>
        <w:tc>
          <w:tcPr>
            <w:tcW w:w="2822" w:type="dxa"/>
          </w:tcPr>
          <w:p w14:paraId="02E59021" w14:textId="77777777" w:rsidR="006D0060" w:rsidRPr="008A50BE" w:rsidRDefault="006D0060" w:rsidP="00707D43">
            <w:pPr>
              <w:autoSpaceDE w:val="0"/>
              <w:autoSpaceDN w:val="0"/>
              <w:adjustRightInd w:val="0"/>
              <w:spacing w:after="0" w:line="300" w:lineRule="auto"/>
              <w:contextualSpacing/>
              <w:rPr>
                <w:rFonts w:asciiTheme="minorBidi" w:hAnsiTheme="minorBidi"/>
                <w:color w:val="333333"/>
                <w:sz w:val="22"/>
                <w:szCs w:val="22"/>
                <w:shd w:val="clear" w:color="auto" w:fill="FFFFFF"/>
                <w:lang w:bidi="en-US"/>
              </w:rPr>
            </w:pPr>
          </w:p>
        </w:tc>
      </w:tr>
    </w:tbl>
    <w:p w14:paraId="4279B5CB" w14:textId="0749A32F" w:rsidR="008A50BE" w:rsidRDefault="008A50BE"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6B40599B" w14:textId="29A877E5" w:rsidR="00111FB3" w:rsidRDefault="00111FB3"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3F0C4E34" w14:textId="77777777" w:rsidR="00F11170" w:rsidRDefault="00F11170"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01411593" w14:textId="690BF6E1" w:rsidR="008A50BE" w:rsidRDefault="00B6253C" w:rsidP="00253E42">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Pr>
          <w:rFonts w:asciiTheme="minorBidi" w:hAnsiTheme="minorBidi"/>
          <w:b/>
          <w:bCs/>
          <w:color w:val="333333"/>
          <w:sz w:val="22"/>
          <w:szCs w:val="22"/>
          <w:u w:val="single"/>
          <w:shd w:val="clear" w:color="auto" w:fill="FFFFFF"/>
        </w:rPr>
        <w:t xml:space="preserve">Street Outreach </w:t>
      </w:r>
    </w:p>
    <w:p w14:paraId="38227D0F" w14:textId="77777777" w:rsidR="00B6253C" w:rsidRDefault="00B6253C" w:rsidP="00B6253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C3B5E">
        <w:rPr>
          <w:rFonts w:asciiTheme="minorBidi" w:hAnsiTheme="minorBidi"/>
          <w:color w:val="333333"/>
          <w:sz w:val="22"/>
          <w:szCs w:val="22"/>
          <w:shd w:val="clear" w:color="auto" w:fill="FFFFFF"/>
        </w:rPr>
        <w:t>To receive ESG funded emergency shelter services, participants must meet paragraph 1 of the</w:t>
      </w:r>
      <w:r>
        <w:rPr>
          <w:rFonts w:asciiTheme="minorBidi" w:hAnsiTheme="minorBidi"/>
          <w:color w:val="333333"/>
          <w:sz w:val="22"/>
          <w:szCs w:val="22"/>
          <w:u w:val="single"/>
          <w:shd w:val="clear" w:color="auto" w:fill="FFFFFF"/>
        </w:rPr>
        <w:t xml:space="preserve"> </w:t>
      </w:r>
      <w:r w:rsidRPr="00253E42">
        <w:rPr>
          <w:rFonts w:asciiTheme="minorBidi" w:hAnsiTheme="minorBidi"/>
          <w:color w:val="333333"/>
          <w:sz w:val="22"/>
          <w:szCs w:val="22"/>
          <w:shd w:val="clear" w:color="auto" w:fill="FFFFFF"/>
        </w:rPr>
        <w:t xml:space="preserve">of the </w:t>
      </w:r>
      <w:hyperlink r:id="rId12" w:history="1">
        <w:r w:rsidRPr="006A541C">
          <w:rPr>
            <w:rStyle w:val="Hyperlink"/>
            <w:rFonts w:asciiTheme="minorBidi" w:hAnsiTheme="minorBidi"/>
            <w:sz w:val="22"/>
            <w:szCs w:val="22"/>
            <w:shd w:val="clear" w:color="auto" w:fill="FFFFFF"/>
          </w:rPr>
          <w:t xml:space="preserve">HUD definition for </w:t>
        </w:r>
        <w:r w:rsidRPr="006A541C">
          <w:rPr>
            <w:rStyle w:val="Hyperlink"/>
            <w:rFonts w:asciiTheme="minorBidi" w:hAnsiTheme="minorBidi"/>
            <w:iCs/>
            <w:sz w:val="22"/>
            <w:szCs w:val="22"/>
            <w:shd w:val="clear" w:color="auto" w:fill="FFFFFF"/>
          </w:rPr>
          <w:t>homelessness</w:t>
        </w:r>
        <w:r w:rsidRPr="006A541C">
          <w:rPr>
            <w:rStyle w:val="Hyperlink"/>
            <w:rFonts w:asciiTheme="minorBidi" w:hAnsiTheme="minorBidi"/>
            <w:sz w:val="22"/>
            <w:szCs w:val="22"/>
            <w:shd w:val="clear" w:color="auto" w:fill="FFFFFF"/>
          </w:rPr>
          <w:t>.</w:t>
        </w:r>
      </w:hyperlink>
      <w:r w:rsidRPr="00253E42">
        <w:rPr>
          <w:rFonts w:asciiTheme="minorBidi" w:hAnsiTheme="minorBidi"/>
          <w:color w:val="333333"/>
          <w:sz w:val="22"/>
          <w:szCs w:val="22"/>
          <w:shd w:val="clear" w:color="auto" w:fill="FFFFFF"/>
        </w:rPr>
        <w:t xml:space="preserve"> </w:t>
      </w:r>
    </w:p>
    <w:p w14:paraId="3F76351D" w14:textId="77777777" w:rsidR="008A50BE" w:rsidRDefault="008A50BE"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2799A859" w14:textId="285C8AAF" w:rsidR="00DF4F44" w:rsidRPr="00D47533" w:rsidRDefault="00DF4F44" w:rsidP="00253E42">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D47533">
        <w:rPr>
          <w:rFonts w:asciiTheme="minorBidi" w:hAnsiTheme="minorBidi"/>
          <w:b/>
          <w:bCs/>
          <w:color w:val="333333"/>
          <w:sz w:val="22"/>
          <w:szCs w:val="22"/>
          <w:u w:val="single"/>
          <w:shd w:val="clear" w:color="auto" w:fill="FFFFFF"/>
        </w:rPr>
        <w:t>Emergency Shelter</w:t>
      </w:r>
    </w:p>
    <w:p w14:paraId="2DD4C93D" w14:textId="52481555" w:rsidR="000453F0" w:rsidRDefault="00BF5DBC" w:rsidP="000453F0">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t>To receive ESG funded emergency shelter services, participants must meet paragraph 1 of the</w:t>
      </w:r>
      <w:r>
        <w:rPr>
          <w:rFonts w:asciiTheme="minorBidi" w:hAnsiTheme="minorBidi"/>
          <w:color w:val="333333"/>
          <w:sz w:val="22"/>
          <w:szCs w:val="22"/>
          <w:u w:val="single"/>
          <w:shd w:val="clear" w:color="auto" w:fill="FFFFFF"/>
        </w:rPr>
        <w:t xml:space="preserve"> </w:t>
      </w:r>
      <w:r w:rsidR="000453F0" w:rsidRPr="00253E42">
        <w:rPr>
          <w:rFonts w:asciiTheme="minorBidi" w:hAnsiTheme="minorBidi"/>
          <w:color w:val="333333"/>
          <w:sz w:val="22"/>
          <w:szCs w:val="22"/>
          <w:shd w:val="clear" w:color="auto" w:fill="FFFFFF"/>
        </w:rPr>
        <w:t xml:space="preserve">of the </w:t>
      </w:r>
      <w:hyperlink r:id="rId13" w:history="1">
        <w:r w:rsidR="000453F0" w:rsidRPr="006A541C">
          <w:rPr>
            <w:rStyle w:val="Hyperlink"/>
            <w:rFonts w:asciiTheme="minorBidi" w:hAnsiTheme="minorBidi"/>
            <w:sz w:val="22"/>
            <w:szCs w:val="22"/>
            <w:shd w:val="clear" w:color="auto" w:fill="FFFFFF"/>
          </w:rPr>
          <w:t xml:space="preserve">HUD definition for </w:t>
        </w:r>
        <w:r w:rsidR="000453F0" w:rsidRPr="006A541C">
          <w:rPr>
            <w:rStyle w:val="Hyperlink"/>
            <w:rFonts w:asciiTheme="minorBidi" w:hAnsiTheme="minorBidi"/>
            <w:iCs/>
            <w:sz w:val="22"/>
            <w:szCs w:val="22"/>
            <w:shd w:val="clear" w:color="auto" w:fill="FFFFFF"/>
          </w:rPr>
          <w:t>homelessness</w:t>
        </w:r>
        <w:r w:rsidR="000453F0" w:rsidRPr="006A541C">
          <w:rPr>
            <w:rStyle w:val="Hyperlink"/>
            <w:rFonts w:asciiTheme="minorBidi" w:hAnsiTheme="minorBidi"/>
            <w:sz w:val="22"/>
            <w:szCs w:val="22"/>
            <w:shd w:val="clear" w:color="auto" w:fill="FFFFFF"/>
          </w:rPr>
          <w:t>.</w:t>
        </w:r>
      </w:hyperlink>
      <w:r w:rsidR="000453F0" w:rsidRPr="00253E42">
        <w:rPr>
          <w:rFonts w:asciiTheme="minorBidi" w:hAnsiTheme="minorBidi"/>
          <w:color w:val="333333"/>
          <w:sz w:val="22"/>
          <w:szCs w:val="22"/>
          <w:shd w:val="clear" w:color="auto" w:fill="FFFFFF"/>
        </w:rPr>
        <w:t xml:space="preserve"> </w:t>
      </w:r>
    </w:p>
    <w:p w14:paraId="44EAF1BC" w14:textId="5738EF84" w:rsidR="00DF4F44" w:rsidRPr="00D47533" w:rsidRDefault="00DF4F44" w:rsidP="00253E42">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p>
    <w:p w14:paraId="03F3FE3A" w14:textId="0BB7DCAE" w:rsidR="00253E42" w:rsidRPr="00B315DD" w:rsidRDefault="00253E42" w:rsidP="00253E42">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Rapid Re-housing</w:t>
      </w:r>
      <w:bookmarkEnd w:id="6"/>
    </w:p>
    <w:p w14:paraId="426CA35A" w14:textId="5047B52D" w:rsidR="00253E42" w:rsidRPr="00253E42" w:rsidRDefault="00253E42" w:rsidP="00253E42">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To receive ESG or CoC funded rapid re-housing services, participants must meet paragraph 1 of the </w:t>
      </w:r>
      <w:hyperlink r:id="rId14" w:history="1">
        <w:r w:rsidRPr="006A541C">
          <w:rPr>
            <w:rStyle w:val="Hyperlink"/>
            <w:rFonts w:asciiTheme="minorBidi" w:hAnsiTheme="minorBidi"/>
            <w:sz w:val="22"/>
            <w:szCs w:val="22"/>
            <w:shd w:val="clear" w:color="auto" w:fill="FFFFFF"/>
          </w:rPr>
          <w:t xml:space="preserve">HUD definition for </w:t>
        </w:r>
        <w:r w:rsidRPr="006A541C">
          <w:rPr>
            <w:rStyle w:val="Hyperlink"/>
            <w:rFonts w:asciiTheme="minorBidi" w:hAnsiTheme="minorBidi"/>
            <w:iCs/>
            <w:sz w:val="22"/>
            <w:szCs w:val="22"/>
            <w:shd w:val="clear" w:color="auto" w:fill="FFFFFF"/>
          </w:rPr>
          <w:t>homelessness</w:t>
        </w:r>
        <w:r w:rsidRPr="006A541C">
          <w:rPr>
            <w:rStyle w:val="Hyperlink"/>
            <w:rFonts w:asciiTheme="minorBidi" w:hAnsiTheme="minorBidi"/>
            <w:sz w:val="22"/>
            <w:szCs w:val="22"/>
            <w:shd w:val="clear" w:color="auto" w:fill="FFFFFF"/>
          </w:rPr>
          <w:t>.</w:t>
        </w:r>
      </w:hyperlink>
      <w:r w:rsidRPr="00253E42">
        <w:rPr>
          <w:rFonts w:asciiTheme="minorBidi" w:hAnsiTheme="minorBidi"/>
          <w:color w:val="333333"/>
          <w:sz w:val="22"/>
          <w:szCs w:val="22"/>
          <w:shd w:val="clear" w:color="auto" w:fill="FFFFFF"/>
        </w:rPr>
        <w:t xml:space="preserve"> </w:t>
      </w:r>
      <w:bookmarkStart w:id="7" w:name="_Toc465070512"/>
    </w:p>
    <w:p w14:paraId="5CC39AF2" w14:textId="77777777" w:rsidR="00620A88" w:rsidRDefault="00620A88" w:rsidP="00253E42">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571C1B4A" w14:textId="77777777" w:rsidR="00253E42" w:rsidRPr="00B315DD" w:rsidRDefault="00253E42" w:rsidP="00253E42">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Homelessness Prevention</w:t>
      </w:r>
      <w:bookmarkEnd w:id="7"/>
    </w:p>
    <w:p w14:paraId="6C4FDCDE" w14:textId="1625177C" w:rsidR="00253E42" w:rsidRPr="00253E42" w:rsidRDefault="00253E42" w:rsidP="00253E42">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To receive ESG funded homelessness prevention services, participants must meet the criteria under the “at risk of homelessness” definition, or meet the criteria in paragraph (2), (3), or (4) of the “homeless” definition in</w:t>
      </w:r>
      <w:r w:rsidR="006D3CE4">
        <w:rPr>
          <w:rFonts w:asciiTheme="minorBidi" w:hAnsiTheme="minorBidi"/>
          <w:color w:val="333333"/>
          <w:sz w:val="22"/>
          <w:szCs w:val="22"/>
          <w:shd w:val="clear" w:color="auto" w:fill="FFFFFF"/>
        </w:rPr>
        <w:t xml:space="preserve"> 24 CFR</w:t>
      </w:r>
      <w:r w:rsidRPr="00253E42">
        <w:rPr>
          <w:rFonts w:asciiTheme="minorBidi" w:hAnsiTheme="minorBidi"/>
          <w:color w:val="333333"/>
          <w:sz w:val="22"/>
          <w:szCs w:val="22"/>
          <w:shd w:val="clear" w:color="auto" w:fill="FFFFFF"/>
        </w:rPr>
        <w:t xml:space="preserve"> §576.2 </w:t>
      </w:r>
      <w:r w:rsidRPr="00253E42">
        <w:rPr>
          <w:rFonts w:asciiTheme="minorBidi" w:hAnsiTheme="minorBidi"/>
          <w:b/>
          <w:bCs/>
          <w:color w:val="333333"/>
          <w:sz w:val="22"/>
          <w:szCs w:val="22"/>
          <w:shd w:val="clear" w:color="auto" w:fill="FFFFFF"/>
        </w:rPr>
        <w:t>and</w:t>
      </w:r>
      <w:r w:rsidRPr="00253E42">
        <w:rPr>
          <w:rFonts w:asciiTheme="minorBidi" w:hAnsiTheme="minorBidi"/>
          <w:color w:val="333333"/>
          <w:sz w:val="22"/>
          <w:szCs w:val="22"/>
          <w:shd w:val="clear" w:color="auto" w:fill="FFFFFF"/>
        </w:rPr>
        <w:t xml:space="preserve"> have an annual income below 30 percent of median family income for the area, as determined by HUD</w:t>
      </w:r>
      <w:r w:rsidR="00FB3EB5">
        <w:rPr>
          <w:rFonts w:asciiTheme="minorBidi" w:hAnsiTheme="minorBidi"/>
          <w:color w:val="333333"/>
          <w:sz w:val="22"/>
          <w:szCs w:val="22"/>
          <w:shd w:val="clear" w:color="auto" w:fill="FFFFFF"/>
        </w:rPr>
        <w:t xml:space="preserve"> and found</w:t>
      </w:r>
      <w:r w:rsidRPr="00253E42">
        <w:rPr>
          <w:rFonts w:asciiTheme="minorBidi" w:hAnsiTheme="minorBidi"/>
          <w:color w:val="333333"/>
          <w:sz w:val="22"/>
          <w:szCs w:val="22"/>
          <w:shd w:val="clear" w:color="auto" w:fill="FFFFFF"/>
        </w:rPr>
        <w:t xml:space="preserve"> </w:t>
      </w:r>
      <w:hyperlink r:id="rId15" w:history="1">
        <w:r w:rsidR="00FB3EB5" w:rsidRPr="00FB3EB5">
          <w:rPr>
            <w:rStyle w:val="Hyperlink"/>
            <w:rFonts w:asciiTheme="minorBidi" w:hAnsiTheme="minorBidi"/>
            <w:sz w:val="22"/>
            <w:szCs w:val="22"/>
            <w:shd w:val="clear" w:color="auto" w:fill="FFFFFF"/>
          </w:rPr>
          <w:t>here</w:t>
        </w:r>
      </w:hyperlink>
      <w:r w:rsidR="00FB3EB5">
        <w:rPr>
          <w:rFonts w:asciiTheme="minorBidi" w:hAnsiTheme="minorBidi"/>
          <w:color w:val="333333"/>
          <w:sz w:val="22"/>
          <w:szCs w:val="22"/>
          <w:shd w:val="clear" w:color="auto" w:fill="FFFFFF"/>
        </w:rPr>
        <w:t>. C</w:t>
      </w:r>
      <w:r w:rsidRPr="00253E42">
        <w:rPr>
          <w:rFonts w:asciiTheme="minorBidi" w:hAnsiTheme="minorBidi"/>
          <w:color w:val="333333"/>
          <w:sz w:val="22"/>
          <w:szCs w:val="22"/>
          <w:shd w:val="clear" w:color="auto" w:fill="FFFFFF"/>
        </w:rPr>
        <w:t xml:space="preserve">osts of homelessness prevention are only eligible to the extent that the assistance is necessary to help the program participant regain stability in the program participant's current permanent housing or move into other permanent housing and achieve stability in that housing. </w:t>
      </w:r>
    </w:p>
    <w:p w14:paraId="4ED91B92" w14:textId="77777777" w:rsidR="00253E42" w:rsidRPr="00253E42" w:rsidRDefault="00253E42" w:rsidP="00253E42">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7A0391AB" w14:textId="77777777" w:rsidR="00253E42" w:rsidRPr="00B315DD" w:rsidRDefault="00253E42" w:rsidP="00253E42">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ESG</w:t>
      </w:r>
      <w:r w:rsidR="00620A88" w:rsidRPr="00B315DD">
        <w:rPr>
          <w:rFonts w:asciiTheme="minorBidi" w:hAnsiTheme="minorBidi"/>
          <w:b/>
          <w:bCs/>
          <w:color w:val="333333"/>
          <w:sz w:val="22"/>
          <w:szCs w:val="22"/>
          <w:u w:val="single"/>
          <w:shd w:val="clear" w:color="auto" w:fill="FFFFFF"/>
        </w:rPr>
        <w:t>-</w:t>
      </w:r>
      <w:r w:rsidRPr="00B315DD">
        <w:rPr>
          <w:rFonts w:asciiTheme="minorBidi" w:hAnsiTheme="minorBidi"/>
          <w:b/>
          <w:bCs/>
          <w:color w:val="333333"/>
          <w:sz w:val="22"/>
          <w:szCs w:val="22"/>
          <w:u w:val="single"/>
          <w:shd w:val="clear" w:color="auto" w:fill="FFFFFF"/>
        </w:rPr>
        <w:t>CV</w:t>
      </w:r>
      <w:r w:rsidR="00620A88" w:rsidRPr="00B315DD">
        <w:rPr>
          <w:rFonts w:asciiTheme="minorBidi" w:hAnsiTheme="minorBidi"/>
          <w:b/>
          <w:bCs/>
          <w:color w:val="333333"/>
          <w:sz w:val="22"/>
          <w:szCs w:val="22"/>
          <w:u w:val="single"/>
          <w:shd w:val="clear" w:color="auto" w:fill="FFFFFF"/>
        </w:rPr>
        <w:t xml:space="preserve"> Changes to </w:t>
      </w:r>
      <w:r w:rsidRPr="00B315DD">
        <w:rPr>
          <w:rFonts w:asciiTheme="minorBidi" w:hAnsiTheme="minorBidi"/>
          <w:b/>
          <w:bCs/>
          <w:color w:val="333333"/>
          <w:sz w:val="22"/>
          <w:szCs w:val="22"/>
          <w:u w:val="single"/>
          <w:shd w:val="clear" w:color="auto" w:fill="FFFFFF"/>
        </w:rPr>
        <w:t>Homelessness</w:t>
      </w:r>
      <w:r w:rsidR="00620A88" w:rsidRPr="00B315DD">
        <w:rPr>
          <w:rFonts w:asciiTheme="minorBidi" w:hAnsiTheme="minorBidi"/>
          <w:b/>
          <w:bCs/>
          <w:color w:val="333333"/>
          <w:sz w:val="22"/>
          <w:szCs w:val="22"/>
          <w:u w:val="single"/>
          <w:shd w:val="clear" w:color="auto" w:fill="FFFFFF"/>
        </w:rPr>
        <w:t xml:space="preserve"> </w:t>
      </w:r>
      <w:r w:rsidRPr="00B315DD">
        <w:rPr>
          <w:rFonts w:asciiTheme="minorBidi" w:hAnsiTheme="minorBidi"/>
          <w:b/>
          <w:bCs/>
          <w:color w:val="333333"/>
          <w:sz w:val="22"/>
          <w:szCs w:val="22"/>
          <w:u w:val="single"/>
          <w:shd w:val="clear" w:color="auto" w:fill="FFFFFF"/>
        </w:rPr>
        <w:t>Prevention</w:t>
      </w:r>
      <w:r w:rsidR="00620A88" w:rsidRPr="00B315DD">
        <w:rPr>
          <w:rFonts w:asciiTheme="minorBidi" w:hAnsiTheme="minorBidi"/>
          <w:b/>
          <w:bCs/>
          <w:color w:val="333333"/>
          <w:sz w:val="22"/>
          <w:szCs w:val="22"/>
          <w:u w:val="single"/>
          <w:shd w:val="clear" w:color="auto" w:fill="FFFFFF"/>
        </w:rPr>
        <w:t xml:space="preserve"> Eligibility </w:t>
      </w:r>
    </w:p>
    <w:p w14:paraId="4B29B1DD" w14:textId="6BD4E736" w:rsidR="008A50BE" w:rsidRDefault="00253E42" w:rsidP="00620A8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Client</w:t>
      </w:r>
      <w:r w:rsidR="00620A88">
        <w:rPr>
          <w:rFonts w:asciiTheme="minorBidi" w:hAnsiTheme="minorBidi"/>
          <w:color w:val="333333"/>
          <w:sz w:val="22"/>
          <w:szCs w:val="22"/>
          <w:shd w:val="clear" w:color="auto" w:fill="FFFFFF"/>
        </w:rPr>
        <w:t xml:space="preserve">s with an annual income at or </w:t>
      </w:r>
      <w:r w:rsidR="00936F93">
        <w:rPr>
          <w:rFonts w:asciiTheme="minorBidi" w:hAnsiTheme="minorBidi"/>
          <w:color w:val="333333"/>
          <w:sz w:val="22"/>
          <w:szCs w:val="22"/>
          <w:shd w:val="clear" w:color="auto" w:fill="FFFFFF"/>
        </w:rPr>
        <w:t>below</w:t>
      </w:r>
      <w:r w:rsidRPr="00253E42">
        <w:rPr>
          <w:rFonts w:asciiTheme="minorBidi" w:hAnsiTheme="minorBidi"/>
          <w:color w:val="333333"/>
          <w:sz w:val="22"/>
          <w:szCs w:val="22"/>
          <w:shd w:val="clear" w:color="auto" w:fill="FFFFFF"/>
        </w:rPr>
        <w:t xml:space="preserve"> 50 percent of median family income for the area, as determined by HUD</w:t>
      </w:r>
      <w:r w:rsidR="00620A88">
        <w:rPr>
          <w:rFonts w:asciiTheme="minorBidi" w:hAnsiTheme="minorBidi"/>
          <w:color w:val="333333"/>
          <w:sz w:val="22"/>
          <w:szCs w:val="22"/>
          <w:shd w:val="clear" w:color="auto" w:fill="FFFFFF"/>
        </w:rPr>
        <w:t>,</w:t>
      </w:r>
      <w:r w:rsidRPr="00253E42">
        <w:rPr>
          <w:rFonts w:asciiTheme="minorBidi" w:hAnsiTheme="minorBidi"/>
          <w:color w:val="333333"/>
          <w:sz w:val="22"/>
          <w:szCs w:val="22"/>
          <w:shd w:val="clear" w:color="auto" w:fill="FFFFFF"/>
        </w:rPr>
        <w:t xml:space="preserve"> qualify for assistance under “at risk of homelessness” and paragraphs (2), (3), or (4) of the “homeless” definition in </w:t>
      </w:r>
      <w:r w:rsidR="006D3CE4">
        <w:rPr>
          <w:rFonts w:asciiTheme="minorBidi" w:hAnsiTheme="minorBidi"/>
          <w:color w:val="333333"/>
          <w:sz w:val="22"/>
          <w:szCs w:val="22"/>
          <w:shd w:val="clear" w:color="auto" w:fill="FFFFFF"/>
        </w:rPr>
        <w:t xml:space="preserve">24 CFR </w:t>
      </w:r>
      <w:r w:rsidRPr="00253E42">
        <w:rPr>
          <w:rFonts w:asciiTheme="minorBidi" w:hAnsiTheme="minorBidi"/>
          <w:color w:val="333333"/>
          <w:sz w:val="22"/>
          <w:szCs w:val="22"/>
          <w:shd w:val="clear" w:color="auto" w:fill="FFFFFF"/>
        </w:rPr>
        <w:t>576.2</w:t>
      </w:r>
      <w:r w:rsidR="00620A88">
        <w:rPr>
          <w:rFonts w:asciiTheme="minorBidi" w:hAnsiTheme="minorBidi"/>
          <w:color w:val="333333"/>
          <w:sz w:val="22"/>
          <w:szCs w:val="22"/>
          <w:shd w:val="clear" w:color="auto" w:fill="FFFFFF"/>
        </w:rPr>
        <w:t xml:space="preserve"> if being served with ESG-CV or ESG used to prevent, prepare </w:t>
      </w:r>
      <w:proofErr w:type="gramStart"/>
      <w:r w:rsidR="00620A88">
        <w:rPr>
          <w:rFonts w:asciiTheme="minorBidi" w:hAnsiTheme="minorBidi"/>
          <w:color w:val="333333"/>
          <w:sz w:val="22"/>
          <w:szCs w:val="22"/>
          <w:shd w:val="clear" w:color="auto" w:fill="FFFFFF"/>
        </w:rPr>
        <w:t>for</w:t>
      </w:r>
      <w:proofErr w:type="gramEnd"/>
      <w:r w:rsidR="00620A88">
        <w:rPr>
          <w:rFonts w:asciiTheme="minorBidi" w:hAnsiTheme="minorBidi"/>
          <w:color w:val="333333"/>
          <w:sz w:val="22"/>
          <w:szCs w:val="22"/>
          <w:shd w:val="clear" w:color="auto" w:fill="FFFFFF"/>
        </w:rPr>
        <w:t xml:space="preserve"> or respond to COVID-19. Note that changes in i</w:t>
      </w:r>
      <w:r w:rsidR="00620A88" w:rsidRPr="00620A88">
        <w:rPr>
          <w:rFonts w:asciiTheme="minorBidi" w:hAnsiTheme="minorBidi"/>
          <w:color w:val="333333"/>
          <w:sz w:val="22"/>
          <w:szCs w:val="22"/>
          <w:shd w:val="clear" w:color="auto" w:fill="FFFFFF"/>
        </w:rPr>
        <w:t>ncome eligibility determination is prospective, not retrospective</w:t>
      </w:r>
      <w:r w:rsidR="006A541C">
        <w:rPr>
          <w:rFonts w:asciiTheme="minorBidi" w:hAnsiTheme="minorBidi"/>
          <w:color w:val="333333"/>
          <w:sz w:val="22"/>
          <w:szCs w:val="22"/>
          <w:shd w:val="clear" w:color="auto" w:fill="FFFFFF"/>
        </w:rPr>
        <w:t xml:space="preserve">. This means that income should be assessed at the time of program entry moving forward, rather than looking at past income or earnings. </w:t>
      </w:r>
      <w:r w:rsidR="006A541C" w:rsidDel="006A541C">
        <w:rPr>
          <w:rFonts w:asciiTheme="minorBidi" w:hAnsiTheme="minorBidi"/>
          <w:color w:val="333333"/>
          <w:sz w:val="22"/>
          <w:szCs w:val="22"/>
          <w:shd w:val="clear" w:color="auto" w:fill="FFFFFF"/>
        </w:rPr>
        <w:t xml:space="preserve"> </w:t>
      </w:r>
    </w:p>
    <w:p w14:paraId="000075C1" w14:textId="17182152" w:rsidR="00DF4F44" w:rsidRPr="00D47533" w:rsidRDefault="00DF4F44" w:rsidP="006A541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p>
    <w:p w14:paraId="037009E7" w14:textId="19268622" w:rsidR="00253E42" w:rsidRPr="00F00F75" w:rsidRDefault="00E5508A" w:rsidP="00F00F75">
      <w:pPr>
        <w:pStyle w:val="Heading1"/>
        <w:rPr>
          <w:rFonts w:asciiTheme="minorBidi" w:hAnsiTheme="minorBidi"/>
        </w:rPr>
      </w:pPr>
      <w:bookmarkStart w:id="8" w:name="_Toc110000633"/>
      <w:r w:rsidRPr="00F00F75">
        <w:rPr>
          <w:rFonts w:asciiTheme="minorBidi" w:hAnsiTheme="minorBidi"/>
          <w:caps w:val="0"/>
        </w:rPr>
        <w:t>ACCESS TO SERVICES</w:t>
      </w:r>
      <w:bookmarkEnd w:id="8"/>
    </w:p>
    <w:p w14:paraId="223C0EE0" w14:textId="3F7B713A" w:rsidR="00253E42" w:rsidRDefault="00526010" w:rsidP="006F2AB5">
      <w:pPr>
        <w:autoSpaceDE w:val="0"/>
        <w:autoSpaceDN w:val="0"/>
        <w:adjustRightInd w:val="0"/>
        <w:spacing w:after="0" w:line="300" w:lineRule="auto"/>
        <w:contextualSpacing/>
        <w:rPr>
          <w:rFonts w:asciiTheme="minorBidi" w:hAnsiTheme="minorBidi"/>
          <w:sz w:val="22"/>
          <w:szCs w:val="22"/>
          <w:shd w:val="clear" w:color="auto" w:fill="FFFFFF"/>
        </w:rPr>
      </w:pPr>
      <w:r w:rsidRPr="00E9701A">
        <w:rPr>
          <w:rFonts w:asciiTheme="minorBidi" w:hAnsiTheme="minorBidi"/>
          <w:sz w:val="22"/>
          <w:szCs w:val="22"/>
          <w:shd w:val="clear" w:color="auto" w:fill="FFFFFF"/>
        </w:rPr>
        <w:t xml:space="preserve">It is required that </w:t>
      </w:r>
      <w:r w:rsidR="00253E42" w:rsidRPr="00E9701A">
        <w:rPr>
          <w:rFonts w:asciiTheme="minorBidi" w:hAnsiTheme="minorBidi"/>
          <w:sz w:val="22"/>
          <w:szCs w:val="22"/>
          <w:shd w:val="clear" w:color="auto" w:fill="FFFFFF"/>
        </w:rPr>
        <w:t>ESG</w:t>
      </w:r>
      <w:r w:rsidR="008B264B" w:rsidRPr="00E9701A">
        <w:rPr>
          <w:rFonts w:asciiTheme="minorBidi" w:hAnsiTheme="minorBidi"/>
          <w:sz w:val="22"/>
          <w:szCs w:val="22"/>
          <w:shd w:val="clear" w:color="auto" w:fill="FFFFFF"/>
        </w:rPr>
        <w:t xml:space="preserve"> </w:t>
      </w:r>
      <w:r w:rsidR="00253E42" w:rsidRPr="00E9701A">
        <w:rPr>
          <w:rFonts w:asciiTheme="minorBidi" w:hAnsiTheme="minorBidi"/>
          <w:sz w:val="22"/>
          <w:szCs w:val="22"/>
          <w:shd w:val="clear" w:color="auto" w:fill="FFFFFF"/>
        </w:rPr>
        <w:t>and CoC-funded program</w:t>
      </w:r>
      <w:r w:rsidRPr="00E9701A">
        <w:rPr>
          <w:rFonts w:asciiTheme="minorBidi" w:hAnsiTheme="minorBidi"/>
          <w:sz w:val="22"/>
          <w:szCs w:val="22"/>
          <w:shd w:val="clear" w:color="auto" w:fill="FFFFFF"/>
        </w:rPr>
        <w:t>s</w:t>
      </w:r>
      <w:r w:rsidR="00253E42" w:rsidRPr="00E9701A">
        <w:rPr>
          <w:rFonts w:asciiTheme="minorBidi" w:hAnsiTheme="minorBidi"/>
          <w:sz w:val="22"/>
          <w:szCs w:val="22"/>
          <w:shd w:val="clear" w:color="auto" w:fill="FFFFFF"/>
        </w:rPr>
        <w:t xml:space="preserve"> or project</w:t>
      </w:r>
      <w:r w:rsidR="00E01973">
        <w:rPr>
          <w:rFonts w:asciiTheme="minorBidi" w:hAnsiTheme="minorBidi"/>
          <w:sz w:val="22"/>
          <w:szCs w:val="22"/>
          <w:shd w:val="clear" w:color="auto" w:fill="FFFFFF"/>
        </w:rPr>
        <w:t>s</w:t>
      </w:r>
      <w:r w:rsidR="00253E42" w:rsidRPr="00E9701A">
        <w:rPr>
          <w:rFonts w:asciiTheme="minorBidi" w:hAnsiTheme="minorBidi"/>
          <w:sz w:val="22"/>
          <w:szCs w:val="22"/>
          <w:shd w:val="clear" w:color="auto" w:fill="FFFFFF"/>
        </w:rPr>
        <w:t xml:space="preserve"> within the Continuum of Care's area use that </w:t>
      </w:r>
      <w:r w:rsidRPr="00E9701A">
        <w:rPr>
          <w:rFonts w:asciiTheme="minorBidi" w:hAnsiTheme="minorBidi"/>
          <w:sz w:val="22"/>
          <w:szCs w:val="22"/>
          <w:shd w:val="clear" w:color="auto" w:fill="FFFFFF"/>
        </w:rPr>
        <w:t>system’s coordinated entry process and structure</w:t>
      </w:r>
      <w:r w:rsidR="00253E42" w:rsidRPr="00E9701A">
        <w:rPr>
          <w:rFonts w:asciiTheme="minorBidi" w:hAnsiTheme="minorBidi"/>
          <w:sz w:val="22"/>
          <w:szCs w:val="22"/>
          <w:shd w:val="clear" w:color="auto" w:fill="FFFFFF"/>
        </w:rPr>
        <w:t xml:space="preserve">. </w:t>
      </w:r>
      <w:r w:rsidR="00923CA6">
        <w:rPr>
          <w:rFonts w:asciiTheme="minorBidi" w:hAnsiTheme="minorBidi"/>
          <w:sz w:val="22"/>
          <w:szCs w:val="22"/>
          <w:shd w:val="clear" w:color="auto" w:fill="FFFFFF"/>
        </w:rPr>
        <w:t>EOHLC</w:t>
      </w:r>
      <w:r w:rsidR="00253E42" w:rsidRPr="00E9701A">
        <w:rPr>
          <w:rFonts w:asciiTheme="minorBidi" w:hAnsiTheme="minorBidi"/>
          <w:sz w:val="22"/>
          <w:szCs w:val="22"/>
          <w:shd w:val="clear" w:color="auto" w:fill="FFFFFF"/>
        </w:rPr>
        <w:t xml:space="preserve"> and </w:t>
      </w:r>
      <w:r w:rsidR="00A5411F">
        <w:rPr>
          <w:rFonts w:asciiTheme="minorBidi" w:hAnsiTheme="minorBidi"/>
          <w:sz w:val="22"/>
          <w:szCs w:val="22"/>
          <w:shd w:val="clear" w:color="auto" w:fill="FFFFFF"/>
        </w:rPr>
        <w:t xml:space="preserve">the </w:t>
      </w:r>
      <w:r w:rsidR="00803781">
        <w:rPr>
          <w:rFonts w:asciiTheme="minorBidi" w:hAnsiTheme="minorBidi"/>
          <w:sz w:val="22"/>
          <w:szCs w:val="22"/>
          <w:shd w:val="clear" w:color="auto" w:fill="FFFFFF"/>
        </w:rPr>
        <w:t>provider</w:t>
      </w:r>
      <w:r w:rsidR="00253E42" w:rsidRPr="00E9701A">
        <w:rPr>
          <w:rFonts w:asciiTheme="minorBidi" w:hAnsiTheme="minorBidi"/>
          <w:sz w:val="22"/>
          <w:szCs w:val="22"/>
          <w:shd w:val="clear" w:color="auto" w:fill="FFFFFF"/>
        </w:rPr>
        <w:t xml:space="preserve"> must work with the Continuum of Care to ensure the screening, assessment and referral of program participants are consistent with the written standards established by the </w:t>
      </w:r>
      <w:r w:rsidR="00923CA6">
        <w:rPr>
          <w:rFonts w:asciiTheme="minorBidi" w:hAnsiTheme="minorBidi"/>
          <w:sz w:val="22"/>
          <w:szCs w:val="22"/>
          <w:shd w:val="clear" w:color="auto" w:fill="FFFFFF"/>
        </w:rPr>
        <w:t>EOHLC</w:t>
      </w:r>
      <w:r w:rsidR="006F2AB5" w:rsidRPr="00E9701A">
        <w:rPr>
          <w:rFonts w:asciiTheme="minorBidi" w:hAnsiTheme="minorBidi"/>
          <w:sz w:val="22"/>
          <w:szCs w:val="22"/>
          <w:shd w:val="clear" w:color="auto" w:fill="FFFFFF"/>
        </w:rPr>
        <w:t xml:space="preserve"> and the requirements outlined by the U.S. Department of Housing and Urban Development via Notice </w:t>
      </w:r>
      <w:hyperlink r:id="rId16" w:history="1">
        <w:r w:rsidR="006F2AB5" w:rsidRPr="00E9701A">
          <w:rPr>
            <w:rStyle w:val="Hyperlink"/>
            <w:rFonts w:asciiTheme="minorBidi" w:hAnsiTheme="minorBidi"/>
            <w:color w:val="auto"/>
            <w:sz w:val="22"/>
            <w:szCs w:val="22"/>
            <w:shd w:val="clear" w:color="auto" w:fill="FFFFFF"/>
          </w:rPr>
          <w:t>CPD-17-01</w:t>
        </w:r>
      </w:hyperlink>
      <w:r w:rsidR="006F2AB5" w:rsidRPr="00E9701A">
        <w:rPr>
          <w:rFonts w:asciiTheme="minorBidi" w:hAnsiTheme="minorBidi"/>
          <w:sz w:val="22"/>
          <w:szCs w:val="22"/>
          <w:shd w:val="clear" w:color="auto" w:fill="FFFFFF"/>
        </w:rPr>
        <w:t xml:space="preserve">. </w:t>
      </w:r>
      <w:r w:rsidR="00253E42" w:rsidRPr="00E9701A">
        <w:rPr>
          <w:rFonts w:asciiTheme="minorBidi" w:hAnsiTheme="minorBidi"/>
          <w:sz w:val="22"/>
          <w:szCs w:val="22"/>
          <w:shd w:val="clear" w:color="auto" w:fill="FFFFFF"/>
        </w:rPr>
        <w:t>A victim service provider (VSP) may choose not to use the Continuum of Care's coordinated entry system</w:t>
      </w:r>
      <w:r w:rsidR="006F2AB5" w:rsidRPr="00E9701A">
        <w:rPr>
          <w:rFonts w:asciiTheme="minorBidi" w:hAnsiTheme="minorBidi"/>
          <w:sz w:val="22"/>
          <w:szCs w:val="22"/>
          <w:shd w:val="clear" w:color="auto" w:fill="FFFFFF"/>
        </w:rPr>
        <w:t xml:space="preserve"> so long as the established alternative process</w:t>
      </w:r>
      <w:r w:rsidR="008B264B" w:rsidRPr="00E9701A">
        <w:rPr>
          <w:rFonts w:asciiTheme="minorBidi" w:hAnsiTheme="minorBidi"/>
          <w:sz w:val="22"/>
          <w:szCs w:val="22"/>
          <w:shd w:val="clear" w:color="auto" w:fill="FFFFFF"/>
        </w:rPr>
        <w:t xml:space="preserve"> </w:t>
      </w:r>
      <w:r w:rsidR="006F2AB5" w:rsidRPr="00E9701A">
        <w:rPr>
          <w:rFonts w:asciiTheme="minorBidi" w:hAnsiTheme="minorBidi"/>
          <w:sz w:val="22"/>
          <w:szCs w:val="22"/>
        </w:rPr>
        <w:t xml:space="preserve">meets HUD's requirements. </w:t>
      </w:r>
      <w:r w:rsidR="00253E42" w:rsidRPr="00E9701A">
        <w:rPr>
          <w:rFonts w:asciiTheme="minorBidi" w:hAnsiTheme="minorBidi"/>
          <w:sz w:val="22"/>
          <w:szCs w:val="22"/>
          <w:shd w:val="clear" w:color="auto" w:fill="FFFFFF"/>
        </w:rPr>
        <w:t xml:space="preserve">Services and housing options should be made available in a way that ensures equitable access by all eligible participants. </w:t>
      </w:r>
      <w:r w:rsidR="00744264">
        <w:rPr>
          <w:rFonts w:asciiTheme="minorBidi" w:hAnsiTheme="minorBidi"/>
          <w:sz w:val="22"/>
          <w:szCs w:val="22"/>
          <w:shd w:val="clear" w:color="auto" w:fill="FFFFFF"/>
        </w:rPr>
        <w:t>Providers</w:t>
      </w:r>
      <w:r w:rsidR="00253E42" w:rsidRPr="00E9701A">
        <w:rPr>
          <w:rFonts w:asciiTheme="minorBidi" w:hAnsiTheme="minorBidi"/>
          <w:sz w:val="22"/>
          <w:szCs w:val="22"/>
          <w:shd w:val="clear" w:color="auto" w:fill="FFFFFF"/>
        </w:rPr>
        <w:t xml:space="preserve"> should actively market available resources to populations least likely to access services and in a way that ensures the information is accessible to all people in the geographic area. When bringing clients into the housing programs, the immediate services delivery should follow a Housing First philosophy. Eliminating or limiting barriers to program entry will help the </w:t>
      </w:r>
      <w:r w:rsidR="00A5411F">
        <w:rPr>
          <w:rFonts w:asciiTheme="minorBidi" w:hAnsiTheme="minorBidi"/>
          <w:sz w:val="22"/>
          <w:szCs w:val="22"/>
          <w:shd w:val="clear" w:color="auto" w:fill="FFFFFF"/>
        </w:rPr>
        <w:t>provider</w:t>
      </w:r>
      <w:r w:rsidR="00253E42" w:rsidRPr="00E9701A">
        <w:rPr>
          <w:rFonts w:asciiTheme="minorBidi" w:hAnsiTheme="minorBidi"/>
          <w:sz w:val="22"/>
          <w:szCs w:val="22"/>
          <w:shd w:val="clear" w:color="auto" w:fill="FFFFFF"/>
        </w:rPr>
        <w:t xml:space="preserve"> serve the clients with the highest housing needs. </w:t>
      </w:r>
      <w:r w:rsidRPr="005422BF">
        <w:rPr>
          <w:rFonts w:asciiTheme="minorBidi" w:hAnsiTheme="minorBidi"/>
          <w:sz w:val="22"/>
          <w:szCs w:val="22"/>
          <w:shd w:val="clear" w:color="auto" w:fill="FFFFFF"/>
        </w:rPr>
        <w:t xml:space="preserve">In situations where the local coordinated entry system is not functioning, or there is not clearly defined processes and structures, </w:t>
      </w:r>
      <w:r w:rsidR="00D83294">
        <w:rPr>
          <w:rFonts w:asciiTheme="minorBidi" w:hAnsiTheme="minorBidi"/>
          <w:sz w:val="22"/>
          <w:szCs w:val="22"/>
          <w:shd w:val="clear" w:color="auto" w:fill="FFFFFF"/>
        </w:rPr>
        <w:t>sub</w:t>
      </w:r>
      <w:r w:rsidR="00900686" w:rsidRPr="005422BF">
        <w:rPr>
          <w:rFonts w:asciiTheme="minorBidi" w:hAnsiTheme="minorBidi"/>
          <w:sz w:val="22"/>
          <w:szCs w:val="22"/>
          <w:shd w:val="clear" w:color="auto" w:fill="FFFFFF"/>
        </w:rPr>
        <w:t xml:space="preserve">recipients are expected to </w:t>
      </w:r>
      <w:r w:rsidR="00D83294">
        <w:rPr>
          <w:rFonts w:asciiTheme="minorBidi" w:hAnsiTheme="minorBidi"/>
          <w:sz w:val="22"/>
          <w:szCs w:val="22"/>
          <w:shd w:val="clear" w:color="auto" w:fill="FFFFFF"/>
        </w:rPr>
        <w:t xml:space="preserve">follow the prioritization guidance included in Notice </w:t>
      </w:r>
      <w:hyperlink r:id="rId17" w:history="1">
        <w:r w:rsidR="00D83294" w:rsidRPr="00D83294">
          <w:rPr>
            <w:rStyle w:val="Hyperlink"/>
            <w:rFonts w:asciiTheme="minorBidi" w:hAnsiTheme="minorBidi"/>
            <w:sz w:val="22"/>
            <w:szCs w:val="22"/>
            <w:shd w:val="clear" w:color="auto" w:fill="FFFFFF"/>
          </w:rPr>
          <w:t>CPD-16-11</w:t>
        </w:r>
      </w:hyperlink>
      <w:r w:rsidR="00900686" w:rsidRPr="005422BF">
        <w:rPr>
          <w:rFonts w:asciiTheme="minorBidi" w:hAnsiTheme="minorBidi"/>
          <w:sz w:val="22"/>
          <w:szCs w:val="22"/>
          <w:shd w:val="clear" w:color="auto" w:fill="FFFFFF"/>
        </w:rPr>
        <w:t xml:space="preserve"> to ensure effective targeting of</w:t>
      </w:r>
      <w:r w:rsidR="0078644E">
        <w:rPr>
          <w:rFonts w:asciiTheme="minorBidi" w:hAnsiTheme="minorBidi"/>
          <w:sz w:val="22"/>
          <w:szCs w:val="22"/>
          <w:shd w:val="clear" w:color="auto" w:fill="FFFFFF"/>
        </w:rPr>
        <w:t xml:space="preserve"> </w:t>
      </w:r>
      <w:r w:rsidR="00796E65">
        <w:rPr>
          <w:rFonts w:asciiTheme="minorBidi" w:hAnsiTheme="minorBidi"/>
          <w:sz w:val="22"/>
          <w:szCs w:val="22"/>
          <w:shd w:val="clear" w:color="auto" w:fill="FFFFFF"/>
        </w:rPr>
        <w:t xml:space="preserve">rapid re-housing and prevention </w:t>
      </w:r>
      <w:r w:rsidR="00900686" w:rsidRPr="005422BF">
        <w:rPr>
          <w:rFonts w:asciiTheme="minorBidi" w:hAnsiTheme="minorBidi"/>
          <w:sz w:val="22"/>
          <w:szCs w:val="22"/>
          <w:shd w:val="clear" w:color="auto" w:fill="FFFFFF"/>
        </w:rPr>
        <w:t xml:space="preserve">resources.  </w:t>
      </w:r>
    </w:p>
    <w:p w14:paraId="23E88280" w14:textId="77777777" w:rsidR="000701F2" w:rsidRDefault="000701F2" w:rsidP="006F2AB5">
      <w:pPr>
        <w:autoSpaceDE w:val="0"/>
        <w:autoSpaceDN w:val="0"/>
        <w:adjustRightInd w:val="0"/>
        <w:spacing w:after="0" w:line="300" w:lineRule="auto"/>
        <w:contextualSpacing/>
        <w:rPr>
          <w:rFonts w:asciiTheme="minorBidi" w:hAnsiTheme="minorBidi"/>
          <w:sz w:val="22"/>
          <w:szCs w:val="22"/>
          <w:shd w:val="clear" w:color="auto" w:fill="FFFFFF"/>
        </w:rPr>
      </w:pPr>
    </w:p>
    <w:p w14:paraId="63C300C0" w14:textId="77777777" w:rsidR="006E3D04" w:rsidRPr="00040B53" w:rsidRDefault="006E3D04" w:rsidP="006E3D04">
      <w:pPr>
        <w:autoSpaceDE w:val="0"/>
        <w:autoSpaceDN w:val="0"/>
        <w:adjustRightInd w:val="0"/>
        <w:spacing w:after="0" w:line="300" w:lineRule="auto"/>
        <w:contextualSpacing/>
        <w:rPr>
          <w:rFonts w:asciiTheme="minorBidi" w:hAnsiTheme="minorBidi"/>
          <w:b/>
          <w:bCs/>
          <w:sz w:val="22"/>
          <w:szCs w:val="22"/>
          <w:u w:val="single"/>
          <w:shd w:val="clear" w:color="auto" w:fill="FFFFFF"/>
        </w:rPr>
      </w:pPr>
      <w:r w:rsidRPr="00040B53">
        <w:rPr>
          <w:rFonts w:asciiTheme="minorBidi" w:hAnsiTheme="minorBidi"/>
          <w:b/>
          <w:bCs/>
          <w:sz w:val="22"/>
          <w:szCs w:val="22"/>
          <w:u w:val="single"/>
          <w:shd w:val="clear" w:color="auto" w:fill="FFFFFF"/>
        </w:rPr>
        <w:t>Prioritization</w:t>
      </w:r>
    </w:p>
    <w:p w14:paraId="4B00C4C1" w14:textId="77777777" w:rsidR="006E3D04" w:rsidRPr="006E3D04" w:rsidRDefault="006E3D04" w:rsidP="006E3D04">
      <w:pPr>
        <w:autoSpaceDE w:val="0"/>
        <w:autoSpaceDN w:val="0"/>
        <w:adjustRightInd w:val="0"/>
        <w:spacing w:after="0" w:line="300" w:lineRule="auto"/>
        <w:contextualSpacing/>
        <w:rPr>
          <w:rFonts w:asciiTheme="minorBidi" w:hAnsiTheme="minorBidi"/>
          <w:b/>
          <w:bCs/>
          <w:sz w:val="22"/>
          <w:szCs w:val="22"/>
          <w:shd w:val="clear" w:color="auto" w:fill="FFFFFF"/>
        </w:rPr>
      </w:pPr>
      <w:r w:rsidRPr="006E3D04">
        <w:rPr>
          <w:rFonts w:asciiTheme="minorBidi" w:hAnsiTheme="minorBidi"/>
          <w:sz w:val="22"/>
          <w:szCs w:val="22"/>
          <w:shd w:val="clear" w:color="auto" w:fill="FFFFFF"/>
        </w:rPr>
        <w:t xml:space="preserve">Coordinated Entry assists the CoC in matching participants to appropriate resources based on individual needs and preferences. Priority for housing opportunities </w:t>
      </w:r>
      <w:proofErr w:type="gramStart"/>
      <w:r w:rsidRPr="006E3D04">
        <w:rPr>
          <w:rFonts w:asciiTheme="minorBidi" w:hAnsiTheme="minorBidi"/>
          <w:sz w:val="22"/>
          <w:szCs w:val="22"/>
          <w:shd w:val="clear" w:color="auto" w:fill="FFFFFF"/>
        </w:rPr>
        <w:t>are</w:t>
      </w:r>
      <w:proofErr w:type="gramEnd"/>
      <w:r w:rsidRPr="006E3D04">
        <w:rPr>
          <w:rFonts w:asciiTheme="minorBidi" w:hAnsiTheme="minorBidi"/>
          <w:sz w:val="22"/>
          <w:szCs w:val="22"/>
          <w:shd w:val="clear" w:color="auto" w:fill="FFFFFF"/>
        </w:rPr>
        <w:t xml:space="preserve"> determined through the use of the Coordinated Entry Quick Screen, Coordinated Entry Assessment, and Housing Preference Form built into the CoC’s HMIS, VESTA. The system prioritizes by screening for basic eligibility and housing preferences, and then prioritizes participants for housing openings based on their vulnerability score and the region of their choice. Referrals for permanent supportive housing, transitional housing, and rapid rehousing are governed by the outcome of this assessment which provides a vulnerability score based on the answers to a series of standardized questions.</w:t>
      </w:r>
    </w:p>
    <w:p w14:paraId="7788F561" w14:textId="77777777" w:rsidR="006E3D04" w:rsidRPr="006E3D04" w:rsidRDefault="006E3D04" w:rsidP="006E3D04">
      <w:pPr>
        <w:numPr>
          <w:ilvl w:val="0"/>
          <w:numId w:val="43"/>
        </w:numPr>
        <w:autoSpaceDE w:val="0"/>
        <w:autoSpaceDN w:val="0"/>
        <w:adjustRightInd w:val="0"/>
        <w:spacing w:after="0" w:line="300" w:lineRule="auto"/>
        <w:contextualSpacing/>
        <w:rPr>
          <w:rFonts w:asciiTheme="minorBidi" w:hAnsiTheme="minorBidi"/>
          <w:sz w:val="22"/>
          <w:szCs w:val="22"/>
          <w:shd w:val="clear" w:color="auto" w:fill="FFFFFF"/>
        </w:rPr>
      </w:pPr>
      <w:r w:rsidRPr="006E3D04">
        <w:rPr>
          <w:rFonts w:asciiTheme="minorBidi" w:hAnsiTheme="minorBidi"/>
          <w:sz w:val="22"/>
          <w:szCs w:val="22"/>
          <w:shd w:val="clear" w:color="auto" w:fill="FFFFFF"/>
        </w:rPr>
        <w:t>CE Quick Screen only refers homeless households who are the most vulnerable and the least likely to self-resolve into the CES. By not requiring all interested parties to complete a full CE Assessment, this step saves staff and participant’s time.</w:t>
      </w:r>
    </w:p>
    <w:p w14:paraId="5C3A7F33" w14:textId="77777777" w:rsidR="006E3D04" w:rsidRPr="006E3D04" w:rsidRDefault="006E3D04" w:rsidP="006E3D04">
      <w:pPr>
        <w:numPr>
          <w:ilvl w:val="0"/>
          <w:numId w:val="43"/>
        </w:numPr>
        <w:autoSpaceDE w:val="0"/>
        <w:autoSpaceDN w:val="0"/>
        <w:adjustRightInd w:val="0"/>
        <w:spacing w:after="0" w:line="300" w:lineRule="auto"/>
        <w:contextualSpacing/>
        <w:rPr>
          <w:rFonts w:asciiTheme="minorBidi" w:hAnsiTheme="minorBidi"/>
          <w:b/>
          <w:bCs/>
          <w:sz w:val="22"/>
          <w:szCs w:val="22"/>
          <w:shd w:val="clear" w:color="auto" w:fill="FFFFFF"/>
        </w:rPr>
      </w:pPr>
      <w:r w:rsidRPr="006E3D04">
        <w:rPr>
          <w:rFonts w:asciiTheme="minorBidi" w:hAnsiTheme="minorBidi"/>
          <w:sz w:val="22"/>
          <w:szCs w:val="22"/>
          <w:shd w:val="clear" w:color="auto" w:fill="FFFFFF"/>
        </w:rPr>
        <w:t xml:space="preserve">Participants with the highest CE Assessment scores are deemed to be the most vulnerable and will be prioritized for all Permanent Supportive Housing opportunities. This approach ensures an appropriate match between the most intensive services and the people least likely to succeed with a less intensive intervention. </w:t>
      </w:r>
    </w:p>
    <w:p w14:paraId="4B2EB632" w14:textId="77777777" w:rsidR="006E3D04" w:rsidRPr="006E3D04" w:rsidRDefault="006E3D04" w:rsidP="006E3D04">
      <w:pPr>
        <w:numPr>
          <w:ilvl w:val="0"/>
          <w:numId w:val="43"/>
        </w:numPr>
        <w:autoSpaceDE w:val="0"/>
        <w:autoSpaceDN w:val="0"/>
        <w:adjustRightInd w:val="0"/>
        <w:spacing w:after="0" w:line="300" w:lineRule="auto"/>
        <w:contextualSpacing/>
        <w:rPr>
          <w:rFonts w:asciiTheme="minorBidi" w:hAnsiTheme="minorBidi"/>
          <w:sz w:val="22"/>
          <w:szCs w:val="22"/>
          <w:shd w:val="clear" w:color="auto" w:fill="FFFFFF"/>
        </w:rPr>
      </w:pPr>
      <w:r w:rsidRPr="006E3D04">
        <w:rPr>
          <w:rFonts w:asciiTheme="minorBidi" w:hAnsiTheme="minorBidi"/>
          <w:sz w:val="22"/>
          <w:szCs w:val="22"/>
          <w:shd w:val="clear" w:color="auto" w:fill="FFFFFF"/>
        </w:rPr>
        <w:t>Participants with mid-range CE Assessment scores will be prioritized for CoC and ESG-funded Rapid Re-Housing projects that provide moderate to intensive services and/or a longer enrollment period.</w:t>
      </w:r>
    </w:p>
    <w:p w14:paraId="5A1080DE" w14:textId="77777777" w:rsidR="006E3D04" w:rsidRPr="006E3D04" w:rsidRDefault="006E3D04" w:rsidP="006E3D04">
      <w:pPr>
        <w:numPr>
          <w:ilvl w:val="0"/>
          <w:numId w:val="43"/>
        </w:numPr>
        <w:autoSpaceDE w:val="0"/>
        <w:autoSpaceDN w:val="0"/>
        <w:adjustRightInd w:val="0"/>
        <w:spacing w:after="0" w:line="300" w:lineRule="auto"/>
        <w:contextualSpacing/>
        <w:rPr>
          <w:rFonts w:asciiTheme="minorBidi" w:hAnsiTheme="minorBidi"/>
          <w:b/>
          <w:bCs/>
          <w:sz w:val="22"/>
          <w:szCs w:val="22"/>
          <w:shd w:val="clear" w:color="auto" w:fill="FFFFFF"/>
        </w:rPr>
      </w:pPr>
      <w:r w:rsidRPr="006E3D04">
        <w:rPr>
          <w:rFonts w:asciiTheme="minorBidi" w:hAnsiTheme="minorBidi"/>
          <w:sz w:val="22"/>
          <w:szCs w:val="22"/>
          <w:shd w:val="clear" w:color="auto" w:fill="FFFFFF"/>
        </w:rPr>
        <w:t>Participants may be eligible to receive Emergency Solutions Grant (ESG)-funded “Light Touch” Rapid Re-Housing resources based on their need for short-term housing resources as indicated in their CE Assessment and prioritized based on having secured housing. If there are not enough ESG resources to accommodate all eligible applicants, the remaining resources are targeted to those with the highest CE score.</w:t>
      </w:r>
    </w:p>
    <w:p w14:paraId="462CA348" w14:textId="77777777" w:rsidR="006E3D04" w:rsidRPr="006E3D04" w:rsidRDefault="006E3D04" w:rsidP="006E3D04">
      <w:pPr>
        <w:numPr>
          <w:ilvl w:val="0"/>
          <w:numId w:val="43"/>
        </w:numPr>
        <w:autoSpaceDE w:val="0"/>
        <w:autoSpaceDN w:val="0"/>
        <w:adjustRightInd w:val="0"/>
        <w:spacing w:after="0" w:line="300" w:lineRule="auto"/>
        <w:contextualSpacing/>
        <w:rPr>
          <w:rFonts w:asciiTheme="minorBidi" w:hAnsiTheme="minorBidi"/>
          <w:b/>
          <w:bCs/>
          <w:sz w:val="22"/>
          <w:szCs w:val="22"/>
          <w:shd w:val="clear" w:color="auto" w:fill="FFFFFF"/>
        </w:rPr>
      </w:pPr>
      <w:r w:rsidRPr="006E3D04">
        <w:rPr>
          <w:rFonts w:asciiTheme="minorBidi" w:hAnsiTheme="minorBidi"/>
          <w:sz w:val="22"/>
          <w:szCs w:val="22"/>
          <w:shd w:val="clear" w:color="auto" w:fill="FFFFFF"/>
        </w:rPr>
        <w:t xml:space="preserve">If two or more homeless households within the same geographic area are identically prioritized for the next available unit, the CoC selects the household with the greatest length of time homeless in the determination of which household receives a referral to </w:t>
      </w:r>
      <w:r w:rsidRPr="006E3D04">
        <w:rPr>
          <w:rFonts w:asciiTheme="minorBidi" w:hAnsiTheme="minorBidi"/>
          <w:sz w:val="22"/>
          <w:szCs w:val="22"/>
          <w:shd w:val="clear" w:color="auto" w:fill="FFFFFF"/>
        </w:rPr>
        <w:lastRenderedPageBreak/>
        <w:t>the next available unit. The CoC’s selection would also be based on the household who is document ready and respond first.</w:t>
      </w:r>
    </w:p>
    <w:p w14:paraId="3980EACE" w14:textId="77777777" w:rsidR="006E3D04" w:rsidRPr="006E3D04" w:rsidRDefault="006E3D04" w:rsidP="006E3D04">
      <w:pPr>
        <w:autoSpaceDE w:val="0"/>
        <w:autoSpaceDN w:val="0"/>
        <w:adjustRightInd w:val="0"/>
        <w:spacing w:after="0" w:line="300" w:lineRule="auto"/>
        <w:contextualSpacing/>
        <w:rPr>
          <w:rFonts w:asciiTheme="minorBidi" w:hAnsiTheme="minorBidi"/>
          <w:b/>
          <w:sz w:val="22"/>
          <w:szCs w:val="22"/>
          <w:shd w:val="clear" w:color="auto" w:fill="FFFFFF"/>
        </w:rPr>
      </w:pPr>
      <w:r w:rsidRPr="006E3D04">
        <w:rPr>
          <w:rFonts w:asciiTheme="minorBidi" w:hAnsiTheme="minorBidi"/>
          <w:sz w:val="22"/>
          <w:szCs w:val="22"/>
          <w:shd w:val="clear" w:color="auto" w:fill="FFFFFF"/>
        </w:rPr>
        <w:t>This comprehensive approach to the targeting of housing resources is designed to reduce the average length of episodes of homelessness and result in better housing outcomes for all. Participants targeted for Permanent Supportive Housing based on their CE score may be offered a less service intensive housing resource (e.g., transitional housing or Rapid Rehousing) if deemed appropriate to address concerns over the excessive length of the waitlist for Permanent Supportive Housing.</w:t>
      </w:r>
    </w:p>
    <w:p w14:paraId="1E22538A" w14:textId="409E4F06" w:rsidR="0042065D" w:rsidRDefault="0042065D" w:rsidP="006F2AB5">
      <w:pPr>
        <w:autoSpaceDE w:val="0"/>
        <w:autoSpaceDN w:val="0"/>
        <w:adjustRightInd w:val="0"/>
        <w:spacing w:after="0" w:line="300" w:lineRule="auto"/>
        <w:contextualSpacing/>
        <w:rPr>
          <w:rFonts w:asciiTheme="minorBidi" w:hAnsiTheme="minorBidi"/>
          <w:sz w:val="22"/>
          <w:szCs w:val="22"/>
          <w:shd w:val="clear" w:color="auto" w:fill="FFFFFF"/>
        </w:rPr>
      </w:pPr>
    </w:p>
    <w:p w14:paraId="0CD45DD9" w14:textId="5EBDEF4F" w:rsidR="0042065D" w:rsidRDefault="0042065D" w:rsidP="0042065D">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Pr>
          <w:rFonts w:asciiTheme="minorBidi" w:hAnsiTheme="minorBidi"/>
          <w:b/>
          <w:bCs/>
          <w:color w:val="333333"/>
          <w:sz w:val="22"/>
          <w:szCs w:val="22"/>
          <w:u w:val="single"/>
          <w:shd w:val="clear" w:color="auto" w:fill="FFFFFF"/>
        </w:rPr>
        <w:t>ESG-CV Changes to Emergency Shelter Access to Services</w:t>
      </w:r>
    </w:p>
    <w:p w14:paraId="144A64EF" w14:textId="3478CE3F" w:rsidR="0042065D" w:rsidRPr="00D47533" w:rsidRDefault="0042065D" w:rsidP="006F2AB5">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C3B5E">
        <w:rPr>
          <w:rFonts w:asciiTheme="minorBidi" w:hAnsiTheme="minorBidi"/>
          <w:color w:val="333333"/>
          <w:sz w:val="22"/>
          <w:szCs w:val="22"/>
          <w:shd w:val="clear" w:color="auto" w:fill="FFFFFF"/>
        </w:rPr>
        <w:t xml:space="preserve">Shelters funded by ESG-CV may not turn away eligible program participants and must establish referral pathways to other shelter or housing if the shelter is at maximum capacity. Shelters must establish referral pathways to isolation and quarantine if a client </w:t>
      </w:r>
      <w:proofErr w:type="gramStart"/>
      <w:r w:rsidRPr="00DC3B5E">
        <w:rPr>
          <w:rFonts w:asciiTheme="minorBidi" w:hAnsiTheme="minorBidi"/>
          <w:color w:val="333333"/>
          <w:sz w:val="22"/>
          <w:szCs w:val="22"/>
          <w:shd w:val="clear" w:color="auto" w:fill="FFFFFF"/>
        </w:rPr>
        <w:t>is in need of</w:t>
      </w:r>
      <w:proofErr w:type="gramEnd"/>
      <w:r w:rsidRPr="00DC3B5E">
        <w:rPr>
          <w:rFonts w:asciiTheme="minorBidi" w:hAnsiTheme="minorBidi"/>
          <w:color w:val="333333"/>
          <w:sz w:val="22"/>
          <w:szCs w:val="22"/>
          <w:shd w:val="clear" w:color="auto" w:fill="FFFFFF"/>
        </w:rPr>
        <w:t xml:space="preserve"> such services.</w:t>
      </w:r>
    </w:p>
    <w:p w14:paraId="75135E4B" w14:textId="77777777" w:rsidR="00D83294" w:rsidRDefault="00D83294" w:rsidP="006F2AB5">
      <w:pPr>
        <w:autoSpaceDE w:val="0"/>
        <w:autoSpaceDN w:val="0"/>
        <w:adjustRightInd w:val="0"/>
        <w:spacing w:after="0" w:line="300" w:lineRule="auto"/>
        <w:contextualSpacing/>
        <w:rPr>
          <w:rFonts w:asciiTheme="minorBidi" w:hAnsiTheme="minorBidi"/>
          <w:sz w:val="22"/>
          <w:szCs w:val="22"/>
          <w:shd w:val="clear" w:color="auto" w:fill="FFFFFF"/>
        </w:rPr>
      </w:pPr>
    </w:p>
    <w:p w14:paraId="031568EC" w14:textId="77777777" w:rsidR="00D83294" w:rsidRDefault="00D83294" w:rsidP="006F2AB5">
      <w:pPr>
        <w:autoSpaceDE w:val="0"/>
        <w:autoSpaceDN w:val="0"/>
        <w:adjustRightInd w:val="0"/>
        <w:spacing w:after="0" w:line="300" w:lineRule="auto"/>
        <w:contextualSpacing/>
        <w:rPr>
          <w:rFonts w:asciiTheme="minorBidi" w:hAnsiTheme="minorBidi"/>
          <w:sz w:val="22"/>
          <w:szCs w:val="22"/>
          <w:shd w:val="clear" w:color="auto" w:fill="FFFFFF"/>
        </w:rPr>
      </w:pPr>
      <w:r w:rsidRPr="00D83294">
        <w:rPr>
          <w:rFonts w:asciiTheme="minorBidi" w:hAnsiTheme="minorBidi"/>
          <w:b/>
          <w:bCs/>
          <w:sz w:val="22"/>
          <w:szCs w:val="22"/>
          <w:u w:val="single"/>
          <w:shd w:val="clear" w:color="auto" w:fill="FFFFFF"/>
        </w:rPr>
        <w:t>What populations need to be prioritized for permanent housing due to COVID-19?</w:t>
      </w:r>
      <w:r w:rsidRPr="00D83294">
        <w:rPr>
          <w:rFonts w:asciiTheme="minorBidi" w:hAnsiTheme="minorBidi"/>
          <w:sz w:val="22"/>
          <w:szCs w:val="22"/>
          <w:shd w:val="clear" w:color="auto" w:fill="FFFFFF"/>
        </w:rPr>
        <w:t xml:space="preserve"> </w:t>
      </w:r>
    </w:p>
    <w:p w14:paraId="6766DB02" w14:textId="77777777" w:rsidR="00D83294" w:rsidRPr="00D83294" w:rsidRDefault="00D83294" w:rsidP="006F2AB5">
      <w:pPr>
        <w:autoSpaceDE w:val="0"/>
        <w:autoSpaceDN w:val="0"/>
        <w:adjustRightInd w:val="0"/>
        <w:spacing w:after="0" w:line="300" w:lineRule="auto"/>
        <w:contextualSpacing/>
        <w:rPr>
          <w:rFonts w:asciiTheme="minorBidi" w:hAnsiTheme="minorBidi"/>
          <w:sz w:val="22"/>
          <w:szCs w:val="22"/>
          <w:shd w:val="clear" w:color="auto" w:fill="FFFFFF"/>
        </w:rPr>
      </w:pPr>
      <w:r w:rsidRPr="00D83294">
        <w:rPr>
          <w:rFonts w:asciiTheme="minorBidi" w:hAnsiTheme="minorBidi"/>
          <w:sz w:val="22"/>
          <w:szCs w:val="22"/>
          <w:shd w:val="clear" w:color="auto" w:fill="FFFFFF"/>
        </w:rPr>
        <w:t>During this public health crisis, people at high risk of developing severe COVID-19 symptoms (those 65+ and people of all ages with underlying medical conditions, per the CDC) are at higher risk of death than most others living in congregate settings or unsheltered. Rehousing this high-risk population will limit the spread and impact of COVID-19, so prioritization policies should support swift assessment and rehousing for anyone meeting ANY of the risk factors indicated by the CDC. CoCs should continue working with local health partners, including public health authorities, and monitoring CDC guidance to maintain an updated understanding of who is most vulnerable to severe illness or death from COVID-19 and adjust prioritization criteria as appropriate.</w:t>
      </w:r>
    </w:p>
    <w:p w14:paraId="6FECBB2F" w14:textId="77777777" w:rsidR="00900686" w:rsidRPr="00E9701A" w:rsidRDefault="00900686" w:rsidP="00900686">
      <w:pPr>
        <w:autoSpaceDE w:val="0"/>
        <w:autoSpaceDN w:val="0"/>
        <w:adjustRightInd w:val="0"/>
        <w:spacing w:after="0" w:line="300" w:lineRule="auto"/>
        <w:contextualSpacing/>
        <w:rPr>
          <w:rFonts w:asciiTheme="minorBidi" w:hAnsiTheme="minorBidi"/>
          <w:sz w:val="22"/>
          <w:szCs w:val="22"/>
          <w:shd w:val="clear" w:color="auto" w:fill="FFFFFF"/>
        </w:rPr>
      </w:pPr>
    </w:p>
    <w:p w14:paraId="67D5FAA6" w14:textId="77777777" w:rsidR="006F2AB5" w:rsidRPr="00B315DD" w:rsidRDefault="006F2AB5" w:rsidP="00900686">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Use of Coordinated Entry for Homelessness Prevention Services</w:t>
      </w:r>
    </w:p>
    <w:p w14:paraId="16FDA6D2" w14:textId="77777777" w:rsidR="00900686" w:rsidRPr="00253E42" w:rsidRDefault="00900686" w:rsidP="006F2AB5">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900686">
        <w:rPr>
          <w:rFonts w:asciiTheme="minorBidi" w:hAnsiTheme="minorBidi"/>
          <w:color w:val="333333"/>
          <w:sz w:val="22"/>
          <w:szCs w:val="22"/>
          <w:shd w:val="clear" w:color="auto" w:fill="FFFFFF"/>
        </w:rPr>
        <w:t>The coordinated entry process may include separate access point(s) for</w:t>
      </w:r>
      <w:r>
        <w:rPr>
          <w:rFonts w:asciiTheme="minorBidi" w:hAnsiTheme="minorBidi"/>
          <w:color w:val="333333"/>
          <w:sz w:val="22"/>
          <w:szCs w:val="22"/>
          <w:shd w:val="clear" w:color="auto" w:fill="FFFFFF"/>
        </w:rPr>
        <w:t xml:space="preserve"> </w:t>
      </w:r>
      <w:r w:rsidRPr="00900686">
        <w:rPr>
          <w:rFonts w:asciiTheme="minorBidi" w:hAnsiTheme="minorBidi"/>
          <w:color w:val="333333"/>
          <w:sz w:val="22"/>
          <w:szCs w:val="22"/>
          <w:shd w:val="clear" w:color="auto" w:fill="FFFFFF"/>
        </w:rPr>
        <w:t>homelessness prevention so that people at risk of homelessness can receive urgent</w:t>
      </w:r>
      <w:r>
        <w:rPr>
          <w:rFonts w:asciiTheme="minorBidi" w:hAnsiTheme="minorBidi"/>
          <w:color w:val="333333"/>
          <w:sz w:val="22"/>
          <w:szCs w:val="22"/>
          <w:shd w:val="clear" w:color="auto" w:fill="FFFFFF"/>
        </w:rPr>
        <w:t xml:space="preserve"> </w:t>
      </w:r>
      <w:r w:rsidRPr="00900686">
        <w:rPr>
          <w:rFonts w:asciiTheme="minorBidi" w:hAnsiTheme="minorBidi"/>
          <w:color w:val="333333"/>
          <w:sz w:val="22"/>
          <w:szCs w:val="22"/>
          <w:shd w:val="clear" w:color="auto" w:fill="FFFFFF"/>
        </w:rPr>
        <w:t>services when and where they are needed</w:t>
      </w:r>
      <w:r w:rsidR="006F2AB5">
        <w:rPr>
          <w:rFonts w:asciiTheme="minorBidi" w:hAnsiTheme="minorBidi"/>
          <w:color w:val="333333"/>
          <w:sz w:val="22"/>
          <w:szCs w:val="22"/>
          <w:shd w:val="clear" w:color="auto" w:fill="FFFFFF"/>
        </w:rPr>
        <w:t xml:space="preserve">. </w:t>
      </w:r>
      <w:r w:rsidRPr="00900686">
        <w:rPr>
          <w:rFonts w:asciiTheme="minorBidi" w:hAnsiTheme="minorBidi"/>
          <w:color w:val="333333"/>
          <w:sz w:val="22"/>
          <w:szCs w:val="22"/>
          <w:shd w:val="clear" w:color="auto" w:fill="FFFFFF"/>
        </w:rPr>
        <w:t xml:space="preserve">Written policies and procedures must describe the process by which persons will be prioritized for referrals to homelessness prevention services. </w:t>
      </w:r>
    </w:p>
    <w:p w14:paraId="1BF58B13" w14:textId="77777777" w:rsidR="00253E42" w:rsidRPr="00253E42" w:rsidRDefault="00253E42" w:rsidP="00900686">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729392E9" w14:textId="221A312F" w:rsidR="00253E42" w:rsidRPr="00253E42" w:rsidRDefault="00E5508A" w:rsidP="00F1699D">
      <w:pPr>
        <w:pStyle w:val="Heading1"/>
        <w:rPr>
          <w:b/>
          <w:bCs/>
        </w:rPr>
      </w:pPr>
      <w:bookmarkStart w:id="9" w:name="_Toc110000634"/>
      <w:r w:rsidRPr="00F1699D">
        <w:rPr>
          <w:rFonts w:asciiTheme="minorBidi" w:hAnsiTheme="minorBidi"/>
          <w:caps w:val="0"/>
        </w:rPr>
        <w:t>HOMELESS MANAGEMENT INFORMATION SYSTEM (HMIS)</w:t>
      </w:r>
      <w:bookmarkEnd w:id="9"/>
      <w:r w:rsidRPr="00F1699D">
        <w:rPr>
          <w:rFonts w:asciiTheme="minorBidi" w:hAnsiTheme="minorBidi"/>
          <w:caps w:val="0"/>
        </w:rPr>
        <w:t xml:space="preserve"> </w:t>
      </w:r>
    </w:p>
    <w:p w14:paraId="2277DEAC"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HUD uses information gathered from CoC’s, ESG Recipients, and HMIS Lead Agencies to make funding decisions, set performance goals for projects assisting the homeless or those at risk of becoming homeless, and to report to Congress on the progress of ending homelessness.</w:t>
      </w:r>
    </w:p>
    <w:p w14:paraId="6BA620DB"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5F47707C" w14:textId="519EAE13"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A Homeless Management Information System (HMIS) is a local information technology system used to collect client-level data and data on the provision of housing and services to homeless individuals and families and persons at risk of homelessness. HUD does not prescribe which </w:t>
      </w:r>
      <w:r w:rsidRPr="00253E42">
        <w:rPr>
          <w:rFonts w:asciiTheme="minorBidi" w:hAnsiTheme="minorBidi"/>
          <w:sz w:val="22"/>
          <w:szCs w:val="22"/>
        </w:rPr>
        <w:lastRenderedPageBreak/>
        <w:t xml:space="preserve">system to use, but through guidance documents such as the </w:t>
      </w:r>
      <w:hyperlink r:id="rId18" w:history="1">
        <w:r w:rsidR="00D7309F" w:rsidRPr="00D7309F">
          <w:rPr>
            <w:rStyle w:val="Hyperlink"/>
            <w:rFonts w:asciiTheme="minorBidi" w:hAnsiTheme="minorBidi"/>
            <w:sz w:val="22"/>
            <w:szCs w:val="22"/>
          </w:rPr>
          <w:t>HMIS Data and Technical Standards</w:t>
        </w:r>
      </w:hyperlink>
      <w:r w:rsidRPr="00253E42">
        <w:rPr>
          <w:rFonts w:asciiTheme="minorBidi" w:hAnsiTheme="minorBidi"/>
          <w:sz w:val="22"/>
          <w:szCs w:val="22"/>
        </w:rPr>
        <w:t xml:space="preserve">, it spells out what a system must be capable of doing to be considered an HMIS or a comparable database. Each CoC is responsible for selecting an HMIS software solution that complies with HUD's data </w:t>
      </w:r>
      <w:r w:rsidR="00F03606" w:rsidRPr="00253E42">
        <w:rPr>
          <w:rFonts w:asciiTheme="minorBidi" w:hAnsiTheme="minorBidi"/>
          <w:sz w:val="22"/>
          <w:szCs w:val="22"/>
        </w:rPr>
        <w:t>collection, management</w:t>
      </w:r>
      <w:r w:rsidRPr="00253E42">
        <w:rPr>
          <w:rFonts w:asciiTheme="minorBidi" w:hAnsiTheme="minorBidi"/>
          <w:sz w:val="22"/>
          <w:szCs w:val="22"/>
        </w:rPr>
        <w:t>, and reporting standards.</w:t>
      </w:r>
    </w:p>
    <w:p w14:paraId="52B339DC"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40BF8D94" w14:textId="3B78EC6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Recipients and </w:t>
      </w:r>
      <w:r w:rsidR="00D7309F">
        <w:rPr>
          <w:rFonts w:asciiTheme="minorBidi" w:hAnsiTheme="minorBidi"/>
          <w:sz w:val="22"/>
          <w:szCs w:val="22"/>
        </w:rPr>
        <w:t>providers</w:t>
      </w:r>
      <w:r w:rsidRPr="00253E42">
        <w:rPr>
          <w:rFonts w:asciiTheme="minorBidi" w:hAnsiTheme="minorBidi"/>
          <w:sz w:val="22"/>
          <w:szCs w:val="22"/>
        </w:rPr>
        <w:t xml:space="preserve"> of ESG or CoC funding are required to collect and record all HUD required data elements into the CoC designated HMIS. Per HUD regulations, domestic </w:t>
      </w:r>
      <w:proofErr w:type="gramStart"/>
      <w:r w:rsidRPr="00253E42">
        <w:rPr>
          <w:rFonts w:asciiTheme="minorBidi" w:hAnsiTheme="minorBidi"/>
          <w:sz w:val="22"/>
          <w:szCs w:val="22"/>
        </w:rPr>
        <w:t>violence</w:t>
      </w:r>
      <w:proofErr w:type="gramEnd"/>
      <w:r w:rsidRPr="00253E42">
        <w:rPr>
          <w:rFonts w:asciiTheme="minorBidi" w:hAnsiTheme="minorBidi"/>
          <w:sz w:val="22"/>
          <w:szCs w:val="22"/>
        </w:rPr>
        <w:t xml:space="preserve"> and victim service providers (VSP) or legal services providers (LSP) must use a HMIS comparable database. </w:t>
      </w:r>
      <w:r w:rsidR="00744264">
        <w:rPr>
          <w:rFonts w:asciiTheme="minorBidi" w:hAnsiTheme="minorBidi"/>
          <w:sz w:val="22"/>
          <w:szCs w:val="22"/>
        </w:rPr>
        <w:t>Providers</w:t>
      </w:r>
      <w:r w:rsidRPr="00253E42">
        <w:rPr>
          <w:rFonts w:asciiTheme="minorBidi" w:hAnsiTheme="minorBidi"/>
          <w:sz w:val="22"/>
          <w:szCs w:val="22"/>
        </w:rPr>
        <w:t xml:space="preserve"> using a comparable database are responsible for ensuring that their chosen HMIS </w:t>
      </w:r>
      <w:proofErr w:type="gramStart"/>
      <w:r w:rsidRPr="00253E42">
        <w:rPr>
          <w:rFonts w:asciiTheme="minorBidi" w:hAnsiTheme="minorBidi"/>
          <w:sz w:val="22"/>
          <w:szCs w:val="22"/>
        </w:rPr>
        <w:t>is able to</w:t>
      </w:r>
      <w:proofErr w:type="gramEnd"/>
      <w:r w:rsidRPr="00253E42">
        <w:rPr>
          <w:rFonts w:asciiTheme="minorBidi" w:hAnsiTheme="minorBidi"/>
          <w:sz w:val="22"/>
          <w:szCs w:val="22"/>
        </w:rPr>
        <w:t xml:space="preserve"> produce the required HUD reports (CAPER or APR) and csv data files for submission to HUD. </w:t>
      </w:r>
    </w:p>
    <w:p w14:paraId="0FA74CBF" w14:textId="77777777" w:rsidR="00293621" w:rsidRDefault="00293621" w:rsidP="00253E42">
      <w:pPr>
        <w:autoSpaceDE w:val="0"/>
        <w:autoSpaceDN w:val="0"/>
        <w:adjustRightInd w:val="0"/>
        <w:spacing w:after="0" w:line="300" w:lineRule="auto"/>
        <w:contextualSpacing/>
        <w:rPr>
          <w:rFonts w:asciiTheme="minorBidi" w:hAnsiTheme="minorBidi"/>
          <w:sz w:val="22"/>
          <w:szCs w:val="22"/>
        </w:rPr>
      </w:pPr>
    </w:p>
    <w:p w14:paraId="2037F708" w14:textId="6D2DFEF2"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For ESG </w:t>
      </w:r>
      <w:r w:rsidR="00E07D5F">
        <w:rPr>
          <w:rFonts w:asciiTheme="minorBidi" w:hAnsiTheme="minorBidi"/>
          <w:sz w:val="22"/>
          <w:szCs w:val="22"/>
        </w:rPr>
        <w:t>providers</w:t>
      </w:r>
      <w:r w:rsidRPr="00253E42">
        <w:rPr>
          <w:rFonts w:asciiTheme="minorBidi" w:hAnsiTheme="minorBidi"/>
          <w:sz w:val="22"/>
          <w:szCs w:val="22"/>
        </w:rPr>
        <w:t xml:space="preserve">, compliance with HMIS standards will be documented through timely and accurate submission of quarterly and annual reports to </w:t>
      </w:r>
      <w:r w:rsidR="00923CA6">
        <w:rPr>
          <w:rFonts w:asciiTheme="minorBidi" w:hAnsiTheme="minorBidi"/>
          <w:sz w:val="22"/>
          <w:szCs w:val="22"/>
        </w:rPr>
        <w:t>EOHLC</w:t>
      </w:r>
      <w:r w:rsidRPr="00253E42">
        <w:rPr>
          <w:rFonts w:asciiTheme="minorBidi" w:hAnsiTheme="minorBidi"/>
          <w:sz w:val="22"/>
          <w:szCs w:val="22"/>
        </w:rPr>
        <w:t xml:space="preserve">. </w:t>
      </w:r>
    </w:p>
    <w:p w14:paraId="1E0CB7DD" w14:textId="77777777" w:rsidR="00293621" w:rsidRDefault="00293621" w:rsidP="00293621">
      <w:pPr>
        <w:autoSpaceDE w:val="0"/>
        <w:autoSpaceDN w:val="0"/>
        <w:adjustRightInd w:val="0"/>
        <w:spacing w:after="0" w:line="300" w:lineRule="auto"/>
        <w:contextualSpacing/>
        <w:rPr>
          <w:rFonts w:asciiTheme="minorBidi" w:hAnsiTheme="minorBidi"/>
          <w:b/>
          <w:bCs/>
          <w:sz w:val="22"/>
          <w:szCs w:val="22"/>
        </w:rPr>
      </w:pPr>
    </w:p>
    <w:p w14:paraId="68F65779" w14:textId="77777777" w:rsidR="00253E42" w:rsidRPr="00293621" w:rsidRDefault="00253E42" w:rsidP="00293621">
      <w:pPr>
        <w:autoSpaceDE w:val="0"/>
        <w:autoSpaceDN w:val="0"/>
        <w:adjustRightInd w:val="0"/>
        <w:spacing w:after="0" w:line="300" w:lineRule="auto"/>
        <w:contextualSpacing/>
        <w:rPr>
          <w:rFonts w:asciiTheme="minorBidi" w:hAnsiTheme="minorBidi"/>
          <w:b/>
          <w:bCs/>
          <w:sz w:val="22"/>
          <w:szCs w:val="22"/>
        </w:rPr>
      </w:pPr>
      <w:r w:rsidRPr="00253E42">
        <w:rPr>
          <w:rFonts w:asciiTheme="minorBidi" w:hAnsiTheme="minorBidi"/>
          <w:b/>
          <w:bCs/>
          <w:sz w:val="22"/>
          <w:szCs w:val="22"/>
        </w:rPr>
        <w:t xml:space="preserve">Please also refer to your local CoC HMIS Policies and Procedures to make sure your project </w:t>
      </w:r>
      <w:proofErr w:type="gramStart"/>
      <w:r w:rsidRPr="00253E42">
        <w:rPr>
          <w:rFonts w:asciiTheme="minorBidi" w:hAnsiTheme="minorBidi"/>
          <w:b/>
          <w:bCs/>
          <w:sz w:val="22"/>
          <w:szCs w:val="22"/>
        </w:rPr>
        <w:t>is in compliance with</w:t>
      </w:r>
      <w:proofErr w:type="gramEnd"/>
      <w:r w:rsidRPr="00253E42">
        <w:rPr>
          <w:rFonts w:asciiTheme="minorBidi" w:hAnsiTheme="minorBidi"/>
          <w:b/>
          <w:bCs/>
          <w:sz w:val="22"/>
          <w:szCs w:val="22"/>
        </w:rPr>
        <w:t xml:space="preserve"> system security, training, licensing, data quality and any other required elements for participating in HMIS.</w:t>
      </w:r>
      <w:r w:rsidR="00293621">
        <w:rPr>
          <w:rFonts w:asciiTheme="minorBidi" w:hAnsiTheme="minorBidi"/>
          <w:b/>
          <w:bCs/>
          <w:sz w:val="22"/>
          <w:szCs w:val="22"/>
        </w:rPr>
        <w:t xml:space="preserve"> </w:t>
      </w:r>
      <w:r w:rsidRPr="00253E42">
        <w:rPr>
          <w:rFonts w:asciiTheme="minorBidi" w:hAnsiTheme="minorBidi"/>
          <w:sz w:val="22"/>
          <w:szCs w:val="22"/>
        </w:rPr>
        <w:t xml:space="preserve">Costs for participating in the local HMIS are eligible grant expenditures if included in the project budget. </w:t>
      </w:r>
    </w:p>
    <w:p w14:paraId="4D86B405"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43B4EF58" w14:textId="77777777" w:rsidR="00253E42" w:rsidRPr="00B315DD" w:rsidRDefault="00253E42" w:rsidP="00253E42">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Annual Performance Reports (CoC Only)</w:t>
      </w:r>
    </w:p>
    <w:p w14:paraId="0F4EE068"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CoC programs are required to submit Annual Performance Reports (APR) to HUD at the end of each operating year. APRs combine financial and client-level (HMIS) data to demonstrate the outcomes and success of each project. Reports are due within 90 days after the end of the operating year in a format and program designated by HUD. </w:t>
      </w:r>
    </w:p>
    <w:p w14:paraId="6003BCA9"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0A699928" w14:textId="77777777" w:rsidR="00253E42" w:rsidRPr="00B315DD" w:rsidRDefault="00253E42" w:rsidP="00253E42">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Caper Reporting (ESG Only)</w:t>
      </w:r>
    </w:p>
    <w:p w14:paraId="10254D61" w14:textId="77D49F21" w:rsidR="00253E42" w:rsidRDefault="00253E42" w:rsidP="001D5B1D">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The Consolidated Annual Performance and Evaluation Report (CAPER) is filed annually with HUD by </w:t>
      </w:r>
      <w:r w:rsidR="00923CA6">
        <w:rPr>
          <w:rFonts w:asciiTheme="minorBidi" w:hAnsiTheme="minorBidi"/>
          <w:sz w:val="22"/>
          <w:szCs w:val="22"/>
        </w:rPr>
        <w:t>EOHLC</w:t>
      </w:r>
      <w:r w:rsidRPr="00253E42">
        <w:rPr>
          <w:rFonts w:asciiTheme="minorBidi" w:hAnsiTheme="minorBidi"/>
          <w:sz w:val="22"/>
          <w:szCs w:val="22"/>
        </w:rPr>
        <w:t xml:space="preserve"> using data submitted by ESG </w:t>
      </w:r>
      <w:r w:rsidR="00D7309F">
        <w:rPr>
          <w:rFonts w:asciiTheme="minorBidi" w:hAnsiTheme="minorBidi"/>
          <w:sz w:val="22"/>
          <w:szCs w:val="22"/>
        </w:rPr>
        <w:t>providers</w:t>
      </w:r>
      <w:r w:rsidRPr="00253E42">
        <w:rPr>
          <w:rFonts w:asciiTheme="minorBidi" w:hAnsiTheme="minorBidi"/>
          <w:sz w:val="22"/>
          <w:szCs w:val="22"/>
        </w:rPr>
        <w:t xml:space="preserve">. The CAPER reports program outcomes to HUD for both expenditures and clients served. </w:t>
      </w:r>
    </w:p>
    <w:p w14:paraId="02163E69"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253E42" w:rsidRPr="00253E42" w14:paraId="12FCAEB4" w14:textId="77777777" w:rsidTr="00253E42">
        <w:tc>
          <w:tcPr>
            <w:tcW w:w="5364" w:type="dxa"/>
            <w:shd w:val="clear" w:color="auto" w:fill="auto"/>
          </w:tcPr>
          <w:p w14:paraId="2A64F027" w14:textId="77777777" w:rsidR="00253E42" w:rsidRPr="00253E42" w:rsidRDefault="00253E42" w:rsidP="00253E42">
            <w:pPr>
              <w:autoSpaceDE w:val="0"/>
              <w:autoSpaceDN w:val="0"/>
              <w:adjustRightInd w:val="0"/>
              <w:spacing w:after="0" w:line="300" w:lineRule="auto"/>
              <w:contextualSpacing/>
              <w:rPr>
                <w:rFonts w:asciiTheme="minorBidi" w:hAnsiTheme="minorBidi"/>
                <w:b/>
                <w:sz w:val="22"/>
                <w:szCs w:val="22"/>
              </w:rPr>
            </w:pPr>
            <w:r w:rsidRPr="00253E42">
              <w:rPr>
                <w:rFonts w:asciiTheme="minorBidi" w:hAnsiTheme="minorBidi"/>
                <w:b/>
                <w:sz w:val="22"/>
                <w:szCs w:val="22"/>
              </w:rPr>
              <w:t>Required Quarterly</w:t>
            </w:r>
          </w:p>
        </w:tc>
        <w:tc>
          <w:tcPr>
            <w:tcW w:w="5364" w:type="dxa"/>
            <w:shd w:val="clear" w:color="auto" w:fill="auto"/>
          </w:tcPr>
          <w:p w14:paraId="7D5DCFE0" w14:textId="77777777" w:rsidR="00253E42" w:rsidRPr="00253E42" w:rsidRDefault="00253E42" w:rsidP="00253E42">
            <w:pPr>
              <w:autoSpaceDE w:val="0"/>
              <w:autoSpaceDN w:val="0"/>
              <w:adjustRightInd w:val="0"/>
              <w:spacing w:after="0" w:line="300" w:lineRule="auto"/>
              <w:contextualSpacing/>
              <w:rPr>
                <w:rFonts w:asciiTheme="minorBidi" w:hAnsiTheme="minorBidi"/>
                <w:b/>
                <w:sz w:val="22"/>
                <w:szCs w:val="22"/>
              </w:rPr>
            </w:pPr>
            <w:r w:rsidRPr="00253E42">
              <w:rPr>
                <w:rFonts w:asciiTheme="minorBidi" w:hAnsiTheme="minorBidi"/>
                <w:b/>
                <w:sz w:val="22"/>
                <w:szCs w:val="22"/>
              </w:rPr>
              <w:t>Required Annually</w:t>
            </w:r>
          </w:p>
        </w:tc>
      </w:tr>
      <w:tr w:rsidR="00253E42" w:rsidRPr="00253E42" w14:paraId="4FE7A12D" w14:textId="77777777" w:rsidTr="00253E42">
        <w:tc>
          <w:tcPr>
            <w:tcW w:w="5364" w:type="dxa"/>
            <w:shd w:val="clear" w:color="auto" w:fill="auto"/>
          </w:tcPr>
          <w:p w14:paraId="02C6D948"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CAPER report </w:t>
            </w:r>
          </w:p>
        </w:tc>
        <w:tc>
          <w:tcPr>
            <w:tcW w:w="5364" w:type="dxa"/>
            <w:shd w:val="clear" w:color="auto" w:fill="auto"/>
          </w:tcPr>
          <w:p w14:paraId="218A40E0"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CAPER report</w:t>
            </w:r>
          </w:p>
        </w:tc>
      </w:tr>
      <w:tr w:rsidR="00253E42" w:rsidRPr="00253E42" w14:paraId="1A4A8CF1" w14:textId="77777777" w:rsidTr="00253E42">
        <w:tc>
          <w:tcPr>
            <w:tcW w:w="5364" w:type="dxa"/>
            <w:shd w:val="clear" w:color="auto" w:fill="auto"/>
          </w:tcPr>
          <w:p w14:paraId="041F16FD"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Actual outcomes for the reporting period (submitted on the projected outcomes table included in your contract.)</w:t>
            </w:r>
          </w:p>
        </w:tc>
        <w:tc>
          <w:tcPr>
            <w:tcW w:w="5364" w:type="dxa"/>
            <w:shd w:val="clear" w:color="auto" w:fill="auto"/>
          </w:tcPr>
          <w:p w14:paraId="37C1A102"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CAPER data (actual .CSV files to be uploaded into Sage.)</w:t>
            </w:r>
          </w:p>
        </w:tc>
      </w:tr>
    </w:tbl>
    <w:p w14:paraId="390DAA68"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5C4F1BBD" w14:textId="4B8E0279"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Please note: The process for running and submitting a CAPER report may change based on HUD reporting requirements and the HMIS vendor utilized by the </w:t>
      </w:r>
      <w:r w:rsidR="00803781">
        <w:rPr>
          <w:rFonts w:asciiTheme="minorBidi" w:hAnsiTheme="minorBidi"/>
          <w:sz w:val="22"/>
          <w:szCs w:val="22"/>
        </w:rPr>
        <w:t>provider</w:t>
      </w:r>
      <w:r w:rsidRPr="00253E42">
        <w:rPr>
          <w:rFonts w:asciiTheme="minorBidi" w:hAnsiTheme="minorBidi"/>
          <w:sz w:val="22"/>
          <w:szCs w:val="22"/>
        </w:rPr>
        <w:t xml:space="preserve">. Questions about the CAPER report should be submitted to </w:t>
      </w:r>
      <w:r w:rsidR="00923CA6">
        <w:rPr>
          <w:rFonts w:asciiTheme="minorBidi" w:hAnsiTheme="minorBidi"/>
          <w:sz w:val="22"/>
          <w:szCs w:val="22"/>
        </w:rPr>
        <w:t>EOHLC</w:t>
      </w:r>
      <w:r w:rsidRPr="00253E42">
        <w:rPr>
          <w:rFonts w:asciiTheme="minorBidi" w:hAnsiTheme="minorBidi"/>
          <w:sz w:val="22"/>
          <w:szCs w:val="22"/>
        </w:rPr>
        <w:t xml:space="preserve"> or to your HMIS lead</w:t>
      </w:r>
      <w:r w:rsidR="00D7309F">
        <w:rPr>
          <w:rFonts w:asciiTheme="minorBidi" w:hAnsiTheme="minorBidi"/>
          <w:sz w:val="22"/>
          <w:szCs w:val="22"/>
        </w:rPr>
        <w:t xml:space="preserve"> agency</w:t>
      </w:r>
      <w:r w:rsidRPr="00253E42">
        <w:rPr>
          <w:rFonts w:asciiTheme="minorBidi" w:hAnsiTheme="minorBidi"/>
          <w:sz w:val="22"/>
          <w:szCs w:val="22"/>
        </w:rPr>
        <w:t xml:space="preserve">. </w:t>
      </w:r>
      <w:bookmarkStart w:id="10" w:name="_Toc465070518"/>
    </w:p>
    <w:p w14:paraId="61E81832" w14:textId="475D3B7A" w:rsidR="00F03606" w:rsidRDefault="00F03606" w:rsidP="00253E42">
      <w:pPr>
        <w:autoSpaceDE w:val="0"/>
        <w:autoSpaceDN w:val="0"/>
        <w:adjustRightInd w:val="0"/>
        <w:spacing w:after="0" w:line="300" w:lineRule="auto"/>
        <w:contextualSpacing/>
        <w:rPr>
          <w:rFonts w:asciiTheme="minorBidi" w:hAnsiTheme="minorBidi"/>
          <w:sz w:val="22"/>
          <w:szCs w:val="22"/>
        </w:rPr>
      </w:pPr>
    </w:p>
    <w:p w14:paraId="5EBF859E" w14:textId="77777777" w:rsidR="0097481A" w:rsidRDefault="0097481A" w:rsidP="00253E42">
      <w:pPr>
        <w:autoSpaceDE w:val="0"/>
        <w:autoSpaceDN w:val="0"/>
        <w:adjustRightInd w:val="0"/>
        <w:spacing w:after="0" w:line="300" w:lineRule="auto"/>
        <w:contextualSpacing/>
        <w:rPr>
          <w:rFonts w:asciiTheme="minorBidi" w:hAnsiTheme="minorBidi"/>
          <w:sz w:val="22"/>
          <w:szCs w:val="22"/>
        </w:rPr>
      </w:pPr>
    </w:p>
    <w:p w14:paraId="1FF51DA4" w14:textId="630FF842" w:rsidR="00253E42" w:rsidRPr="00F03606" w:rsidRDefault="00253E42" w:rsidP="00253E42">
      <w:pPr>
        <w:autoSpaceDE w:val="0"/>
        <w:autoSpaceDN w:val="0"/>
        <w:adjustRightInd w:val="0"/>
        <w:spacing w:after="0" w:line="300" w:lineRule="auto"/>
        <w:contextualSpacing/>
        <w:rPr>
          <w:rFonts w:asciiTheme="minorBidi" w:hAnsiTheme="minorBidi"/>
          <w:b/>
          <w:bCs/>
          <w:sz w:val="22"/>
          <w:szCs w:val="22"/>
        </w:rPr>
      </w:pPr>
      <w:r w:rsidRPr="00F03606">
        <w:rPr>
          <w:rFonts w:asciiTheme="minorBidi" w:hAnsiTheme="minorBidi"/>
          <w:b/>
          <w:bCs/>
          <w:sz w:val="22"/>
          <w:szCs w:val="22"/>
        </w:rPr>
        <w:t>CAPER Reporting Due Dates</w:t>
      </w:r>
      <w:bookmarkEnd w:id="10"/>
    </w:p>
    <w:p w14:paraId="197EF080"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Quarterly reports are due on the 10</w:t>
      </w:r>
      <w:r w:rsidRPr="00253E42">
        <w:rPr>
          <w:rFonts w:asciiTheme="minorBidi" w:hAnsiTheme="minorBidi"/>
          <w:sz w:val="22"/>
          <w:szCs w:val="22"/>
          <w:vertAlign w:val="superscript"/>
        </w:rPr>
        <w:t>th</w:t>
      </w:r>
      <w:r w:rsidRPr="00253E42">
        <w:rPr>
          <w:rFonts w:asciiTheme="minorBidi" w:hAnsiTheme="minorBidi"/>
          <w:sz w:val="22"/>
          <w:szCs w:val="22"/>
        </w:rPr>
        <w:t xml:space="preserve"> of the month following each quarter. Annual reports are due on the 10</w:t>
      </w:r>
      <w:r w:rsidRPr="00253E42">
        <w:rPr>
          <w:rFonts w:asciiTheme="minorBidi" w:hAnsiTheme="minorBidi"/>
          <w:sz w:val="22"/>
          <w:szCs w:val="22"/>
          <w:vertAlign w:val="superscript"/>
        </w:rPr>
        <w:t>th</w:t>
      </w:r>
      <w:r w:rsidRPr="00253E42">
        <w:rPr>
          <w:rFonts w:asciiTheme="minorBidi" w:hAnsiTheme="minorBidi"/>
          <w:sz w:val="22"/>
          <w:szCs w:val="22"/>
        </w:rPr>
        <w:t xml:space="preserve"> of the month following the contract expiration date. All reports should start on April 1</w:t>
      </w:r>
      <w:r w:rsidRPr="00253E42">
        <w:rPr>
          <w:rFonts w:asciiTheme="minorBidi" w:hAnsiTheme="minorBidi"/>
          <w:sz w:val="22"/>
          <w:szCs w:val="22"/>
          <w:vertAlign w:val="superscript"/>
        </w:rPr>
        <w:t xml:space="preserve">st </w:t>
      </w:r>
      <w:r w:rsidRPr="00253E42">
        <w:rPr>
          <w:rFonts w:asciiTheme="minorBidi" w:hAnsiTheme="minorBidi"/>
          <w:sz w:val="22"/>
          <w:szCs w:val="22"/>
        </w:rPr>
        <w:t xml:space="preserve">and end on the last day of the reporting period. </w:t>
      </w:r>
    </w:p>
    <w:p w14:paraId="35DD22C3"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53E42" w:rsidRPr="00253E42" w14:paraId="055E12FB" w14:textId="77777777" w:rsidTr="00253E42">
        <w:tc>
          <w:tcPr>
            <w:tcW w:w="5364" w:type="dxa"/>
            <w:shd w:val="clear" w:color="auto" w:fill="auto"/>
          </w:tcPr>
          <w:p w14:paraId="7F8B5885"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Quarter 1</w:t>
            </w:r>
          </w:p>
        </w:tc>
        <w:tc>
          <w:tcPr>
            <w:tcW w:w="5364" w:type="dxa"/>
            <w:shd w:val="clear" w:color="auto" w:fill="auto"/>
          </w:tcPr>
          <w:p w14:paraId="1FCFE3AC"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July 10</w:t>
            </w:r>
            <w:r w:rsidRPr="00253E42">
              <w:rPr>
                <w:rFonts w:asciiTheme="minorBidi" w:hAnsiTheme="minorBidi"/>
                <w:sz w:val="22"/>
                <w:szCs w:val="22"/>
                <w:vertAlign w:val="superscript"/>
              </w:rPr>
              <w:t>th</w:t>
            </w:r>
          </w:p>
        </w:tc>
      </w:tr>
      <w:tr w:rsidR="00253E42" w:rsidRPr="00253E42" w14:paraId="515B5C76" w14:textId="77777777" w:rsidTr="00253E42">
        <w:tc>
          <w:tcPr>
            <w:tcW w:w="5364" w:type="dxa"/>
            <w:shd w:val="clear" w:color="auto" w:fill="auto"/>
          </w:tcPr>
          <w:p w14:paraId="050AE454"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Quarter 2</w:t>
            </w:r>
          </w:p>
        </w:tc>
        <w:tc>
          <w:tcPr>
            <w:tcW w:w="5364" w:type="dxa"/>
            <w:shd w:val="clear" w:color="auto" w:fill="auto"/>
          </w:tcPr>
          <w:p w14:paraId="0DE62663"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October 10</w:t>
            </w:r>
            <w:r w:rsidRPr="00253E42">
              <w:rPr>
                <w:rFonts w:asciiTheme="minorBidi" w:hAnsiTheme="minorBidi"/>
                <w:sz w:val="22"/>
                <w:szCs w:val="22"/>
                <w:vertAlign w:val="superscript"/>
              </w:rPr>
              <w:t>th</w:t>
            </w:r>
          </w:p>
        </w:tc>
      </w:tr>
      <w:tr w:rsidR="00253E42" w:rsidRPr="00253E42" w14:paraId="04623666" w14:textId="77777777" w:rsidTr="00253E42">
        <w:tc>
          <w:tcPr>
            <w:tcW w:w="5364" w:type="dxa"/>
            <w:shd w:val="clear" w:color="auto" w:fill="auto"/>
          </w:tcPr>
          <w:p w14:paraId="38F6F30F"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Quarter 3</w:t>
            </w:r>
          </w:p>
        </w:tc>
        <w:tc>
          <w:tcPr>
            <w:tcW w:w="5364" w:type="dxa"/>
            <w:shd w:val="clear" w:color="auto" w:fill="auto"/>
          </w:tcPr>
          <w:p w14:paraId="74D75845"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January 10</w:t>
            </w:r>
            <w:r w:rsidRPr="00253E42">
              <w:rPr>
                <w:rFonts w:asciiTheme="minorBidi" w:hAnsiTheme="minorBidi"/>
                <w:sz w:val="22"/>
                <w:szCs w:val="22"/>
                <w:vertAlign w:val="superscript"/>
              </w:rPr>
              <w:t>th</w:t>
            </w:r>
          </w:p>
        </w:tc>
      </w:tr>
      <w:tr w:rsidR="00253E42" w:rsidRPr="00253E42" w14:paraId="73341684" w14:textId="77777777" w:rsidTr="00253E42">
        <w:tc>
          <w:tcPr>
            <w:tcW w:w="5364" w:type="dxa"/>
            <w:shd w:val="clear" w:color="auto" w:fill="auto"/>
          </w:tcPr>
          <w:p w14:paraId="46CD86C0"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Quarter 4 &amp; final contract period</w:t>
            </w:r>
          </w:p>
        </w:tc>
        <w:tc>
          <w:tcPr>
            <w:tcW w:w="5364" w:type="dxa"/>
            <w:shd w:val="clear" w:color="auto" w:fill="auto"/>
          </w:tcPr>
          <w:p w14:paraId="55B74738"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April 10th</w:t>
            </w:r>
          </w:p>
        </w:tc>
      </w:tr>
    </w:tbl>
    <w:p w14:paraId="70DAEC02" w14:textId="77777777" w:rsidR="00E5508A" w:rsidRDefault="00E5508A" w:rsidP="00F03606">
      <w:pPr>
        <w:autoSpaceDE w:val="0"/>
        <w:autoSpaceDN w:val="0"/>
        <w:adjustRightInd w:val="0"/>
        <w:spacing w:after="0" w:line="300" w:lineRule="auto"/>
        <w:contextualSpacing/>
        <w:rPr>
          <w:rFonts w:asciiTheme="minorBidi" w:hAnsiTheme="minorBidi"/>
          <w:b/>
          <w:bCs/>
          <w:sz w:val="22"/>
          <w:szCs w:val="22"/>
          <w:u w:val="single"/>
        </w:rPr>
      </w:pPr>
    </w:p>
    <w:p w14:paraId="267E1651" w14:textId="5B015C41" w:rsidR="00253E42" w:rsidRPr="00B315DD" w:rsidRDefault="00253E42" w:rsidP="00F03606">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ESG</w:t>
      </w:r>
      <w:r w:rsidR="00B315DD">
        <w:rPr>
          <w:rFonts w:asciiTheme="minorBidi" w:hAnsiTheme="minorBidi"/>
          <w:b/>
          <w:bCs/>
          <w:sz w:val="22"/>
          <w:szCs w:val="22"/>
          <w:u w:val="single"/>
        </w:rPr>
        <w:t>-</w:t>
      </w:r>
      <w:r w:rsidRPr="00B315DD">
        <w:rPr>
          <w:rFonts w:asciiTheme="minorBidi" w:hAnsiTheme="minorBidi"/>
          <w:b/>
          <w:bCs/>
          <w:sz w:val="22"/>
          <w:szCs w:val="22"/>
          <w:u w:val="single"/>
        </w:rPr>
        <w:t>CV</w:t>
      </w:r>
      <w:r w:rsidR="00F03606" w:rsidRPr="00B315DD">
        <w:rPr>
          <w:rFonts w:asciiTheme="minorBidi" w:hAnsiTheme="minorBidi"/>
          <w:b/>
          <w:bCs/>
          <w:sz w:val="22"/>
          <w:szCs w:val="22"/>
          <w:u w:val="single"/>
        </w:rPr>
        <w:t xml:space="preserve"> CAPER Reporting </w:t>
      </w:r>
    </w:p>
    <w:p w14:paraId="4E2AE59C" w14:textId="1782D53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For projects utilizing ESG CV funds, HUD requires reporting results on a quarterly basis, but also cumulatively for the grant term. Data is submitted to </w:t>
      </w:r>
      <w:r w:rsidR="00923CA6">
        <w:rPr>
          <w:rFonts w:asciiTheme="minorBidi" w:hAnsiTheme="minorBidi"/>
          <w:sz w:val="22"/>
          <w:szCs w:val="22"/>
        </w:rPr>
        <w:t>EOHLC</w:t>
      </w:r>
      <w:r w:rsidRPr="00253E42">
        <w:rPr>
          <w:rFonts w:asciiTheme="minorBidi" w:hAnsiTheme="minorBidi"/>
          <w:sz w:val="22"/>
          <w:szCs w:val="22"/>
        </w:rPr>
        <w:t xml:space="preserve"> directly from the HMIS Lead Agencies or each VSP/LSP using a comparable database. Financial reporting to </w:t>
      </w:r>
      <w:r w:rsidR="00923CA6">
        <w:rPr>
          <w:rFonts w:asciiTheme="minorBidi" w:hAnsiTheme="minorBidi"/>
          <w:sz w:val="22"/>
          <w:szCs w:val="22"/>
        </w:rPr>
        <w:t>EOHLC</w:t>
      </w:r>
      <w:r w:rsidRPr="00253E42">
        <w:rPr>
          <w:rFonts w:asciiTheme="minorBidi" w:hAnsiTheme="minorBidi"/>
          <w:sz w:val="22"/>
          <w:szCs w:val="22"/>
        </w:rPr>
        <w:t xml:space="preserve"> is required quarterly from </w:t>
      </w:r>
      <w:r w:rsidR="00DA1FAF">
        <w:rPr>
          <w:rFonts w:asciiTheme="minorBidi" w:hAnsiTheme="minorBidi"/>
          <w:sz w:val="22"/>
          <w:szCs w:val="22"/>
        </w:rPr>
        <w:t>providers</w:t>
      </w:r>
      <w:r w:rsidRPr="00253E42">
        <w:rPr>
          <w:rFonts w:asciiTheme="minorBidi" w:hAnsiTheme="minorBidi"/>
          <w:sz w:val="22"/>
          <w:szCs w:val="22"/>
        </w:rPr>
        <w:t xml:space="preserve"> for each project. </w:t>
      </w:r>
    </w:p>
    <w:p w14:paraId="5EB776C0"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p>
    <w:p w14:paraId="0136B955" w14:textId="77777777" w:rsidR="00253E42" w:rsidRPr="00B315DD" w:rsidRDefault="00253E42" w:rsidP="00253E42">
      <w:pPr>
        <w:autoSpaceDE w:val="0"/>
        <w:autoSpaceDN w:val="0"/>
        <w:adjustRightInd w:val="0"/>
        <w:spacing w:after="0"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Program Outcomes/System Performance Measures (RRH Only)</w:t>
      </w:r>
    </w:p>
    <w:p w14:paraId="2B70AB93" w14:textId="77777777" w:rsidR="00253E42" w:rsidRPr="00253E42" w:rsidRDefault="00253E42" w:rsidP="00253E42">
      <w:pPr>
        <w:autoSpaceDE w:val="0"/>
        <w:autoSpaceDN w:val="0"/>
        <w:adjustRightInd w:val="0"/>
        <w:spacing w:after="0" w:line="300" w:lineRule="auto"/>
        <w:contextualSpacing/>
        <w:rPr>
          <w:rFonts w:asciiTheme="minorBidi" w:hAnsiTheme="minorBidi"/>
          <w:sz w:val="22"/>
          <w:szCs w:val="22"/>
        </w:rPr>
      </w:pPr>
      <w:r w:rsidRPr="00253E42">
        <w:rPr>
          <w:rFonts w:asciiTheme="minorBidi" w:hAnsiTheme="minorBidi"/>
          <w:sz w:val="22"/>
          <w:szCs w:val="22"/>
        </w:rPr>
        <w:t xml:space="preserve">Each CoC is responsible for submitting System Performance Measures (SPM) data to HUD annually. </w:t>
      </w:r>
      <w:proofErr w:type="gramStart"/>
      <w:r w:rsidRPr="00253E42">
        <w:rPr>
          <w:rFonts w:asciiTheme="minorBidi" w:hAnsiTheme="minorBidi"/>
          <w:sz w:val="22"/>
          <w:szCs w:val="22"/>
        </w:rPr>
        <w:t>At this time</w:t>
      </w:r>
      <w:proofErr w:type="gramEnd"/>
      <w:r w:rsidRPr="00253E42">
        <w:rPr>
          <w:rFonts w:asciiTheme="minorBidi" w:hAnsiTheme="minorBidi"/>
          <w:sz w:val="22"/>
          <w:szCs w:val="22"/>
        </w:rPr>
        <w:t>, all RRH projects within a CoC contribute to the overall outcomes for the CoC as a whole. While HUD has not set specific SPM goals for RRH projects, the two primary areas that will improve the CoC SPMs are:</w:t>
      </w:r>
    </w:p>
    <w:p w14:paraId="1C72FB00" w14:textId="77777777" w:rsidR="00253E42" w:rsidRPr="00253E42" w:rsidRDefault="00253E42" w:rsidP="004A10EE">
      <w:pPr>
        <w:numPr>
          <w:ilvl w:val="0"/>
          <w:numId w:val="16"/>
        </w:numPr>
        <w:autoSpaceDE w:val="0"/>
        <w:autoSpaceDN w:val="0"/>
        <w:adjustRightInd w:val="0"/>
        <w:spacing w:after="0" w:line="300" w:lineRule="auto"/>
        <w:ind w:left="450" w:hanging="450"/>
        <w:contextualSpacing/>
        <w:rPr>
          <w:rFonts w:asciiTheme="minorBidi" w:hAnsiTheme="minorBidi"/>
          <w:sz w:val="22"/>
          <w:szCs w:val="22"/>
        </w:rPr>
      </w:pPr>
      <w:r w:rsidRPr="00253E42">
        <w:rPr>
          <w:rFonts w:asciiTheme="minorBidi" w:hAnsiTheme="minorBidi"/>
          <w:sz w:val="22"/>
          <w:szCs w:val="22"/>
        </w:rPr>
        <w:t xml:space="preserve">reducing the length of time between when a client enters the RRH program and when they </w:t>
      </w:r>
      <w:proofErr w:type="gramStart"/>
      <w:r w:rsidRPr="00253E42">
        <w:rPr>
          <w:rFonts w:asciiTheme="minorBidi" w:hAnsiTheme="minorBidi"/>
          <w:sz w:val="22"/>
          <w:szCs w:val="22"/>
        </w:rPr>
        <w:t>are able to</w:t>
      </w:r>
      <w:proofErr w:type="gramEnd"/>
      <w:r w:rsidRPr="00253E42">
        <w:rPr>
          <w:rFonts w:asciiTheme="minorBidi" w:hAnsiTheme="minorBidi"/>
          <w:sz w:val="22"/>
          <w:szCs w:val="22"/>
        </w:rPr>
        <w:t xml:space="preserve"> move to a RRH unit, and </w:t>
      </w:r>
    </w:p>
    <w:p w14:paraId="0213F0C1" w14:textId="77777777" w:rsidR="00253E42" w:rsidRPr="00253E42" w:rsidRDefault="00253E42" w:rsidP="004A10EE">
      <w:pPr>
        <w:numPr>
          <w:ilvl w:val="0"/>
          <w:numId w:val="16"/>
        </w:numPr>
        <w:autoSpaceDE w:val="0"/>
        <w:autoSpaceDN w:val="0"/>
        <w:adjustRightInd w:val="0"/>
        <w:spacing w:after="0" w:line="300" w:lineRule="auto"/>
        <w:ind w:left="450" w:hanging="450"/>
        <w:contextualSpacing/>
        <w:rPr>
          <w:rFonts w:asciiTheme="minorBidi" w:hAnsiTheme="minorBidi"/>
          <w:sz w:val="22"/>
          <w:szCs w:val="22"/>
        </w:rPr>
      </w:pPr>
      <w:r w:rsidRPr="00253E42">
        <w:rPr>
          <w:rFonts w:asciiTheme="minorBidi" w:hAnsiTheme="minorBidi"/>
          <w:sz w:val="22"/>
          <w:szCs w:val="22"/>
        </w:rPr>
        <w:t xml:space="preserve">providing sufficient stabilization services to households so they do not return to homelessness once the assistance ends. </w:t>
      </w:r>
    </w:p>
    <w:p w14:paraId="5207CB5B" w14:textId="77777777" w:rsidR="001100A0" w:rsidRDefault="001100A0" w:rsidP="00F03606">
      <w:pPr>
        <w:autoSpaceDE w:val="0"/>
        <w:autoSpaceDN w:val="0"/>
        <w:adjustRightInd w:val="0"/>
        <w:spacing w:after="0" w:line="300" w:lineRule="auto"/>
        <w:ind w:left="450" w:hanging="450"/>
        <w:contextualSpacing/>
        <w:rPr>
          <w:rFonts w:asciiTheme="minorBidi" w:hAnsiTheme="minorBidi"/>
          <w:sz w:val="22"/>
          <w:szCs w:val="22"/>
        </w:rPr>
      </w:pPr>
    </w:p>
    <w:p w14:paraId="10113CD7" w14:textId="0B3409ED" w:rsidR="001100A0" w:rsidRPr="00584180" w:rsidRDefault="00E5508A" w:rsidP="0059445F">
      <w:pPr>
        <w:pStyle w:val="Heading1"/>
        <w:rPr>
          <w:rFonts w:asciiTheme="minorBidi" w:eastAsia="Calibri" w:hAnsiTheme="minorBidi"/>
        </w:rPr>
      </w:pPr>
      <w:bookmarkStart w:id="11" w:name="_Toc110000635"/>
      <w:r w:rsidRPr="00584180">
        <w:rPr>
          <w:rFonts w:asciiTheme="minorBidi" w:eastAsia="Calibri" w:hAnsiTheme="minorBidi"/>
          <w:caps w:val="0"/>
        </w:rPr>
        <w:t>ORGANIZATIONAL POLICIES</w:t>
      </w:r>
      <w:r>
        <w:rPr>
          <w:rFonts w:asciiTheme="minorBidi" w:eastAsia="Calibri" w:hAnsiTheme="minorBidi"/>
          <w:caps w:val="0"/>
        </w:rPr>
        <w:t xml:space="preserve"> AND OTHER HUD REQUIREMENTS</w:t>
      </w:r>
      <w:bookmarkEnd w:id="11"/>
    </w:p>
    <w:p w14:paraId="3AE1C7FB" w14:textId="068B37E5" w:rsidR="00AB7BF2" w:rsidRDefault="00AC3AF3" w:rsidP="00D47533">
      <w:pPr>
        <w:rPr>
          <w:rFonts w:asciiTheme="minorBidi" w:hAnsiTheme="minorBidi"/>
          <w:sz w:val="22"/>
          <w:szCs w:val="22"/>
        </w:rPr>
      </w:pPr>
      <w:r w:rsidRPr="00D47533">
        <w:rPr>
          <w:rFonts w:ascii="Arial" w:hAnsi="Arial" w:cs="Arial"/>
          <w:sz w:val="22"/>
          <w:szCs w:val="22"/>
        </w:rPr>
        <w:t xml:space="preserve">In addition to program specific documentation </w:t>
      </w:r>
      <w:r w:rsidR="00416B89" w:rsidRPr="00D47533">
        <w:rPr>
          <w:rFonts w:ascii="Arial" w:hAnsi="Arial" w:cs="Arial"/>
          <w:sz w:val="22"/>
          <w:szCs w:val="22"/>
        </w:rPr>
        <w:t>Agency Recordkeeping and Reporting Requirements</w:t>
      </w:r>
      <w:r w:rsidR="0097481A">
        <w:rPr>
          <w:rFonts w:asciiTheme="minorBidi" w:hAnsiTheme="minorBidi"/>
          <w:sz w:val="22"/>
          <w:szCs w:val="22"/>
        </w:rPr>
        <w:t>, p</w:t>
      </w:r>
      <w:r w:rsidR="00744264">
        <w:rPr>
          <w:rFonts w:asciiTheme="minorBidi" w:hAnsiTheme="minorBidi"/>
          <w:sz w:val="22"/>
          <w:szCs w:val="22"/>
        </w:rPr>
        <w:t>roviders</w:t>
      </w:r>
      <w:r w:rsidR="00416B89" w:rsidRPr="00416B89">
        <w:rPr>
          <w:rFonts w:asciiTheme="minorBidi" w:hAnsiTheme="minorBidi"/>
          <w:sz w:val="22"/>
          <w:szCs w:val="22"/>
        </w:rPr>
        <w:t xml:space="preserve"> must implement appropriate recordkeeping and reporting procedures to</w:t>
      </w:r>
      <w:r w:rsidR="00AB7BF2">
        <w:rPr>
          <w:rFonts w:asciiTheme="minorBidi" w:hAnsiTheme="minorBidi"/>
          <w:sz w:val="22"/>
          <w:szCs w:val="22"/>
        </w:rPr>
        <w:t xml:space="preserve"> </w:t>
      </w:r>
      <w:r w:rsidR="00416B89" w:rsidRPr="00416B89">
        <w:rPr>
          <w:rFonts w:asciiTheme="minorBidi" w:hAnsiTheme="minorBidi"/>
          <w:sz w:val="22"/>
          <w:szCs w:val="22"/>
        </w:rPr>
        <w:t xml:space="preserve">document that ESG funds are used in accordance with the requirements. These records must allow </w:t>
      </w:r>
      <w:r w:rsidR="00923CA6">
        <w:rPr>
          <w:rFonts w:asciiTheme="minorBidi" w:hAnsiTheme="minorBidi"/>
          <w:sz w:val="22"/>
          <w:szCs w:val="22"/>
        </w:rPr>
        <w:t>EOHLC</w:t>
      </w:r>
      <w:r w:rsidR="00416B89" w:rsidRPr="00416B89">
        <w:rPr>
          <w:rFonts w:asciiTheme="minorBidi" w:hAnsiTheme="minorBidi"/>
          <w:sz w:val="22"/>
          <w:szCs w:val="22"/>
        </w:rPr>
        <w:t xml:space="preserve"> and HUD to determine whether ESG requirements are being met</w:t>
      </w:r>
      <w:r w:rsidR="00B43CEA">
        <w:rPr>
          <w:rFonts w:asciiTheme="minorBidi" w:hAnsiTheme="minorBidi"/>
          <w:sz w:val="22"/>
          <w:szCs w:val="22"/>
        </w:rPr>
        <w:t xml:space="preserve">. For a full list of required policies and documentation refer to Appendix B. </w:t>
      </w:r>
    </w:p>
    <w:p w14:paraId="3999F2C8" w14:textId="65308631" w:rsidR="00EF189F" w:rsidRPr="00AB7BF2" w:rsidRDefault="00EF189F" w:rsidP="00EF189F">
      <w:pPr>
        <w:spacing w:after="0" w:line="259" w:lineRule="auto"/>
        <w:rPr>
          <w:rFonts w:asciiTheme="minorBidi" w:hAnsiTheme="minorBidi"/>
          <w:b/>
          <w:bCs/>
          <w:sz w:val="22"/>
          <w:szCs w:val="22"/>
        </w:rPr>
      </w:pPr>
      <w:r w:rsidRPr="00AB7BF2">
        <w:rPr>
          <w:rFonts w:asciiTheme="minorBidi" w:hAnsiTheme="minorBidi"/>
          <w:b/>
          <w:bCs/>
          <w:sz w:val="22"/>
          <w:szCs w:val="22"/>
        </w:rPr>
        <w:t>Period of Record Retention</w:t>
      </w:r>
      <w:r>
        <w:rPr>
          <w:rFonts w:asciiTheme="minorBidi" w:hAnsiTheme="minorBidi"/>
          <w:b/>
          <w:bCs/>
          <w:sz w:val="22"/>
          <w:szCs w:val="22"/>
        </w:rPr>
        <w:t xml:space="preserve"> </w:t>
      </w:r>
    </w:p>
    <w:p w14:paraId="6203AD35" w14:textId="62596F80" w:rsidR="00EF189F" w:rsidRDefault="00EF189F" w:rsidP="00EF189F">
      <w:pPr>
        <w:spacing w:after="0" w:line="300" w:lineRule="auto"/>
        <w:rPr>
          <w:rFonts w:asciiTheme="minorBidi" w:hAnsiTheme="minorBidi"/>
          <w:sz w:val="22"/>
          <w:szCs w:val="22"/>
        </w:rPr>
      </w:pPr>
      <w:r w:rsidRPr="00AB7BF2">
        <w:rPr>
          <w:rFonts w:asciiTheme="minorBidi" w:hAnsiTheme="minorBidi"/>
          <w:sz w:val="22"/>
          <w:szCs w:val="22"/>
        </w:rPr>
        <w:t>Records related to each fiscal year o</w:t>
      </w:r>
      <w:r>
        <w:rPr>
          <w:rFonts w:asciiTheme="minorBidi" w:hAnsiTheme="minorBidi"/>
          <w:sz w:val="22"/>
          <w:szCs w:val="22"/>
        </w:rPr>
        <w:t>f</w:t>
      </w:r>
      <w:r w:rsidRPr="00AB7BF2">
        <w:rPr>
          <w:rFonts w:asciiTheme="minorBidi" w:hAnsiTheme="minorBidi"/>
          <w:sz w:val="22"/>
          <w:szCs w:val="22"/>
        </w:rPr>
        <w:t xml:space="preserve"> funds must be retained for </w:t>
      </w:r>
      <w:r w:rsidR="00DE6F03">
        <w:rPr>
          <w:rFonts w:asciiTheme="minorBidi" w:hAnsiTheme="minorBidi"/>
          <w:sz w:val="22"/>
          <w:szCs w:val="22"/>
        </w:rPr>
        <w:t>six</w:t>
      </w:r>
      <w:r w:rsidRPr="00AB7BF2">
        <w:rPr>
          <w:rFonts w:asciiTheme="minorBidi" w:hAnsiTheme="minorBidi"/>
          <w:sz w:val="22"/>
          <w:szCs w:val="22"/>
        </w:rPr>
        <w:t xml:space="preserve"> years.</w:t>
      </w:r>
      <w:r>
        <w:rPr>
          <w:rFonts w:asciiTheme="minorBidi" w:hAnsiTheme="minorBidi"/>
          <w:sz w:val="22"/>
          <w:szCs w:val="22"/>
        </w:rPr>
        <w:t xml:space="preserve"> Docu</w:t>
      </w:r>
      <w:r w:rsidRPr="00AB7BF2">
        <w:rPr>
          <w:rFonts w:asciiTheme="minorBidi" w:hAnsiTheme="minorBidi"/>
          <w:sz w:val="22"/>
          <w:szCs w:val="22"/>
        </w:rPr>
        <w:t>mentation of each program participant's qualification as a family or individual at</w:t>
      </w:r>
      <w:r>
        <w:rPr>
          <w:rFonts w:asciiTheme="minorBidi" w:hAnsiTheme="minorBidi"/>
          <w:sz w:val="22"/>
          <w:szCs w:val="22"/>
        </w:rPr>
        <w:t xml:space="preserve"> </w:t>
      </w:r>
      <w:r w:rsidRPr="00AB7BF2">
        <w:rPr>
          <w:rFonts w:asciiTheme="minorBidi" w:hAnsiTheme="minorBidi"/>
          <w:sz w:val="22"/>
          <w:szCs w:val="22"/>
        </w:rPr>
        <w:t>risk of homelessness or as a homeless family or individual as well as other program</w:t>
      </w:r>
      <w:r>
        <w:rPr>
          <w:rFonts w:asciiTheme="minorBidi" w:hAnsiTheme="minorBidi"/>
          <w:sz w:val="22"/>
          <w:szCs w:val="22"/>
        </w:rPr>
        <w:t xml:space="preserve"> </w:t>
      </w:r>
      <w:r w:rsidRPr="00AB7BF2">
        <w:rPr>
          <w:rFonts w:asciiTheme="minorBidi" w:hAnsiTheme="minorBidi"/>
          <w:sz w:val="22"/>
          <w:szCs w:val="22"/>
        </w:rPr>
        <w:t xml:space="preserve">participant records must </w:t>
      </w:r>
      <w:r>
        <w:rPr>
          <w:rFonts w:asciiTheme="minorBidi" w:hAnsiTheme="minorBidi"/>
          <w:sz w:val="22"/>
          <w:szCs w:val="22"/>
        </w:rPr>
        <w:t xml:space="preserve">generally </w:t>
      </w:r>
      <w:r w:rsidRPr="00AB7BF2">
        <w:rPr>
          <w:rFonts w:asciiTheme="minorBidi" w:hAnsiTheme="minorBidi"/>
          <w:sz w:val="22"/>
          <w:szCs w:val="22"/>
        </w:rPr>
        <w:t xml:space="preserve">be retained for </w:t>
      </w:r>
      <w:r w:rsidR="00DE6F03">
        <w:rPr>
          <w:rFonts w:asciiTheme="minorBidi" w:hAnsiTheme="minorBidi"/>
          <w:sz w:val="22"/>
          <w:szCs w:val="22"/>
        </w:rPr>
        <w:t>six</w:t>
      </w:r>
      <w:r w:rsidRPr="00AB7BF2">
        <w:rPr>
          <w:rFonts w:asciiTheme="minorBidi" w:hAnsiTheme="minorBidi"/>
          <w:sz w:val="22"/>
          <w:szCs w:val="22"/>
        </w:rPr>
        <w:t xml:space="preserve"> years after the expenditure of all funds</w:t>
      </w:r>
      <w:r>
        <w:rPr>
          <w:rFonts w:asciiTheme="minorBidi" w:hAnsiTheme="minorBidi"/>
          <w:sz w:val="22"/>
          <w:szCs w:val="22"/>
        </w:rPr>
        <w:t xml:space="preserve"> </w:t>
      </w:r>
      <w:r w:rsidRPr="00AB7BF2">
        <w:rPr>
          <w:rFonts w:asciiTheme="minorBidi" w:hAnsiTheme="minorBidi"/>
          <w:sz w:val="22"/>
          <w:szCs w:val="22"/>
        </w:rPr>
        <w:t>from the grant under which the program participant was served.</w:t>
      </w:r>
    </w:p>
    <w:p w14:paraId="5C191073" w14:textId="1939B6B6" w:rsidR="00BE3717" w:rsidRPr="00BE3717" w:rsidRDefault="00BE3717" w:rsidP="00BE3717">
      <w:pPr>
        <w:spacing w:after="0" w:line="300" w:lineRule="auto"/>
        <w:rPr>
          <w:rFonts w:asciiTheme="minorBidi" w:hAnsiTheme="minorBidi"/>
          <w:sz w:val="22"/>
          <w:szCs w:val="22"/>
        </w:rPr>
      </w:pPr>
      <w:r w:rsidRPr="00BE3717">
        <w:rPr>
          <w:rFonts w:asciiTheme="minorBidi" w:hAnsiTheme="minorBidi"/>
          <w:sz w:val="22"/>
          <w:szCs w:val="22"/>
        </w:rPr>
        <w:lastRenderedPageBreak/>
        <w:t xml:space="preserve">Where the ESG funds that are used for the renovation of an emergency shelter exceed 75 percent of the value of the building before renovation, records must be retained until 10 years after the date that ESG funds are first obligated for the renovation. </w:t>
      </w:r>
    </w:p>
    <w:p w14:paraId="448DC02D" w14:textId="1C404E4D" w:rsidR="008A15F2" w:rsidRPr="00E5508A" w:rsidRDefault="00BE3717" w:rsidP="001D5B1D">
      <w:pPr>
        <w:spacing w:after="0" w:line="300" w:lineRule="auto"/>
        <w:rPr>
          <w:rFonts w:asciiTheme="minorBidi" w:hAnsiTheme="minorBidi"/>
          <w:sz w:val="22"/>
          <w:szCs w:val="22"/>
        </w:rPr>
      </w:pPr>
      <w:r w:rsidRPr="00BE3717">
        <w:rPr>
          <w:rFonts w:asciiTheme="minorBidi" w:hAnsiTheme="minorBidi"/>
          <w:sz w:val="22"/>
          <w:szCs w:val="22"/>
        </w:rPr>
        <w:t>Where the ESG funds that are used to convert a building into an emergency shelter exceed 75 percent of the value of the building after conversion, records must be retained until 10 years after the date that ESG funds are first obligated for the conversion.</w:t>
      </w:r>
    </w:p>
    <w:p w14:paraId="6957AE8E" w14:textId="77777777" w:rsidR="00E5508A" w:rsidRDefault="00E5508A" w:rsidP="001D5B1D">
      <w:pPr>
        <w:spacing w:after="0" w:line="300" w:lineRule="auto"/>
        <w:rPr>
          <w:rFonts w:asciiTheme="minorBidi" w:hAnsiTheme="minorBidi"/>
          <w:b/>
          <w:bCs/>
          <w:sz w:val="22"/>
          <w:szCs w:val="22"/>
        </w:rPr>
      </w:pPr>
    </w:p>
    <w:p w14:paraId="2961283E" w14:textId="6A08A966" w:rsidR="00D712D9" w:rsidRDefault="00803781" w:rsidP="001D5B1D">
      <w:pPr>
        <w:spacing w:after="0" w:line="300" w:lineRule="auto"/>
        <w:rPr>
          <w:rFonts w:asciiTheme="minorBidi" w:hAnsiTheme="minorBidi"/>
          <w:b/>
          <w:bCs/>
          <w:sz w:val="22"/>
          <w:szCs w:val="22"/>
        </w:rPr>
      </w:pPr>
      <w:r>
        <w:rPr>
          <w:rFonts w:asciiTheme="minorBidi" w:hAnsiTheme="minorBidi"/>
          <w:b/>
          <w:bCs/>
          <w:sz w:val="22"/>
          <w:szCs w:val="22"/>
        </w:rPr>
        <w:t>Provider</w:t>
      </w:r>
      <w:r w:rsidR="00D712D9" w:rsidRPr="00D712D9">
        <w:rPr>
          <w:rFonts w:asciiTheme="minorBidi" w:hAnsiTheme="minorBidi"/>
          <w:b/>
          <w:bCs/>
          <w:sz w:val="22"/>
          <w:szCs w:val="22"/>
        </w:rPr>
        <w:t xml:space="preserve"> Monitoring</w:t>
      </w:r>
    </w:p>
    <w:p w14:paraId="0F519FC7" w14:textId="687D0325" w:rsidR="001D4EA8" w:rsidRPr="001D4EA8" w:rsidRDefault="001D4EA8" w:rsidP="001D4EA8">
      <w:pPr>
        <w:spacing w:after="0" w:line="300" w:lineRule="auto"/>
        <w:rPr>
          <w:rFonts w:asciiTheme="minorBidi" w:hAnsiTheme="minorBidi"/>
          <w:sz w:val="22"/>
          <w:szCs w:val="22"/>
        </w:rPr>
      </w:pPr>
      <w:r>
        <w:rPr>
          <w:rFonts w:asciiTheme="minorBidi" w:hAnsiTheme="minorBidi"/>
          <w:sz w:val="22"/>
          <w:szCs w:val="22"/>
        </w:rPr>
        <w:t>M</w:t>
      </w:r>
      <w:r w:rsidRPr="001D4EA8">
        <w:rPr>
          <w:rFonts w:asciiTheme="minorBidi" w:hAnsiTheme="minorBidi"/>
          <w:sz w:val="22"/>
          <w:szCs w:val="22"/>
        </w:rPr>
        <w:t xml:space="preserve">onitoring should be viewed, not as an annual or periodic exercise, but as an ongoing process involving continuous communication and evaluation. Such a process involves frequent telephone/email contacts, written communications, analysis of reports and audits, and periodic meetings.  It is the responsibility of </w:t>
      </w:r>
      <w:r w:rsidR="00923CA6">
        <w:rPr>
          <w:rFonts w:asciiTheme="minorBidi" w:hAnsiTheme="minorBidi"/>
          <w:sz w:val="22"/>
          <w:szCs w:val="22"/>
        </w:rPr>
        <w:t>EOHLC</w:t>
      </w:r>
      <w:r>
        <w:rPr>
          <w:rFonts w:asciiTheme="minorBidi" w:hAnsiTheme="minorBidi"/>
          <w:sz w:val="22"/>
          <w:szCs w:val="22"/>
        </w:rPr>
        <w:t xml:space="preserve"> or HUD </w:t>
      </w:r>
      <w:r w:rsidRPr="001D4EA8">
        <w:rPr>
          <w:rFonts w:asciiTheme="minorBidi" w:hAnsiTheme="minorBidi"/>
          <w:sz w:val="22"/>
          <w:szCs w:val="22"/>
        </w:rPr>
        <w:t xml:space="preserve">reviewers to keep fully informed concerning participant compliance with program requirements and the extent to which technical assistance is needed.  </w:t>
      </w:r>
    </w:p>
    <w:p w14:paraId="496B532F" w14:textId="76725770" w:rsidR="001D4EA8" w:rsidRDefault="001D4EA8" w:rsidP="001D4EA8">
      <w:pPr>
        <w:spacing w:after="0" w:line="300" w:lineRule="auto"/>
        <w:rPr>
          <w:rFonts w:asciiTheme="minorBidi" w:hAnsiTheme="minorBidi"/>
          <w:sz w:val="22"/>
          <w:szCs w:val="22"/>
        </w:rPr>
      </w:pPr>
      <w:r w:rsidRPr="001D4EA8">
        <w:rPr>
          <w:rFonts w:asciiTheme="minorBidi" w:hAnsiTheme="minorBidi"/>
          <w:sz w:val="22"/>
          <w:szCs w:val="22"/>
        </w:rPr>
        <w:t xml:space="preserve">The goal of monitoring is to determine compliance, prevent/identify </w:t>
      </w:r>
      <w:proofErr w:type="gramStart"/>
      <w:r w:rsidRPr="001D4EA8">
        <w:rPr>
          <w:rFonts w:asciiTheme="minorBidi" w:hAnsiTheme="minorBidi"/>
          <w:sz w:val="22"/>
          <w:szCs w:val="22"/>
        </w:rPr>
        <w:t>deficiencies</w:t>
      </w:r>
      <w:proofErr w:type="gramEnd"/>
      <w:r w:rsidRPr="001D4EA8">
        <w:rPr>
          <w:rFonts w:asciiTheme="minorBidi" w:hAnsiTheme="minorBidi"/>
          <w:sz w:val="22"/>
          <w:szCs w:val="22"/>
        </w:rPr>
        <w:t xml:space="preserve"> and design corrective actions to improve or reinforce program participant performance. Monitoring also provides opportunities to identify program participant accomplishments as well as successful management/ implementation/evaluation techniques that might be replicated by other program participants.</w:t>
      </w:r>
    </w:p>
    <w:p w14:paraId="1B915C1A" w14:textId="43610B6F" w:rsidR="00BA0ED2" w:rsidRDefault="00BA0ED2" w:rsidP="001D4EA8">
      <w:pPr>
        <w:spacing w:after="0" w:line="300" w:lineRule="auto"/>
        <w:rPr>
          <w:rFonts w:asciiTheme="minorBidi" w:hAnsiTheme="minorBidi"/>
          <w:sz w:val="22"/>
          <w:szCs w:val="22"/>
        </w:rPr>
      </w:pPr>
      <w:r>
        <w:rPr>
          <w:rFonts w:asciiTheme="minorBidi" w:hAnsiTheme="minorBidi"/>
          <w:sz w:val="22"/>
          <w:szCs w:val="22"/>
        </w:rPr>
        <w:t xml:space="preserve">Using a risk analysis tool, </w:t>
      </w:r>
      <w:r w:rsidR="00923CA6">
        <w:rPr>
          <w:rFonts w:asciiTheme="minorBidi" w:hAnsiTheme="minorBidi"/>
          <w:sz w:val="22"/>
          <w:szCs w:val="22"/>
        </w:rPr>
        <w:t>EOHLC</w:t>
      </w:r>
      <w:r>
        <w:rPr>
          <w:rFonts w:asciiTheme="minorBidi" w:hAnsiTheme="minorBidi"/>
          <w:sz w:val="22"/>
          <w:szCs w:val="22"/>
        </w:rPr>
        <w:t xml:space="preserve"> determines which providers need to be monitored and what type of monitoring is necessary. The risk analysis relies on information related to provider past performance, staffing changes, or reported concerns from technical assistance communications. Other date related to e</w:t>
      </w:r>
      <w:r w:rsidR="00DC205D">
        <w:rPr>
          <w:rFonts w:asciiTheme="minorBidi" w:hAnsiTheme="minorBidi"/>
          <w:sz w:val="22"/>
          <w:szCs w:val="22"/>
        </w:rPr>
        <w:t>x</w:t>
      </w:r>
      <w:r>
        <w:rPr>
          <w:rFonts w:asciiTheme="minorBidi" w:hAnsiTheme="minorBidi"/>
          <w:sz w:val="22"/>
          <w:szCs w:val="22"/>
        </w:rPr>
        <w:t xml:space="preserve">penditures and CAPER outcomes are also utilized to inform the risk analysis process. </w:t>
      </w:r>
    </w:p>
    <w:p w14:paraId="51C894AC" w14:textId="76E8D0D6" w:rsidR="00BA0ED2" w:rsidRPr="001D4EA8" w:rsidRDefault="00923CA6" w:rsidP="001D4EA8">
      <w:pPr>
        <w:spacing w:after="0" w:line="300" w:lineRule="auto"/>
        <w:rPr>
          <w:rFonts w:asciiTheme="minorBidi" w:hAnsiTheme="minorBidi"/>
          <w:sz w:val="22"/>
          <w:szCs w:val="22"/>
        </w:rPr>
      </w:pPr>
      <w:r>
        <w:rPr>
          <w:rFonts w:asciiTheme="minorBidi" w:hAnsiTheme="minorBidi"/>
          <w:sz w:val="22"/>
          <w:szCs w:val="22"/>
        </w:rPr>
        <w:t>EOHLC</w:t>
      </w:r>
      <w:r w:rsidR="00BA0ED2">
        <w:rPr>
          <w:rFonts w:asciiTheme="minorBidi" w:hAnsiTheme="minorBidi"/>
          <w:sz w:val="22"/>
          <w:szCs w:val="22"/>
        </w:rPr>
        <w:t xml:space="preserve"> performs three types of formal monitoring (desk review, on-site review, combination</w:t>
      </w:r>
      <w:r w:rsidR="00DC205D">
        <w:rPr>
          <w:rFonts w:asciiTheme="minorBidi" w:hAnsiTheme="minorBidi"/>
          <w:sz w:val="22"/>
          <w:szCs w:val="22"/>
        </w:rPr>
        <w:t xml:space="preserve">) depending on the level of risk identified for the provider each year. In addition, reviews are conducted with each invoice submission by the provider. Providers are encouraged to reach out to </w:t>
      </w:r>
      <w:r>
        <w:rPr>
          <w:rFonts w:asciiTheme="minorBidi" w:hAnsiTheme="minorBidi"/>
          <w:sz w:val="22"/>
          <w:szCs w:val="22"/>
        </w:rPr>
        <w:t>EOHLC</w:t>
      </w:r>
      <w:r w:rsidR="00DC205D">
        <w:rPr>
          <w:rFonts w:asciiTheme="minorBidi" w:hAnsiTheme="minorBidi"/>
          <w:sz w:val="22"/>
          <w:szCs w:val="22"/>
        </w:rPr>
        <w:t xml:space="preserve"> at any time for program clarification or interpretation. It is not necessary to wait for a program monitoring to address issues of concern. </w:t>
      </w:r>
      <w:r w:rsidR="0086127E" w:rsidRPr="008A15F2">
        <w:rPr>
          <w:rFonts w:asciiTheme="minorBidi" w:hAnsiTheme="minorBidi"/>
          <w:sz w:val="22"/>
          <w:szCs w:val="22"/>
        </w:rPr>
        <w:t>For more information on monitoring, see</w:t>
      </w:r>
      <w:r w:rsidR="0086127E">
        <w:rPr>
          <w:rFonts w:asciiTheme="minorBidi" w:hAnsiTheme="minorBidi"/>
          <w:sz w:val="22"/>
          <w:szCs w:val="22"/>
        </w:rPr>
        <w:t xml:space="preserve"> </w:t>
      </w:r>
      <w:hyperlink w:anchor="_Project_Monitoring" w:history="1">
        <w:r w:rsidR="008A15F2" w:rsidRPr="008A15F2">
          <w:rPr>
            <w:rStyle w:val="Hyperlink"/>
            <w:rFonts w:asciiTheme="minorBidi" w:hAnsiTheme="minorBidi"/>
            <w:sz w:val="22"/>
            <w:szCs w:val="22"/>
          </w:rPr>
          <w:t>Monitoring Section</w:t>
        </w:r>
      </w:hyperlink>
      <w:r w:rsidR="008A15F2">
        <w:rPr>
          <w:rFonts w:asciiTheme="minorBidi" w:hAnsiTheme="minorBidi"/>
          <w:sz w:val="22"/>
          <w:szCs w:val="22"/>
        </w:rPr>
        <w:t xml:space="preserve"> of this document.</w:t>
      </w:r>
    </w:p>
    <w:p w14:paraId="35630D43" w14:textId="77777777" w:rsidR="00D712D9" w:rsidRPr="00D712D9" w:rsidRDefault="00D712D9" w:rsidP="001D5B1D">
      <w:pPr>
        <w:spacing w:after="0" w:line="300" w:lineRule="auto"/>
        <w:rPr>
          <w:rFonts w:asciiTheme="minorBidi" w:hAnsiTheme="minorBidi"/>
          <w:sz w:val="22"/>
          <w:szCs w:val="22"/>
        </w:rPr>
      </w:pPr>
    </w:p>
    <w:p w14:paraId="34009F5A" w14:textId="77777777" w:rsidR="00D712D9" w:rsidRDefault="001100A0" w:rsidP="00A8585D">
      <w:pPr>
        <w:spacing w:after="0" w:line="300" w:lineRule="auto"/>
        <w:rPr>
          <w:rFonts w:asciiTheme="minorBidi" w:hAnsiTheme="minorBidi"/>
          <w:b/>
          <w:bCs/>
          <w:sz w:val="22"/>
          <w:szCs w:val="22"/>
        </w:rPr>
      </w:pPr>
      <w:r w:rsidRPr="0062303D">
        <w:rPr>
          <w:rFonts w:asciiTheme="minorBidi" w:hAnsiTheme="minorBidi"/>
          <w:b/>
          <w:bCs/>
          <w:sz w:val="22"/>
          <w:szCs w:val="22"/>
        </w:rPr>
        <w:t>Lead-Based Paint Requirements</w:t>
      </w:r>
      <w:r w:rsidR="00B85F93">
        <w:rPr>
          <w:rFonts w:asciiTheme="minorBidi" w:hAnsiTheme="minorBidi"/>
          <w:b/>
          <w:bCs/>
          <w:sz w:val="22"/>
          <w:szCs w:val="22"/>
        </w:rPr>
        <w:t xml:space="preserve"> </w:t>
      </w:r>
      <w:r w:rsidR="00B85F93" w:rsidRPr="00B85F93">
        <w:rPr>
          <w:rFonts w:asciiTheme="minorBidi" w:hAnsiTheme="minorBidi"/>
          <w:b/>
          <w:bCs/>
          <w:sz w:val="22"/>
          <w:szCs w:val="22"/>
        </w:rPr>
        <w:t>[24 CFR 35.700-730 (PBRA); 24 CFR 35.1000-1020 (Supportive Services);24 CFR 35.1200-1225 (TBRA); 24 CFR 576.403(a)</w:t>
      </w:r>
      <w:r w:rsidRPr="0062303D">
        <w:rPr>
          <w:rFonts w:asciiTheme="minorBidi" w:hAnsiTheme="minorBidi"/>
          <w:b/>
          <w:bCs/>
          <w:sz w:val="22"/>
          <w:szCs w:val="22"/>
        </w:rPr>
        <w:t xml:space="preserve">. </w:t>
      </w:r>
    </w:p>
    <w:p w14:paraId="16EE1BA3" w14:textId="30F71788" w:rsidR="001100A0" w:rsidRPr="00B85F93" w:rsidRDefault="001100A0" w:rsidP="00A8585D">
      <w:pPr>
        <w:spacing w:after="0" w:line="300" w:lineRule="auto"/>
        <w:rPr>
          <w:rFonts w:asciiTheme="minorBidi" w:hAnsiTheme="minorBidi"/>
          <w:b/>
          <w:bCs/>
          <w:sz w:val="22"/>
          <w:szCs w:val="22"/>
        </w:rPr>
      </w:pPr>
      <w:r w:rsidRPr="0062303D">
        <w:rPr>
          <w:rFonts w:asciiTheme="minorBidi" w:hAnsiTheme="minorBidi"/>
          <w:sz w:val="22"/>
          <w:szCs w:val="22"/>
        </w:rPr>
        <w:t xml:space="preserve">All HUD-funded programs with housing units occupied by participants are required to incorporate lead-based paint remediation and disclosure requirements. Generally, these provisions require the </w:t>
      </w:r>
      <w:r w:rsidR="00A5411F">
        <w:rPr>
          <w:rFonts w:asciiTheme="minorBidi" w:hAnsiTheme="minorBidi"/>
          <w:sz w:val="22"/>
          <w:szCs w:val="22"/>
        </w:rPr>
        <w:t xml:space="preserve">provider </w:t>
      </w:r>
      <w:r w:rsidRPr="0062303D">
        <w:rPr>
          <w:rFonts w:asciiTheme="minorBidi" w:hAnsiTheme="minorBidi"/>
          <w:sz w:val="22"/>
          <w:szCs w:val="22"/>
        </w:rPr>
        <w:t xml:space="preserve">to screen for, disclose the existence of, and take reasonable precautions regarding the presence of lead-based paint in leased or assisted units constructed prior to 1978. </w:t>
      </w:r>
    </w:p>
    <w:p w14:paraId="47A6EAD2" w14:textId="77777777" w:rsidR="001100A0" w:rsidRPr="0062303D" w:rsidRDefault="001100A0" w:rsidP="00A8585D">
      <w:pPr>
        <w:spacing w:after="0" w:line="300" w:lineRule="auto"/>
        <w:rPr>
          <w:rFonts w:asciiTheme="minorBidi" w:hAnsiTheme="minorBidi"/>
          <w:sz w:val="22"/>
          <w:szCs w:val="22"/>
        </w:rPr>
      </w:pPr>
      <w:r w:rsidRPr="0062303D">
        <w:rPr>
          <w:rFonts w:asciiTheme="minorBidi" w:hAnsiTheme="minorBidi"/>
          <w:sz w:val="22"/>
          <w:szCs w:val="22"/>
        </w:rPr>
        <w:lastRenderedPageBreak/>
        <w:t xml:space="preserve">CoC-funded units are required to incorporate HUD regulations in 24 CFR part 35, subparts A, B, K, and R. ESG-funded projects are required to incorporate the Lead-Based Paint Poisoning Prevention Act (42 USC 4821-4846), the Residential Lead-Based Paint Hazard Reduction Act of 1992 (42 USC 4851-4846), and 24 CFR part 35, subparts A, B, H, J, K, M, and R in the unit. </w:t>
      </w:r>
    </w:p>
    <w:p w14:paraId="698B5360" w14:textId="77777777" w:rsidR="00D712D9" w:rsidRDefault="00D712D9" w:rsidP="00A8585D">
      <w:pPr>
        <w:spacing w:after="0" w:line="300" w:lineRule="auto"/>
        <w:rPr>
          <w:rFonts w:asciiTheme="minorBidi" w:hAnsiTheme="minorBidi"/>
          <w:b/>
          <w:bCs/>
          <w:sz w:val="22"/>
          <w:szCs w:val="22"/>
        </w:rPr>
      </w:pPr>
    </w:p>
    <w:p w14:paraId="2F733D71" w14:textId="7BCB4903" w:rsidR="0027305D" w:rsidRPr="00EC6D9A" w:rsidRDefault="001100A0" w:rsidP="0027305D">
      <w:pPr>
        <w:spacing w:after="0" w:line="300" w:lineRule="auto"/>
        <w:rPr>
          <w:rFonts w:asciiTheme="minorBidi" w:hAnsiTheme="minorBidi"/>
          <w:b/>
          <w:bCs/>
          <w:sz w:val="22"/>
          <w:szCs w:val="22"/>
        </w:rPr>
      </w:pPr>
      <w:r w:rsidRPr="006116F9">
        <w:rPr>
          <w:rFonts w:asciiTheme="minorBidi" w:hAnsiTheme="minorBidi"/>
          <w:b/>
          <w:bCs/>
          <w:sz w:val="22"/>
          <w:szCs w:val="22"/>
        </w:rPr>
        <w:t xml:space="preserve">Habitability Standards </w:t>
      </w:r>
      <w:r w:rsidR="00EC6D9A" w:rsidRPr="00CA5402">
        <w:rPr>
          <w:rFonts w:asciiTheme="minorBidi" w:hAnsiTheme="minorBidi"/>
          <w:b/>
          <w:bCs/>
          <w:sz w:val="22"/>
          <w:szCs w:val="22"/>
        </w:rPr>
        <w:t>(Emergency Shelter</w:t>
      </w:r>
      <w:r w:rsidR="00EC6D9A" w:rsidRPr="00EC6D9A">
        <w:rPr>
          <w:rFonts w:asciiTheme="minorBidi" w:hAnsiTheme="minorBidi"/>
          <w:b/>
          <w:bCs/>
          <w:sz w:val="22"/>
          <w:szCs w:val="22"/>
        </w:rPr>
        <w:t xml:space="preserve">) </w:t>
      </w:r>
      <w:r w:rsidR="00EC6D9A" w:rsidRPr="00D47533">
        <w:rPr>
          <w:rFonts w:ascii="Arial" w:hAnsi="Arial" w:cs="Arial"/>
          <w:b/>
          <w:bCs/>
          <w:sz w:val="22"/>
          <w:szCs w:val="22"/>
        </w:rPr>
        <w:t>[</w:t>
      </w:r>
      <w:r w:rsidR="00EC6D9A" w:rsidRPr="00D47533">
        <w:rPr>
          <w:rFonts w:ascii="Arial" w:eastAsia="Times New Roman" w:hAnsi="Arial" w:cs="Arial"/>
          <w:b/>
          <w:bCs/>
          <w:sz w:val="22"/>
          <w:szCs w:val="22"/>
        </w:rPr>
        <w:t>24 CFR 576.403(b)]</w:t>
      </w:r>
      <w:r w:rsidR="00EC6D9A">
        <w:rPr>
          <w:rFonts w:ascii="Arial" w:eastAsia="Times New Roman" w:hAnsi="Arial" w:cs="Arial"/>
          <w:b/>
          <w:bCs/>
          <w:sz w:val="22"/>
          <w:szCs w:val="22"/>
        </w:rPr>
        <w:t xml:space="preserve"> </w:t>
      </w:r>
      <w:r w:rsidR="00EC6D9A" w:rsidRPr="006116F9">
        <w:rPr>
          <w:rFonts w:asciiTheme="minorBidi" w:hAnsiTheme="minorBidi"/>
          <w:b/>
          <w:bCs/>
          <w:sz w:val="22"/>
          <w:szCs w:val="22"/>
        </w:rPr>
        <w:t xml:space="preserve">(ESG </w:t>
      </w:r>
      <w:r w:rsidR="00EC6D9A">
        <w:rPr>
          <w:rFonts w:asciiTheme="minorBidi" w:hAnsiTheme="minorBidi"/>
          <w:b/>
          <w:bCs/>
          <w:sz w:val="22"/>
          <w:szCs w:val="22"/>
        </w:rPr>
        <w:t>Rapid Re-Housing</w:t>
      </w:r>
      <w:r w:rsidR="00EC6D9A" w:rsidRPr="006116F9">
        <w:rPr>
          <w:rFonts w:asciiTheme="minorBidi" w:hAnsiTheme="minorBidi"/>
          <w:b/>
          <w:bCs/>
          <w:sz w:val="22"/>
          <w:szCs w:val="22"/>
        </w:rPr>
        <w:t xml:space="preserve"> </w:t>
      </w:r>
      <w:r w:rsidR="00662E3D">
        <w:rPr>
          <w:rFonts w:asciiTheme="minorBidi" w:hAnsiTheme="minorBidi"/>
          <w:b/>
          <w:bCs/>
          <w:sz w:val="22"/>
          <w:szCs w:val="22"/>
        </w:rPr>
        <w:t>and Homeless Prevention</w:t>
      </w:r>
      <w:r w:rsidR="00EC6D9A" w:rsidRPr="006116F9">
        <w:rPr>
          <w:rFonts w:asciiTheme="minorBidi" w:hAnsiTheme="minorBidi"/>
          <w:b/>
          <w:bCs/>
          <w:sz w:val="22"/>
          <w:szCs w:val="22"/>
        </w:rPr>
        <w:t>)</w:t>
      </w:r>
      <w:r w:rsidR="00EC6D9A">
        <w:rPr>
          <w:rFonts w:asciiTheme="minorBidi" w:hAnsiTheme="minorBidi"/>
          <w:b/>
          <w:bCs/>
          <w:sz w:val="22"/>
          <w:szCs w:val="22"/>
        </w:rPr>
        <w:t xml:space="preserve"> </w:t>
      </w:r>
      <w:r w:rsidR="00EC6D9A" w:rsidRPr="00B85F93">
        <w:rPr>
          <w:rFonts w:asciiTheme="minorBidi" w:hAnsiTheme="minorBidi"/>
          <w:b/>
          <w:bCs/>
          <w:sz w:val="22"/>
          <w:szCs w:val="22"/>
        </w:rPr>
        <w:t>[24 CFR 576.403(c); 24 CFR 576.500(j)</w:t>
      </w:r>
      <w:r w:rsidR="00EC6D9A" w:rsidRPr="006116F9">
        <w:rPr>
          <w:rFonts w:asciiTheme="minorBidi" w:hAnsiTheme="minorBidi"/>
          <w:b/>
          <w:bCs/>
          <w:sz w:val="22"/>
          <w:szCs w:val="22"/>
        </w:rPr>
        <w:t xml:space="preserve"> </w:t>
      </w:r>
    </w:p>
    <w:p w14:paraId="60B71BD6" w14:textId="1BB14C06" w:rsidR="00F81313" w:rsidRDefault="0027305D" w:rsidP="00A8585D">
      <w:pPr>
        <w:spacing w:after="0" w:line="300" w:lineRule="auto"/>
        <w:rPr>
          <w:rFonts w:asciiTheme="minorBidi" w:hAnsiTheme="minorBidi"/>
          <w:sz w:val="22"/>
          <w:szCs w:val="22"/>
        </w:rPr>
      </w:pPr>
      <w:r w:rsidRPr="00D47533">
        <w:rPr>
          <w:rFonts w:asciiTheme="minorBidi" w:hAnsiTheme="minorBidi"/>
          <w:sz w:val="22"/>
          <w:szCs w:val="22"/>
        </w:rPr>
        <w:t>The Emergency Solutions Grants (ESG) Program interim rule, at 24 CFR 576.403, establishes minimum standards for safety, sanitation, and privacy in emergency shelters funded with ESG, and minimum habitability standards for permanent housing funded under the Rapid Re-housing and Homelessness Prevention components of ESG.</w:t>
      </w:r>
    </w:p>
    <w:p w14:paraId="7BBE4DDB" w14:textId="73E7ADF8" w:rsidR="001F3939" w:rsidRPr="00D47533" w:rsidRDefault="001F3939" w:rsidP="00A8585D">
      <w:pPr>
        <w:spacing w:after="0" w:line="300" w:lineRule="auto"/>
        <w:rPr>
          <w:rFonts w:asciiTheme="minorBidi" w:hAnsiTheme="minorBidi"/>
          <w:sz w:val="22"/>
          <w:szCs w:val="22"/>
        </w:rPr>
      </w:pPr>
      <w:r w:rsidRPr="001A04CE">
        <w:rPr>
          <w:rFonts w:asciiTheme="minorBidi" w:hAnsiTheme="minorBidi"/>
          <w:b/>
          <w:bCs/>
          <w:sz w:val="22"/>
          <w:szCs w:val="22"/>
        </w:rPr>
        <w:t>Note:</w:t>
      </w:r>
      <w:r w:rsidRPr="00DC3B5E">
        <w:rPr>
          <w:rFonts w:asciiTheme="minorBidi" w:hAnsiTheme="minorBidi"/>
          <w:sz w:val="22"/>
          <w:szCs w:val="22"/>
        </w:rPr>
        <w:t xml:space="preserve"> The same standards apply regardless of the amount of ESG funds involved. Providers should use the </w:t>
      </w:r>
      <w:hyperlink r:id="rId19" w:history="1">
        <w:r w:rsidRPr="00DC3B5E">
          <w:rPr>
            <w:rStyle w:val="Hyperlink"/>
            <w:rFonts w:asciiTheme="minorBidi" w:hAnsiTheme="minorBidi"/>
            <w:sz w:val="22"/>
            <w:szCs w:val="22"/>
          </w:rPr>
          <w:t>ESG Minimum Habitability Standards for Emergency Shelters and Permanent Housing Checklist.</w:t>
        </w:r>
      </w:hyperlink>
    </w:p>
    <w:p w14:paraId="52760D67" w14:textId="191D4054" w:rsidR="00F81313" w:rsidRPr="00E5508A" w:rsidRDefault="00F81313" w:rsidP="00A8585D">
      <w:pPr>
        <w:spacing w:after="0" w:line="300" w:lineRule="auto"/>
        <w:rPr>
          <w:rFonts w:ascii="Arial" w:eastAsia="Times New Roman" w:hAnsi="Arial" w:cs="Times New Roman"/>
          <w:u w:val="single"/>
        </w:rPr>
      </w:pPr>
      <w:r w:rsidRPr="00E5508A">
        <w:rPr>
          <w:rFonts w:asciiTheme="minorBidi" w:hAnsiTheme="minorBidi"/>
          <w:sz w:val="22"/>
          <w:szCs w:val="22"/>
          <w:u w:val="single"/>
        </w:rPr>
        <w:t>Emergency Shelter</w:t>
      </w:r>
      <w:r w:rsidR="00EC6D9A" w:rsidRPr="00E5508A">
        <w:rPr>
          <w:rFonts w:asciiTheme="minorBidi" w:hAnsiTheme="minorBidi"/>
          <w:sz w:val="22"/>
          <w:szCs w:val="22"/>
          <w:u w:val="single"/>
        </w:rPr>
        <w:t xml:space="preserve"> </w:t>
      </w:r>
      <w:r w:rsidR="00EC6D9A" w:rsidRPr="00E5508A">
        <w:rPr>
          <w:rFonts w:ascii="Arial" w:hAnsi="Arial" w:cs="Arial"/>
          <w:sz w:val="22"/>
          <w:szCs w:val="22"/>
          <w:u w:val="single"/>
        </w:rPr>
        <w:t>[</w:t>
      </w:r>
      <w:r w:rsidR="00EC6D9A" w:rsidRPr="00E5508A">
        <w:rPr>
          <w:rFonts w:ascii="Arial" w:eastAsia="Times New Roman" w:hAnsi="Arial" w:cs="Arial"/>
          <w:sz w:val="22"/>
          <w:szCs w:val="22"/>
          <w:u w:val="single"/>
        </w:rPr>
        <w:t>24 CFR 576.403(b)]</w:t>
      </w:r>
    </w:p>
    <w:p w14:paraId="1FE2E53E" w14:textId="0C968258" w:rsidR="001A04CE" w:rsidRDefault="0027305D" w:rsidP="00A8585D">
      <w:pPr>
        <w:spacing w:after="0" w:line="300" w:lineRule="auto"/>
        <w:rPr>
          <w:rFonts w:asciiTheme="minorBidi" w:hAnsiTheme="minorBidi"/>
          <w:sz w:val="22"/>
          <w:szCs w:val="22"/>
        </w:rPr>
      </w:pPr>
      <w:r w:rsidRPr="00D47533">
        <w:rPr>
          <w:rFonts w:asciiTheme="minorBidi" w:hAnsiTheme="minorBidi"/>
          <w:sz w:val="22"/>
          <w:szCs w:val="22"/>
        </w:rPr>
        <w:t xml:space="preserve">Any emergency shelter that </w:t>
      </w:r>
      <w:r w:rsidR="00CA5402" w:rsidRPr="00CA5402">
        <w:rPr>
          <w:rFonts w:asciiTheme="minorBidi" w:hAnsiTheme="minorBidi"/>
          <w:sz w:val="22"/>
          <w:szCs w:val="22"/>
        </w:rPr>
        <w:t>receives</w:t>
      </w:r>
      <w:r w:rsidR="001A04CE">
        <w:rPr>
          <w:rFonts w:asciiTheme="minorBidi" w:hAnsiTheme="minorBidi"/>
          <w:sz w:val="22"/>
          <w:szCs w:val="22"/>
        </w:rPr>
        <w:t xml:space="preserve"> </w:t>
      </w:r>
      <w:r w:rsidRPr="00D47533">
        <w:rPr>
          <w:rFonts w:asciiTheme="minorBidi" w:hAnsiTheme="minorBidi"/>
          <w:sz w:val="22"/>
          <w:szCs w:val="22"/>
        </w:rPr>
        <w:t xml:space="preserve">ESG funds for shelter operations (including maintenance or minor or routine repairs) must meet the minimum safety, sanitation, and privacy standards as indicated in 24 CFR 576.403(b). Documentation of compliance with the minimum standards for emergency shelter activities must be maintained. </w:t>
      </w:r>
    </w:p>
    <w:p w14:paraId="2C52D5C5" w14:textId="6C5038C0" w:rsidR="001A04CE" w:rsidRPr="00D47533" w:rsidRDefault="001F3939" w:rsidP="00A5414D">
      <w:pPr>
        <w:spacing w:after="0" w:line="300" w:lineRule="auto"/>
        <w:rPr>
          <w:rFonts w:asciiTheme="minorBidi" w:hAnsiTheme="minorBidi"/>
          <w:sz w:val="22"/>
          <w:szCs w:val="22"/>
        </w:rPr>
      </w:pPr>
      <w:r>
        <w:rPr>
          <w:rFonts w:asciiTheme="minorBidi" w:hAnsiTheme="minorBidi"/>
          <w:b/>
          <w:bCs/>
          <w:sz w:val="22"/>
          <w:szCs w:val="22"/>
        </w:rPr>
        <w:t xml:space="preserve">Note: </w:t>
      </w:r>
      <w:r w:rsidR="00A5414D" w:rsidRPr="00A5414D">
        <w:rPr>
          <w:rFonts w:asciiTheme="minorBidi" w:hAnsiTheme="minorBidi"/>
          <w:sz w:val="22"/>
          <w:szCs w:val="22"/>
        </w:rPr>
        <w:t>If ESG-CV funds are used for renovation or shelter operations, the building must meet the</w:t>
      </w:r>
      <w:r>
        <w:rPr>
          <w:rFonts w:asciiTheme="minorBidi" w:hAnsiTheme="minorBidi"/>
          <w:sz w:val="22"/>
          <w:szCs w:val="22"/>
        </w:rPr>
        <w:t xml:space="preserve">  </w:t>
      </w:r>
      <w:r w:rsidRPr="00DC3B5E">
        <w:rPr>
          <w:rFonts w:asciiTheme="minorBidi" w:hAnsiTheme="minorBidi"/>
          <w:sz w:val="22"/>
          <w:szCs w:val="22"/>
        </w:rPr>
        <w:t xml:space="preserve">meet the minimum safety, sanitation, and privacy standards as indicated in 24 CFR 576.403(b). </w:t>
      </w:r>
      <w:r w:rsidR="00A5414D" w:rsidRPr="00A5414D">
        <w:rPr>
          <w:rFonts w:asciiTheme="minorBidi" w:hAnsiTheme="minorBidi"/>
          <w:sz w:val="22"/>
          <w:szCs w:val="22"/>
        </w:rPr>
        <w:t xml:space="preserve">Habitability and environmental reviews are not required for temporary emergency shelters.  </w:t>
      </w:r>
    </w:p>
    <w:p w14:paraId="210A88F5" w14:textId="2BF8ADB8" w:rsidR="00F03606" w:rsidRPr="00E5508A" w:rsidRDefault="001100A0" w:rsidP="00A8585D">
      <w:pPr>
        <w:spacing w:after="0" w:line="300" w:lineRule="auto"/>
        <w:rPr>
          <w:rFonts w:asciiTheme="minorBidi" w:hAnsiTheme="minorBidi"/>
          <w:sz w:val="22"/>
          <w:szCs w:val="22"/>
          <w:u w:val="single"/>
        </w:rPr>
      </w:pPr>
      <w:r w:rsidRPr="00E5508A">
        <w:rPr>
          <w:rFonts w:asciiTheme="minorBidi" w:hAnsiTheme="minorBidi"/>
          <w:sz w:val="22"/>
          <w:szCs w:val="22"/>
          <w:u w:val="single"/>
        </w:rPr>
        <w:t xml:space="preserve">ESG </w:t>
      </w:r>
      <w:r w:rsidR="00790453" w:rsidRPr="00E5508A">
        <w:rPr>
          <w:rFonts w:asciiTheme="minorBidi" w:hAnsiTheme="minorBidi"/>
          <w:sz w:val="22"/>
          <w:szCs w:val="22"/>
          <w:u w:val="single"/>
        </w:rPr>
        <w:t xml:space="preserve">Rapid Re-Housing </w:t>
      </w:r>
      <w:r w:rsidR="00662E3D">
        <w:rPr>
          <w:rFonts w:asciiTheme="minorBidi" w:hAnsiTheme="minorBidi"/>
          <w:sz w:val="22"/>
          <w:szCs w:val="22"/>
          <w:u w:val="single"/>
        </w:rPr>
        <w:t>and Homeless Prevention</w:t>
      </w:r>
      <w:r w:rsidR="00B85F93" w:rsidRPr="00E5508A">
        <w:rPr>
          <w:rFonts w:asciiTheme="minorBidi" w:hAnsiTheme="minorBidi"/>
          <w:sz w:val="22"/>
          <w:szCs w:val="22"/>
          <w:u w:val="single"/>
        </w:rPr>
        <w:t xml:space="preserve"> [24 CFR 576.403(c); 24 CFR 576.500(j)</w:t>
      </w:r>
      <w:r w:rsidRPr="00E5508A">
        <w:rPr>
          <w:rFonts w:asciiTheme="minorBidi" w:hAnsiTheme="minorBidi"/>
          <w:sz w:val="22"/>
          <w:szCs w:val="22"/>
          <w:u w:val="single"/>
        </w:rPr>
        <w:t xml:space="preserve"> </w:t>
      </w:r>
    </w:p>
    <w:p w14:paraId="01D78639" w14:textId="73531D5A" w:rsidR="00D712D9" w:rsidRDefault="001100A0" w:rsidP="00A8585D">
      <w:pPr>
        <w:spacing w:after="0" w:line="300" w:lineRule="auto"/>
        <w:rPr>
          <w:rFonts w:asciiTheme="minorBidi" w:hAnsiTheme="minorBidi"/>
          <w:sz w:val="22"/>
          <w:szCs w:val="22"/>
        </w:rPr>
      </w:pPr>
      <w:r w:rsidRPr="006116F9">
        <w:rPr>
          <w:rFonts w:asciiTheme="minorBidi" w:hAnsiTheme="minorBidi"/>
          <w:sz w:val="22"/>
          <w:szCs w:val="22"/>
        </w:rPr>
        <w:t>Housing for all ESG program participants receiving rental assistance must me</w:t>
      </w:r>
      <w:r w:rsidR="00F03606">
        <w:rPr>
          <w:rFonts w:asciiTheme="minorBidi" w:hAnsiTheme="minorBidi"/>
          <w:sz w:val="22"/>
          <w:szCs w:val="22"/>
        </w:rPr>
        <w:t>e</w:t>
      </w:r>
      <w:r w:rsidRPr="006116F9">
        <w:rPr>
          <w:rFonts w:asciiTheme="minorBidi" w:hAnsiTheme="minorBidi"/>
          <w:sz w:val="22"/>
          <w:szCs w:val="22"/>
        </w:rPr>
        <w:t xml:space="preserve">t HUD minimum habitability standards for permanent housing. </w:t>
      </w:r>
      <w:r w:rsidR="00744264">
        <w:rPr>
          <w:rFonts w:asciiTheme="minorBidi" w:hAnsiTheme="minorBidi"/>
          <w:sz w:val="22"/>
          <w:szCs w:val="22"/>
        </w:rPr>
        <w:t>Providers</w:t>
      </w:r>
      <w:r w:rsidRPr="006116F9">
        <w:rPr>
          <w:rFonts w:asciiTheme="minorBidi" w:hAnsiTheme="minorBidi"/>
          <w:sz w:val="22"/>
          <w:szCs w:val="22"/>
        </w:rPr>
        <w:t xml:space="preserve"> must document compliance with this standard by signing and completing a Habitability Standards Checklist before the participant signs the lease and before the </w:t>
      </w:r>
      <w:r w:rsidR="00803781">
        <w:rPr>
          <w:rFonts w:asciiTheme="minorBidi" w:hAnsiTheme="minorBidi"/>
          <w:sz w:val="22"/>
          <w:szCs w:val="22"/>
        </w:rPr>
        <w:t>provider</w:t>
      </w:r>
      <w:r w:rsidRPr="006116F9">
        <w:rPr>
          <w:rFonts w:asciiTheme="minorBidi" w:hAnsiTheme="minorBidi"/>
          <w:sz w:val="22"/>
          <w:szCs w:val="22"/>
        </w:rPr>
        <w:t xml:space="preserve"> provides any ESG rental assistance or services specific to the unit. In addition, </w:t>
      </w:r>
      <w:r w:rsidR="00F41DAA" w:rsidRPr="006116F9">
        <w:rPr>
          <w:rFonts w:asciiTheme="minorBidi" w:hAnsiTheme="minorBidi"/>
          <w:sz w:val="22"/>
          <w:szCs w:val="22"/>
        </w:rPr>
        <w:t>subrecipient</w:t>
      </w:r>
      <w:r w:rsidRPr="006116F9">
        <w:rPr>
          <w:rFonts w:asciiTheme="minorBidi" w:hAnsiTheme="minorBidi"/>
          <w:sz w:val="22"/>
          <w:szCs w:val="22"/>
        </w:rPr>
        <w:t>s must inspect all units at least annually to ensure that the units continue to meet habitability standards.</w:t>
      </w:r>
      <w:r w:rsidR="00F03606">
        <w:rPr>
          <w:rFonts w:asciiTheme="minorBidi" w:hAnsiTheme="minorBidi"/>
          <w:sz w:val="22"/>
          <w:szCs w:val="22"/>
        </w:rPr>
        <w:t xml:space="preserve">  </w:t>
      </w:r>
    </w:p>
    <w:p w14:paraId="566EDA0F" w14:textId="77777777" w:rsidR="00662E3D" w:rsidRDefault="00662E3D" w:rsidP="00A8585D">
      <w:pPr>
        <w:spacing w:after="0" w:line="300" w:lineRule="auto"/>
        <w:rPr>
          <w:rFonts w:asciiTheme="minorBidi" w:hAnsiTheme="minorBidi"/>
          <w:bCs/>
          <w:sz w:val="22"/>
        </w:rPr>
      </w:pPr>
      <w:r w:rsidRPr="00662E3D">
        <w:rPr>
          <w:rFonts w:asciiTheme="minorBidi" w:hAnsiTheme="minorBidi"/>
          <w:bCs/>
          <w:sz w:val="22"/>
        </w:rPr>
        <w:t xml:space="preserve">If an eligible household needs homelessness prevention assistance to remain in its </w:t>
      </w:r>
      <w:r w:rsidRPr="00662E3D">
        <w:rPr>
          <w:rFonts w:asciiTheme="minorBidi" w:hAnsiTheme="minorBidi"/>
          <w:b/>
          <w:sz w:val="22"/>
        </w:rPr>
        <w:t>existing unit,</w:t>
      </w:r>
      <w:r w:rsidRPr="00662E3D">
        <w:rPr>
          <w:rFonts w:asciiTheme="minorBidi" w:hAnsiTheme="minorBidi"/>
          <w:bCs/>
          <w:sz w:val="22"/>
        </w:rPr>
        <w:t xml:space="preserve"> the assistance can only be provided if that unit meets the minimum standards. </w:t>
      </w:r>
    </w:p>
    <w:p w14:paraId="5699F304" w14:textId="4D9E8C07" w:rsidR="00662E3D" w:rsidRPr="00662E3D" w:rsidRDefault="00662E3D" w:rsidP="00A8585D">
      <w:pPr>
        <w:spacing w:after="0" w:line="300" w:lineRule="auto"/>
        <w:rPr>
          <w:rFonts w:asciiTheme="minorBidi" w:hAnsiTheme="minorBidi"/>
          <w:bCs/>
          <w:sz w:val="22"/>
        </w:rPr>
      </w:pPr>
      <w:r w:rsidRPr="00662E3D">
        <w:rPr>
          <w:rFonts w:asciiTheme="minorBidi" w:hAnsiTheme="minorBidi"/>
          <w:bCs/>
          <w:sz w:val="22"/>
        </w:rPr>
        <w:t xml:space="preserve">If an eligible household needs homelessness prevention or rapid re-housing assistance to move to a </w:t>
      </w:r>
      <w:r w:rsidRPr="00662E3D">
        <w:rPr>
          <w:rFonts w:asciiTheme="minorBidi" w:hAnsiTheme="minorBidi"/>
          <w:b/>
          <w:sz w:val="22"/>
        </w:rPr>
        <w:t>new unit</w:t>
      </w:r>
      <w:r w:rsidRPr="00662E3D">
        <w:rPr>
          <w:rFonts w:asciiTheme="minorBidi" w:hAnsiTheme="minorBidi"/>
          <w:bCs/>
          <w:sz w:val="22"/>
        </w:rPr>
        <w:t>, the assistance can only be provided if the new unit meets the minimum standards. The unit the household is leaving does not need to be inspected.</w:t>
      </w:r>
    </w:p>
    <w:p w14:paraId="4DAAC042" w14:textId="77777777" w:rsidR="00E5508A" w:rsidRDefault="00E5508A" w:rsidP="00A8585D">
      <w:pPr>
        <w:spacing w:after="0" w:line="300" w:lineRule="auto"/>
        <w:rPr>
          <w:rFonts w:asciiTheme="minorBidi" w:hAnsiTheme="minorBidi"/>
          <w:b/>
          <w:bCs/>
          <w:sz w:val="22"/>
          <w:szCs w:val="22"/>
        </w:rPr>
      </w:pPr>
    </w:p>
    <w:p w14:paraId="7840CAF8" w14:textId="77777777" w:rsidR="00662E3D" w:rsidRDefault="00662E3D" w:rsidP="00A8585D">
      <w:pPr>
        <w:spacing w:after="0" w:line="300" w:lineRule="auto"/>
        <w:rPr>
          <w:rFonts w:asciiTheme="minorBidi" w:hAnsiTheme="minorBidi"/>
          <w:b/>
          <w:bCs/>
          <w:sz w:val="22"/>
          <w:szCs w:val="22"/>
        </w:rPr>
      </w:pPr>
    </w:p>
    <w:p w14:paraId="4444DAF3" w14:textId="4F1F20F9" w:rsidR="00B85F93" w:rsidRPr="00285A5B" w:rsidRDefault="00B85F93" w:rsidP="00A8585D">
      <w:pPr>
        <w:spacing w:after="0" w:line="300" w:lineRule="auto"/>
        <w:rPr>
          <w:rFonts w:asciiTheme="minorBidi" w:hAnsiTheme="minorBidi"/>
          <w:b/>
          <w:bCs/>
          <w:sz w:val="22"/>
          <w:szCs w:val="22"/>
        </w:rPr>
      </w:pPr>
      <w:r w:rsidRPr="00285A5B">
        <w:rPr>
          <w:rFonts w:asciiTheme="minorBidi" w:hAnsiTheme="minorBidi"/>
          <w:b/>
          <w:bCs/>
          <w:sz w:val="22"/>
          <w:szCs w:val="22"/>
        </w:rPr>
        <w:lastRenderedPageBreak/>
        <w:t>Federal Fair Housing Act</w:t>
      </w:r>
      <w:r w:rsidR="00285A5B" w:rsidRPr="00285A5B">
        <w:rPr>
          <w:rFonts w:asciiTheme="minorBidi" w:hAnsiTheme="minorBidi"/>
          <w:b/>
          <w:bCs/>
          <w:sz w:val="22"/>
          <w:szCs w:val="22"/>
        </w:rPr>
        <w:t xml:space="preserve"> and Affirmative Outreach Disabilities Act</w:t>
      </w:r>
    </w:p>
    <w:p w14:paraId="2090767F" w14:textId="77777777" w:rsidR="0059445F" w:rsidRPr="0059445F" w:rsidRDefault="00B85F93" w:rsidP="00A8585D">
      <w:pPr>
        <w:spacing w:after="0" w:line="300" w:lineRule="auto"/>
        <w:rPr>
          <w:rFonts w:asciiTheme="minorBidi" w:hAnsiTheme="minorBidi"/>
          <w:sz w:val="22"/>
          <w:szCs w:val="22"/>
        </w:rPr>
      </w:pPr>
      <w:r w:rsidRPr="00B85F93">
        <w:rPr>
          <w:rFonts w:asciiTheme="minorBidi" w:hAnsiTheme="minorBidi"/>
          <w:sz w:val="22"/>
          <w:szCs w:val="22"/>
        </w:rPr>
        <w:t xml:space="preserve">Title VIII of the Civil Rights Act of 1968 (Fair Housing Act), as amended, prohibits discrimination in the sale, rental, and financing of dwellings, as well as in other housing related transactions based on race, color, national origin, religion, sex, familial status (including children under the age of 18 living with parents or legal custodians, pregnant women, and people securing custody of children under the age of 18), and disability. </w:t>
      </w:r>
      <w:r w:rsidR="00A8585D" w:rsidRPr="0059445F">
        <w:rPr>
          <w:rFonts w:asciiTheme="minorBidi" w:hAnsiTheme="minorBidi"/>
          <w:sz w:val="22"/>
          <w:szCs w:val="22"/>
        </w:rPr>
        <w:t>Agencies must comply with all applicable fair housing and civil rights requirements in 24 CFR 5.105(a).</w:t>
      </w:r>
      <w:r w:rsidR="00A8585D">
        <w:rPr>
          <w:rFonts w:asciiTheme="minorBidi" w:hAnsiTheme="minorBidi"/>
          <w:sz w:val="22"/>
          <w:szCs w:val="22"/>
        </w:rPr>
        <w:t xml:space="preserve"> </w:t>
      </w:r>
      <w:r w:rsidRPr="00B85F93">
        <w:rPr>
          <w:rFonts w:asciiTheme="minorBidi" w:hAnsiTheme="minorBidi"/>
          <w:sz w:val="22"/>
          <w:szCs w:val="22"/>
        </w:rPr>
        <w:t xml:space="preserve">For additional information, please see the HUD page on the </w:t>
      </w:r>
      <w:hyperlink r:id="rId20" w:history="1">
        <w:r w:rsidRPr="00A8585D">
          <w:rPr>
            <w:rStyle w:val="Hyperlink"/>
            <w:rFonts w:asciiTheme="minorBidi" w:hAnsiTheme="minorBidi"/>
            <w:sz w:val="22"/>
            <w:szCs w:val="22"/>
          </w:rPr>
          <w:t>Fair Housing Act.</w:t>
        </w:r>
      </w:hyperlink>
      <w:r w:rsidR="00A8585D">
        <w:rPr>
          <w:rFonts w:asciiTheme="minorBidi" w:hAnsiTheme="minorBidi"/>
          <w:sz w:val="22"/>
          <w:szCs w:val="22"/>
        </w:rPr>
        <w:t xml:space="preserve"> </w:t>
      </w:r>
    </w:p>
    <w:p w14:paraId="611EA4ED" w14:textId="77777777" w:rsidR="0059445F" w:rsidRPr="0059445F" w:rsidRDefault="0059445F" w:rsidP="00A8585D">
      <w:pPr>
        <w:spacing w:after="0" w:line="300" w:lineRule="auto"/>
        <w:rPr>
          <w:rFonts w:asciiTheme="minorBidi" w:hAnsiTheme="minorBidi"/>
          <w:sz w:val="22"/>
          <w:szCs w:val="22"/>
        </w:rPr>
      </w:pPr>
      <w:r w:rsidRPr="0059445F">
        <w:rPr>
          <w:rFonts w:asciiTheme="minorBidi" w:hAnsiTheme="minorBidi"/>
          <w:sz w:val="22"/>
          <w:szCs w:val="22"/>
        </w:rPr>
        <w:t>Agencies must make known that ESG rental assistance and services are available to all on a nondiscriminatory basis and ensure that all citizens have equal access to information about ESG and equal access to the financial assistance and services provided under this program.</w:t>
      </w:r>
    </w:p>
    <w:p w14:paraId="6FA9FA2D" w14:textId="0DCB0389" w:rsidR="0059445F" w:rsidRPr="0059445F" w:rsidRDefault="0059445F" w:rsidP="00A8585D">
      <w:pPr>
        <w:spacing w:after="0" w:line="300" w:lineRule="auto"/>
        <w:rPr>
          <w:rFonts w:asciiTheme="minorBidi" w:hAnsiTheme="minorBidi"/>
          <w:sz w:val="22"/>
          <w:szCs w:val="22"/>
        </w:rPr>
      </w:pPr>
      <w:r w:rsidRPr="0059445F">
        <w:rPr>
          <w:rFonts w:asciiTheme="minorBidi" w:hAnsiTheme="minorBidi"/>
          <w:sz w:val="22"/>
          <w:szCs w:val="22"/>
        </w:rPr>
        <w:t xml:space="preserve">Each </w:t>
      </w:r>
      <w:r w:rsidR="00803781">
        <w:rPr>
          <w:rFonts w:asciiTheme="minorBidi" w:hAnsiTheme="minorBidi"/>
          <w:sz w:val="22"/>
          <w:szCs w:val="22"/>
        </w:rPr>
        <w:t>provider</w:t>
      </w:r>
      <w:r w:rsidRPr="0059445F">
        <w:rPr>
          <w:rFonts w:asciiTheme="minorBidi" w:hAnsiTheme="minorBidi"/>
          <w:sz w:val="22"/>
          <w:szCs w:val="22"/>
        </w:rPr>
        <w:t xml:space="preserve"> must take reasonable steps to ensure meaningful access to programs to persons with limited English proficiency (LEP), pursuant to Title VI of the Civil Rights Act of 1964. This may mean providing language assistance or ensuring that program information is available in the appropriate languages for the geographic area served by the jurisdiction and that limited English proficient persons have meaningful access to ESG assistance.</w:t>
      </w:r>
    </w:p>
    <w:p w14:paraId="66EF87A2" w14:textId="7EBEAD27" w:rsidR="0059445F" w:rsidRPr="0059445F" w:rsidRDefault="0059445F" w:rsidP="00A8585D">
      <w:pPr>
        <w:spacing w:after="0" w:line="300" w:lineRule="auto"/>
        <w:rPr>
          <w:rFonts w:asciiTheme="minorBidi" w:hAnsiTheme="minorBidi"/>
          <w:sz w:val="22"/>
          <w:szCs w:val="22"/>
        </w:rPr>
      </w:pPr>
      <w:r w:rsidRPr="0059445F">
        <w:rPr>
          <w:rFonts w:asciiTheme="minorBidi" w:hAnsiTheme="minorBidi"/>
          <w:sz w:val="22"/>
          <w:szCs w:val="22"/>
        </w:rPr>
        <w:t xml:space="preserve">To assist the agencies, HUD published the “Final Guidance to Federal Financial Assistance Recipients Regarding Title VI Prohibition Against National Origin Discrimination Affecting Limited English Proficient Persons” (72 42 Federal Register 2732; January 22, 2007). This document can be accessed at the following website: </w:t>
      </w:r>
      <w:hyperlink r:id="rId21" w:history="1">
        <w:r w:rsidR="00EF189F" w:rsidRPr="005F0ABE">
          <w:rPr>
            <w:rStyle w:val="Hyperlink"/>
            <w:rFonts w:asciiTheme="minorBidi" w:hAnsiTheme="minorBidi"/>
            <w:sz w:val="22"/>
            <w:szCs w:val="22"/>
          </w:rPr>
          <w:t>https://www.nhlp.org/files/Limited%20English%20Proficiency%20Outline%20%20(2--6.17.09).pdf</w:t>
        </w:r>
      </w:hyperlink>
      <w:r w:rsidR="00EF189F">
        <w:rPr>
          <w:rFonts w:asciiTheme="minorBidi" w:hAnsiTheme="minorBidi"/>
          <w:sz w:val="22"/>
          <w:szCs w:val="22"/>
        </w:rPr>
        <w:t xml:space="preserve">.  </w:t>
      </w:r>
    </w:p>
    <w:p w14:paraId="0E33324A" w14:textId="77777777" w:rsidR="0059445F" w:rsidRPr="0059445F" w:rsidRDefault="0059445F" w:rsidP="00A8585D">
      <w:pPr>
        <w:spacing w:after="0" w:line="300" w:lineRule="auto"/>
        <w:rPr>
          <w:rFonts w:asciiTheme="minorBidi" w:hAnsiTheme="minorBidi"/>
          <w:sz w:val="22"/>
          <w:szCs w:val="22"/>
        </w:rPr>
      </w:pPr>
      <w:r w:rsidRPr="0059445F">
        <w:rPr>
          <w:rFonts w:asciiTheme="minorBidi" w:hAnsiTheme="minorBidi"/>
          <w:sz w:val="22"/>
          <w:szCs w:val="22"/>
        </w:rPr>
        <w:t>In addition, all notices and communications shall be provided in a manner that is effective for persons with hearing, visual, and other communication-related disabilities consistent with section 504 of the Rehabilitation Act of 1973 and implementing regulations at 24 CFR 8.6.</w:t>
      </w:r>
    </w:p>
    <w:p w14:paraId="5D1CEB97" w14:textId="5A5B6BF8" w:rsidR="0059445F" w:rsidRPr="0059445F" w:rsidRDefault="0059445F" w:rsidP="00A8585D">
      <w:pPr>
        <w:spacing w:after="0" w:line="300" w:lineRule="auto"/>
        <w:rPr>
          <w:rFonts w:asciiTheme="minorBidi" w:hAnsiTheme="minorBidi"/>
          <w:sz w:val="22"/>
          <w:szCs w:val="22"/>
        </w:rPr>
      </w:pPr>
      <w:r w:rsidRPr="0059445F">
        <w:rPr>
          <w:rFonts w:asciiTheme="minorBidi" w:hAnsiTheme="minorBidi"/>
          <w:sz w:val="22"/>
          <w:szCs w:val="22"/>
        </w:rPr>
        <w:t xml:space="preserve">If the procedures that the </w:t>
      </w:r>
      <w:r w:rsidR="00803781">
        <w:rPr>
          <w:rFonts w:asciiTheme="minorBidi" w:hAnsiTheme="minorBidi"/>
          <w:sz w:val="22"/>
          <w:szCs w:val="22"/>
        </w:rPr>
        <w:t>provider</w:t>
      </w:r>
      <w:r w:rsidRPr="0059445F">
        <w:rPr>
          <w:rFonts w:asciiTheme="minorBidi" w:hAnsiTheme="minorBidi"/>
          <w:sz w:val="22"/>
          <w:szCs w:val="22"/>
        </w:rPr>
        <w:t xml:space="preserve"> intends to use to make known the availability of the rental assistance and services are unlikely to reach persons of any </w:t>
      </w:r>
      <w:proofErr w:type="gramStart"/>
      <w:r w:rsidRPr="0059445F">
        <w:rPr>
          <w:rFonts w:asciiTheme="minorBidi" w:hAnsiTheme="minorBidi"/>
          <w:sz w:val="22"/>
          <w:szCs w:val="22"/>
        </w:rPr>
        <w:t>particular race</w:t>
      </w:r>
      <w:proofErr w:type="gramEnd"/>
      <w:r w:rsidRPr="0059445F">
        <w:rPr>
          <w:rFonts w:asciiTheme="minorBidi" w:hAnsiTheme="minorBidi"/>
          <w:sz w:val="22"/>
          <w:szCs w:val="22"/>
        </w:rPr>
        <w:t xml:space="preserve">, color, religion, sex, age, national origin, familial status, or disability who may qualify for such rental assistance and services, the </w:t>
      </w:r>
      <w:r w:rsidR="00803781">
        <w:rPr>
          <w:rFonts w:asciiTheme="minorBidi" w:hAnsiTheme="minorBidi"/>
          <w:sz w:val="22"/>
          <w:szCs w:val="22"/>
        </w:rPr>
        <w:t>provider</w:t>
      </w:r>
      <w:r w:rsidRPr="0059445F">
        <w:rPr>
          <w:rFonts w:asciiTheme="minorBidi" w:hAnsiTheme="minorBidi"/>
          <w:sz w:val="22"/>
          <w:szCs w:val="22"/>
        </w:rPr>
        <w:t xml:space="preserve"> must establish additional procedures that will ensure that such persons are made aware of the rental assistance and services.</w:t>
      </w:r>
    </w:p>
    <w:p w14:paraId="3986EE3A" w14:textId="77777777" w:rsidR="0059445F" w:rsidRPr="0059445F" w:rsidRDefault="00B85F93" w:rsidP="00A8585D">
      <w:pPr>
        <w:spacing w:after="0" w:line="300" w:lineRule="auto"/>
        <w:rPr>
          <w:rFonts w:asciiTheme="minorBidi" w:hAnsiTheme="minorBidi"/>
          <w:sz w:val="22"/>
          <w:szCs w:val="22"/>
        </w:rPr>
      </w:pPr>
      <w:r>
        <w:rPr>
          <w:rFonts w:asciiTheme="minorBidi" w:hAnsiTheme="minorBidi"/>
          <w:sz w:val="22"/>
          <w:szCs w:val="22"/>
        </w:rPr>
        <w:t>In addition to the poli</w:t>
      </w:r>
      <w:r w:rsidR="00A8585D">
        <w:rPr>
          <w:rFonts w:asciiTheme="minorBidi" w:hAnsiTheme="minorBidi"/>
          <w:sz w:val="22"/>
          <w:szCs w:val="22"/>
        </w:rPr>
        <w:t xml:space="preserve">cies </w:t>
      </w:r>
      <w:r>
        <w:rPr>
          <w:rFonts w:asciiTheme="minorBidi" w:hAnsiTheme="minorBidi"/>
          <w:sz w:val="22"/>
          <w:szCs w:val="22"/>
        </w:rPr>
        <w:t xml:space="preserve">outlined above </w:t>
      </w:r>
      <w:r w:rsidR="0059445F" w:rsidRPr="0059445F">
        <w:rPr>
          <w:rFonts w:asciiTheme="minorBidi" w:hAnsiTheme="minorBidi"/>
          <w:sz w:val="22"/>
          <w:szCs w:val="22"/>
        </w:rPr>
        <w:t xml:space="preserve">subrecipients must also comply with the following other </w:t>
      </w:r>
      <w:r>
        <w:rPr>
          <w:rFonts w:asciiTheme="minorBidi" w:hAnsiTheme="minorBidi"/>
          <w:sz w:val="22"/>
          <w:szCs w:val="22"/>
        </w:rPr>
        <w:t>f</w:t>
      </w:r>
      <w:r w:rsidR="0059445F" w:rsidRPr="0059445F">
        <w:rPr>
          <w:rFonts w:asciiTheme="minorBidi" w:hAnsiTheme="minorBidi"/>
          <w:sz w:val="22"/>
          <w:szCs w:val="22"/>
        </w:rPr>
        <w:t xml:space="preserve">ederal </w:t>
      </w:r>
      <w:r>
        <w:rPr>
          <w:rFonts w:asciiTheme="minorBidi" w:hAnsiTheme="minorBidi"/>
          <w:sz w:val="22"/>
          <w:szCs w:val="22"/>
        </w:rPr>
        <w:t>r</w:t>
      </w:r>
      <w:r w:rsidR="0059445F" w:rsidRPr="0059445F">
        <w:rPr>
          <w:rFonts w:asciiTheme="minorBidi" w:hAnsiTheme="minorBidi"/>
          <w:sz w:val="22"/>
          <w:szCs w:val="22"/>
        </w:rPr>
        <w:t>equirements:</w:t>
      </w:r>
    </w:p>
    <w:p w14:paraId="086DEFE8"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Uniform Administrative Requirements</w:t>
      </w:r>
    </w:p>
    <w:p w14:paraId="7C9939AC"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Equal Employment Opportunity Programs</w:t>
      </w:r>
    </w:p>
    <w:p w14:paraId="1D4663A3"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Minority Business Enterprises</w:t>
      </w:r>
    </w:p>
    <w:p w14:paraId="30692A46"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Nondiscrimination in Federally Assisted Programs</w:t>
      </w:r>
    </w:p>
    <w:p w14:paraId="4D8792E6"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Age Discrimination</w:t>
      </w:r>
    </w:p>
    <w:p w14:paraId="651B68BB"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lastRenderedPageBreak/>
        <w:t>Women’s Business Enterprise</w:t>
      </w:r>
    </w:p>
    <w:p w14:paraId="678DAC57"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Drug Free Workplace Act</w:t>
      </w:r>
    </w:p>
    <w:p w14:paraId="411980B7"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Debarred Suspended</w:t>
      </w:r>
    </w:p>
    <w:p w14:paraId="0A6BB0AB"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Section 504 of the Rehabilitation Act</w:t>
      </w:r>
    </w:p>
    <w:p w14:paraId="60654ED6"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Americans with Debarred, Suspended, Ineligible Contractors</w:t>
      </w:r>
    </w:p>
    <w:p w14:paraId="298E42DB" w14:textId="77777777" w:rsidR="0059445F" w:rsidRPr="0059445F"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Section 6002 of the Solid Waste</w:t>
      </w:r>
    </w:p>
    <w:p w14:paraId="26C91401" w14:textId="57A7970A" w:rsidR="00311D0C" w:rsidRPr="00DC4390" w:rsidRDefault="0059445F" w:rsidP="004A10EE">
      <w:pPr>
        <w:numPr>
          <w:ilvl w:val="0"/>
          <w:numId w:val="1"/>
        </w:numPr>
        <w:spacing w:after="0" w:line="300" w:lineRule="auto"/>
        <w:rPr>
          <w:rFonts w:asciiTheme="minorBidi" w:hAnsiTheme="minorBidi"/>
          <w:sz w:val="22"/>
          <w:szCs w:val="22"/>
        </w:rPr>
      </w:pPr>
      <w:r w:rsidRPr="0059445F">
        <w:rPr>
          <w:rFonts w:asciiTheme="minorBidi" w:hAnsiTheme="minorBidi"/>
          <w:sz w:val="22"/>
          <w:szCs w:val="22"/>
        </w:rPr>
        <w:t>Disposal Act, as amended by the Resource Conservation and Recovery Act</w:t>
      </w:r>
    </w:p>
    <w:p w14:paraId="7B112C3A" w14:textId="77777777" w:rsidR="0020223E" w:rsidRDefault="0020223E" w:rsidP="00311D0C">
      <w:pPr>
        <w:spacing w:after="0" w:line="300" w:lineRule="auto"/>
        <w:rPr>
          <w:rFonts w:asciiTheme="minorBidi" w:hAnsiTheme="minorBidi"/>
          <w:sz w:val="22"/>
          <w:szCs w:val="22"/>
        </w:rPr>
      </w:pPr>
    </w:p>
    <w:p w14:paraId="12BA665E" w14:textId="2E18C014" w:rsidR="00703F5A" w:rsidRPr="00D47533" w:rsidRDefault="001202FD" w:rsidP="00D47533">
      <w:pPr>
        <w:rPr>
          <w:rFonts w:ascii="Arial" w:hAnsi="Arial" w:cs="Arial"/>
          <w:b/>
          <w:bCs/>
          <w:sz w:val="22"/>
          <w:szCs w:val="22"/>
        </w:rPr>
      </w:pPr>
      <w:bookmarkStart w:id="12" w:name="_Toc109630087"/>
      <w:r>
        <w:rPr>
          <w:rFonts w:ascii="Arial" w:hAnsi="Arial" w:cs="Arial"/>
          <w:b/>
          <w:bCs/>
          <w:sz w:val="22"/>
          <w:szCs w:val="22"/>
        </w:rPr>
        <w:t>E</w:t>
      </w:r>
      <w:r w:rsidR="00703F5A" w:rsidRPr="00D47533">
        <w:rPr>
          <w:rFonts w:ascii="Arial" w:hAnsi="Arial" w:cs="Arial"/>
          <w:b/>
          <w:bCs/>
          <w:sz w:val="22"/>
          <w:szCs w:val="22"/>
        </w:rPr>
        <w:t>nvironmental Review</w:t>
      </w:r>
      <w:bookmarkEnd w:id="12"/>
    </w:p>
    <w:p w14:paraId="13F5E99C" w14:textId="77777777" w:rsidR="00703F5A" w:rsidRPr="00D47533" w:rsidRDefault="00703F5A" w:rsidP="00703F5A">
      <w:pPr>
        <w:rPr>
          <w:rFonts w:ascii="Arial" w:hAnsi="Arial" w:cs="Arial"/>
          <w:sz w:val="22"/>
          <w:szCs w:val="22"/>
        </w:rPr>
      </w:pPr>
      <w:r w:rsidRPr="00D47533">
        <w:rPr>
          <w:rFonts w:ascii="Arial" w:hAnsi="Arial" w:cs="Arial"/>
          <w:sz w:val="22"/>
          <w:szCs w:val="22"/>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5C0FC7C2" w14:textId="2977B54D" w:rsidR="00703F5A" w:rsidRPr="00D47533" w:rsidRDefault="00703F5A" w:rsidP="00703F5A">
      <w:pPr>
        <w:rPr>
          <w:rFonts w:ascii="Arial" w:hAnsi="Arial" w:cs="Arial"/>
          <w:sz w:val="22"/>
          <w:szCs w:val="22"/>
        </w:rPr>
      </w:pPr>
      <w:r w:rsidRPr="00D47533">
        <w:rPr>
          <w:rFonts w:ascii="Arial" w:hAnsi="Arial" w:cs="Arial"/>
          <w:sz w:val="22"/>
          <w:szCs w:val="22"/>
        </w:rPr>
        <w:t xml:space="preserve">Environmental reviews will be conducted by the ESG Program Coordinator, or other staff designated by the Federal Grants Manager. Environmental reviews will be completed upon the issuance of new contracts for projects established through an ESG procurement cycle or every five years, whichever comes first. The environmental review form can be located at </w:t>
      </w:r>
      <w:hyperlink r:id="rId22" w:history="1">
        <w:r w:rsidRPr="00D47533">
          <w:rPr>
            <w:rStyle w:val="Hyperlink"/>
            <w:rFonts w:ascii="Arial" w:hAnsi="Arial" w:cs="Arial"/>
            <w:sz w:val="22"/>
            <w:szCs w:val="22"/>
          </w:rPr>
          <w:t>https://www.hudexchange.info/resource/3141/part-58-environmental-review-exempt-or-censt-format/.</w:t>
        </w:r>
      </w:hyperlink>
      <w:r w:rsidRPr="00D47533">
        <w:rPr>
          <w:rFonts w:ascii="Arial" w:hAnsi="Arial" w:cs="Arial"/>
          <w:sz w:val="22"/>
          <w:szCs w:val="22"/>
        </w:rPr>
        <w:t xml:space="preserve"> </w:t>
      </w:r>
    </w:p>
    <w:p w14:paraId="646F3F42" w14:textId="77777777" w:rsidR="00703F5A" w:rsidRPr="00D47533" w:rsidRDefault="00703F5A" w:rsidP="00703F5A">
      <w:pPr>
        <w:rPr>
          <w:rFonts w:ascii="Arial" w:hAnsi="Arial" w:cs="Arial"/>
          <w:sz w:val="22"/>
          <w:szCs w:val="22"/>
        </w:rPr>
      </w:pPr>
      <w:r w:rsidRPr="00D47533">
        <w:rPr>
          <w:rFonts w:ascii="Arial" w:hAnsi="Arial" w:cs="Arial"/>
          <w:sz w:val="22"/>
          <w:szCs w:val="22"/>
        </w:rPr>
        <w:t>For more information on ESG Environmental Reviews.</w:t>
      </w:r>
    </w:p>
    <w:p w14:paraId="1ADAA264" w14:textId="77777777" w:rsidR="00703F5A" w:rsidRPr="00D47533" w:rsidRDefault="003E7871" w:rsidP="004A10EE">
      <w:pPr>
        <w:pStyle w:val="ListParagraph"/>
        <w:numPr>
          <w:ilvl w:val="0"/>
          <w:numId w:val="24"/>
        </w:numPr>
        <w:rPr>
          <w:rFonts w:ascii="Arial" w:hAnsi="Arial" w:cs="Arial"/>
          <w:sz w:val="22"/>
          <w:szCs w:val="22"/>
        </w:rPr>
      </w:pPr>
      <w:hyperlink r:id="rId23" w:history="1">
        <w:r w:rsidR="00703F5A" w:rsidRPr="00D47533">
          <w:rPr>
            <w:rStyle w:val="Hyperlink"/>
            <w:rFonts w:ascii="Arial" w:hAnsi="Arial" w:cs="Arial"/>
            <w:sz w:val="22"/>
            <w:szCs w:val="22"/>
          </w:rPr>
          <w:t>Levels of Environmental Review of ESG Components</w:t>
        </w:r>
      </w:hyperlink>
      <w:r w:rsidR="00703F5A" w:rsidRPr="00D47533">
        <w:rPr>
          <w:rFonts w:ascii="Arial" w:hAnsi="Arial" w:cs="Arial"/>
          <w:sz w:val="22"/>
          <w:szCs w:val="22"/>
        </w:rPr>
        <w:t xml:space="preserve"> </w:t>
      </w:r>
    </w:p>
    <w:p w14:paraId="5094A0E2" w14:textId="77777777" w:rsidR="00703F5A" w:rsidRPr="00D47533" w:rsidRDefault="003E7871" w:rsidP="004A10EE">
      <w:pPr>
        <w:pStyle w:val="ListParagraph"/>
        <w:numPr>
          <w:ilvl w:val="0"/>
          <w:numId w:val="24"/>
        </w:numPr>
        <w:rPr>
          <w:rFonts w:ascii="Arial" w:hAnsi="Arial" w:cs="Arial"/>
          <w:sz w:val="22"/>
          <w:szCs w:val="22"/>
        </w:rPr>
      </w:pPr>
      <w:hyperlink r:id="rId24" w:history="1">
        <w:r w:rsidR="00703F5A" w:rsidRPr="00D47533">
          <w:rPr>
            <w:rStyle w:val="Hyperlink"/>
            <w:rFonts w:ascii="Arial" w:hAnsi="Arial" w:cs="Arial"/>
            <w:sz w:val="22"/>
            <w:szCs w:val="22"/>
          </w:rPr>
          <w:t>CoC and ESG Environmental Review Overview</w:t>
        </w:r>
      </w:hyperlink>
    </w:p>
    <w:p w14:paraId="5B516067" w14:textId="77777777" w:rsidR="0020223E" w:rsidRPr="00D47533" w:rsidRDefault="0020223E" w:rsidP="00311D0C">
      <w:pPr>
        <w:spacing w:after="0" w:line="300" w:lineRule="auto"/>
        <w:rPr>
          <w:rFonts w:ascii="Arial" w:hAnsi="Arial" w:cs="Arial"/>
          <w:sz w:val="22"/>
          <w:szCs w:val="22"/>
        </w:rPr>
      </w:pPr>
    </w:p>
    <w:p w14:paraId="54C35EFA" w14:textId="77777777" w:rsidR="007006FF" w:rsidRPr="00D47533" w:rsidRDefault="007006FF" w:rsidP="00D47533">
      <w:pPr>
        <w:rPr>
          <w:rFonts w:ascii="Arial" w:hAnsi="Arial" w:cs="Arial"/>
          <w:b/>
          <w:bCs/>
          <w:sz w:val="22"/>
          <w:szCs w:val="22"/>
        </w:rPr>
      </w:pPr>
      <w:bookmarkStart w:id="13" w:name="_Toc109630092"/>
      <w:r w:rsidRPr="00D47533">
        <w:rPr>
          <w:rFonts w:ascii="Arial" w:hAnsi="Arial" w:cs="Arial"/>
          <w:b/>
          <w:bCs/>
          <w:sz w:val="22"/>
          <w:szCs w:val="22"/>
        </w:rPr>
        <w:t>Violence Against Women Act (VAWA)</w:t>
      </w:r>
      <w:bookmarkEnd w:id="13"/>
    </w:p>
    <w:p w14:paraId="661F7C5A" w14:textId="77777777" w:rsidR="007006FF" w:rsidRPr="00D47533" w:rsidRDefault="007006FF" w:rsidP="007006FF">
      <w:pPr>
        <w:rPr>
          <w:rFonts w:ascii="Arial" w:hAnsi="Arial" w:cs="Arial"/>
          <w:sz w:val="22"/>
          <w:szCs w:val="22"/>
        </w:rPr>
      </w:pPr>
      <w:r w:rsidRPr="00D47533">
        <w:rPr>
          <w:rFonts w:ascii="Arial" w:hAnsi="Arial" w:cs="Arial"/>
          <w:sz w:val="22"/>
          <w:szCs w:val="22"/>
        </w:rPr>
        <w:t xml:space="preserve">On November 16, 2016, HUD published the Violence Against Women Act (VAWA) final rule regarding housing protections for victims of domestic violence, dating violence, sexual assault, or stalking.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w:t>
      </w:r>
      <w:hyperlink r:id="rId25" w:history="1">
        <w:r w:rsidRPr="00D47533">
          <w:rPr>
            <w:rStyle w:val="Hyperlink"/>
            <w:rFonts w:ascii="Arial" w:hAnsi="Arial" w:cs="Arial"/>
            <w:sz w:val="22"/>
            <w:szCs w:val="22"/>
          </w:rPr>
          <w:t>(24 CFR 5.2005 (b)(1)</w:t>
        </w:r>
      </w:hyperlink>
      <w:r w:rsidRPr="00D47533">
        <w:rPr>
          <w:rFonts w:ascii="Arial" w:hAnsi="Arial" w:cs="Arial"/>
          <w:sz w:val="22"/>
          <w:szCs w:val="22"/>
        </w:rPr>
        <w:t>).</w:t>
      </w:r>
    </w:p>
    <w:p w14:paraId="60F2793C" w14:textId="77777777" w:rsidR="007006FF" w:rsidRPr="00D47533" w:rsidRDefault="007006FF" w:rsidP="007006FF">
      <w:pPr>
        <w:rPr>
          <w:rFonts w:ascii="Arial" w:hAnsi="Arial" w:cs="Arial"/>
          <w:sz w:val="22"/>
          <w:szCs w:val="22"/>
        </w:rPr>
      </w:pPr>
      <w:r w:rsidRPr="00D47533">
        <w:rPr>
          <w:rFonts w:ascii="Arial" w:hAnsi="Arial" w:cs="Arial"/>
          <w:sz w:val="22"/>
          <w:szCs w:val="22"/>
        </w:rPr>
        <w:t xml:space="preserve">In addition, the VAWA Final Rule requires that each housing provider produce a detailed emergency transfer plan, which ensures that a tenant receiving rental assistance through or residing in a unit subsidized under an ESG housing program who is a victim of domestic </w:t>
      </w:r>
      <w:r w:rsidRPr="00D47533">
        <w:rPr>
          <w:rFonts w:ascii="Arial" w:hAnsi="Arial" w:cs="Arial"/>
          <w:sz w:val="22"/>
          <w:szCs w:val="22"/>
        </w:rPr>
        <w:lastRenderedPageBreak/>
        <w:t xml:space="preserve">violence, dating violence, sexual assault, or stalking qualifies for an emergency transfer within the criteria stated in </w:t>
      </w:r>
      <w:hyperlink r:id="rId26" w:history="1">
        <w:r w:rsidRPr="00D47533">
          <w:rPr>
            <w:rStyle w:val="Hyperlink"/>
            <w:rFonts w:ascii="Arial" w:hAnsi="Arial" w:cs="Arial"/>
            <w:sz w:val="22"/>
            <w:szCs w:val="22"/>
          </w:rPr>
          <w:t>24 CFR 5.2005 (e)(2).</w:t>
        </w:r>
      </w:hyperlink>
      <w:r w:rsidRPr="00D47533">
        <w:rPr>
          <w:rFonts w:ascii="Arial" w:hAnsi="Arial" w:cs="Arial"/>
          <w:sz w:val="22"/>
          <w:szCs w:val="22"/>
        </w:rPr>
        <w:t xml:space="preserve"> </w:t>
      </w:r>
    </w:p>
    <w:p w14:paraId="5121EC41" w14:textId="18BF5AAF" w:rsidR="007006FF" w:rsidRPr="00D47533" w:rsidRDefault="007006FF" w:rsidP="007006FF">
      <w:pPr>
        <w:rPr>
          <w:rFonts w:ascii="Arial" w:hAnsi="Arial" w:cs="Arial"/>
          <w:sz w:val="22"/>
          <w:szCs w:val="22"/>
        </w:rPr>
      </w:pPr>
      <w:r w:rsidRPr="00D47533">
        <w:rPr>
          <w:rFonts w:ascii="Arial" w:hAnsi="Arial" w:cs="Arial"/>
          <w:sz w:val="22"/>
          <w:szCs w:val="22"/>
        </w:rPr>
        <w:t xml:space="preserve">All </w:t>
      </w:r>
      <w:r w:rsidR="00923CA6">
        <w:rPr>
          <w:rFonts w:ascii="Arial" w:hAnsi="Arial" w:cs="Arial"/>
          <w:sz w:val="22"/>
          <w:szCs w:val="22"/>
        </w:rPr>
        <w:t>EOHLC</w:t>
      </w:r>
      <w:r w:rsidRPr="00D47533">
        <w:rPr>
          <w:rFonts w:ascii="Arial" w:hAnsi="Arial" w:cs="Arial"/>
          <w:sz w:val="22"/>
          <w:szCs w:val="22"/>
        </w:rPr>
        <w:t xml:space="preserve"> ESG housing providers must maintain records on emergency transfers requested under 24 CFR 5.2005(e). Documentation of emergency transfer requests can be completed using the optional </w:t>
      </w:r>
      <w:hyperlink r:id="rId27" w:history="1">
        <w:r w:rsidRPr="00D47533">
          <w:rPr>
            <w:rStyle w:val="Hyperlink"/>
            <w:rFonts w:ascii="Arial" w:hAnsi="Arial" w:cs="Arial"/>
            <w:sz w:val="22"/>
            <w:szCs w:val="22"/>
          </w:rPr>
          <w:t>HUD Form 5383</w:t>
        </w:r>
      </w:hyperlink>
      <w:r w:rsidRPr="00D47533">
        <w:rPr>
          <w:rFonts w:ascii="Arial" w:hAnsi="Arial" w:cs="Arial"/>
          <w:sz w:val="22"/>
          <w:szCs w:val="22"/>
        </w:rPr>
        <w:t xml:space="preserve">. MSHDA ESG housing providers are responsible to track data on the outcomes of each request and must be able to provide to MSHDA ESG program staff upon request. </w:t>
      </w:r>
    </w:p>
    <w:p w14:paraId="1D716450" w14:textId="181672A6" w:rsidR="007006FF" w:rsidRPr="00D47533" w:rsidRDefault="007006FF" w:rsidP="007006FF">
      <w:pPr>
        <w:rPr>
          <w:rFonts w:ascii="Arial" w:hAnsi="Arial" w:cs="Arial"/>
          <w:sz w:val="22"/>
          <w:szCs w:val="22"/>
        </w:rPr>
      </w:pPr>
      <w:r w:rsidRPr="00D47533">
        <w:rPr>
          <w:rFonts w:ascii="Arial" w:hAnsi="Arial" w:cs="Arial"/>
          <w:sz w:val="22"/>
          <w:szCs w:val="22"/>
        </w:rPr>
        <w:t xml:space="preserve">All </w:t>
      </w:r>
      <w:r w:rsidR="00923CA6">
        <w:rPr>
          <w:rFonts w:ascii="Arial" w:hAnsi="Arial" w:cs="Arial"/>
          <w:sz w:val="22"/>
          <w:szCs w:val="22"/>
        </w:rPr>
        <w:t>EOHLC</w:t>
      </w:r>
      <w:r w:rsidRPr="00D47533">
        <w:rPr>
          <w:rFonts w:ascii="Arial" w:hAnsi="Arial" w:cs="Arial"/>
          <w:sz w:val="22"/>
          <w:szCs w:val="22"/>
        </w:rPr>
        <w:t xml:space="preserve"> ESG rental assistance activities must provide applicants and participants the ESG </w:t>
      </w:r>
      <w:hyperlink r:id="rId28" w:history="1">
        <w:r w:rsidRPr="00D47533">
          <w:rPr>
            <w:rStyle w:val="Hyperlink"/>
            <w:rFonts w:ascii="Arial" w:hAnsi="Arial" w:cs="Arial"/>
            <w:sz w:val="22"/>
            <w:szCs w:val="22"/>
          </w:rPr>
          <w:t>Notice of Occupancy Rights Under the Violence Against Women Act (VAWA) Form</w:t>
        </w:r>
      </w:hyperlink>
      <w:r w:rsidRPr="00D47533">
        <w:rPr>
          <w:rFonts w:ascii="Arial" w:hAnsi="Arial" w:cs="Arial"/>
          <w:sz w:val="22"/>
          <w:szCs w:val="22"/>
        </w:rPr>
        <w:t>. This MSHDA form satisfies VAWA Final Rule requirements.</w:t>
      </w:r>
    </w:p>
    <w:p w14:paraId="22221DB7" w14:textId="77777777" w:rsidR="007006FF" w:rsidRPr="00D47533" w:rsidRDefault="007006FF" w:rsidP="007006FF">
      <w:pPr>
        <w:rPr>
          <w:rFonts w:ascii="Arial" w:hAnsi="Arial" w:cs="Arial"/>
          <w:sz w:val="22"/>
          <w:szCs w:val="22"/>
        </w:rPr>
      </w:pPr>
      <w:r w:rsidRPr="00D47533">
        <w:rPr>
          <w:rFonts w:ascii="Arial" w:hAnsi="Arial" w:cs="Arial"/>
          <w:sz w:val="22"/>
          <w:szCs w:val="22"/>
        </w:rPr>
        <w:t xml:space="preserve">Rental assistance programs must provide copies of the HUD Forms to the property owner or manager at the time of lease-up. </w:t>
      </w:r>
    </w:p>
    <w:p w14:paraId="11DAC85B" w14:textId="77777777" w:rsidR="007006FF" w:rsidRPr="00D47533" w:rsidRDefault="007006FF" w:rsidP="007006FF">
      <w:pPr>
        <w:rPr>
          <w:rFonts w:ascii="Arial" w:hAnsi="Arial" w:cs="Arial"/>
          <w:sz w:val="22"/>
          <w:szCs w:val="22"/>
        </w:rPr>
      </w:pPr>
      <w:r w:rsidRPr="00D47533">
        <w:rPr>
          <w:rFonts w:ascii="Arial" w:hAnsi="Arial" w:cs="Arial"/>
          <w:sz w:val="22"/>
          <w:szCs w:val="22"/>
        </w:rPr>
        <w:t>Additional Resources on VAWA:</w:t>
      </w:r>
    </w:p>
    <w:p w14:paraId="1144FA7E" w14:textId="77777777" w:rsidR="007006FF" w:rsidRPr="00D47533" w:rsidRDefault="003E7871" w:rsidP="004A10EE">
      <w:pPr>
        <w:pStyle w:val="ListParagraph"/>
        <w:numPr>
          <w:ilvl w:val="0"/>
          <w:numId w:val="23"/>
        </w:numPr>
        <w:rPr>
          <w:rFonts w:ascii="Arial" w:hAnsi="Arial" w:cs="Arial"/>
          <w:sz w:val="22"/>
          <w:szCs w:val="22"/>
        </w:rPr>
      </w:pPr>
      <w:hyperlink r:id="rId29" w:history="1">
        <w:r w:rsidR="007006FF" w:rsidRPr="00D47533">
          <w:rPr>
            <w:rStyle w:val="Hyperlink"/>
            <w:rFonts w:ascii="Arial" w:hAnsi="Arial" w:cs="Arial"/>
            <w:sz w:val="22"/>
            <w:szCs w:val="22"/>
          </w:rPr>
          <w:t>Violence Against Women Act (VAWA) Resources.</w:t>
        </w:r>
      </w:hyperlink>
    </w:p>
    <w:p w14:paraId="0E0799DF" w14:textId="77777777" w:rsidR="00B65B8E" w:rsidRPr="00D47533" w:rsidRDefault="003E7871" w:rsidP="004A10EE">
      <w:pPr>
        <w:pStyle w:val="ListParagraph"/>
        <w:numPr>
          <w:ilvl w:val="0"/>
          <w:numId w:val="23"/>
        </w:numPr>
        <w:rPr>
          <w:rStyle w:val="Hyperlink"/>
          <w:rFonts w:ascii="Arial" w:hAnsi="Arial" w:cs="Arial"/>
          <w:color w:val="auto"/>
          <w:sz w:val="22"/>
          <w:szCs w:val="22"/>
          <w:u w:val="none"/>
        </w:rPr>
      </w:pPr>
      <w:hyperlink r:id="rId30" w:history="1">
        <w:r w:rsidR="007006FF" w:rsidRPr="00D47533">
          <w:rPr>
            <w:rStyle w:val="Hyperlink"/>
            <w:rFonts w:ascii="Arial" w:hAnsi="Arial" w:cs="Arial"/>
            <w:sz w:val="22"/>
            <w:szCs w:val="22"/>
          </w:rPr>
          <w:t>Violence Against Women Act (VAWA) Massachusetts State Law and Housing: An Overview for Housing Providers</w:t>
        </w:r>
      </w:hyperlink>
    </w:p>
    <w:p w14:paraId="344BA0FD" w14:textId="77777777" w:rsidR="0020223E" w:rsidRDefault="0020223E" w:rsidP="00B65B8E">
      <w:pPr>
        <w:pStyle w:val="ListParagraph"/>
        <w:ind w:left="0"/>
        <w:rPr>
          <w:rFonts w:ascii="Times New Roman" w:eastAsia="Times New Roman" w:hAnsi="Times New Roman" w:cs="Times New Roman"/>
          <w:b/>
          <w:color w:val="000000"/>
          <w:sz w:val="24"/>
          <w:szCs w:val="24"/>
        </w:rPr>
      </w:pPr>
    </w:p>
    <w:p w14:paraId="659E6AA8" w14:textId="4D0AB148" w:rsidR="00B65B8E" w:rsidRPr="00D47533" w:rsidRDefault="00B65B8E" w:rsidP="00D47533">
      <w:pPr>
        <w:pStyle w:val="ListParagraph"/>
        <w:ind w:left="0"/>
        <w:rPr>
          <w:rFonts w:ascii="Arial" w:hAnsi="Arial" w:cs="Arial"/>
        </w:rPr>
      </w:pPr>
      <w:r w:rsidRPr="00D47533">
        <w:rPr>
          <w:rFonts w:ascii="Arial" w:eastAsia="Times New Roman" w:hAnsi="Arial" w:cs="Arial"/>
          <w:b/>
          <w:color w:val="000000"/>
          <w:sz w:val="22"/>
          <w:szCs w:val="22"/>
        </w:rPr>
        <w:t xml:space="preserve">Involuntary Family Separation </w:t>
      </w:r>
      <w:r w:rsidR="00E5508A" w:rsidRPr="00E5508A">
        <w:rPr>
          <w:rFonts w:ascii="Arial" w:eastAsia="Times New Roman" w:hAnsi="Arial" w:cs="Arial"/>
          <w:b/>
          <w:bCs/>
          <w:color w:val="000000"/>
          <w:sz w:val="22"/>
          <w:szCs w:val="22"/>
        </w:rPr>
        <w:t>24 CFR 576.102 4(b)</w:t>
      </w:r>
    </w:p>
    <w:p w14:paraId="096EA0DA" w14:textId="2E3FEFCC" w:rsidR="00B65B8E" w:rsidRPr="00D47533" w:rsidRDefault="00B65B8E" w:rsidP="00D47533">
      <w:pPr>
        <w:pBdr>
          <w:top w:val="nil"/>
          <w:left w:val="nil"/>
          <w:bottom w:val="nil"/>
          <w:right w:val="nil"/>
          <w:between w:val="nil"/>
        </w:pBdr>
        <w:rPr>
          <w:rFonts w:ascii="Arial" w:hAnsi="Arial" w:cs="Arial"/>
          <w:color w:val="000000"/>
          <w:sz w:val="22"/>
          <w:szCs w:val="22"/>
        </w:rPr>
      </w:pPr>
      <w:r w:rsidRPr="00D47533">
        <w:rPr>
          <w:rFonts w:ascii="Arial" w:eastAsia="Times New Roman" w:hAnsi="Arial" w:cs="Arial"/>
          <w:color w:val="000000"/>
          <w:sz w:val="22"/>
          <w:szCs w:val="22"/>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741D7B4C" w14:textId="77777777" w:rsidR="00B65B8E" w:rsidRDefault="00B65B8E" w:rsidP="00B65B8E">
      <w:pPr>
        <w:pBdr>
          <w:top w:val="nil"/>
          <w:left w:val="nil"/>
          <w:bottom w:val="nil"/>
          <w:right w:val="nil"/>
          <w:between w:val="nil"/>
        </w:pBdr>
        <w:ind w:left="720"/>
        <w:rPr>
          <w:color w:val="000000"/>
          <w:sz w:val="24"/>
          <w:szCs w:val="24"/>
        </w:rPr>
      </w:pPr>
    </w:p>
    <w:p w14:paraId="2572B1AA" w14:textId="60BEA3B3" w:rsidR="008C23F8" w:rsidRDefault="007006FF" w:rsidP="00311D0C">
      <w:pPr>
        <w:spacing w:after="0" w:line="300" w:lineRule="auto"/>
        <w:rPr>
          <w:rFonts w:asciiTheme="minorBidi" w:hAnsiTheme="minorBidi"/>
          <w:sz w:val="22"/>
          <w:szCs w:val="22"/>
        </w:rPr>
      </w:pPr>
      <w:r>
        <w:br w:type="page"/>
      </w:r>
    </w:p>
    <w:p w14:paraId="304EF465" w14:textId="39D131FA" w:rsidR="008C23F8" w:rsidRDefault="00E5508A" w:rsidP="00640D1C">
      <w:pPr>
        <w:pStyle w:val="Title"/>
        <w:jc w:val="center"/>
      </w:pPr>
      <w:r>
        <w:rPr>
          <w:caps w:val="0"/>
        </w:rPr>
        <w:lastRenderedPageBreak/>
        <w:t>EMERGENCY SHELTER</w:t>
      </w:r>
    </w:p>
    <w:p w14:paraId="244E6A99" w14:textId="73D1A053" w:rsidR="008C23F8" w:rsidRPr="00F00F75" w:rsidRDefault="00E5508A" w:rsidP="008C23F8">
      <w:pPr>
        <w:pStyle w:val="Heading1"/>
        <w:rPr>
          <w:rFonts w:asciiTheme="minorBidi" w:hAnsiTheme="minorBidi"/>
        </w:rPr>
      </w:pPr>
      <w:bookmarkStart w:id="14" w:name="_Toc110000636"/>
      <w:r>
        <w:rPr>
          <w:rFonts w:asciiTheme="minorBidi" w:hAnsiTheme="minorBidi"/>
          <w:caps w:val="0"/>
        </w:rPr>
        <w:t>EMERGENCY SHELTER</w:t>
      </w:r>
      <w:r w:rsidRPr="00F00F75">
        <w:rPr>
          <w:rFonts w:asciiTheme="minorBidi" w:hAnsiTheme="minorBidi"/>
          <w:caps w:val="0"/>
        </w:rPr>
        <w:t xml:space="preserve"> CASE MANAGEMENT AND SERVICE DELIVERY</w:t>
      </w:r>
      <w:bookmarkEnd w:id="14"/>
    </w:p>
    <w:p w14:paraId="3414B2CF" w14:textId="2D582117" w:rsidR="00682CE5" w:rsidRPr="00D47533" w:rsidRDefault="008936BE" w:rsidP="00D47533">
      <w:pPr>
        <w:rPr>
          <w:rFonts w:ascii="Arial" w:eastAsia="Times New Roman" w:hAnsi="Arial" w:cs="Arial"/>
          <w:sz w:val="22"/>
          <w:szCs w:val="22"/>
          <w:lang w:bidi="en-US"/>
        </w:rPr>
      </w:pPr>
      <w:r w:rsidRPr="00D47533">
        <w:rPr>
          <w:rFonts w:ascii="Arial" w:eastAsia="Times New Roman" w:hAnsi="Arial" w:cs="Arial"/>
          <w:sz w:val="22"/>
          <w:szCs w:val="22"/>
          <w:lang w:bidi="en-US"/>
        </w:rP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ESG funds may be used for the costs of operating an emergency shelter and providing essential services to sheltered homeless people (24 CFR Part 576.102). </w:t>
      </w:r>
    </w:p>
    <w:p w14:paraId="125BA46C" w14:textId="03735441" w:rsidR="00682CE5" w:rsidRPr="00D47533" w:rsidRDefault="00682CE5"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Note: </w:t>
      </w:r>
      <w:r w:rsidRPr="00D47533">
        <w:rPr>
          <w:rFonts w:asciiTheme="minorBidi" w:hAnsiTheme="minorBidi"/>
          <w:color w:val="333333"/>
          <w:sz w:val="22"/>
          <w:szCs w:val="22"/>
          <w:shd w:val="clear" w:color="auto" w:fill="FFFFFF"/>
        </w:rPr>
        <w:t xml:space="preserve">The purpose of ESG-CV funds is to prevent, prepare for, and respond to COVID-19 </w:t>
      </w:r>
      <w:proofErr w:type="gramStart"/>
      <w:r w:rsidRPr="00D47533">
        <w:rPr>
          <w:rFonts w:asciiTheme="minorBidi" w:hAnsiTheme="minorBidi"/>
          <w:color w:val="333333"/>
          <w:sz w:val="22"/>
          <w:szCs w:val="22"/>
          <w:shd w:val="clear" w:color="auto" w:fill="FFFFFF"/>
        </w:rPr>
        <w:t>in order to</w:t>
      </w:r>
      <w:proofErr w:type="gramEnd"/>
      <w:r w:rsidRPr="00D47533">
        <w:rPr>
          <w:rFonts w:asciiTheme="minorBidi" w:hAnsiTheme="minorBidi"/>
          <w:color w:val="333333"/>
          <w:sz w:val="22"/>
          <w:szCs w:val="22"/>
          <w:shd w:val="clear" w:color="auto" w:fill="FFFFFF"/>
        </w:rPr>
        <w:t xml:space="preserve"> prevent and mitigate the spread of COVID-19 among people experiencing homelessness and the staff that provide services to these individuals. This requires that existing shelters implement public health protocols such as enforcing social distancing, establishing an isolation space (especially for residents suspected of having COVID-19, those with confirmed cases, and high-risk residents such as elderly people and people with pre-existing health conditions), using personal protective equipment (PPE), and cleaning/disinfecting shared and living spaces. In many communities where existing shelter is not available or where current shelters are not able to implement these safety protocols, additional space may need to be identified to allow people to have shelter while staying as healthy as possible. This may be space within an existing shelter (e.g., an office not being used) that could be temporarily converted into a quarantine space for someone who has tested positive or is awaiting test results, or it could be an entirely separate building. Eligible shelter spaces may include public spaces, pop up or modular structures in compliance with U.S. Department of Housing and Urban Development (HUD) guidance.</w:t>
      </w:r>
    </w:p>
    <w:p w14:paraId="41B60EB3" w14:textId="77777777" w:rsidR="008C23F8" w:rsidRPr="00D47533"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05ECE42" w14:textId="77777777" w:rsidR="008C23F8" w:rsidRPr="00A564B9"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Trauma</w:t>
      </w:r>
      <w:r>
        <w:rPr>
          <w:rFonts w:asciiTheme="minorBidi" w:hAnsiTheme="minorBidi"/>
          <w:b/>
          <w:bCs/>
          <w:color w:val="333333"/>
          <w:sz w:val="22"/>
          <w:szCs w:val="22"/>
          <w:u w:val="single"/>
          <w:shd w:val="clear" w:color="auto" w:fill="FFFFFF"/>
        </w:rPr>
        <w:t>-</w:t>
      </w:r>
      <w:r w:rsidRPr="00A564B9">
        <w:rPr>
          <w:rFonts w:asciiTheme="minorBidi" w:hAnsiTheme="minorBidi"/>
          <w:b/>
          <w:bCs/>
          <w:color w:val="333333"/>
          <w:sz w:val="22"/>
          <w:szCs w:val="22"/>
          <w:u w:val="single"/>
          <w:shd w:val="clear" w:color="auto" w:fill="FFFFFF"/>
        </w:rPr>
        <w:t>Informed Care</w:t>
      </w:r>
    </w:p>
    <w:p w14:paraId="501B7CA9"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53E42">
        <w:rPr>
          <w:rFonts w:asciiTheme="minorBidi" w:hAnsiTheme="minorBidi"/>
          <w:color w:val="333333"/>
          <w:sz w:val="22"/>
          <w:szCs w:val="22"/>
          <w:shd w:val="clear" w:color="auto" w:fill="FFFFFF"/>
        </w:rPr>
        <w:t xml:space="preserve">Case managers should use a trauma-informed and strengths-based approach. Because homelessness and the threat of becoming homeless can be a crisis of major significance, stabilizing a person in housing requires case managers who understand the impact of trauma and stress on participants’ emotional, behavioral, and cognitive capacity. Until the housing crisis is </w:t>
      </w:r>
      <w:proofErr w:type="gramStart"/>
      <w:r w:rsidRPr="00253E42">
        <w:rPr>
          <w:rFonts w:asciiTheme="minorBidi" w:hAnsiTheme="minorBidi"/>
          <w:color w:val="333333"/>
          <w:sz w:val="22"/>
          <w:szCs w:val="22"/>
          <w:shd w:val="clear" w:color="auto" w:fill="FFFFFF"/>
        </w:rPr>
        <w:t>resolved</w:t>
      </w:r>
      <w:proofErr w:type="gramEnd"/>
      <w:r w:rsidRPr="00253E42">
        <w:rPr>
          <w:rFonts w:asciiTheme="minorBidi" w:hAnsiTheme="minorBidi"/>
          <w:color w:val="333333"/>
          <w:sz w:val="22"/>
          <w:szCs w:val="22"/>
          <w:shd w:val="clear" w:color="auto" w:fill="FFFFFF"/>
        </w:rPr>
        <w:t xml:space="preserve"> and the participant’s stress is decreased, case managers should support the household in setting short-term, achievable, and appropriate goals instead of focusing on longer-term goals. While many of these symptoms of stress will subside once the crisis is resolved, the case manager must be skilled at assessing participants’ various and changing levels of ability to carry out goals and action steps. The case manager should focus on the essential steps required to end the housing crisis.</w:t>
      </w:r>
    </w:p>
    <w:p w14:paraId="498A528F"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5A8E2724" w14:textId="77777777" w:rsidR="008C23F8" w:rsidRPr="00A564B9" w:rsidRDefault="008C23F8" w:rsidP="008C23F8">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Housing-Focused</w:t>
      </w:r>
    </w:p>
    <w:p w14:paraId="1A807F33"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To effectively assist participant households in achieving housing stability, recipients and sub-recipients must provide ongoing housing-focused case management services. The primary </w:t>
      </w:r>
      <w:r w:rsidRPr="00253E42">
        <w:rPr>
          <w:rFonts w:asciiTheme="minorBidi" w:hAnsiTheme="minorBidi"/>
          <w:color w:val="333333"/>
          <w:sz w:val="22"/>
          <w:szCs w:val="22"/>
          <w:shd w:val="clear" w:color="auto" w:fill="FFFFFF"/>
        </w:rPr>
        <w:lastRenderedPageBreak/>
        <w:t xml:space="preserve">objective of housing-focused case management is to extend support to participants, through an individualized case management relationship, that will ultimately translate to increased housing stability. Housing-focused case management delivery should include regular consultations with participants in individualized meetings, dedicated to assessing and reassessing needs, educating participants on program and community resource opportunities, developing housing stability plans, scheduling appointments, and providing </w:t>
      </w:r>
      <w:proofErr w:type="gramStart"/>
      <w:r w:rsidRPr="00253E42">
        <w:rPr>
          <w:rFonts w:asciiTheme="minorBidi" w:hAnsiTheme="minorBidi"/>
          <w:color w:val="333333"/>
          <w:sz w:val="22"/>
          <w:szCs w:val="22"/>
          <w:shd w:val="clear" w:color="auto" w:fill="FFFFFF"/>
        </w:rPr>
        <w:t>necessary</w:t>
      </w:r>
      <w:proofErr w:type="gramEnd"/>
      <w:r w:rsidRPr="00253E42">
        <w:rPr>
          <w:rFonts w:asciiTheme="minorBidi" w:hAnsiTheme="minorBidi"/>
          <w:color w:val="333333"/>
          <w:sz w:val="22"/>
          <w:szCs w:val="22"/>
          <w:shd w:val="clear" w:color="auto" w:fill="FFFFFF"/>
        </w:rPr>
        <w:t xml:space="preserve"> follow up to ensure housing stability plans are progressing on schedule and needs are adequately being addressed. </w:t>
      </w:r>
    </w:p>
    <w:p w14:paraId="4E9C895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Meetings should occur in a participant’s home and/or in a location of the participant’s choosing whenever possible. Structurally, housing-focused case management is central to the </w:t>
      </w:r>
      <w:r>
        <w:rPr>
          <w:rFonts w:asciiTheme="minorBidi" w:hAnsiTheme="minorBidi"/>
          <w:color w:val="333333"/>
          <w:sz w:val="22"/>
          <w:szCs w:val="22"/>
          <w:shd w:val="clear" w:color="auto" w:fill="FFFFFF"/>
        </w:rPr>
        <w:t xml:space="preserve">provider’s </w:t>
      </w:r>
      <w:r w:rsidRPr="00253E42">
        <w:rPr>
          <w:rFonts w:asciiTheme="minorBidi" w:hAnsiTheme="minorBidi"/>
          <w:color w:val="333333"/>
          <w:sz w:val="22"/>
          <w:szCs w:val="22"/>
          <w:shd w:val="clear" w:color="auto" w:fill="FFFFFF"/>
        </w:rPr>
        <w:t xml:space="preserve">array of supportive services. Case managers should help to develop a plan to assist the participant retain permanent housing after the assistance ends, </w:t>
      </w:r>
      <w:proofErr w:type="gramStart"/>
      <w:r w:rsidRPr="00253E42">
        <w:rPr>
          <w:rFonts w:asciiTheme="minorBidi" w:hAnsiTheme="minorBidi"/>
          <w:color w:val="333333"/>
          <w:sz w:val="22"/>
          <w:szCs w:val="22"/>
          <w:shd w:val="clear" w:color="auto" w:fill="FFFFFF"/>
        </w:rPr>
        <w:t>taking into account</w:t>
      </w:r>
      <w:proofErr w:type="gramEnd"/>
      <w:r w:rsidRPr="00253E42">
        <w:rPr>
          <w:rFonts w:asciiTheme="minorBidi" w:hAnsiTheme="minorBidi"/>
          <w:color w:val="333333"/>
          <w:sz w:val="22"/>
          <w:szCs w:val="22"/>
          <w:shd w:val="clear" w:color="auto" w:fill="FFFFFF"/>
        </w:rPr>
        <w:t xml:space="preserve"> all relevant considerations, such as the participant’s current or expected income and expenses, other public or private assistance for which the participant will be eligible and likely to receive, and the relative affordability of available housing in the area.</w:t>
      </w:r>
    </w:p>
    <w:p w14:paraId="084D7EF5"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200C320E" w14:textId="77777777" w:rsidR="008C23F8" w:rsidRPr="00A564B9" w:rsidRDefault="008C23F8" w:rsidP="008C23F8">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 xml:space="preserve">Evolving Focus </w:t>
      </w:r>
    </w:p>
    <w:p w14:paraId="7AEDDA42" w14:textId="4307FF85"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Initially, case management should be primarily focused on assisting a participant in obtaining and moving into a new housing unit or maintaining stability in their current housing. Case managers should help participants resolve or mitigate tenant barriers like rental and utility arrears or multiple evictions; obtain necessary identification if needed; and prepare participants for successful tenancy by reviewing lease provisions. Case management may then shift to home-based and help participants stabilize in housing. Based upon their needs and requests, it should help participants identify and access supports, including family and friend networks, mainstream and community services, and employment and income. </w:t>
      </w:r>
    </w:p>
    <w:p w14:paraId="529C8B3A" w14:textId="73B0B240" w:rsidR="008C23F8" w:rsidRPr="00796E65" w:rsidRDefault="00B606DE" w:rsidP="00B606DE">
      <w:pPr>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br w:type="page"/>
      </w:r>
    </w:p>
    <w:p w14:paraId="01027781" w14:textId="6FB073AE" w:rsidR="008C23F8" w:rsidRDefault="00E5508A" w:rsidP="008C23F8">
      <w:pPr>
        <w:pStyle w:val="Heading1"/>
        <w:rPr>
          <w:rFonts w:asciiTheme="minorBidi" w:hAnsiTheme="minorBidi"/>
        </w:rPr>
      </w:pPr>
      <w:bookmarkStart w:id="15" w:name="_Toc110000637"/>
      <w:r w:rsidRPr="008B264B">
        <w:rPr>
          <w:rFonts w:asciiTheme="minorBidi" w:hAnsiTheme="minorBidi"/>
          <w:caps w:val="0"/>
        </w:rPr>
        <w:lastRenderedPageBreak/>
        <w:t xml:space="preserve">ALLOWABLE ACTIVITIES FOR </w:t>
      </w:r>
      <w:r>
        <w:rPr>
          <w:rFonts w:asciiTheme="minorBidi" w:hAnsiTheme="minorBidi"/>
          <w:caps w:val="0"/>
        </w:rPr>
        <w:t>EMERGENCY SHELTER</w:t>
      </w:r>
      <w:bookmarkEnd w:id="15"/>
    </w:p>
    <w:p w14:paraId="107567E9" w14:textId="24C07B7B" w:rsidR="00B74FB1" w:rsidRPr="00EC65DD" w:rsidRDefault="008C23F8" w:rsidP="008C23F8">
      <w:pPr>
        <w:rPr>
          <w:rFonts w:asciiTheme="minorBidi" w:hAnsiTheme="minorBidi"/>
          <w:sz w:val="22"/>
          <w:szCs w:val="22"/>
        </w:rPr>
      </w:pPr>
      <w:r w:rsidRPr="00EC65DD">
        <w:rPr>
          <w:rFonts w:asciiTheme="minorBidi" w:hAnsiTheme="minorBidi"/>
          <w:sz w:val="22"/>
          <w:szCs w:val="22"/>
        </w:rPr>
        <w:t xml:space="preserve">The chart below outlines the allowable activities for ESG funded programs. </w:t>
      </w:r>
    </w:p>
    <w:tbl>
      <w:tblPr>
        <w:tblStyle w:val="TableGrid"/>
        <w:tblW w:w="9355" w:type="dxa"/>
        <w:tblLook w:val="04A0" w:firstRow="1" w:lastRow="0" w:firstColumn="1" w:lastColumn="0" w:noHBand="0" w:noVBand="1"/>
      </w:tblPr>
      <w:tblGrid>
        <w:gridCol w:w="4765"/>
        <w:gridCol w:w="4590"/>
      </w:tblGrid>
      <w:tr w:rsidR="000F2155" w:rsidRPr="008B264B" w14:paraId="03977B11" w14:textId="77777777" w:rsidTr="00E5508A">
        <w:tc>
          <w:tcPr>
            <w:tcW w:w="4765" w:type="dxa"/>
            <w:shd w:val="clear" w:color="auto" w:fill="A9D5E7" w:themeFill="accent1" w:themeFillTint="66"/>
          </w:tcPr>
          <w:p w14:paraId="566BDA2E" w14:textId="33C7737B" w:rsidR="000F2155" w:rsidRPr="003439E8" w:rsidRDefault="000F2155" w:rsidP="00707D43">
            <w:pPr>
              <w:rPr>
                <w:rStyle w:val="Emphasis"/>
                <w:rFonts w:asciiTheme="minorBidi" w:hAnsiTheme="minorBidi"/>
                <w:b/>
                <w:bCs/>
                <w:sz w:val="22"/>
                <w:szCs w:val="22"/>
              </w:rPr>
            </w:pPr>
            <w:r w:rsidRPr="00D47533">
              <w:rPr>
                <w:rStyle w:val="Emphasis"/>
                <w:rFonts w:asciiTheme="minorBidi" w:hAnsiTheme="minorBidi"/>
                <w:b/>
                <w:bCs/>
                <w:sz w:val="24"/>
                <w:szCs w:val="24"/>
              </w:rPr>
              <w:t>E</w:t>
            </w:r>
            <w:r w:rsidRPr="00D47533">
              <w:rPr>
                <w:rStyle w:val="Emphasis"/>
                <w:rFonts w:asciiTheme="minorBidi" w:hAnsiTheme="minorBidi"/>
                <w:b/>
                <w:bCs/>
                <w:sz w:val="22"/>
                <w:szCs w:val="22"/>
              </w:rPr>
              <w:t>mergency Shelter</w:t>
            </w:r>
          </w:p>
        </w:tc>
        <w:tc>
          <w:tcPr>
            <w:tcW w:w="4590" w:type="dxa"/>
            <w:shd w:val="clear" w:color="auto" w:fill="A9D5E7" w:themeFill="accent1" w:themeFillTint="66"/>
          </w:tcPr>
          <w:p w14:paraId="029E07A2" w14:textId="272BAAD5" w:rsidR="000F2155" w:rsidRPr="003439E8" w:rsidRDefault="000F2155" w:rsidP="00707D43">
            <w:pPr>
              <w:rPr>
                <w:rStyle w:val="Emphasis"/>
                <w:rFonts w:asciiTheme="minorBidi" w:hAnsiTheme="minorBidi"/>
                <w:b/>
                <w:bCs/>
                <w:sz w:val="22"/>
                <w:szCs w:val="22"/>
              </w:rPr>
            </w:pPr>
            <w:r w:rsidRPr="003439E8">
              <w:rPr>
                <w:rStyle w:val="Emphasis"/>
                <w:rFonts w:asciiTheme="minorBidi" w:hAnsiTheme="minorBidi"/>
                <w:b/>
                <w:bCs/>
                <w:sz w:val="22"/>
                <w:szCs w:val="22"/>
              </w:rPr>
              <w:t xml:space="preserve">Additional ESG-CV Eligible Activities for </w:t>
            </w:r>
            <w:r>
              <w:rPr>
                <w:rStyle w:val="Emphasis"/>
                <w:rFonts w:asciiTheme="minorBidi" w:hAnsiTheme="minorBidi"/>
                <w:b/>
                <w:bCs/>
                <w:sz w:val="22"/>
                <w:szCs w:val="22"/>
              </w:rPr>
              <w:t>E</w:t>
            </w:r>
            <w:r w:rsidR="009B04D0">
              <w:rPr>
                <w:rStyle w:val="Emphasis"/>
                <w:rFonts w:asciiTheme="minorBidi" w:hAnsiTheme="minorBidi"/>
                <w:b/>
                <w:bCs/>
                <w:sz w:val="22"/>
                <w:szCs w:val="22"/>
              </w:rPr>
              <w:t>mergency shelter</w:t>
            </w:r>
          </w:p>
        </w:tc>
      </w:tr>
      <w:tr w:rsidR="000F2155" w:rsidRPr="008B264B" w14:paraId="3F828348" w14:textId="77777777" w:rsidTr="00E5508A">
        <w:tc>
          <w:tcPr>
            <w:tcW w:w="4765" w:type="dxa"/>
          </w:tcPr>
          <w:p w14:paraId="5EC0CDF8" w14:textId="4C417549" w:rsidR="000F2155" w:rsidRPr="001B7B77" w:rsidRDefault="00113616" w:rsidP="001B7B77">
            <w:pPr>
              <w:rPr>
                <w:rFonts w:ascii="Arial" w:hAnsi="Arial" w:cs="Arial"/>
                <w:b/>
                <w:bCs/>
                <w:sz w:val="22"/>
                <w:szCs w:val="22"/>
                <w:shd w:val="clear" w:color="auto" w:fill="FFFFFF"/>
              </w:rPr>
            </w:pPr>
            <w:r w:rsidRPr="001B7B77">
              <w:rPr>
                <w:rFonts w:ascii="Arial" w:hAnsi="Arial" w:cs="Arial"/>
                <w:b/>
                <w:bCs/>
                <w:sz w:val="22"/>
                <w:szCs w:val="22"/>
                <w:shd w:val="clear" w:color="auto" w:fill="FFFFFF"/>
              </w:rPr>
              <w:t>Esse</w:t>
            </w:r>
            <w:r w:rsidR="002C7EF2" w:rsidRPr="001B7B77">
              <w:rPr>
                <w:rFonts w:ascii="Arial" w:hAnsi="Arial" w:cs="Arial"/>
                <w:b/>
                <w:bCs/>
                <w:sz w:val="22"/>
                <w:szCs w:val="22"/>
                <w:shd w:val="clear" w:color="auto" w:fill="FFFFFF"/>
              </w:rPr>
              <w:t xml:space="preserve">ntial Services </w:t>
            </w:r>
          </w:p>
          <w:p w14:paraId="5054244B" w14:textId="35F96876"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Case management </w:t>
            </w:r>
          </w:p>
          <w:p w14:paraId="007ABA8F" w14:textId="064E7E66"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Child Care </w:t>
            </w:r>
          </w:p>
          <w:p w14:paraId="67C37517" w14:textId="4935F524"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Education Services </w:t>
            </w:r>
          </w:p>
          <w:p w14:paraId="22EEC980" w14:textId="77777777"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Employment Assistance and Job Training </w:t>
            </w:r>
          </w:p>
          <w:p w14:paraId="59C41530" w14:textId="13C26023"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Outpatient Health Services </w:t>
            </w:r>
          </w:p>
          <w:p w14:paraId="3B6D3B56" w14:textId="00E800C4"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Legal Services</w:t>
            </w:r>
          </w:p>
          <w:p w14:paraId="49049BD7" w14:textId="73210231"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Life Skills Training</w:t>
            </w:r>
          </w:p>
          <w:p w14:paraId="41B2AA1D" w14:textId="101C8394"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Mental Health Services</w:t>
            </w:r>
          </w:p>
          <w:p w14:paraId="390D5AE5" w14:textId="77777777" w:rsidR="00FE72D1"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Substance Abuse Treatment Services </w:t>
            </w:r>
          </w:p>
          <w:p w14:paraId="19DD12E1" w14:textId="77777777" w:rsidR="000605AF"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Transportation </w:t>
            </w:r>
          </w:p>
          <w:p w14:paraId="6138A1FB" w14:textId="784F2938" w:rsidR="000F2155" w:rsidRPr="00E5508A" w:rsidRDefault="00FE72D1" w:rsidP="004A10EE">
            <w:pPr>
              <w:pStyle w:val="ListParagraph"/>
              <w:numPr>
                <w:ilvl w:val="0"/>
                <w:numId w:val="39"/>
              </w:numPr>
              <w:ind w:left="870"/>
              <w:rPr>
                <w:rFonts w:ascii="Arial" w:hAnsi="Arial" w:cs="Arial"/>
                <w:sz w:val="22"/>
                <w:szCs w:val="22"/>
                <w:shd w:val="clear" w:color="auto" w:fill="FFFFFF"/>
              </w:rPr>
            </w:pPr>
            <w:r w:rsidRPr="00E5508A">
              <w:rPr>
                <w:rFonts w:ascii="Arial" w:hAnsi="Arial" w:cs="Arial"/>
                <w:sz w:val="22"/>
                <w:szCs w:val="22"/>
                <w:shd w:val="clear" w:color="auto" w:fill="FFFFFF"/>
              </w:rPr>
              <w:t>Services for Special Population</w:t>
            </w:r>
            <w:r w:rsidR="000605AF" w:rsidRPr="00E5508A">
              <w:rPr>
                <w:rFonts w:ascii="Arial" w:hAnsi="Arial" w:cs="Arial"/>
                <w:sz w:val="22"/>
                <w:szCs w:val="22"/>
                <w:shd w:val="clear" w:color="auto" w:fill="FFFFFF"/>
              </w:rPr>
              <w:t>s</w:t>
            </w:r>
          </w:p>
        </w:tc>
        <w:tc>
          <w:tcPr>
            <w:tcW w:w="4590" w:type="dxa"/>
          </w:tcPr>
          <w:p w14:paraId="004A71CF" w14:textId="6EDBE626" w:rsidR="00E5508A" w:rsidRPr="00E5508A" w:rsidRDefault="00E5508A" w:rsidP="00E5508A">
            <w:pPr>
              <w:autoSpaceDE w:val="0"/>
              <w:autoSpaceDN w:val="0"/>
              <w:adjustRightInd w:val="0"/>
              <w:spacing w:line="300" w:lineRule="auto"/>
              <w:rPr>
                <w:rFonts w:asciiTheme="minorBidi" w:hAnsiTheme="minorBidi"/>
                <w:b/>
                <w:bCs/>
                <w:color w:val="333333"/>
                <w:sz w:val="22"/>
                <w:szCs w:val="22"/>
                <w:shd w:val="clear" w:color="auto" w:fill="FFFFFF"/>
              </w:rPr>
            </w:pPr>
            <w:r>
              <w:rPr>
                <w:rFonts w:asciiTheme="minorBidi" w:hAnsiTheme="minorBidi"/>
                <w:b/>
                <w:bCs/>
                <w:color w:val="333333"/>
                <w:sz w:val="22"/>
                <w:szCs w:val="22"/>
                <w:shd w:val="clear" w:color="auto" w:fill="FFFFFF"/>
              </w:rPr>
              <w:t>Essential Services</w:t>
            </w:r>
          </w:p>
          <w:p w14:paraId="54AB0242" w14:textId="108603BF" w:rsidR="000F2155" w:rsidRPr="00D47533" w:rsidRDefault="00D40B59" w:rsidP="004A10EE">
            <w:pPr>
              <w:pStyle w:val="ListParagraph"/>
              <w:numPr>
                <w:ilvl w:val="0"/>
                <w:numId w:val="32"/>
              </w:numPr>
              <w:autoSpaceDE w:val="0"/>
              <w:autoSpaceDN w:val="0"/>
              <w:adjustRightInd w:val="0"/>
              <w:spacing w:line="300" w:lineRule="auto"/>
              <w:rPr>
                <w:rFonts w:asciiTheme="minorBidi" w:hAnsiTheme="minorBidi"/>
                <w:color w:val="333333"/>
                <w:sz w:val="22"/>
                <w:szCs w:val="22"/>
                <w:shd w:val="clear" w:color="auto" w:fill="FFFFFF"/>
              </w:rPr>
            </w:pPr>
            <w:r w:rsidRPr="00D40B59">
              <w:rPr>
                <w:rFonts w:asciiTheme="minorBidi" w:hAnsiTheme="minorBidi"/>
                <w:color w:val="333333"/>
                <w:sz w:val="22"/>
                <w:szCs w:val="22"/>
                <w:shd w:val="clear" w:color="auto" w:fill="FFFFFF"/>
              </w:rPr>
              <w:t>Personal Protective Equipment (PPE) Purchase of PPE (e.g., masks, hand sanitizer, etc.) for program participants as an essential service under emergency shelter</w:t>
            </w:r>
          </w:p>
        </w:tc>
      </w:tr>
      <w:tr w:rsidR="000F2155" w:rsidRPr="008B264B" w14:paraId="2A4981E3" w14:textId="77777777" w:rsidTr="00E5508A">
        <w:trPr>
          <w:trHeight w:val="3302"/>
        </w:trPr>
        <w:tc>
          <w:tcPr>
            <w:tcW w:w="4765" w:type="dxa"/>
          </w:tcPr>
          <w:p w14:paraId="3B2E0A33" w14:textId="01848BA0" w:rsidR="0007738A" w:rsidRDefault="00C20C4D" w:rsidP="00C20C4D">
            <w:pPr>
              <w:autoSpaceDE w:val="0"/>
              <w:autoSpaceDN w:val="0"/>
              <w:adjustRightInd w:val="0"/>
              <w:spacing w:line="300" w:lineRule="auto"/>
              <w:contextualSpacing/>
              <w:rPr>
                <w:rFonts w:asciiTheme="minorBidi" w:hAnsiTheme="minorBidi"/>
                <w:color w:val="333333"/>
                <w:sz w:val="22"/>
                <w:szCs w:val="22"/>
                <w:shd w:val="clear" w:color="auto" w:fill="FFFFFF"/>
              </w:rPr>
            </w:pPr>
            <w:r>
              <w:rPr>
                <w:rFonts w:asciiTheme="minorBidi" w:hAnsiTheme="minorBidi"/>
                <w:b/>
                <w:bCs/>
                <w:color w:val="333333"/>
                <w:sz w:val="22"/>
                <w:szCs w:val="22"/>
                <w:shd w:val="clear" w:color="auto" w:fill="FFFFFF"/>
              </w:rPr>
              <w:t>Shelter Operations</w:t>
            </w:r>
          </w:p>
          <w:p w14:paraId="7234E530" w14:textId="54ED1A3E"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Maintenance </w:t>
            </w:r>
          </w:p>
          <w:p w14:paraId="712C5C24" w14:textId="73C53ECC"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Rent </w:t>
            </w:r>
          </w:p>
          <w:p w14:paraId="724CB694" w14:textId="136A7AA0"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Security </w:t>
            </w:r>
          </w:p>
          <w:p w14:paraId="26125B9F" w14:textId="1A8A25A3"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Fuel </w:t>
            </w:r>
          </w:p>
          <w:p w14:paraId="17CF708F" w14:textId="4BF15914"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Equipment </w:t>
            </w:r>
          </w:p>
          <w:p w14:paraId="091D8A9C" w14:textId="0CF7DBCD"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Insurance </w:t>
            </w:r>
          </w:p>
          <w:p w14:paraId="7FDACBCE" w14:textId="0DF1FD05"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Utilities </w:t>
            </w:r>
          </w:p>
          <w:p w14:paraId="6BFE1CD9" w14:textId="4F821274"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Food </w:t>
            </w:r>
          </w:p>
          <w:p w14:paraId="20E995A7" w14:textId="6FFC9BC5"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 xml:space="preserve">Furnishings </w:t>
            </w:r>
          </w:p>
          <w:p w14:paraId="25C1EB9D" w14:textId="228565AC" w:rsidR="0007738A" w:rsidRPr="00E5508A" w:rsidRDefault="0007738A" w:rsidP="004A10EE">
            <w:pPr>
              <w:pStyle w:val="ListParagraph"/>
              <w:numPr>
                <w:ilvl w:val="0"/>
                <w:numId w:val="40"/>
              </w:numPr>
              <w:ind w:left="870"/>
              <w:rPr>
                <w:rFonts w:ascii="Arial" w:hAnsi="Arial" w:cs="Arial"/>
                <w:sz w:val="22"/>
                <w:szCs w:val="22"/>
                <w:shd w:val="clear" w:color="auto" w:fill="FFFFFF"/>
              </w:rPr>
            </w:pPr>
            <w:r w:rsidRPr="00E5508A">
              <w:rPr>
                <w:rFonts w:ascii="Arial" w:hAnsi="Arial" w:cs="Arial"/>
                <w:sz w:val="22"/>
                <w:szCs w:val="22"/>
                <w:shd w:val="clear" w:color="auto" w:fill="FFFFFF"/>
              </w:rPr>
              <w:t>Supplies necessary for shelter operation</w:t>
            </w:r>
          </w:p>
          <w:p w14:paraId="6AF52491" w14:textId="0BBBA4C2" w:rsidR="000F2155" w:rsidRPr="00E5508A" w:rsidRDefault="0007738A" w:rsidP="004A10EE">
            <w:pPr>
              <w:pStyle w:val="ListParagraph"/>
              <w:numPr>
                <w:ilvl w:val="0"/>
                <w:numId w:val="40"/>
              </w:numPr>
              <w:ind w:left="870"/>
              <w:rPr>
                <w:shd w:val="clear" w:color="auto" w:fill="FFFFFF"/>
              </w:rPr>
            </w:pPr>
            <w:r w:rsidRPr="00E5508A">
              <w:rPr>
                <w:rFonts w:ascii="Arial" w:hAnsi="Arial" w:cs="Arial"/>
                <w:sz w:val="22"/>
                <w:szCs w:val="22"/>
                <w:shd w:val="clear" w:color="auto" w:fill="FFFFFF"/>
              </w:rPr>
              <w:t>Hotel/Motel Voucher</w:t>
            </w:r>
          </w:p>
        </w:tc>
        <w:tc>
          <w:tcPr>
            <w:tcW w:w="4590" w:type="dxa"/>
          </w:tcPr>
          <w:p w14:paraId="62B3E448" w14:textId="583CB52F" w:rsidR="000F2155" w:rsidRPr="003A62A6" w:rsidRDefault="000F2155" w:rsidP="00D47533">
            <w:pPr>
              <w:pStyle w:val="ListParagraph"/>
              <w:autoSpaceDE w:val="0"/>
              <w:autoSpaceDN w:val="0"/>
              <w:adjustRightInd w:val="0"/>
              <w:spacing w:line="300" w:lineRule="auto"/>
              <w:ind w:left="256"/>
              <w:rPr>
                <w:rFonts w:asciiTheme="minorBidi" w:hAnsiTheme="minorBidi"/>
                <w:color w:val="333333"/>
                <w:sz w:val="22"/>
                <w:szCs w:val="22"/>
                <w:shd w:val="clear" w:color="auto" w:fill="FFFFFF"/>
              </w:rPr>
            </w:pPr>
          </w:p>
        </w:tc>
      </w:tr>
      <w:tr w:rsidR="000F2155" w:rsidRPr="008B264B" w14:paraId="65B43152" w14:textId="77777777" w:rsidTr="00E5508A">
        <w:tc>
          <w:tcPr>
            <w:tcW w:w="4765" w:type="dxa"/>
          </w:tcPr>
          <w:p w14:paraId="44AA836A" w14:textId="4606F0CC" w:rsidR="0090620E" w:rsidRDefault="0090620E"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90620E">
              <w:rPr>
                <w:rFonts w:asciiTheme="minorBidi" w:hAnsiTheme="minorBidi"/>
                <w:b/>
                <w:bCs/>
                <w:color w:val="333333"/>
                <w:sz w:val="22"/>
                <w:szCs w:val="22"/>
                <w:shd w:val="clear" w:color="auto" w:fill="FFFFFF"/>
              </w:rPr>
              <w:t> </w:t>
            </w:r>
            <w:r w:rsidR="008977BA">
              <w:rPr>
                <w:rFonts w:asciiTheme="minorBidi" w:hAnsiTheme="minorBidi"/>
                <w:b/>
                <w:bCs/>
                <w:color w:val="333333"/>
                <w:sz w:val="22"/>
                <w:szCs w:val="22"/>
                <w:shd w:val="clear" w:color="auto" w:fill="FFFFFF"/>
              </w:rPr>
              <w:t>R</w:t>
            </w:r>
            <w:r w:rsidRPr="0090620E">
              <w:rPr>
                <w:rFonts w:asciiTheme="minorBidi" w:hAnsiTheme="minorBidi"/>
                <w:b/>
                <w:bCs/>
                <w:color w:val="333333"/>
                <w:sz w:val="22"/>
                <w:szCs w:val="22"/>
                <w:shd w:val="clear" w:color="auto" w:fill="FFFFFF"/>
              </w:rPr>
              <w:t>enovation, rehabilitation, or conversion </w:t>
            </w:r>
          </w:p>
          <w:p w14:paraId="48793AD9" w14:textId="163C4DCC" w:rsidR="008977BA" w:rsidRPr="001B7B77" w:rsidRDefault="008977BA" w:rsidP="004A10EE">
            <w:pPr>
              <w:pStyle w:val="ListParagraph"/>
              <w:numPr>
                <w:ilvl w:val="0"/>
                <w:numId w:val="41"/>
              </w:numPr>
              <w:ind w:left="870"/>
              <w:rPr>
                <w:rFonts w:ascii="Arial" w:hAnsi="Arial" w:cs="Arial"/>
                <w:sz w:val="22"/>
                <w:szCs w:val="22"/>
                <w:shd w:val="clear" w:color="auto" w:fill="FFFFFF"/>
              </w:rPr>
            </w:pPr>
            <w:r w:rsidRPr="001B7B77">
              <w:rPr>
                <w:rFonts w:ascii="Arial" w:hAnsi="Arial" w:cs="Arial"/>
                <w:sz w:val="22"/>
                <w:szCs w:val="22"/>
                <w:shd w:val="clear" w:color="auto" w:fill="FFFFFF"/>
              </w:rPr>
              <w:t xml:space="preserve">Labor </w:t>
            </w:r>
          </w:p>
          <w:p w14:paraId="61E7DA18" w14:textId="67D2E39B" w:rsidR="008977BA" w:rsidRPr="001B7B77" w:rsidRDefault="008977BA" w:rsidP="004A10EE">
            <w:pPr>
              <w:pStyle w:val="ListParagraph"/>
              <w:numPr>
                <w:ilvl w:val="0"/>
                <w:numId w:val="41"/>
              </w:numPr>
              <w:ind w:left="870"/>
              <w:rPr>
                <w:rFonts w:ascii="Arial" w:hAnsi="Arial" w:cs="Arial"/>
                <w:sz w:val="22"/>
                <w:szCs w:val="22"/>
                <w:shd w:val="clear" w:color="auto" w:fill="FFFFFF"/>
              </w:rPr>
            </w:pPr>
            <w:r w:rsidRPr="001B7B77">
              <w:rPr>
                <w:rFonts w:ascii="Arial" w:hAnsi="Arial" w:cs="Arial"/>
                <w:sz w:val="22"/>
                <w:szCs w:val="22"/>
                <w:shd w:val="clear" w:color="auto" w:fill="FFFFFF"/>
              </w:rPr>
              <w:t xml:space="preserve">Materials </w:t>
            </w:r>
          </w:p>
          <w:p w14:paraId="368700F6" w14:textId="59DD525E" w:rsidR="008977BA" w:rsidRPr="001B7B77" w:rsidRDefault="008977BA" w:rsidP="004A10EE">
            <w:pPr>
              <w:pStyle w:val="ListParagraph"/>
              <w:numPr>
                <w:ilvl w:val="0"/>
                <w:numId w:val="41"/>
              </w:numPr>
              <w:ind w:left="870"/>
              <w:rPr>
                <w:rFonts w:ascii="Arial" w:hAnsi="Arial" w:cs="Arial"/>
                <w:sz w:val="22"/>
                <w:szCs w:val="22"/>
                <w:shd w:val="clear" w:color="auto" w:fill="FFFFFF"/>
              </w:rPr>
            </w:pPr>
            <w:r w:rsidRPr="001B7B77">
              <w:rPr>
                <w:rFonts w:ascii="Arial" w:hAnsi="Arial" w:cs="Arial"/>
                <w:sz w:val="22"/>
                <w:szCs w:val="22"/>
                <w:shd w:val="clear" w:color="auto" w:fill="FFFFFF"/>
              </w:rPr>
              <w:t xml:space="preserve">Tools </w:t>
            </w:r>
          </w:p>
          <w:p w14:paraId="19F5F43A" w14:textId="11AF5855" w:rsidR="000F2155" w:rsidRPr="00E5508A" w:rsidRDefault="008977BA" w:rsidP="004A10EE">
            <w:pPr>
              <w:pStyle w:val="ListParagraph"/>
              <w:numPr>
                <w:ilvl w:val="0"/>
                <w:numId w:val="41"/>
              </w:numPr>
              <w:ind w:left="870"/>
              <w:rPr>
                <w:shd w:val="clear" w:color="auto" w:fill="FFFFFF"/>
              </w:rPr>
            </w:pPr>
            <w:r w:rsidRPr="00E5508A">
              <w:rPr>
                <w:rFonts w:ascii="Arial" w:hAnsi="Arial" w:cs="Arial"/>
                <w:sz w:val="22"/>
                <w:szCs w:val="22"/>
                <w:shd w:val="clear" w:color="auto" w:fill="FFFFFF"/>
              </w:rPr>
              <w:t>Other costs for renovation (including rehab or conversion)</w:t>
            </w:r>
          </w:p>
        </w:tc>
        <w:tc>
          <w:tcPr>
            <w:tcW w:w="4590" w:type="dxa"/>
          </w:tcPr>
          <w:p w14:paraId="7E438286" w14:textId="77777777" w:rsidR="00E5508A" w:rsidRDefault="00E5508A" w:rsidP="00E5508A">
            <w:pPr>
              <w:autoSpaceDE w:val="0"/>
              <w:autoSpaceDN w:val="0"/>
              <w:adjustRightInd w:val="0"/>
              <w:spacing w:before="100" w:line="300" w:lineRule="auto"/>
              <w:contextualSpacing/>
              <w:rPr>
                <w:rFonts w:asciiTheme="minorBidi" w:hAnsiTheme="minorBidi"/>
                <w:color w:val="333333"/>
                <w:sz w:val="22"/>
                <w:szCs w:val="22"/>
                <w:shd w:val="clear" w:color="auto" w:fill="FFFFFF"/>
              </w:rPr>
            </w:pPr>
            <w:r>
              <w:rPr>
                <w:rFonts w:asciiTheme="minorBidi" w:hAnsiTheme="minorBidi"/>
                <w:b/>
                <w:bCs/>
                <w:color w:val="333333"/>
                <w:sz w:val="22"/>
                <w:szCs w:val="22"/>
                <w:shd w:val="clear" w:color="auto" w:fill="FFFFFF"/>
              </w:rPr>
              <w:t>R</w:t>
            </w:r>
            <w:r w:rsidRPr="0090620E">
              <w:rPr>
                <w:rFonts w:asciiTheme="minorBidi" w:hAnsiTheme="minorBidi"/>
                <w:b/>
                <w:bCs/>
                <w:color w:val="333333"/>
                <w:sz w:val="22"/>
                <w:szCs w:val="22"/>
                <w:shd w:val="clear" w:color="auto" w:fill="FFFFFF"/>
              </w:rPr>
              <w:t>enovation, rehabilitation, or conversion </w:t>
            </w:r>
          </w:p>
          <w:p w14:paraId="3C0D4F9E" w14:textId="44D68AEE" w:rsidR="000F2155" w:rsidRPr="00E5508A" w:rsidRDefault="00650779" w:rsidP="004A10EE">
            <w:pPr>
              <w:pStyle w:val="ListParagraph"/>
              <w:numPr>
                <w:ilvl w:val="0"/>
                <w:numId w:val="42"/>
              </w:numPr>
              <w:autoSpaceDE w:val="0"/>
              <w:autoSpaceDN w:val="0"/>
              <w:adjustRightInd w:val="0"/>
              <w:spacing w:line="300" w:lineRule="auto"/>
              <w:rPr>
                <w:rFonts w:asciiTheme="minorBidi" w:hAnsiTheme="minorBidi"/>
                <w:color w:val="333333"/>
                <w:sz w:val="22"/>
                <w:szCs w:val="22"/>
                <w:shd w:val="clear" w:color="auto" w:fill="FFFFFF"/>
              </w:rPr>
            </w:pPr>
            <w:r w:rsidRPr="00E5508A">
              <w:rPr>
                <w:rFonts w:asciiTheme="minorBidi" w:hAnsiTheme="minorBidi"/>
                <w:color w:val="333333"/>
                <w:sz w:val="22"/>
                <w:szCs w:val="22"/>
                <w:shd w:val="clear" w:color="auto" w:fill="FFFFFF"/>
              </w:rPr>
              <w:t>Emergency</w:t>
            </w:r>
            <w:r w:rsidR="001B7B77" w:rsidRPr="00E5508A">
              <w:rPr>
                <w:rFonts w:asciiTheme="minorBidi" w:hAnsiTheme="minorBidi"/>
                <w:color w:val="333333"/>
                <w:sz w:val="22"/>
                <w:szCs w:val="22"/>
                <w:shd w:val="clear" w:color="auto" w:fill="FFFFFF"/>
              </w:rPr>
              <w:t xml:space="preserve"> shelter renovation, rehabilitation, or conversion are eligible expenses</w:t>
            </w:r>
            <w:r w:rsidR="00E5508A">
              <w:rPr>
                <w:rFonts w:asciiTheme="minorBidi" w:hAnsiTheme="minorBidi"/>
                <w:color w:val="333333"/>
                <w:sz w:val="22"/>
                <w:szCs w:val="22"/>
                <w:shd w:val="clear" w:color="auto" w:fill="FFFFFF"/>
              </w:rPr>
              <w:t xml:space="preserve"> for Emergency Shelters and Temporary Shelters.</w:t>
            </w:r>
          </w:p>
        </w:tc>
      </w:tr>
      <w:tr w:rsidR="00BF0A78" w:rsidRPr="008B264B" w14:paraId="0B3B3FCD" w14:textId="77777777" w:rsidTr="00E5508A">
        <w:tc>
          <w:tcPr>
            <w:tcW w:w="4765" w:type="dxa"/>
          </w:tcPr>
          <w:p w14:paraId="78B9268A" w14:textId="77777777" w:rsidR="00BF0A78" w:rsidRDefault="00BF0A78" w:rsidP="00707D43">
            <w:pPr>
              <w:autoSpaceDE w:val="0"/>
              <w:autoSpaceDN w:val="0"/>
              <w:adjustRightInd w:val="0"/>
              <w:spacing w:line="300" w:lineRule="auto"/>
              <w:contextualSpacing/>
              <w:rPr>
                <w:rFonts w:asciiTheme="minorBidi" w:hAnsiTheme="minorBidi"/>
                <w:b/>
                <w:bCs/>
                <w:color w:val="333333"/>
                <w:sz w:val="22"/>
                <w:szCs w:val="22"/>
                <w:shd w:val="clear" w:color="auto" w:fill="FFFFFF"/>
              </w:rPr>
            </w:pPr>
            <w:r w:rsidRPr="00D47533">
              <w:rPr>
                <w:rFonts w:asciiTheme="minorBidi" w:hAnsiTheme="minorBidi"/>
                <w:b/>
                <w:bCs/>
                <w:color w:val="333333"/>
                <w:sz w:val="22"/>
                <w:szCs w:val="22"/>
                <w:shd w:val="clear" w:color="auto" w:fill="FFFFFF"/>
              </w:rPr>
              <w:t>Assistance Required Under the Uniform Relocation and Real Property Acquisition Act of 1970 (URA)</w:t>
            </w:r>
          </w:p>
          <w:p w14:paraId="3A05D3D4" w14:textId="77777777" w:rsidR="00BF0A78" w:rsidRPr="00E5508A" w:rsidRDefault="00BF0A78" w:rsidP="004A10EE">
            <w:pPr>
              <w:pStyle w:val="ListParagraph"/>
              <w:numPr>
                <w:ilvl w:val="0"/>
                <w:numId w:val="42"/>
              </w:numPr>
              <w:autoSpaceDE w:val="0"/>
              <w:autoSpaceDN w:val="0"/>
              <w:adjustRightInd w:val="0"/>
              <w:spacing w:line="300" w:lineRule="auto"/>
              <w:ind w:left="870"/>
              <w:rPr>
                <w:rFonts w:asciiTheme="minorBidi" w:hAnsiTheme="minorBidi"/>
                <w:color w:val="333333"/>
                <w:sz w:val="22"/>
                <w:szCs w:val="22"/>
                <w:shd w:val="clear" w:color="auto" w:fill="FFFFFF"/>
              </w:rPr>
            </w:pPr>
            <w:r w:rsidRPr="00E5508A">
              <w:rPr>
                <w:rFonts w:asciiTheme="minorBidi" w:hAnsiTheme="minorBidi"/>
                <w:color w:val="333333"/>
                <w:sz w:val="22"/>
                <w:szCs w:val="22"/>
                <w:shd w:val="clear" w:color="auto" w:fill="FFFFFF"/>
              </w:rPr>
              <w:t>Relocation Payments</w:t>
            </w:r>
          </w:p>
          <w:p w14:paraId="1DF3AD37" w14:textId="694730ED" w:rsidR="00BF0A78" w:rsidRPr="00E5508A" w:rsidRDefault="00BF0A78" w:rsidP="004A10EE">
            <w:pPr>
              <w:pStyle w:val="ListParagraph"/>
              <w:numPr>
                <w:ilvl w:val="0"/>
                <w:numId w:val="42"/>
              </w:numPr>
              <w:autoSpaceDE w:val="0"/>
              <w:autoSpaceDN w:val="0"/>
              <w:adjustRightInd w:val="0"/>
              <w:spacing w:line="300" w:lineRule="auto"/>
              <w:ind w:left="870"/>
              <w:rPr>
                <w:rFonts w:asciiTheme="minorBidi" w:hAnsiTheme="minorBidi"/>
                <w:b/>
                <w:bCs/>
                <w:color w:val="333333"/>
                <w:sz w:val="22"/>
                <w:szCs w:val="22"/>
                <w:shd w:val="clear" w:color="auto" w:fill="FFFFFF"/>
              </w:rPr>
            </w:pPr>
            <w:r w:rsidRPr="00E5508A">
              <w:rPr>
                <w:rFonts w:asciiTheme="minorBidi" w:hAnsiTheme="minorBidi"/>
                <w:color w:val="333333"/>
                <w:sz w:val="22"/>
                <w:szCs w:val="22"/>
                <w:shd w:val="clear" w:color="auto" w:fill="FFFFFF"/>
              </w:rPr>
              <w:t>Other Assistance to displaced persons</w:t>
            </w:r>
          </w:p>
        </w:tc>
        <w:tc>
          <w:tcPr>
            <w:tcW w:w="4590" w:type="dxa"/>
          </w:tcPr>
          <w:p w14:paraId="2848C85C" w14:textId="77777777" w:rsidR="00BF0A78" w:rsidRPr="008B264B" w:rsidRDefault="00BF0A78" w:rsidP="00D47533">
            <w:pPr>
              <w:autoSpaceDE w:val="0"/>
              <w:autoSpaceDN w:val="0"/>
              <w:adjustRightInd w:val="0"/>
              <w:spacing w:line="300" w:lineRule="auto"/>
              <w:ind w:left="256"/>
              <w:contextualSpacing/>
              <w:rPr>
                <w:rFonts w:asciiTheme="minorBidi" w:hAnsiTheme="minorBidi"/>
                <w:color w:val="333333"/>
                <w:sz w:val="22"/>
                <w:szCs w:val="22"/>
                <w:shd w:val="clear" w:color="auto" w:fill="FFFFFF"/>
              </w:rPr>
            </w:pPr>
          </w:p>
        </w:tc>
      </w:tr>
    </w:tbl>
    <w:p w14:paraId="211D16C8" w14:textId="74A96A73" w:rsidR="008C23F8" w:rsidRPr="008B264B" w:rsidRDefault="008C23F8" w:rsidP="0032238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 xml:space="preserve">See Regulations at </w:t>
      </w:r>
      <w:r w:rsidR="0032238C" w:rsidRPr="0032238C">
        <w:rPr>
          <w:rFonts w:asciiTheme="minorBidi" w:hAnsiTheme="minorBidi"/>
          <w:color w:val="333333"/>
          <w:sz w:val="22"/>
          <w:szCs w:val="22"/>
          <w:shd w:val="clear" w:color="auto" w:fill="FFFFFF"/>
        </w:rPr>
        <w:t>24 CFR 576.102</w:t>
      </w:r>
      <w:r w:rsidRPr="008B264B">
        <w:rPr>
          <w:rFonts w:asciiTheme="minorBidi" w:hAnsiTheme="minorBidi"/>
          <w:color w:val="333333"/>
          <w:sz w:val="22"/>
          <w:szCs w:val="22"/>
          <w:shd w:val="clear" w:color="auto" w:fill="FFFFFF"/>
        </w:rPr>
        <w:t xml:space="preserve"> for additional details on allowable expenditures.</w:t>
      </w:r>
    </w:p>
    <w:p w14:paraId="13EE389C" w14:textId="448A7022" w:rsidR="0032238C" w:rsidRDefault="0032238C"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DFC9E26" w14:textId="492B1860" w:rsidR="008469C1" w:rsidRDefault="004F571D" w:rsidP="000B6BE3">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Pr>
          <w:rFonts w:asciiTheme="minorBidi" w:hAnsiTheme="minorBidi"/>
          <w:b/>
          <w:bCs/>
          <w:color w:val="333333"/>
          <w:sz w:val="22"/>
          <w:szCs w:val="22"/>
          <w:shd w:val="clear" w:color="auto" w:fill="FFFFFF"/>
        </w:rPr>
        <w:lastRenderedPageBreak/>
        <w:t>Minimum Period of Use</w:t>
      </w:r>
    </w:p>
    <w:p w14:paraId="155304D4" w14:textId="124CDB9B" w:rsidR="004F571D" w:rsidRDefault="00957A5F"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ESG and ESG-CV funds can be used for the renovation, </w:t>
      </w:r>
      <w:proofErr w:type="gramStart"/>
      <w:r>
        <w:rPr>
          <w:rFonts w:asciiTheme="minorBidi" w:hAnsiTheme="minorBidi"/>
          <w:color w:val="333333"/>
          <w:sz w:val="22"/>
          <w:szCs w:val="22"/>
          <w:shd w:val="clear" w:color="auto" w:fill="FFFFFF"/>
        </w:rPr>
        <w:t>rehabilitation</w:t>
      </w:r>
      <w:proofErr w:type="gramEnd"/>
      <w:r>
        <w:rPr>
          <w:rFonts w:asciiTheme="minorBidi" w:hAnsiTheme="minorBidi"/>
          <w:color w:val="333333"/>
          <w:sz w:val="22"/>
          <w:szCs w:val="22"/>
          <w:shd w:val="clear" w:color="auto" w:fill="FFFFFF"/>
        </w:rPr>
        <w:t xml:space="preserve"> or conversion</w:t>
      </w:r>
      <w:r w:rsidR="00E5508A">
        <w:rPr>
          <w:rFonts w:asciiTheme="minorBidi" w:hAnsiTheme="minorBidi"/>
          <w:color w:val="333333"/>
          <w:sz w:val="22"/>
          <w:szCs w:val="22"/>
          <w:shd w:val="clear" w:color="auto" w:fill="FFFFFF"/>
        </w:rPr>
        <w:t xml:space="preserve"> of buildings to provide emergency shelter</w:t>
      </w:r>
      <w:r w:rsidR="00FC44DD">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00963B45">
        <w:rPr>
          <w:rFonts w:asciiTheme="minorBidi" w:hAnsiTheme="minorBidi"/>
          <w:color w:val="333333"/>
          <w:sz w:val="22"/>
          <w:szCs w:val="22"/>
          <w:shd w:val="clear" w:color="auto" w:fill="FFFFFF"/>
        </w:rPr>
        <w:t xml:space="preserve"> </w:t>
      </w:r>
      <w:r w:rsidR="00522AFD">
        <w:rPr>
          <w:rFonts w:asciiTheme="minorBidi" w:hAnsiTheme="minorBidi"/>
          <w:color w:val="333333"/>
          <w:sz w:val="22"/>
          <w:szCs w:val="22"/>
          <w:shd w:val="clear" w:color="auto" w:fill="FFFFFF"/>
        </w:rPr>
        <w:t xml:space="preserve">The Minimum Period of Use may be 3 or 10 years, </w:t>
      </w:r>
      <w:r w:rsidR="00522AFD" w:rsidRPr="00522AFD">
        <w:rPr>
          <w:rFonts w:asciiTheme="minorBidi" w:hAnsiTheme="minorBidi"/>
          <w:color w:val="333333"/>
          <w:sz w:val="22"/>
          <w:szCs w:val="22"/>
          <w:shd w:val="clear" w:color="auto" w:fill="FFFFFF"/>
        </w:rPr>
        <w:t xml:space="preserve">depending on the cost and type of renovation (major rehabilitation, conversion, or other renovation). </w:t>
      </w:r>
      <w:r w:rsidR="00963B45" w:rsidRPr="00963B45">
        <w:rPr>
          <w:rFonts w:asciiTheme="minorBidi" w:hAnsiTheme="minorBidi"/>
          <w:color w:val="333333"/>
          <w:sz w:val="22"/>
          <w:szCs w:val="22"/>
          <w:shd w:val="clear" w:color="auto" w:fill="FFFFFF"/>
        </w:rPr>
        <w:t>(</w:t>
      </w:r>
      <w:r w:rsidR="00522AFD" w:rsidRPr="00963B45">
        <w:rPr>
          <w:rFonts w:asciiTheme="minorBidi" w:hAnsiTheme="minorBidi"/>
          <w:color w:val="333333"/>
          <w:sz w:val="22"/>
          <w:szCs w:val="22"/>
          <w:shd w:val="clear" w:color="auto" w:fill="FFFFFF"/>
        </w:rPr>
        <w:t>See</w:t>
      </w:r>
      <w:r w:rsidR="00963B45" w:rsidRPr="00963B45">
        <w:rPr>
          <w:rFonts w:asciiTheme="minorBidi" w:hAnsiTheme="minorBidi"/>
          <w:color w:val="333333"/>
          <w:sz w:val="22"/>
          <w:szCs w:val="22"/>
          <w:shd w:val="clear" w:color="auto" w:fill="FFFFFF"/>
        </w:rPr>
        <w:t xml:space="preserve"> 576.102(c)).</w:t>
      </w:r>
    </w:p>
    <w:p w14:paraId="5AA4AE1B" w14:textId="77777777" w:rsidR="0095526D" w:rsidRDefault="0095526D"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p>
    <w:tbl>
      <w:tblPr>
        <w:tblStyle w:val="TableGrid"/>
        <w:tblW w:w="0" w:type="auto"/>
        <w:tblLook w:val="04A0" w:firstRow="1" w:lastRow="0" w:firstColumn="1" w:lastColumn="0" w:noHBand="0" w:noVBand="1"/>
      </w:tblPr>
      <w:tblGrid>
        <w:gridCol w:w="3116"/>
        <w:gridCol w:w="3117"/>
        <w:gridCol w:w="3117"/>
      </w:tblGrid>
      <w:tr w:rsidR="0095526D" w:rsidRPr="00D47533" w14:paraId="459CF4DE" w14:textId="77777777" w:rsidTr="00D47533">
        <w:tc>
          <w:tcPr>
            <w:tcW w:w="3116" w:type="dxa"/>
            <w:shd w:val="clear" w:color="auto" w:fill="2683C6" w:themeFill="accent6"/>
          </w:tcPr>
          <w:p w14:paraId="7C9F91D6" w14:textId="561AA6A1" w:rsidR="0095526D" w:rsidRPr="00D47533" w:rsidRDefault="0095526D" w:rsidP="00D47533">
            <w:pPr>
              <w:autoSpaceDE w:val="0"/>
              <w:autoSpaceDN w:val="0"/>
              <w:adjustRightInd w:val="0"/>
              <w:spacing w:line="300" w:lineRule="auto"/>
              <w:contextualSpacing/>
              <w:jc w:val="center"/>
              <w:rPr>
                <w:rFonts w:ascii="Arial" w:hAnsi="Arial" w:cs="Arial"/>
                <w:color w:val="FFFFFF" w:themeColor="background1"/>
                <w:sz w:val="22"/>
                <w:szCs w:val="22"/>
              </w:rPr>
            </w:pPr>
            <w:r w:rsidRPr="00D47533">
              <w:rPr>
                <w:rFonts w:ascii="Arial" w:hAnsi="Arial" w:cs="Arial"/>
                <w:color w:val="FFFFFF" w:themeColor="background1"/>
                <w:sz w:val="22"/>
                <w:szCs w:val="22"/>
              </w:rPr>
              <w:t>Activity</w:t>
            </w:r>
          </w:p>
        </w:tc>
        <w:tc>
          <w:tcPr>
            <w:tcW w:w="3117" w:type="dxa"/>
            <w:shd w:val="clear" w:color="auto" w:fill="2683C6" w:themeFill="accent6"/>
          </w:tcPr>
          <w:p w14:paraId="10AAA792" w14:textId="0DF2F9A6" w:rsidR="0095526D" w:rsidRPr="00D47533" w:rsidRDefault="0095526D" w:rsidP="00D47533">
            <w:pPr>
              <w:autoSpaceDE w:val="0"/>
              <w:autoSpaceDN w:val="0"/>
              <w:adjustRightInd w:val="0"/>
              <w:spacing w:line="300" w:lineRule="auto"/>
              <w:contextualSpacing/>
              <w:jc w:val="center"/>
              <w:rPr>
                <w:rFonts w:ascii="Arial" w:hAnsi="Arial" w:cs="Arial"/>
                <w:color w:val="FFFFFF" w:themeColor="background1"/>
                <w:sz w:val="22"/>
                <w:szCs w:val="22"/>
              </w:rPr>
            </w:pPr>
            <w:r w:rsidRPr="00D47533">
              <w:rPr>
                <w:rFonts w:ascii="Arial" w:hAnsi="Arial" w:cs="Arial"/>
                <w:color w:val="FFFFFF" w:themeColor="background1"/>
                <w:sz w:val="22"/>
                <w:szCs w:val="22"/>
              </w:rPr>
              <w:t>Use Requirement</w:t>
            </w:r>
          </w:p>
        </w:tc>
        <w:tc>
          <w:tcPr>
            <w:tcW w:w="3117" w:type="dxa"/>
            <w:shd w:val="clear" w:color="auto" w:fill="2683C6" w:themeFill="accent6"/>
          </w:tcPr>
          <w:p w14:paraId="7DEB4402" w14:textId="72914914" w:rsidR="0095526D" w:rsidRPr="00D47533" w:rsidRDefault="0095526D" w:rsidP="00D47533">
            <w:pPr>
              <w:autoSpaceDE w:val="0"/>
              <w:autoSpaceDN w:val="0"/>
              <w:adjustRightInd w:val="0"/>
              <w:spacing w:line="300" w:lineRule="auto"/>
              <w:contextualSpacing/>
              <w:jc w:val="center"/>
              <w:rPr>
                <w:rFonts w:ascii="Arial" w:hAnsi="Arial" w:cs="Arial"/>
                <w:color w:val="FFFFFF" w:themeColor="background1"/>
                <w:sz w:val="22"/>
                <w:szCs w:val="22"/>
              </w:rPr>
            </w:pPr>
            <w:r w:rsidRPr="00D47533">
              <w:rPr>
                <w:rFonts w:ascii="Arial" w:hAnsi="Arial" w:cs="Arial"/>
                <w:color w:val="FFFFFF" w:themeColor="background1"/>
                <w:sz w:val="22"/>
                <w:szCs w:val="22"/>
              </w:rPr>
              <w:t>Building Valuation</w:t>
            </w:r>
          </w:p>
        </w:tc>
      </w:tr>
      <w:tr w:rsidR="0095526D" w:rsidRPr="00D47533" w14:paraId="43961251" w14:textId="77777777" w:rsidTr="0095526D">
        <w:tc>
          <w:tcPr>
            <w:tcW w:w="3116" w:type="dxa"/>
          </w:tcPr>
          <w:p w14:paraId="46C94029" w14:textId="69896433"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Major Rehabilitation</w:t>
            </w:r>
          </w:p>
        </w:tc>
        <w:tc>
          <w:tcPr>
            <w:tcW w:w="3117" w:type="dxa"/>
          </w:tcPr>
          <w:p w14:paraId="31AF45B4" w14:textId="56D5DB22"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10 years*</w:t>
            </w:r>
          </w:p>
        </w:tc>
        <w:tc>
          <w:tcPr>
            <w:tcW w:w="3117" w:type="dxa"/>
          </w:tcPr>
          <w:p w14:paraId="2C11D7F1" w14:textId="654482B0"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If rehabilitation costs exceed 75% of the value of the building </w:t>
            </w:r>
            <w:r w:rsidRPr="00D47533">
              <w:rPr>
                <w:rStyle w:val="Strong"/>
                <w:rFonts w:ascii="Arial" w:hAnsi="Arial" w:cs="Arial"/>
                <w:color w:val="333333"/>
                <w:sz w:val="22"/>
                <w:szCs w:val="22"/>
              </w:rPr>
              <w:t>before rehab</w:t>
            </w:r>
          </w:p>
        </w:tc>
      </w:tr>
      <w:tr w:rsidR="0095526D" w:rsidRPr="00D47533" w14:paraId="071EB70C" w14:textId="77777777" w:rsidTr="0095526D">
        <w:tc>
          <w:tcPr>
            <w:tcW w:w="3116" w:type="dxa"/>
          </w:tcPr>
          <w:p w14:paraId="6F497820" w14:textId="105683E4"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Conversion</w:t>
            </w:r>
          </w:p>
        </w:tc>
        <w:tc>
          <w:tcPr>
            <w:tcW w:w="3117" w:type="dxa"/>
          </w:tcPr>
          <w:p w14:paraId="7092677F" w14:textId="620E6F28"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10 years*</w:t>
            </w:r>
          </w:p>
        </w:tc>
        <w:tc>
          <w:tcPr>
            <w:tcW w:w="3117" w:type="dxa"/>
          </w:tcPr>
          <w:p w14:paraId="3B99675A" w14:textId="5ECB4D9C"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If rehabilitation costs exceed 75% of the value of the building </w:t>
            </w:r>
            <w:r w:rsidRPr="00D47533">
              <w:rPr>
                <w:rStyle w:val="Strong"/>
                <w:rFonts w:ascii="Arial" w:hAnsi="Arial" w:cs="Arial"/>
                <w:color w:val="333333"/>
                <w:sz w:val="22"/>
                <w:szCs w:val="22"/>
              </w:rPr>
              <w:t>after rehab</w:t>
            </w:r>
          </w:p>
        </w:tc>
      </w:tr>
      <w:tr w:rsidR="0095526D" w:rsidRPr="00D47533" w14:paraId="7DF8A6E2" w14:textId="77777777" w:rsidTr="0095526D">
        <w:tc>
          <w:tcPr>
            <w:tcW w:w="3116" w:type="dxa"/>
          </w:tcPr>
          <w:p w14:paraId="4061088C" w14:textId="386D5215"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Other Renovation</w:t>
            </w:r>
          </w:p>
        </w:tc>
        <w:tc>
          <w:tcPr>
            <w:tcW w:w="3117" w:type="dxa"/>
          </w:tcPr>
          <w:p w14:paraId="6591BDBF" w14:textId="54F2C57F"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3 years</w:t>
            </w:r>
          </w:p>
        </w:tc>
        <w:tc>
          <w:tcPr>
            <w:tcW w:w="3117" w:type="dxa"/>
          </w:tcPr>
          <w:p w14:paraId="23292EE4" w14:textId="008F7920" w:rsidR="0095526D" w:rsidRPr="00D47533" w:rsidRDefault="0095526D" w:rsidP="0095526D">
            <w:pPr>
              <w:autoSpaceDE w:val="0"/>
              <w:autoSpaceDN w:val="0"/>
              <w:adjustRightInd w:val="0"/>
              <w:spacing w:line="300" w:lineRule="auto"/>
              <w:contextualSpacing/>
              <w:rPr>
                <w:rFonts w:ascii="Arial" w:hAnsi="Arial" w:cs="Arial"/>
                <w:b/>
                <w:bCs/>
                <w:color w:val="333333"/>
                <w:sz w:val="22"/>
                <w:szCs w:val="22"/>
                <w:u w:val="single"/>
                <w:shd w:val="clear" w:color="auto" w:fill="FFFFFF"/>
              </w:rPr>
            </w:pPr>
            <w:r w:rsidRPr="00D47533">
              <w:rPr>
                <w:rFonts w:ascii="Arial" w:hAnsi="Arial" w:cs="Arial"/>
                <w:color w:val="333333"/>
                <w:sz w:val="22"/>
                <w:szCs w:val="22"/>
              </w:rPr>
              <w:t>If rehabilitation costs are 75% or less of the value of the building </w:t>
            </w:r>
            <w:r w:rsidRPr="00D47533">
              <w:rPr>
                <w:rStyle w:val="Strong"/>
                <w:rFonts w:ascii="Arial" w:hAnsi="Arial" w:cs="Arial"/>
                <w:color w:val="333333"/>
                <w:sz w:val="22"/>
                <w:szCs w:val="22"/>
              </w:rPr>
              <w:t>before rehab</w:t>
            </w:r>
          </w:p>
        </w:tc>
      </w:tr>
    </w:tbl>
    <w:p w14:paraId="48BE8A33" w14:textId="6F12EF2D" w:rsidR="008469C1" w:rsidRPr="00D47533" w:rsidRDefault="00FC44DD" w:rsidP="000B6BE3">
      <w:pPr>
        <w:autoSpaceDE w:val="0"/>
        <w:autoSpaceDN w:val="0"/>
        <w:adjustRightInd w:val="0"/>
        <w:spacing w:after="0" w:line="300" w:lineRule="auto"/>
        <w:contextualSpacing/>
        <w:rPr>
          <w:rFonts w:ascii="Arial" w:hAnsi="Arial" w:cs="Arial"/>
          <w:b/>
          <w:bCs/>
          <w:color w:val="333333"/>
          <w:sz w:val="24"/>
          <w:szCs w:val="24"/>
          <w:u w:val="single"/>
          <w:shd w:val="clear" w:color="auto" w:fill="FFFFFF"/>
        </w:rPr>
      </w:pPr>
      <w:r w:rsidRPr="00D47533">
        <w:rPr>
          <w:rFonts w:ascii="Arial" w:hAnsi="Arial" w:cs="Arial"/>
          <w:color w:val="333333"/>
          <w:sz w:val="22"/>
          <w:szCs w:val="22"/>
          <w:shd w:val="clear" w:color="auto" w:fill="FFFFFF"/>
        </w:rPr>
        <w:t>*Recorded deed or use restriction required.</w:t>
      </w:r>
    </w:p>
    <w:p w14:paraId="40AEDD2F" w14:textId="77777777" w:rsidR="00AD6496" w:rsidRDefault="00AD6496" w:rsidP="000B6BE3">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p>
    <w:p w14:paraId="56DEB1F1" w14:textId="5EAE9923" w:rsidR="0032238C" w:rsidRPr="00D47533" w:rsidRDefault="0032238C" w:rsidP="000B6BE3">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Pr>
          <w:rFonts w:asciiTheme="minorBidi" w:hAnsiTheme="minorBidi"/>
          <w:b/>
          <w:bCs/>
          <w:color w:val="333333"/>
          <w:sz w:val="22"/>
          <w:szCs w:val="22"/>
          <w:u w:val="single"/>
          <w:shd w:val="clear" w:color="auto" w:fill="FFFFFF"/>
        </w:rPr>
        <w:t>Eligible Expenses under ESG-CV</w:t>
      </w:r>
    </w:p>
    <w:p w14:paraId="124B2BDF" w14:textId="5C4310F4"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Emergency shelter activities funded with ESG-CV should be in alignment with recommended</w:t>
      </w:r>
    </w:p>
    <w:p w14:paraId="402C7EA4" w14:textId="4D378A26"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guidance to effectively manage infectious disease within the shelter during coronavirus. ESG-CV</w:t>
      </w:r>
      <w:r w:rsidR="0032238C">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funding for emergency shelter to respond to COVID-19 may include providing cleaning supplies;</w:t>
      </w:r>
      <w:r w:rsidR="0032238C">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personal protective equipment for staff and program participants; portable hygiene services;</w:t>
      </w:r>
      <w:r w:rsidR="0032238C">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volunteer incentives; hazard pay; furnishings such as room dividers and cots; and costs</w:t>
      </w:r>
      <w:r w:rsidR="0032238C">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associated with providing transportation for program participants to travel to and from medical</w:t>
      </w:r>
      <w:r w:rsidR="0032238C">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care, and other needed services.</w:t>
      </w:r>
    </w:p>
    <w:p w14:paraId="602EFAEC" w14:textId="77777777" w:rsidR="0032238C" w:rsidRPr="001B7B77" w:rsidRDefault="0032238C" w:rsidP="000B6BE3">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0C3A3D7A" w14:textId="0CF9D952" w:rsidR="000B6BE3" w:rsidRPr="001B7B77" w:rsidRDefault="000B6BE3" w:rsidP="000B6BE3">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1B7B77">
        <w:rPr>
          <w:rFonts w:asciiTheme="minorBidi" w:hAnsiTheme="minorBidi"/>
          <w:b/>
          <w:bCs/>
          <w:color w:val="333333"/>
          <w:sz w:val="22"/>
          <w:szCs w:val="22"/>
          <w:shd w:val="clear" w:color="auto" w:fill="FFFFFF"/>
        </w:rPr>
        <w:t>Temporary Emergency Shelter</w:t>
      </w:r>
    </w:p>
    <w:p w14:paraId="7D35FCB5" w14:textId="7B4F497C"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ESG-CV funds may be used to pay for temporary emergency shelters for individuals and families</w:t>
      </w:r>
      <w:r w:rsidR="00316955">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experiencing homelessness. Eligible costs include leasing, operations, services, property</w:t>
      </w:r>
      <w:r w:rsidR="00316955">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acquisition and renovation.</w:t>
      </w:r>
    </w:p>
    <w:p w14:paraId="06D4724B" w14:textId="77777777" w:rsidR="00316955" w:rsidRDefault="00316955"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B2C994D" w14:textId="5859C481"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Temporary Emergency Shelter is defined as a structure or any portion of a structure, which is</w:t>
      </w:r>
    </w:p>
    <w:p w14:paraId="1901E808" w14:textId="77777777"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 xml:space="preserve">used for a limited </w:t>
      </w:r>
      <w:proofErr w:type="gramStart"/>
      <w:r w:rsidRPr="000B6BE3">
        <w:rPr>
          <w:rFonts w:asciiTheme="minorBidi" w:hAnsiTheme="minorBidi"/>
          <w:color w:val="333333"/>
          <w:sz w:val="22"/>
          <w:szCs w:val="22"/>
          <w:shd w:val="clear" w:color="auto" w:fill="FFFFFF"/>
        </w:rPr>
        <w:t>period of time</w:t>
      </w:r>
      <w:proofErr w:type="gramEnd"/>
      <w:r w:rsidRPr="000B6BE3">
        <w:rPr>
          <w:rFonts w:asciiTheme="minorBidi" w:hAnsiTheme="minorBidi"/>
          <w:color w:val="333333"/>
          <w:sz w:val="22"/>
          <w:szCs w:val="22"/>
          <w:shd w:val="clear" w:color="auto" w:fill="FFFFFF"/>
        </w:rPr>
        <w:t xml:space="preserve"> because of a crisis, such as a natural disaster or public health</w:t>
      </w:r>
    </w:p>
    <w:p w14:paraId="792F3233" w14:textId="77777777"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emergency, to provide shelter for individuals and families displaced from their normal place of</w:t>
      </w:r>
    </w:p>
    <w:p w14:paraId="22A5D0AE" w14:textId="77777777"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residence or sheltered or unsheltered locations.</w:t>
      </w:r>
    </w:p>
    <w:p w14:paraId="527BDD60" w14:textId="77777777" w:rsidR="00316955" w:rsidRDefault="00316955"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3CB4F37" w14:textId="39CB9765"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Temporary Emergency Shelters are exempt from:</w:t>
      </w:r>
      <w:r w:rsidR="00316955">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Minimum standards for emergency shelters at 24 CFR 403(b) – (lead-based paint</w:t>
      </w:r>
      <w:r w:rsidR="00316955">
        <w:rPr>
          <w:rFonts w:asciiTheme="minorBidi" w:hAnsiTheme="minorBidi"/>
          <w:color w:val="333333"/>
          <w:sz w:val="22"/>
          <w:szCs w:val="22"/>
          <w:shd w:val="clear" w:color="auto" w:fill="FFFFFF"/>
        </w:rPr>
        <w:t xml:space="preserve"> </w:t>
      </w:r>
      <w:r w:rsidRPr="000B6BE3">
        <w:rPr>
          <w:rFonts w:asciiTheme="minorBidi" w:hAnsiTheme="minorBidi"/>
          <w:color w:val="333333"/>
          <w:sz w:val="22"/>
          <w:szCs w:val="22"/>
          <w:shd w:val="clear" w:color="auto" w:fill="FFFFFF"/>
        </w:rPr>
        <w:t>requirements still apply)</w:t>
      </w:r>
    </w:p>
    <w:p w14:paraId="79AAAF2B" w14:textId="50544245" w:rsidR="000B6BE3" w:rsidRPr="00D47533" w:rsidRDefault="000B6BE3" w:rsidP="004A10EE">
      <w:pPr>
        <w:pStyle w:val="ListParagraph"/>
        <w:numPr>
          <w:ilvl w:val="0"/>
          <w:numId w:val="31"/>
        </w:numPr>
        <w:autoSpaceDE w:val="0"/>
        <w:autoSpaceDN w:val="0"/>
        <w:adjustRightInd w:val="0"/>
        <w:spacing w:after="0" w:line="300" w:lineRule="auto"/>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t>Environmental review</w:t>
      </w:r>
    </w:p>
    <w:p w14:paraId="240EFBAF" w14:textId="4D64B2DF" w:rsidR="000B6BE3" w:rsidRPr="00D47533" w:rsidRDefault="000B6BE3" w:rsidP="004A10EE">
      <w:pPr>
        <w:pStyle w:val="ListParagraph"/>
        <w:numPr>
          <w:ilvl w:val="0"/>
          <w:numId w:val="31"/>
        </w:numPr>
        <w:autoSpaceDE w:val="0"/>
        <w:autoSpaceDN w:val="0"/>
        <w:adjustRightInd w:val="0"/>
        <w:spacing w:after="0" w:line="300" w:lineRule="auto"/>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lastRenderedPageBreak/>
        <w:t>Minimum period of use requirement (24 CFR 576.102(a)(xi)(4)(c))</w:t>
      </w:r>
    </w:p>
    <w:p w14:paraId="6DDA342D" w14:textId="77777777" w:rsidR="000B6BE3" w:rsidRP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Grantees must retain documentation that the shelter met the definition of temporary</w:t>
      </w:r>
    </w:p>
    <w:p w14:paraId="5C807067" w14:textId="02390A18" w:rsidR="000B6BE3" w:rsidRDefault="000B6BE3" w:rsidP="000B6BE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0B6BE3">
        <w:rPr>
          <w:rFonts w:asciiTheme="minorBidi" w:hAnsiTheme="minorBidi"/>
          <w:color w:val="333333"/>
          <w:sz w:val="22"/>
          <w:szCs w:val="22"/>
          <w:shd w:val="clear" w:color="auto" w:fill="FFFFFF"/>
        </w:rPr>
        <w:t>emergency shelter.</w:t>
      </w:r>
    </w:p>
    <w:p w14:paraId="477D3767" w14:textId="77777777" w:rsid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74FAA11F" w14:textId="17584ADF" w:rsid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Acquisition and renovation costs are subject to Disposition requirements outlined in </w:t>
      </w:r>
      <w:r w:rsidRPr="00A743C3">
        <w:rPr>
          <w:rFonts w:asciiTheme="minorBidi" w:hAnsiTheme="minorBidi"/>
          <w:color w:val="333333"/>
          <w:sz w:val="22"/>
          <w:szCs w:val="22"/>
          <w:u w:val="single"/>
          <w:shd w:val="clear" w:color="auto" w:fill="FFFFFF"/>
        </w:rPr>
        <w:t>2 CFR</w:t>
      </w:r>
      <w:r w:rsidRPr="00A743C3">
        <w:rPr>
          <w:rFonts w:asciiTheme="minorBidi" w:hAnsiTheme="minorBidi"/>
          <w:color w:val="333333"/>
          <w:sz w:val="22"/>
          <w:szCs w:val="22"/>
          <w:shd w:val="clear" w:color="auto" w:fill="FFFFFF"/>
        </w:rPr>
        <w:t xml:space="preserve"> 200.311</w:t>
      </w:r>
      <w:r w:rsidRPr="00A743C3">
        <w:rPr>
          <w:rFonts w:asciiTheme="minorBidi" w:hAnsiTheme="minorBidi"/>
          <w:color w:val="333333"/>
          <w:sz w:val="22"/>
          <w:szCs w:val="22"/>
          <w:u w:val="single"/>
          <w:shd w:val="clear" w:color="auto" w:fill="FFFFFF"/>
        </w:rPr>
        <w:t xml:space="preserve"> – Real Property </w:t>
      </w:r>
      <w:r w:rsidRPr="00A743C3">
        <w:rPr>
          <w:rFonts w:asciiTheme="minorBidi" w:hAnsiTheme="minorBidi"/>
          <w:color w:val="333333"/>
          <w:sz w:val="22"/>
          <w:szCs w:val="22"/>
          <w:shd w:val="clear" w:color="auto" w:fill="FFFFFF"/>
        </w:rPr>
        <w:t xml:space="preserve">which requires repayment to HUD. Grantees who are considering </w:t>
      </w:r>
      <w:r>
        <w:rPr>
          <w:rFonts w:asciiTheme="minorBidi" w:hAnsiTheme="minorBidi"/>
          <w:color w:val="333333"/>
          <w:sz w:val="22"/>
          <w:szCs w:val="22"/>
          <w:shd w:val="clear" w:color="auto" w:fill="FFFFFF"/>
        </w:rPr>
        <w:t>acquisition</w:t>
      </w:r>
      <w:r w:rsidRPr="00A743C3">
        <w:rPr>
          <w:rFonts w:asciiTheme="minorBidi" w:hAnsiTheme="minorBidi"/>
          <w:color w:val="333333"/>
          <w:sz w:val="22"/>
          <w:szCs w:val="22"/>
          <w:shd w:val="clear" w:color="auto" w:fill="FFFFFF"/>
        </w:rPr>
        <w:t xml:space="preserve"> and renovation costs should work closely with </w:t>
      </w:r>
      <w:r w:rsidR="00923CA6">
        <w:rPr>
          <w:rFonts w:asciiTheme="minorBidi" w:hAnsiTheme="minorBidi"/>
          <w:color w:val="333333"/>
          <w:sz w:val="22"/>
          <w:szCs w:val="22"/>
          <w:shd w:val="clear" w:color="auto" w:fill="FFFFFF"/>
        </w:rPr>
        <w:t>EOHLC</w:t>
      </w:r>
      <w:r w:rsidRPr="00A743C3">
        <w:rPr>
          <w:rFonts w:asciiTheme="minorBidi" w:hAnsiTheme="minorBidi"/>
          <w:color w:val="333333"/>
          <w:sz w:val="22"/>
          <w:szCs w:val="22"/>
          <w:shd w:val="clear" w:color="auto" w:fill="FFFFFF"/>
        </w:rPr>
        <w:t xml:space="preserve"> staff to ensure </w:t>
      </w:r>
      <w:r w:rsidR="00650779" w:rsidRPr="00A743C3">
        <w:rPr>
          <w:rFonts w:asciiTheme="minorBidi" w:hAnsiTheme="minorBidi"/>
          <w:color w:val="333333"/>
          <w:sz w:val="22"/>
          <w:szCs w:val="22"/>
          <w:shd w:val="clear" w:color="auto" w:fill="FFFFFF"/>
        </w:rPr>
        <w:t>adherence to</w:t>
      </w:r>
      <w:r w:rsidRPr="00A743C3">
        <w:rPr>
          <w:rFonts w:asciiTheme="minorBidi" w:hAnsiTheme="minorBidi"/>
          <w:color w:val="333333"/>
          <w:sz w:val="22"/>
          <w:szCs w:val="22"/>
          <w:shd w:val="clear" w:color="auto" w:fill="FFFFFF"/>
        </w:rPr>
        <w:t xml:space="preserve"> requirements.  </w:t>
      </w:r>
    </w:p>
    <w:p w14:paraId="55AC66F5"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8"/>
        <w:gridCol w:w="3382"/>
        <w:gridCol w:w="4230"/>
      </w:tblGrid>
      <w:tr w:rsidR="00A743C3" w:rsidRPr="00A743C3" w14:paraId="641164FF" w14:textId="77777777" w:rsidTr="00D47533">
        <w:trPr>
          <w:trHeight w:val="559"/>
        </w:trPr>
        <w:tc>
          <w:tcPr>
            <w:tcW w:w="1738" w:type="dxa"/>
            <w:shd w:val="clear" w:color="auto" w:fill="auto"/>
            <w:tcMar>
              <w:top w:w="100" w:type="dxa"/>
              <w:left w:w="100" w:type="dxa"/>
              <w:bottom w:w="100" w:type="dxa"/>
              <w:right w:w="100" w:type="dxa"/>
            </w:tcMar>
          </w:tcPr>
          <w:p w14:paraId="4E040D55"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Emergency Shelter  </w:t>
            </w:r>
          </w:p>
          <w:p w14:paraId="0C806573"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Activity </w:t>
            </w:r>
          </w:p>
        </w:tc>
        <w:tc>
          <w:tcPr>
            <w:tcW w:w="3382" w:type="dxa"/>
            <w:shd w:val="clear" w:color="auto" w:fill="auto"/>
            <w:tcMar>
              <w:top w:w="100" w:type="dxa"/>
              <w:left w:w="100" w:type="dxa"/>
              <w:bottom w:w="100" w:type="dxa"/>
              <w:right w:w="100" w:type="dxa"/>
            </w:tcMar>
          </w:tcPr>
          <w:p w14:paraId="34C0B203"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b/>
                <w:i/>
                <w:color w:val="333333"/>
                <w:sz w:val="22"/>
                <w:szCs w:val="22"/>
                <w:shd w:val="clear" w:color="auto" w:fill="FFFFFF"/>
              </w:rPr>
              <w:t xml:space="preserve">Temporary </w:t>
            </w:r>
            <w:r w:rsidRPr="00A743C3">
              <w:rPr>
                <w:rFonts w:asciiTheme="minorBidi" w:hAnsiTheme="minorBidi"/>
                <w:color w:val="333333"/>
                <w:sz w:val="22"/>
                <w:szCs w:val="22"/>
                <w:shd w:val="clear" w:color="auto" w:fill="FFFFFF"/>
              </w:rPr>
              <w:t xml:space="preserve">Emergency Shelter </w:t>
            </w:r>
          </w:p>
        </w:tc>
        <w:tc>
          <w:tcPr>
            <w:tcW w:w="4230" w:type="dxa"/>
            <w:shd w:val="clear" w:color="auto" w:fill="auto"/>
            <w:tcMar>
              <w:top w:w="100" w:type="dxa"/>
              <w:left w:w="100" w:type="dxa"/>
              <w:bottom w:w="100" w:type="dxa"/>
              <w:right w:w="100" w:type="dxa"/>
            </w:tcMar>
          </w:tcPr>
          <w:p w14:paraId="5F79F0A2"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b/>
                <w:i/>
                <w:color w:val="333333"/>
                <w:sz w:val="22"/>
                <w:szCs w:val="22"/>
                <w:shd w:val="clear" w:color="auto" w:fill="FFFFFF"/>
              </w:rPr>
              <w:t xml:space="preserve">Permanent </w:t>
            </w:r>
            <w:r w:rsidRPr="00A743C3">
              <w:rPr>
                <w:rFonts w:asciiTheme="minorBidi" w:hAnsiTheme="minorBidi"/>
                <w:color w:val="333333"/>
                <w:sz w:val="22"/>
                <w:szCs w:val="22"/>
                <w:shd w:val="clear" w:color="auto" w:fill="FFFFFF"/>
              </w:rPr>
              <w:t>Emergency Shelter</w:t>
            </w:r>
          </w:p>
        </w:tc>
      </w:tr>
      <w:tr w:rsidR="00A743C3" w:rsidRPr="00A743C3" w14:paraId="54D26333" w14:textId="77777777" w:rsidTr="00D47533">
        <w:trPr>
          <w:trHeight w:val="556"/>
        </w:trPr>
        <w:tc>
          <w:tcPr>
            <w:tcW w:w="1738" w:type="dxa"/>
            <w:shd w:val="clear" w:color="auto" w:fill="auto"/>
            <w:tcMar>
              <w:top w:w="100" w:type="dxa"/>
              <w:left w:w="100" w:type="dxa"/>
              <w:bottom w:w="100" w:type="dxa"/>
              <w:right w:w="100" w:type="dxa"/>
            </w:tcMar>
          </w:tcPr>
          <w:p w14:paraId="0A5C64EE"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Renovations </w:t>
            </w:r>
          </w:p>
        </w:tc>
        <w:tc>
          <w:tcPr>
            <w:tcW w:w="3382" w:type="dxa"/>
            <w:shd w:val="clear" w:color="auto" w:fill="auto"/>
            <w:tcMar>
              <w:top w:w="100" w:type="dxa"/>
              <w:left w:w="100" w:type="dxa"/>
              <w:bottom w:w="100" w:type="dxa"/>
              <w:right w:w="100" w:type="dxa"/>
            </w:tcMar>
          </w:tcPr>
          <w:p w14:paraId="1598AD38"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Allowable, repayment required </w:t>
            </w:r>
          </w:p>
        </w:tc>
        <w:tc>
          <w:tcPr>
            <w:tcW w:w="4230" w:type="dxa"/>
            <w:shd w:val="clear" w:color="auto" w:fill="auto"/>
            <w:tcMar>
              <w:top w:w="100" w:type="dxa"/>
              <w:left w:w="100" w:type="dxa"/>
              <w:bottom w:w="100" w:type="dxa"/>
              <w:right w:w="100" w:type="dxa"/>
            </w:tcMar>
          </w:tcPr>
          <w:p w14:paraId="1D39FE02" w14:textId="4568E1BC"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Allowable, minimum period of </w:t>
            </w:r>
            <w:r w:rsidR="008469C1" w:rsidRPr="00A743C3">
              <w:rPr>
                <w:rFonts w:asciiTheme="minorBidi" w:hAnsiTheme="minorBidi"/>
                <w:color w:val="333333"/>
                <w:sz w:val="22"/>
                <w:szCs w:val="22"/>
                <w:shd w:val="clear" w:color="auto" w:fill="FFFFFF"/>
              </w:rPr>
              <w:t>use required</w:t>
            </w:r>
            <w:r w:rsidRPr="00A743C3">
              <w:rPr>
                <w:rFonts w:asciiTheme="minorBidi" w:hAnsiTheme="minorBidi"/>
                <w:color w:val="333333"/>
                <w:sz w:val="22"/>
                <w:szCs w:val="22"/>
                <w:shd w:val="clear" w:color="auto" w:fill="FFFFFF"/>
              </w:rPr>
              <w:t xml:space="preserve"> </w:t>
            </w:r>
          </w:p>
        </w:tc>
      </w:tr>
      <w:tr w:rsidR="00A743C3" w:rsidRPr="00A743C3" w14:paraId="3FE41EF4" w14:textId="77777777" w:rsidTr="00D47533">
        <w:trPr>
          <w:trHeight w:val="287"/>
        </w:trPr>
        <w:tc>
          <w:tcPr>
            <w:tcW w:w="1738" w:type="dxa"/>
            <w:shd w:val="clear" w:color="auto" w:fill="auto"/>
            <w:tcMar>
              <w:top w:w="100" w:type="dxa"/>
              <w:left w:w="100" w:type="dxa"/>
              <w:bottom w:w="100" w:type="dxa"/>
              <w:right w:w="100" w:type="dxa"/>
            </w:tcMar>
          </w:tcPr>
          <w:p w14:paraId="26347884"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Acquisition </w:t>
            </w:r>
          </w:p>
        </w:tc>
        <w:tc>
          <w:tcPr>
            <w:tcW w:w="3382" w:type="dxa"/>
            <w:shd w:val="clear" w:color="auto" w:fill="auto"/>
            <w:tcMar>
              <w:top w:w="100" w:type="dxa"/>
              <w:left w:w="100" w:type="dxa"/>
              <w:bottom w:w="100" w:type="dxa"/>
              <w:right w:w="100" w:type="dxa"/>
            </w:tcMar>
          </w:tcPr>
          <w:p w14:paraId="46002363"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Allowable, repayment required </w:t>
            </w:r>
          </w:p>
        </w:tc>
        <w:tc>
          <w:tcPr>
            <w:tcW w:w="4230" w:type="dxa"/>
            <w:shd w:val="clear" w:color="auto" w:fill="auto"/>
            <w:tcMar>
              <w:top w:w="100" w:type="dxa"/>
              <w:left w:w="100" w:type="dxa"/>
              <w:bottom w:w="100" w:type="dxa"/>
              <w:right w:w="100" w:type="dxa"/>
            </w:tcMar>
          </w:tcPr>
          <w:p w14:paraId="0E5A7917"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Not allowable</w:t>
            </w:r>
          </w:p>
        </w:tc>
      </w:tr>
    </w:tbl>
    <w:p w14:paraId="2D8447F0" w14:textId="77777777"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98C64EA" w14:textId="447E1834" w:rsidR="00A743C3" w:rsidRP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Program participants cannot be required to sign leases or occupancy agreements, receive treatment, or perform any other prerequisite activities as a condition for staying in any </w:t>
      </w:r>
      <w:r w:rsidR="007D50B7" w:rsidRPr="00A743C3">
        <w:rPr>
          <w:rFonts w:asciiTheme="minorBidi" w:hAnsiTheme="minorBidi"/>
          <w:color w:val="333333"/>
          <w:sz w:val="22"/>
          <w:szCs w:val="22"/>
          <w:shd w:val="clear" w:color="auto" w:fill="FFFFFF"/>
        </w:rPr>
        <w:t>shelter or</w:t>
      </w:r>
      <w:r w:rsidRPr="00A743C3">
        <w:rPr>
          <w:rFonts w:asciiTheme="minorBidi" w:hAnsiTheme="minorBidi"/>
          <w:color w:val="333333"/>
          <w:sz w:val="22"/>
          <w:szCs w:val="22"/>
          <w:shd w:val="clear" w:color="auto" w:fill="FFFFFF"/>
        </w:rPr>
        <w:t xml:space="preserve"> receiving services.  </w:t>
      </w:r>
    </w:p>
    <w:p w14:paraId="156924AC" w14:textId="77777777" w:rsid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A082EE3" w14:textId="677995E8" w:rsidR="00A743C3" w:rsidRDefault="00A743C3"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A743C3">
        <w:rPr>
          <w:rFonts w:asciiTheme="minorBidi" w:hAnsiTheme="minorBidi"/>
          <w:color w:val="333333"/>
          <w:sz w:val="22"/>
          <w:szCs w:val="22"/>
          <w:shd w:val="clear" w:color="auto" w:fill="FFFFFF"/>
        </w:rPr>
        <w:t xml:space="preserve">Grantees must </w:t>
      </w:r>
      <w:r w:rsidRPr="00D47533">
        <w:rPr>
          <w:rFonts w:asciiTheme="minorBidi" w:hAnsiTheme="minorBidi"/>
          <w:sz w:val="22"/>
          <w:szCs w:val="22"/>
          <w:shd w:val="clear" w:color="auto" w:fill="FFFFFF"/>
        </w:rPr>
        <w:t>document</w:t>
      </w:r>
      <w:r w:rsidRPr="00A743C3">
        <w:rPr>
          <w:rFonts w:asciiTheme="minorBidi" w:hAnsiTheme="minorBidi"/>
          <w:color w:val="333333"/>
          <w:sz w:val="22"/>
          <w:szCs w:val="22"/>
          <w:shd w:val="clear" w:color="auto" w:fill="FFFFFF"/>
        </w:rPr>
        <w:t xml:space="preserve"> that the structure/portion of the structure met the definition of </w:t>
      </w:r>
      <w:r>
        <w:rPr>
          <w:rFonts w:asciiTheme="minorBidi" w:hAnsiTheme="minorBidi"/>
          <w:color w:val="333333"/>
          <w:sz w:val="22"/>
          <w:szCs w:val="22"/>
          <w:shd w:val="clear" w:color="auto" w:fill="FFFFFF"/>
        </w:rPr>
        <w:t>Temporary</w:t>
      </w:r>
      <w:r w:rsidRPr="00A743C3">
        <w:rPr>
          <w:rFonts w:asciiTheme="minorBidi" w:hAnsiTheme="minorBidi"/>
          <w:color w:val="333333"/>
          <w:sz w:val="22"/>
          <w:szCs w:val="22"/>
          <w:shd w:val="clear" w:color="auto" w:fill="FFFFFF"/>
        </w:rPr>
        <w:t xml:space="preserve"> Emergency Shelter.  </w:t>
      </w:r>
    </w:p>
    <w:p w14:paraId="3EAA22CD" w14:textId="63D81AD9" w:rsidR="00EF54EF" w:rsidRDefault="00EF54EF" w:rsidP="00A743C3">
      <w:pPr>
        <w:autoSpaceDE w:val="0"/>
        <w:autoSpaceDN w:val="0"/>
        <w:adjustRightInd w:val="0"/>
        <w:spacing w:after="0" w:line="300" w:lineRule="auto"/>
        <w:contextualSpacing/>
        <w:rPr>
          <w:rFonts w:asciiTheme="minorBidi" w:hAnsiTheme="minorBidi"/>
          <w:sz w:val="22"/>
          <w:szCs w:val="22"/>
        </w:rPr>
      </w:pPr>
    </w:p>
    <w:p w14:paraId="0DF1D168" w14:textId="7030CDAA" w:rsidR="00EF54EF" w:rsidRDefault="00EF54EF" w:rsidP="00EF54EF">
      <w:pPr>
        <w:autoSpaceDE w:val="0"/>
        <w:autoSpaceDN w:val="0"/>
        <w:adjustRightInd w:val="0"/>
        <w:spacing w:after="0" w:line="300" w:lineRule="auto"/>
        <w:contextualSpacing/>
        <w:rPr>
          <w:rFonts w:asciiTheme="minorBidi" w:hAnsiTheme="minorBidi"/>
          <w:b/>
          <w:sz w:val="22"/>
          <w:szCs w:val="22"/>
        </w:rPr>
      </w:pPr>
      <w:r w:rsidRPr="00EF54EF">
        <w:rPr>
          <w:rFonts w:asciiTheme="minorBidi" w:hAnsiTheme="minorBidi"/>
          <w:b/>
          <w:sz w:val="22"/>
          <w:szCs w:val="22"/>
        </w:rPr>
        <w:t xml:space="preserve">Hazard Pay  </w:t>
      </w:r>
      <w:r>
        <w:rPr>
          <w:rFonts w:asciiTheme="minorBidi" w:hAnsiTheme="minorBidi"/>
          <w:b/>
          <w:sz w:val="22"/>
          <w:szCs w:val="22"/>
        </w:rPr>
        <w:t xml:space="preserve"> </w:t>
      </w:r>
    </w:p>
    <w:p w14:paraId="10FB4685" w14:textId="29E744FE" w:rsidR="00EF54EF" w:rsidRPr="00EF54EF" w:rsidRDefault="00EF54EF" w:rsidP="00EF54EF">
      <w:pPr>
        <w:autoSpaceDE w:val="0"/>
        <w:autoSpaceDN w:val="0"/>
        <w:adjustRightInd w:val="0"/>
        <w:spacing w:after="0" w:line="300" w:lineRule="auto"/>
        <w:contextualSpacing/>
        <w:rPr>
          <w:rFonts w:asciiTheme="minorBidi" w:hAnsiTheme="minorBidi"/>
          <w:sz w:val="22"/>
          <w:szCs w:val="22"/>
        </w:rPr>
      </w:pPr>
      <w:r w:rsidRPr="00EF54EF">
        <w:rPr>
          <w:rFonts w:asciiTheme="minorBidi" w:hAnsiTheme="minorBidi"/>
          <w:sz w:val="22"/>
          <w:szCs w:val="22"/>
        </w:rPr>
        <w:t xml:space="preserve">ESG-CV funds may be used to pay hazard pay for grantee staff who work directly to prevent, prepare for, and respond to coronavirus among households who are homeless or at-risk </w:t>
      </w:r>
      <w:r w:rsidR="00AD6496" w:rsidRPr="00EF54EF">
        <w:rPr>
          <w:rFonts w:asciiTheme="minorBidi" w:hAnsiTheme="minorBidi"/>
          <w:sz w:val="22"/>
          <w:szCs w:val="22"/>
        </w:rPr>
        <w:t>of homelessness</w:t>
      </w:r>
      <w:r w:rsidRPr="00EF54EF">
        <w:rPr>
          <w:rFonts w:asciiTheme="minorBidi" w:hAnsiTheme="minorBidi"/>
          <w:sz w:val="22"/>
          <w:szCs w:val="22"/>
        </w:rPr>
        <w:t xml:space="preserve">.  </w:t>
      </w:r>
    </w:p>
    <w:p w14:paraId="7E4EA5EB" w14:textId="77777777" w:rsidR="00EF54EF" w:rsidRDefault="00EF54EF" w:rsidP="00EF54EF">
      <w:pPr>
        <w:autoSpaceDE w:val="0"/>
        <w:autoSpaceDN w:val="0"/>
        <w:adjustRightInd w:val="0"/>
        <w:spacing w:after="0" w:line="300" w:lineRule="auto"/>
        <w:contextualSpacing/>
        <w:rPr>
          <w:rFonts w:asciiTheme="minorBidi" w:hAnsiTheme="minorBidi"/>
          <w:sz w:val="22"/>
          <w:szCs w:val="22"/>
        </w:rPr>
      </w:pPr>
      <w:r w:rsidRPr="00EF54EF">
        <w:rPr>
          <w:rFonts w:asciiTheme="minorBidi" w:hAnsiTheme="minorBidi"/>
          <w:sz w:val="22"/>
          <w:szCs w:val="22"/>
        </w:rPr>
        <w:t xml:space="preserve">Examples of staff working directly in support of coronavirus response include:  ∙ </w:t>
      </w:r>
    </w:p>
    <w:p w14:paraId="12CD1796" w14:textId="53FF2581" w:rsidR="00EF54EF" w:rsidRPr="00D47533" w:rsidRDefault="00EF54EF" w:rsidP="004A10EE">
      <w:pPr>
        <w:pStyle w:val="ListParagraph"/>
        <w:numPr>
          <w:ilvl w:val="0"/>
          <w:numId w:val="35"/>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Street outreach teams  </w:t>
      </w:r>
    </w:p>
    <w:p w14:paraId="610EA2F7" w14:textId="386A2ED5" w:rsidR="00EF54EF" w:rsidRPr="00D47533" w:rsidRDefault="00EF54EF" w:rsidP="004A10EE">
      <w:pPr>
        <w:pStyle w:val="ListParagraph"/>
        <w:numPr>
          <w:ilvl w:val="0"/>
          <w:numId w:val="34"/>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Emergency Shelter staff  </w:t>
      </w:r>
    </w:p>
    <w:p w14:paraId="098ED6E5" w14:textId="39D9B59A" w:rsidR="00EF54EF" w:rsidRPr="00D47533" w:rsidRDefault="00EF54EF" w:rsidP="004A10EE">
      <w:pPr>
        <w:pStyle w:val="ListParagraph"/>
        <w:numPr>
          <w:ilvl w:val="0"/>
          <w:numId w:val="34"/>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Staff providing essential services (e.g., outpatient health or mental </w:t>
      </w:r>
      <w:r w:rsidRPr="00EF54EF">
        <w:rPr>
          <w:rFonts w:asciiTheme="minorBidi" w:hAnsiTheme="minorBidi"/>
          <w:sz w:val="22"/>
          <w:szCs w:val="22"/>
        </w:rPr>
        <w:t>health, housing</w:t>
      </w:r>
      <w:r w:rsidRPr="00D47533">
        <w:rPr>
          <w:rFonts w:asciiTheme="minorBidi" w:hAnsiTheme="minorBidi"/>
          <w:sz w:val="22"/>
          <w:szCs w:val="22"/>
        </w:rPr>
        <w:t xml:space="preserve"> navigators)  </w:t>
      </w:r>
    </w:p>
    <w:p w14:paraId="47D6B7A7" w14:textId="697C6292" w:rsidR="00EF54EF" w:rsidRPr="00D47533" w:rsidRDefault="00EF54EF" w:rsidP="004A10EE">
      <w:pPr>
        <w:pStyle w:val="ListParagraph"/>
        <w:numPr>
          <w:ilvl w:val="0"/>
          <w:numId w:val="34"/>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Staff in proximity to persons with coronavirus or working in locations with a </w:t>
      </w:r>
      <w:r w:rsidR="00AD6496" w:rsidRPr="00D47533">
        <w:rPr>
          <w:rFonts w:asciiTheme="minorBidi" w:hAnsiTheme="minorBidi"/>
          <w:sz w:val="22"/>
          <w:szCs w:val="22"/>
        </w:rPr>
        <w:t>high likelihood</w:t>
      </w:r>
      <w:r w:rsidRPr="00D47533">
        <w:rPr>
          <w:rFonts w:asciiTheme="minorBidi" w:hAnsiTheme="minorBidi"/>
          <w:sz w:val="22"/>
          <w:szCs w:val="22"/>
        </w:rPr>
        <w:t xml:space="preserve"> of contracting coronavirus  </w:t>
      </w:r>
    </w:p>
    <w:p w14:paraId="13505ECF" w14:textId="64CF7D5F" w:rsidR="00EF54EF" w:rsidRPr="00EF54EF" w:rsidRDefault="00EF54EF" w:rsidP="00EF54EF">
      <w:pPr>
        <w:autoSpaceDE w:val="0"/>
        <w:autoSpaceDN w:val="0"/>
        <w:adjustRightInd w:val="0"/>
        <w:spacing w:after="0" w:line="300" w:lineRule="auto"/>
        <w:contextualSpacing/>
        <w:rPr>
          <w:rFonts w:asciiTheme="minorBidi" w:hAnsiTheme="minorBidi"/>
          <w:sz w:val="22"/>
          <w:szCs w:val="22"/>
        </w:rPr>
      </w:pPr>
      <w:r w:rsidRPr="00EF54EF">
        <w:rPr>
          <w:rFonts w:asciiTheme="minorBidi" w:hAnsiTheme="minorBidi"/>
          <w:sz w:val="22"/>
          <w:szCs w:val="22"/>
        </w:rPr>
        <w:t xml:space="preserve">Hazard pay may be billed under Homelessness Prevention, Rapid Re-Housing, Emergency Shelter, and Street Outreach program components. While grantees have the authority to </w:t>
      </w:r>
      <w:r w:rsidRPr="00EF54EF">
        <w:rPr>
          <w:rFonts w:asciiTheme="minorBidi" w:hAnsiTheme="minorBidi"/>
          <w:sz w:val="22"/>
          <w:szCs w:val="22"/>
        </w:rPr>
        <w:lastRenderedPageBreak/>
        <w:t xml:space="preserve">establish their own hazard pay amounts and their cap, all grantees should ensure the </w:t>
      </w:r>
      <w:r w:rsidR="00AD6496" w:rsidRPr="00EF54EF">
        <w:rPr>
          <w:rFonts w:asciiTheme="minorBidi" w:hAnsiTheme="minorBidi"/>
          <w:sz w:val="22"/>
          <w:szCs w:val="22"/>
        </w:rPr>
        <w:t>following criteria</w:t>
      </w:r>
      <w:r w:rsidRPr="00EF54EF">
        <w:rPr>
          <w:rFonts w:asciiTheme="minorBidi" w:hAnsiTheme="minorBidi"/>
          <w:sz w:val="22"/>
          <w:szCs w:val="22"/>
        </w:rPr>
        <w:t xml:space="preserve"> are met:  </w:t>
      </w:r>
    </w:p>
    <w:p w14:paraId="6BC84542" w14:textId="77777777" w:rsidR="00EF54EF" w:rsidRDefault="00EF54EF" w:rsidP="004A10EE">
      <w:pPr>
        <w:pStyle w:val="ListParagraph"/>
        <w:numPr>
          <w:ilvl w:val="0"/>
          <w:numId w:val="36"/>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They are provided under the organization’s established written </w:t>
      </w:r>
      <w:r w:rsidRPr="00D47533">
        <w:rPr>
          <w:rFonts w:asciiTheme="minorBidi" w:hAnsiTheme="minorBidi"/>
          <w:sz w:val="22"/>
          <w:szCs w:val="22"/>
          <w:u w:val="single"/>
        </w:rPr>
        <w:t>compensation policies</w:t>
      </w:r>
      <w:r w:rsidRPr="00D47533">
        <w:rPr>
          <w:rFonts w:asciiTheme="minorBidi" w:hAnsiTheme="minorBidi"/>
          <w:sz w:val="22"/>
          <w:szCs w:val="22"/>
        </w:rPr>
        <w:t xml:space="preserve"> </w:t>
      </w:r>
    </w:p>
    <w:p w14:paraId="573FB794" w14:textId="77777777" w:rsidR="00EF54EF" w:rsidRDefault="00EF54EF" w:rsidP="004A10EE">
      <w:pPr>
        <w:pStyle w:val="ListParagraph"/>
        <w:numPr>
          <w:ilvl w:val="0"/>
          <w:numId w:val="36"/>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The costs are equity allocated to all related activities including Federal awards; and,</w:t>
      </w:r>
    </w:p>
    <w:p w14:paraId="0D51D636" w14:textId="163E8524" w:rsidR="00EF54EF" w:rsidRPr="00D47533" w:rsidRDefault="00EF54EF" w:rsidP="004A10EE">
      <w:pPr>
        <w:pStyle w:val="ListParagraph"/>
        <w:numPr>
          <w:ilvl w:val="0"/>
          <w:numId w:val="36"/>
        </w:numPr>
        <w:autoSpaceDE w:val="0"/>
        <w:autoSpaceDN w:val="0"/>
        <w:adjustRightInd w:val="0"/>
        <w:spacing w:after="0" w:line="300" w:lineRule="auto"/>
        <w:rPr>
          <w:rFonts w:asciiTheme="minorBidi" w:hAnsiTheme="minorBidi"/>
          <w:sz w:val="22"/>
          <w:szCs w:val="22"/>
        </w:rPr>
      </w:pPr>
      <w:r w:rsidRPr="00D47533">
        <w:rPr>
          <w:rFonts w:asciiTheme="minorBidi" w:hAnsiTheme="minorBidi"/>
          <w:sz w:val="22"/>
          <w:szCs w:val="22"/>
        </w:rPr>
        <w:t xml:space="preserve">Grantees must maintain records that include job descriptions, policies and </w:t>
      </w:r>
      <w:r w:rsidR="00AD6496" w:rsidRPr="00D47533">
        <w:rPr>
          <w:rFonts w:asciiTheme="minorBidi" w:hAnsiTheme="minorBidi"/>
          <w:sz w:val="22"/>
          <w:szCs w:val="22"/>
        </w:rPr>
        <w:t>procedures or</w:t>
      </w:r>
      <w:r w:rsidRPr="00D47533">
        <w:rPr>
          <w:rFonts w:asciiTheme="minorBidi" w:hAnsiTheme="minorBidi"/>
          <w:sz w:val="22"/>
          <w:szCs w:val="22"/>
        </w:rPr>
        <w:t xml:space="preserve"> other program records that detail positions receiving hazard pay.  </w:t>
      </w:r>
    </w:p>
    <w:p w14:paraId="17939323" w14:textId="689D7FFB" w:rsidR="00EF54EF" w:rsidRPr="00EF54EF" w:rsidRDefault="00EF54EF" w:rsidP="00EF54EF">
      <w:pPr>
        <w:autoSpaceDE w:val="0"/>
        <w:autoSpaceDN w:val="0"/>
        <w:adjustRightInd w:val="0"/>
        <w:spacing w:after="0" w:line="300" w:lineRule="auto"/>
        <w:contextualSpacing/>
        <w:rPr>
          <w:rFonts w:asciiTheme="minorBidi" w:hAnsiTheme="minorBidi"/>
          <w:b/>
          <w:sz w:val="22"/>
          <w:szCs w:val="22"/>
        </w:rPr>
      </w:pPr>
      <w:r w:rsidRPr="00EF54EF">
        <w:rPr>
          <w:rFonts w:asciiTheme="minorBidi" w:hAnsiTheme="minorBidi"/>
          <w:b/>
          <w:sz w:val="22"/>
          <w:szCs w:val="22"/>
        </w:rPr>
        <w:t xml:space="preserve">Volunteer Incentives  </w:t>
      </w:r>
    </w:p>
    <w:p w14:paraId="13805E10" w14:textId="6858CC05" w:rsidR="00EF54EF" w:rsidRPr="00EF54EF" w:rsidRDefault="00EF54EF" w:rsidP="00EF54EF">
      <w:pPr>
        <w:autoSpaceDE w:val="0"/>
        <w:autoSpaceDN w:val="0"/>
        <w:adjustRightInd w:val="0"/>
        <w:spacing w:after="0" w:line="300" w:lineRule="auto"/>
        <w:contextualSpacing/>
        <w:rPr>
          <w:rFonts w:asciiTheme="minorBidi" w:hAnsiTheme="minorBidi"/>
          <w:sz w:val="22"/>
          <w:szCs w:val="22"/>
        </w:rPr>
      </w:pPr>
      <w:r w:rsidRPr="00EF54EF">
        <w:rPr>
          <w:rFonts w:asciiTheme="minorBidi" w:hAnsiTheme="minorBidi"/>
          <w:sz w:val="22"/>
          <w:szCs w:val="22"/>
        </w:rPr>
        <w:t xml:space="preserve">ESG-CV may be used to provide reasonable incentives (e.g., cash or gift cards) to volunteers who help to provide necessary street outreach, emergency shelter, essential services, and housing relocation and stabilization services during the coronavirus outbreak.  </w:t>
      </w:r>
    </w:p>
    <w:p w14:paraId="67E3A43D" w14:textId="7026E3D9" w:rsidR="00EF54EF" w:rsidRPr="00EF54EF" w:rsidRDefault="00EF54EF" w:rsidP="00EF54EF">
      <w:pPr>
        <w:autoSpaceDE w:val="0"/>
        <w:autoSpaceDN w:val="0"/>
        <w:adjustRightInd w:val="0"/>
        <w:spacing w:after="0" w:line="300" w:lineRule="auto"/>
        <w:contextualSpacing/>
        <w:rPr>
          <w:rFonts w:asciiTheme="minorBidi" w:hAnsiTheme="minorBidi"/>
          <w:sz w:val="22"/>
          <w:szCs w:val="22"/>
        </w:rPr>
      </w:pPr>
      <w:r w:rsidRPr="00EF54EF">
        <w:rPr>
          <w:rFonts w:asciiTheme="minorBidi" w:hAnsiTheme="minorBidi"/>
          <w:sz w:val="22"/>
          <w:szCs w:val="22"/>
        </w:rPr>
        <w:t xml:space="preserve">Volunteer incentives may be billed under Homelessness Prevention, Rapid Re-Housing, Emergency Shelter, or Street Outreach.  Program records should document those costs are reasonable. </w:t>
      </w:r>
    </w:p>
    <w:p w14:paraId="748ACFB2" w14:textId="77777777" w:rsidR="00EF54EF" w:rsidRDefault="00EF54EF" w:rsidP="00A743C3">
      <w:pPr>
        <w:autoSpaceDE w:val="0"/>
        <w:autoSpaceDN w:val="0"/>
        <w:adjustRightInd w:val="0"/>
        <w:spacing w:after="0" w:line="300" w:lineRule="auto"/>
        <w:contextualSpacing/>
        <w:rPr>
          <w:rFonts w:asciiTheme="minorBidi" w:hAnsiTheme="minorBidi"/>
          <w:sz w:val="22"/>
          <w:szCs w:val="22"/>
        </w:rPr>
      </w:pPr>
    </w:p>
    <w:p w14:paraId="3E78CE68" w14:textId="66712545" w:rsidR="008B6BDE" w:rsidRPr="00A743C3" w:rsidRDefault="008B6BDE" w:rsidP="00A743C3">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8B264B">
        <w:rPr>
          <w:rFonts w:asciiTheme="minorBidi" w:hAnsiTheme="minorBidi"/>
          <w:sz w:val="22"/>
          <w:szCs w:val="22"/>
        </w:rPr>
        <w:t xml:space="preserve">Refer to the </w:t>
      </w:r>
      <w:hyperlink r:id="rId31" w:history="1">
        <w:r w:rsidRPr="008B264B">
          <w:rPr>
            <w:rStyle w:val="Hyperlink"/>
            <w:rFonts w:asciiTheme="minorBidi" w:hAnsiTheme="minorBidi"/>
            <w:sz w:val="22"/>
            <w:szCs w:val="22"/>
          </w:rPr>
          <w:t>Waivers and Alternative Requirements for the Emergency Solutions Grants (ESG)Program Under the CARES Act</w:t>
        </w:r>
      </w:hyperlink>
      <w:r w:rsidRPr="008B264B">
        <w:rPr>
          <w:rFonts w:asciiTheme="minorBidi" w:hAnsiTheme="minorBidi"/>
          <w:sz w:val="22"/>
          <w:szCs w:val="22"/>
        </w:rPr>
        <w:t xml:space="preserve"> for further details.</w:t>
      </w:r>
    </w:p>
    <w:p w14:paraId="73AA1CD1" w14:textId="5E349057" w:rsidR="008C23F8" w:rsidRPr="003A62A6" w:rsidRDefault="00AD6496" w:rsidP="008C23F8">
      <w:pPr>
        <w:pStyle w:val="Heading1"/>
        <w:rPr>
          <w:rFonts w:asciiTheme="minorBidi" w:hAnsiTheme="minorBidi"/>
        </w:rPr>
      </w:pPr>
      <w:bookmarkStart w:id="16" w:name="_Toc110000638"/>
      <w:r w:rsidRPr="00F00F75">
        <w:rPr>
          <w:rFonts w:asciiTheme="minorBidi" w:hAnsiTheme="minorBidi"/>
          <w:caps w:val="0"/>
        </w:rPr>
        <w:t>DOCU</w:t>
      </w:r>
      <w:r>
        <w:rPr>
          <w:rFonts w:asciiTheme="minorBidi" w:hAnsiTheme="minorBidi"/>
          <w:caps w:val="0"/>
        </w:rPr>
        <w:t>M</w:t>
      </w:r>
      <w:r w:rsidRPr="00F00F75">
        <w:rPr>
          <w:rFonts w:asciiTheme="minorBidi" w:hAnsiTheme="minorBidi"/>
          <w:caps w:val="0"/>
        </w:rPr>
        <w:t xml:space="preserve">ENTATION </w:t>
      </w:r>
      <w:r>
        <w:rPr>
          <w:rFonts w:asciiTheme="minorBidi" w:hAnsiTheme="minorBidi"/>
          <w:caps w:val="0"/>
        </w:rPr>
        <w:t>AND RECORDKEEPING REQUIREMENTS</w:t>
      </w:r>
      <w:bookmarkEnd w:id="16"/>
      <w:r>
        <w:rPr>
          <w:rFonts w:asciiTheme="minorBidi" w:hAnsiTheme="minorBidi"/>
          <w:caps w:val="0"/>
        </w:rPr>
        <w:t xml:space="preserve"> </w:t>
      </w:r>
    </w:p>
    <w:p w14:paraId="602076B5" w14:textId="77777777" w:rsidR="008C23F8" w:rsidRPr="00AD6496" w:rsidRDefault="008C23F8" w:rsidP="008C23F8">
      <w:pPr>
        <w:autoSpaceDE w:val="0"/>
        <w:autoSpaceDN w:val="0"/>
        <w:adjustRightInd w:val="0"/>
        <w:spacing w:after="0" w:line="300" w:lineRule="auto"/>
        <w:contextualSpacing/>
        <w:rPr>
          <w:rFonts w:asciiTheme="minorBidi" w:hAnsiTheme="minorBidi"/>
          <w:sz w:val="22"/>
          <w:szCs w:val="22"/>
          <w:shd w:val="clear" w:color="auto" w:fill="FFFFFF"/>
        </w:rPr>
      </w:pPr>
      <w:r w:rsidRPr="00AD6496">
        <w:rPr>
          <w:rFonts w:asciiTheme="minorBidi" w:hAnsiTheme="minorBidi"/>
          <w:sz w:val="22"/>
          <w:szCs w:val="22"/>
          <w:shd w:val="clear" w:color="auto" w:fill="FFFFFF"/>
        </w:rPr>
        <w:t xml:space="preserve">Providers must establish and follow written intake procedures to ensure compliance with relevant homeless definition and recordkeeping requirements. Providers may be subject to program monitoring and must make documentation available as requested to ensure eligibility for program participation is clearly demonstrated. For additional details and required supporting documentation on all the of the requirements outlined in this section, please refer to Appendix A. </w:t>
      </w:r>
    </w:p>
    <w:p w14:paraId="5876F676" w14:textId="77777777" w:rsidR="008C23F8" w:rsidRPr="00AD6496" w:rsidRDefault="008C23F8" w:rsidP="008C23F8">
      <w:pPr>
        <w:autoSpaceDE w:val="0"/>
        <w:autoSpaceDN w:val="0"/>
        <w:adjustRightInd w:val="0"/>
        <w:spacing w:after="0" w:line="300" w:lineRule="auto"/>
        <w:contextualSpacing/>
        <w:rPr>
          <w:rFonts w:asciiTheme="minorBidi" w:hAnsiTheme="minorBidi"/>
          <w:b/>
          <w:bCs/>
          <w:sz w:val="22"/>
          <w:szCs w:val="22"/>
          <w:shd w:val="clear" w:color="auto" w:fill="FFFFFF"/>
        </w:rPr>
      </w:pPr>
    </w:p>
    <w:p w14:paraId="66D9FE9B" w14:textId="0C09B4EB" w:rsidR="008C23F8" w:rsidRPr="00AD6496" w:rsidRDefault="008C23F8" w:rsidP="008C23F8">
      <w:pPr>
        <w:autoSpaceDE w:val="0"/>
        <w:autoSpaceDN w:val="0"/>
        <w:adjustRightInd w:val="0"/>
        <w:spacing w:after="0" w:line="300" w:lineRule="auto"/>
        <w:contextualSpacing/>
        <w:rPr>
          <w:rFonts w:asciiTheme="minorBidi" w:hAnsiTheme="minorBidi"/>
          <w:b/>
          <w:bCs/>
          <w:sz w:val="22"/>
          <w:szCs w:val="22"/>
          <w:u w:val="single"/>
          <w:shd w:val="clear" w:color="auto" w:fill="FFFFFF"/>
        </w:rPr>
      </w:pPr>
      <w:r w:rsidRPr="00AD6496">
        <w:rPr>
          <w:rFonts w:asciiTheme="minorBidi" w:hAnsiTheme="minorBidi"/>
          <w:b/>
          <w:bCs/>
          <w:sz w:val="22"/>
          <w:szCs w:val="22"/>
          <w:u w:val="single"/>
          <w:shd w:val="clear" w:color="auto" w:fill="FFFFFF"/>
        </w:rPr>
        <w:t xml:space="preserve">Homelessness </w:t>
      </w:r>
    </w:p>
    <w:p w14:paraId="5409762B" w14:textId="3EFA8A7A" w:rsidR="008C23F8" w:rsidRPr="00AD6496" w:rsidRDefault="008C23F8" w:rsidP="008C23F8">
      <w:pPr>
        <w:autoSpaceDE w:val="0"/>
        <w:autoSpaceDN w:val="0"/>
        <w:adjustRightInd w:val="0"/>
        <w:spacing w:after="0" w:line="300" w:lineRule="auto"/>
        <w:contextualSpacing/>
        <w:rPr>
          <w:rFonts w:asciiTheme="minorBidi" w:hAnsiTheme="minorBidi"/>
          <w:sz w:val="22"/>
          <w:szCs w:val="22"/>
          <w:shd w:val="clear" w:color="auto" w:fill="FFFFFF"/>
        </w:rPr>
      </w:pPr>
      <w:r w:rsidRPr="00AD6496">
        <w:rPr>
          <w:rFonts w:asciiTheme="minorBidi" w:hAnsiTheme="minorBidi"/>
          <w:sz w:val="22"/>
          <w:szCs w:val="22"/>
          <w:shd w:val="clear" w:color="auto" w:fill="FFFFFF"/>
        </w:rPr>
        <w:t>The provider must maintain and follow written intake procedures to ensure compliance with the homeless definition in 24 CFR §576.2</w:t>
      </w:r>
      <w:r w:rsidR="006C3266">
        <w:rPr>
          <w:rFonts w:asciiTheme="minorBidi" w:hAnsiTheme="minorBidi"/>
          <w:sz w:val="22"/>
          <w:szCs w:val="22"/>
          <w:shd w:val="clear" w:color="auto" w:fill="FFFFFF"/>
        </w:rPr>
        <w:t xml:space="preserve"> and </w:t>
      </w:r>
      <w:r w:rsidR="00BD53A1">
        <w:rPr>
          <w:rFonts w:asciiTheme="minorBidi" w:hAnsiTheme="minorBidi"/>
          <w:sz w:val="22"/>
          <w:szCs w:val="22"/>
          <w:shd w:val="clear" w:color="auto" w:fill="FFFFFF"/>
        </w:rPr>
        <w:t xml:space="preserve">24 </w:t>
      </w:r>
      <w:r w:rsidR="00BD53A1" w:rsidRPr="00BD53A1">
        <w:rPr>
          <w:rFonts w:asciiTheme="minorBidi" w:hAnsiTheme="minorBidi"/>
          <w:sz w:val="22"/>
          <w:szCs w:val="22"/>
          <w:shd w:val="clear" w:color="auto" w:fill="FFFFFF"/>
        </w:rPr>
        <w:t>CFR §57</w:t>
      </w:r>
      <w:r w:rsidR="00BD53A1">
        <w:rPr>
          <w:rFonts w:asciiTheme="minorBidi" w:hAnsiTheme="minorBidi"/>
          <w:sz w:val="22"/>
          <w:szCs w:val="22"/>
          <w:shd w:val="clear" w:color="auto" w:fill="FFFFFF"/>
        </w:rPr>
        <w:t>8.3</w:t>
      </w:r>
      <w:r w:rsidRPr="00AD6496">
        <w:rPr>
          <w:rFonts w:asciiTheme="minorBidi" w:hAnsiTheme="minorBidi"/>
          <w:sz w:val="22"/>
          <w:szCs w:val="22"/>
          <w:shd w:val="clear" w:color="auto" w:fill="FFFFFF"/>
        </w:rPr>
        <w:t xml:space="preserve">. The procedures must require documentation at intake of the evidence relied upon to establish and verify homeless status. </w:t>
      </w:r>
    </w:p>
    <w:p w14:paraId="1791119B" w14:textId="77777777" w:rsidR="008C23F8" w:rsidRPr="00C00B35"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35D1564" w14:textId="2F3A1CC8" w:rsidR="008C23F8" w:rsidRPr="00584180" w:rsidRDefault="00AD6496" w:rsidP="008C23F8">
      <w:pPr>
        <w:pStyle w:val="Heading1"/>
        <w:rPr>
          <w:rFonts w:asciiTheme="minorBidi" w:hAnsiTheme="minorBidi"/>
        </w:rPr>
      </w:pPr>
      <w:bookmarkStart w:id="17" w:name="_Toc110000639"/>
      <w:r>
        <w:rPr>
          <w:rFonts w:asciiTheme="minorBidi" w:hAnsiTheme="minorBidi"/>
          <w:caps w:val="0"/>
        </w:rPr>
        <w:t>EMERGENCY SHELTER</w:t>
      </w:r>
      <w:r w:rsidRPr="00584180">
        <w:rPr>
          <w:rFonts w:asciiTheme="minorBidi" w:hAnsiTheme="minorBidi"/>
          <w:caps w:val="0"/>
        </w:rPr>
        <w:t xml:space="preserve"> PROGRAM TERMINATION AND OPPORTUNITY FOR APPEAL</w:t>
      </w:r>
      <w:bookmarkEnd w:id="17"/>
      <w:r w:rsidRPr="00584180">
        <w:rPr>
          <w:rFonts w:asciiTheme="minorBidi" w:hAnsiTheme="minorBidi"/>
          <w:caps w:val="0"/>
        </w:rPr>
        <w:t xml:space="preserve"> </w:t>
      </w:r>
    </w:p>
    <w:p w14:paraId="150A6C01" w14:textId="77777777" w:rsidR="008C23F8" w:rsidRPr="00584180"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4BDE3190" w14:textId="0F002DCA"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FD5DC5">
        <w:rPr>
          <w:rFonts w:asciiTheme="minorBidi" w:hAnsiTheme="minorBidi"/>
          <w:color w:val="000000"/>
          <w:sz w:val="22"/>
          <w:szCs w:val="22"/>
        </w:rPr>
        <w:t xml:space="preserve">Each </w:t>
      </w:r>
      <w:r>
        <w:rPr>
          <w:rFonts w:asciiTheme="minorBidi" w:hAnsiTheme="minorBidi"/>
          <w:color w:val="000000"/>
          <w:sz w:val="22"/>
          <w:szCs w:val="22"/>
        </w:rPr>
        <w:t>provider</w:t>
      </w:r>
      <w:r w:rsidRPr="00FD5DC5">
        <w:rPr>
          <w:rFonts w:asciiTheme="minorBidi" w:hAnsiTheme="minorBidi"/>
          <w:color w:val="000000"/>
          <w:sz w:val="22"/>
          <w:szCs w:val="22"/>
        </w:rPr>
        <w:t xml:space="preserve"> must have a termination policy in place. </w:t>
      </w:r>
      <w:r w:rsidR="00923CA6">
        <w:rPr>
          <w:rFonts w:asciiTheme="minorBidi" w:hAnsiTheme="minorBidi"/>
          <w:color w:val="000000"/>
          <w:sz w:val="22"/>
          <w:szCs w:val="22"/>
        </w:rPr>
        <w:t>EOHLC</w:t>
      </w:r>
      <w:r>
        <w:rPr>
          <w:rFonts w:asciiTheme="minorBidi" w:hAnsiTheme="minorBidi"/>
          <w:color w:val="000000"/>
          <w:sz w:val="22"/>
          <w:szCs w:val="22"/>
        </w:rPr>
        <w:t xml:space="preserve"> </w:t>
      </w:r>
      <w:r w:rsidRPr="00F41DAA">
        <w:rPr>
          <w:rFonts w:asciiTheme="minorBidi" w:hAnsiTheme="minorBidi"/>
          <w:color w:val="000000"/>
          <w:sz w:val="22"/>
          <w:szCs w:val="22"/>
        </w:rPr>
        <w:t xml:space="preserve">fully endorses </w:t>
      </w:r>
      <w:r>
        <w:rPr>
          <w:rFonts w:asciiTheme="minorBidi" w:hAnsiTheme="minorBidi"/>
          <w:color w:val="000000"/>
          <w:sz w:val="22"/>
          <w:szCs w:val="22"/>
        </w:rPr>
        <w:t xml:space="preserve">the </w:t>
      </w:r>
      <w:r w:rsidRPr="00F41DAA">
        <w:rPr>
          <w:rFonts w:asciiTheme="minorBidi" w:hAnsiTheme="minorBidi"/>
          <w:color w:val="000000"/>
          <w:sz w:val="22"/>
          <w:szCs w:val="22"/>
        </w:rPr>
        <w:t xml:space="preserve">use of a Housing First approach and encourages </w:t>
      </w:r>
      <w:r>
        <w:rPr>
          <w:rFonts w:asciiTheme="minorBidi" w:hAnsiTheme="minorBidi"/>
          <w:color w:val="000000"/>
          <w:sz w:val="22"/>
          <w:szCs w:val="22"/>
        </w:rPr>
        <w:t>providers</w:t>
      </w:r>
      <w:r w:rsidRPr="00F41DAA">
        <w:rPr>
          <w:rFonts w:asciiTheme="minorBidi" w:hAnsiTheme="minorBidi"/>
          <w:color w:val="000000"/>
          <w:sz w:val="22"/>
          <w:szCs w:val="22"/>
        </w:rPr>
        <w:t xml:space="preserve"> to target assistance to households in most need. As such, dismissal or termination policies should avoid unnecessarily terminating assistance due to program violations, </w:t>
      </w:r>
      <w:r>
        <w:rPr>
          <w:rFonts w:asciiTheme="minorBidi" w:hAnsiTheme="minorBidi"/>
          <w:color w:val="000000"/>
          <w:sz w:val="22"/>
          <w:szCs w:val="22"/>
        </w:rPr>
        <w:t>except</w:t>
      </w:r>
      <w:r w:rsidRPr="00F41DAA">
        <w:rPr>
          <w:rFonts w:asciiTheme="minorBidi" w:hAnsiTheme="minorBidi"/>
          <w:color w:val="000000"/>
          <w:sz w:val="22"/>
          <w:szCs w:val="22"/>
        </w:rPr>
        <w:t xml:space="preserve"> in extreme cases. </w:t>
      </w:r>
      <w:r>
        <w:rPr>
          <w:rFonts w:asciiTheme="minorBidi" w:hAnsiTheme="minorBidi"/>
          <w:color w:val="000000"/>
          <w:sz w:val="22"/>
          <w:szCs w:val="22"/>
        </w:rPr>
        <w:t>Providers</w:t>
      </w:r>
      <w:r w:rsidRPr="00F41DAA">
        <w:rPr>
          <w:rFonts w:asciiTheme="minorBidi" w:hAnsiTheme="minorBidi"/>
          <w:color w:val="000000"/>
          <w:sz w:val="22"/>
          <w:szCs w:val="22"/>
        </w:rPr>
        <w:t xml:space="preserve"> should not terminate assistance due to program rule infractions if such termination can be avoided. Such instances provide an opportunity for further proactive, progressive </w:t>
      </w:r>
      <w:r>
        <w:rPr>
          <w:rFonts w:asciiTheme="minorBidi" w:hAnsiTheme="minorBidi"/>
          <w:color w:val="000000"/>
          <w:sz w:val="22"/>
          <w:szCs w:val="22"/>
        </w:rPr>
        <w:t>engagement and service delivery</w:t>
      </w:r>
      <w:r w:rsidRPr="00F41DAA">
        <w:rPr>
          <w:rFonts w:asciiTheme="minorBidi" w:hAnsiTheme="minorBidi"/>
          <w:color w:val="000000"/>
          <w:sz w:val="22"/>
          <w:szCs w:val="22"/>
        </w:rPr>
        <w:t xml:space="preserve">. For example, terminating assistance solely because a household is using substances, refuses </w:t>
      </w:r>
      <w:r w:rsidRPr="00F41DAA">
        <w:rPr>
          <w:rFonts w:asciiTheme="minorBidi" w:hAnsiTheme="minorBidi"/>
          <w:color w:val="000000"/>
          <w:sz w:val="22"/>
          <w:szCs w:val="22"/>
        </w:rPr>
        <w:lastRenderedPageBreak/>
        <w:t>treatment or is not fully implementing their housing plan would not be consistent with a Housing First approach.</w:t>
      </w:r>
      <w:r w:rsidRPr="001E0169">
        <w:rPr>
          <w:rFonts w:asciiTheme="minorBidi" w:hAnsiTheme="minorBidi"/>
          <w:color w:val="000000"/>
          <w:sz w:val="22"/>
          <w:szCs w:val="22"/>
        </w:rPr>
        <w:t xml:space="preserve"> </w:t>
      </w:r>
      <w:r>
        <w:rPr>
          <w:rFonts w:asciiTheme="minorBidi" w:hAnsiTheme="minorBidi"/>
          <w:color w:val="000000"/>
          <w:sz w:val="22"/>
          <w:szCs w:val="22"/>
        </w:rPr>
        <w:t>Providers</w:t>
      </w:r>
      <w:r w:rsidRPr="00F41DAA">
        <w:rPr>
          <w:rFonts w:asciiTheme="minorBidi" w:hAnsiTheme="minorBidi"/>
          <w:color w:val="000000"/>
          <w:sz w:val="22"/>
          <w:szCs w:val="22"/>
        </w:rPr>
        <w:t xml:space="preserve"> must exercise judgment and examine all extenuating circumstances in determining when violations warrant termination so that a program participant's assistance is terminated only in the most severe cases.</w:t>
      </w:r>
      <w:r>
        <w:rPr>
          <w:rFonts w:asciiTheme="minorBidi" w:hAnsiTheme="minorBidi"/>
          <w:color w:val="000000"/>
          <w:sz w:val="22"/>
          <w:szCs w:val="22"/>
        </w:rPr>
        <w:t xml:space="preserve"> </w:t>
      </w:r>
      <w:r w:rsidRPr="00F41DAA">
        <w:rPr>
          <w:rFonts w:asciiTheme="minorBidi" w:hAnsiTheme="minorBidi"/>
          <w:color w:val="000000"/>
          <w:sz w:val="22"/>
          <w:szCs w:val="22"/>
        </w:rPr>
        <w:t xml:space="preserve">Termination does not bar the </w:t>
      </w:r>
      <w:r>
        <w:rPr>
          <w:rFonts w:asciiTheme="minorBidi" w:hAnsiTheme="minorBidi"/>
          <w:color w:val="000000"/>
          <w:sz w:val="22"/>
          <w:szCs w:val="22"/>
        </w:rPr>
        <w:t>provider</w:t>
      </w:r>
      <w:r w:rsidRPr="00F41DAA">
        <w:rPr>
          <w:rFonts w:asciiTheme="minorBidi" w:hAnsiTheme="minorBidi"/>
          <w:color w:val="000000"/>
          <w:sz w:val="22"/>
          <w:szCs w:val="22"/>
        </w:rPr>
        <w:t xml:space="preserve"> from providing further assistance later to the same family or individual.</w:t>
      </w:r>
    </w:p>
    <w:p w14:paraId="26203AEE" w14:textId="77777777" w:rsidR="008C23F8"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3D81793A" w14:textId="731CA4C1"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464C0D">
        <w:rPr>
          <w:rFonts w:asciiTheme="minorBidi" w:hAnsiTheme="minorBidi"/>
          <w:color w:val="000000"/>
          <w:sz w:val="22"/>
          <w:szCs w:val="22"/>
        </w:rPr>
        <w:t xml:space="preserve">It is important that providers effectively communicate termination and grievance procedures to participants and ensure that the procedures are fully understood. </w:t>
      </w:r>
      <w:r>
        <w:rPr>
          <w:rFonts w:asciiTheme="minorBidi" w:hAnsiTheme="minorBidi"/>
          <w:color w:val="000000"/>
          <w:sz w:val="22"/>
          <w:szCs w:val="22"/>
        </w:rPr>
        <w:t>A</w:t>
      </w:r>
      <w:r w:rsidRPr="00464C0D">
        <w:rPr>
          <w:rFonts w:asciiTheme="minorBidi" w:hAnsiTheme="minorBidi"/>
          <w:color w:val="000000"/>
          <w:sz w:val="22"/>
          <w:szCs w:val="22"/>
        </w:rPr>
        <w:t xml:space="preserve">ll </w:t>
      </w:r>
      <w:r w:rsidRPr="004E5FB2">
        <w:rPr>
          <w:rFonts w:asciiTheme="minorBidi" w:hAnsiTheme="minorBidi"/>
          <w:color w:val="000000"/>
          <w:sz w:val="22"/>
          <w:szCs w:val="22"/>
        </w:rPr>
        <w:t xml:space="preserve">subrecipients </w:t>
      </w:r>
      <w:r w:rsidRPr="00464C0D">
        <w:rPr>
          <w:rFonts w:asciiTheme="minorBidi" w:hAnsiTheme="minorBidi"/>
          <w:color w:val="000000"/>
          <w:sz w:val="22"/>
          <w:szCs w:val="22"/>
        </w:rPr>
        <w:t xml:space="preserve">must include termination policies and procedures in their agency regulations and manuals. </w:t>
      </w:r>
      <w:r w:rsidRPr="00790453">
        <w:rPr>
          <w:rFonts w:asciiTheme="minorBidi" w:hAnsiTheme="minorBidi"/>
          <w:color w:val="000000"/>
          <w:sz w:val="22"/>
          <w:szCs w:val="22"/>
        </w:rPr>
        <w:t>Documentation of termination of assistance must comply with the requirements</w:t>
      </w:r>
      <w:r>
        <w:rPr>
          <w:rFonts w:asciiTheme="minorBidi" w:hAnsiTheme="minorBidi"/>
          <w:color w:val="000000"/>
          <w:sz w:val="22"/>
          <w:szCs w:val="22"/>
        </w:rPr>
        <w:t xml:space="preserve"> </w:t>
      </w:r>
      <w:r w:rsidRPr="00790453">
        <w:rPr>
          <w:rFonts w:asciiTheme="minorBidi" w:hAnsiTheme="minorBidi"/>
          <w:color w:val="000000"/>
          <w:sz w:val="22"/>
          <w:szCs w:val="22"/>
        </w:rPr>
        <w:t>in 24 CFR 576.402.</w:t>
      </w:r>
      <w:r>
        <w:rPr>
          <w:rFonts w:asciiTheme="minorBidi" w:hAnsiTheme="minorBidi"/>
          <w:color w:val="000000"/>
          <w:sz w:val="22"/>
          <w:szCs w:val="22"/>
        </w:rPr>
        <w:t xml:space="preserve"> </w:t>
      </w:r>
    </w:p>
    <w:p w14:paraId="2B148BD3" w14:textId="77777777"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4E44EAC1" w14:textId="55EAB71C" w:rsidR="008C23F8" w:rsidRPr="00464C0D"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Pr>
          <w:rFonts w:asciiTheme="minorBidi" w:hAnsiTheme="minorBidi"/>
          <w:color w:val="000000"/>
          <w:sz w:val="22"/>
          <w:szCs w:val="22"/>
        </w:rPr>
        <w:t>T</w:t>
      </w:r>
      <w:r w:rsidRPr="00464C0D">
        <w:rPr>
          <w:rFonts w:asciiTheme="minorBidi" w:hAnsiTheme="minorBidi"/>
          <w:color w:val="000000"/>
          <w:sz w:val="22"/>
          <w:szCs w:val="22"/>
        </w:rPr>
        <w:t xml:space="preserve">o ensure effective communication for </w:t>
      </w:r>
      <w:r w:rsidR="00AF637F">
        <w:rPr>
          <w:rFonts w:asciiTheme="minorBidi" w:hAnsiTheme="minorBidi"/>
          <w:color w:val="000000"/>
          <w:sz w:val="22"/>
          <w:szCs w:val="22"/>
        </w:rPr>
        <w:t>emergency shelter</w:t>
      </w:r>
      <w:r w:rsidRPr="00464C0D">
        <w:rPr>
          <w:rFonts w:asciiTheme="minorBidi" w:hAnsiTheme="minorBidi"/>
          <w:color w:val="000000"/>
          <w:sz w:val="22"/>
          <w:szCs w:val="22"/>
        </w:rPr>
        <w:t xml:space="preserve"> agencies and participants, </w:t>
      </w:r>
      <w:r w:rsidR="00923CA6">
        <w:rPr>
          <w:rFonts w:asciiTheme="minorBidi" w:hAnsiTheme="minorBidi"/>
          <w:color w:val="000000"/>
          <w:sz w:val="22"/>
          <w:szCs w:val="22"/>
        </w:rPr>
        <w:t>EOHLC</w:t>
      </w:r>
      <w:r>
        <w:rPr>
          <w:rFonts w:asciiTheme="minorBidi" w:hAnsiTheme="minorBidi"/>
          <w:color w:val="000000"/>
          <w:sz w:val="22"/>
          <w:szCs w:val="22"/>
        </w:rPr>
        <w:t xml:space="preserve"> </w:t>
      </w:r>
      <w:r w:rsidRPr="00464C0D">
        <w:rPr>
          <w:rFonts w:asciiTheme="minorBidi" w:hAnsiTheme="minorBidi"/>
          <w:color w:val="000000"/>
          <w:sz w:val="22"/>
          <w:szCs w:val="22"/>
        </w:rPr>
        <w:t xml:space="preserve">requires the following actions prior to program termination: </w:t>
      </w:r>
    </w:p>
    <w:p w14:paraId="44EEC46E" w14:textId="53ECB00C" w:rsidR="008C23F8" w:rsidRPr="00D47533" w:rsidRDefault="008C23F8" w:rsidP="004A10EE">
      <w:pPr>
        <w:pStyle w:val="ListParagraph"/>
        <w:numPr>
          <w:ilvl w:val="0"/>
          <w:numId w:val="33"/>
        </w:numPr>
        <w:autoSpaceDE w:val="0"/>
        <w:autoSpaceDN w:val="0"/>
        <w:adjustRightInd w:val="0"/>
        <w:spacing w:before="0" w:after="36" w:line="300" w:lineRule="auto"/>
        <w:rPr>
          <w:rFonts w:asciiTheme="minorBidi" w:hAnsiTheme="minorBidi"/>
          <w:color w:val="000000"/>
          <w:sz w:val="22"/>
          <w:szCs w:val="22"/>
        </w:rPr>
      </w:pPr>
      <w:r w:rsidRPr="00D47533">
        <w:rPr>
          <w:rFonts w:asciiTheme="minorBidi" w:hAnsiTheme="minorBidi"/>
          <w:color w:val="000000"/>
          <w:sz w:val="22"/>
          <w:szCs w:val="22"/>
        </w:rPr>
        <w:t>At least one meeting (can occur virtually or via phone) with the participating household discussing program violations</w:t>
      </w:r>
    </w:p>
    <w:p w14:paraId="730D3E97" w14:textId="53918CFA" w:rsidR="008C23F8" w:rsidRPr="00AD6496" w:rsidRDefault="008C23F8" w:rsidP="004A10EE">
      <w:pPr>
        <w:pStyle w:val="ListParagraph"/>
        <w:numPr>
          <w:ilvl w:val="0"/>
          <w:numId w:val="33"/>
        </w:numPr>
        <w:autoSpaceDE w:val="0"/>
        <w:autoSpaceDN w:val="0"/>
        <w:adjustRightInd w:val="0"/>
        <w:spacing w:before="0" w:after="36" w:line="300" w:lineRule="auto"/>
        <w:rPr>
          <w:rFonts w:asciiTheme="minorBidi" w:hAnsiTheme="minorBidi"/>
          <w:color w:val="000000"/>
          <w:sz w:val="22"/>
          <w:szCs w:val="22"/>
        </w:rPr>
      </w:pPr>
      <w:r w:rsidRPr="00D47533">
        <w:rPr>
          <w:rFonts w:asciiTheme="minorBidi" w:hAnsiTheme="minorBidi"/>
          <w:color w:val="000000"/>
          <w:sz w:val="22"/>
          <w:szCs w:val="22"/>
        </w:rPr>
        <w:t xml:space="preserve">A written plan for rectifying program violations including action steps for both agency staff and program participants </w:t>
      </w:r>
    </w:p>
    <w:p w14:paraId="5A52D2B2" w14:textId="77777777" w:rsidR="00AD6496" w:rsidRDefault="00AD6496" w:rsidP="008C23F8">
      <w:pPr>
        <w:autoSpaceDE w:val="0"/>
        <w:autoSpaceDN w:val="0"/>
        <w:adjustRightInd w:val="0"/>
        <w:spacing w:before="0" w:after="0" w:line="300" w:lineRule="auto"/>
        <w:contextualSpacing/>
        <w:rPr>
          <w:rFonts w:asciiTheme="minorBidi" w:hAnsiTheme="minorBidi"/>
          <w:b/>
          <w:bCs/>
          <w:color w:val="000000"/>
          <w:sz w:val="22"/>
          <w:szCs w:val="22"/>
        </w:rPr>
      </w:pPr>
    </w:p>
    <w:p w14:paraId="1A56D92A" w14:textId="1DEAF8AD" w:rsidR="008C23F8" w:rsidRPr="008D0CBF"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8D0CBF">
        <w:rPr>
          <w:rFonts w:asciiTheme="minorBidi" w:hAnsiTheme="minorBidi"/>
          <w:b/>
          <w:bCs/>
          <w:color w:val="000000"/>
          <w:sz w:val="22"/>
          <w:szCs w:val="22"/>
        </w:rPr>
        <w:t xml:space="preserve">Grievance Policy </w:t>
      </w:r>
    </w:p>
    <w:p w14:paraId="10D5F1B5" w14:textId="77777777" w:rsidR="008C23F8"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8D0CBF">
        <w:rPr>
          <w:rFonts w:asciiTheme="minorBidi" w:hAnsiTheme="minorBidi"/>
          <w:color w:val="000000"/>
          <w:sz w:val="22"/>
          <w:szCs w:val="22"/>
        </w:rPr>
        <w:t xml:space="preserve">All participating provider agencies must have a client grievance policy in place, a copy of which should be made available to clients. This policy should be available to address grievances involving a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policies, </w:t>
      </w:r>
      <w:proofErr w:type="gramStart"/>
      <w:r w:rsidRPr="008D0CBF">
        <w:rPr>
          <w:rFonts w:asciiTheme="minorBidi" w:hAnsiTheme="minorBidi"/>
          <w:color w:val="000000"/>
          <w:sz w:val="22"/>
          <w:szCs w:val="22"/>
        </w:rPr>
        <w:t>services</w:t>
      </w:r>
      <w:proofErr w:type="gramEnd"/>
      <w:r w:rsidRPr="008D0CBF">
        <w:rPr>
          <w:rFonts w:asciiTheme="minorBidi" w:hAnsiTheme="minorBidi"/>
          <w:color w:val="000000"/>
          <w:sz w:val="22"/>
          <w:szCs w:val="22"/>
        </w:rPr>
        <w:t xml:space="preserve"> or activities. In the event a grievance is received regarding a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policies, services or activities, the grievance will be referred to the appropriate agency for resolution under the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grievance policy. </w:t>
      </w:r>
      <w:r w:rsidRPr="004E5FB2">
        <w:rPr>
          <w:rFonts w:asciiTheme="minorBidi" w:hAnsiTheme="minorBidi"/>
          <w:color w:val="000000"/>
          <w:sz w:val="22"/>
          <w:szCs w:val="22"/>
        </w:rPr>
        <w:t xml:space="preserve">Each </w:t>
      </w:r>
      <w:r>
        <w:rPr>
          <w:rFonts w:asciiTheme="minorBidi" w:hAnsiTheme="minorBidi"/>
          <w:color w:val="000000"/>
          <w:sz w:val="22"/>
          <w:szCs w:val="22"/>
        </w:rPr>
        <w:t>provider</w:t>
      </w:r>
      <w:r w:rsidRPr="004E5FB2">
        <w:rPr>
          <w:rFonts w:asciiTheme="minorBidi" w:hAnsiTheme="minorBidi"/>
          <w:color w:val="000000"/>
          <w:sz w:val="22"/>
          <w:szCs w:val="22"/>
        </w:rPr>
        <w:t xml:space="preserve"> must make a good faith effort to resolve client grievances as best they can in the moment. Complaints that should be addressed directly by the </w:t>
      </w:r>
      <w:r>
        <w:rPr>
          <w:rFonts w:asciiTheme="minorBidi" w:hAnsiTheme="minorBidi"/>
          <w:color w:val="000000"/>
          <w:sz w:val="22"/>
          <w:szCs w:val="22"/>
        </w:rPr>
        <w:t>provider</w:t>
      </w:r>
      <w:r w:rsidRPr="004E5FB2">
        <w:rPr>
          <w:rFonts w:asciiTheme="minorBidi" w:hAnsiTheme="minorBidi"/>
          <w:color w:val="000000"/>
          <w:sz w:val="22"/>
          <w:szCs w:val="22"/>
        </w:rPr>
        <w:t xml:space="preserve"> staff member or supervisor include complaints about agency conditions, how the client was treated by </w:t>
      </w:r>
      <w:r>
        <w:rPr>
          <w:rFonts w:asciiTheme="minorBidi" w:hAnsiTheme="minorBidi"/>
          <w:color w:val="000000"/>
          <w:sz w:val="22"/>
          <w:szCs w:val="22"/>
        </w:rPr>
        <w:t>provider</w:t>
      </w:r>
      <w:r w:rsidRPr="004E5FB2">
        <w:rPr>
          <w:rFonts w:asciiTheme="minorBidi" w:hAnsiTheme="minorBidi"/>
          <w:color w:val="000000"/>
          <w:sz w:val="22"/>
          <w:szCs w:val="22"/>
        </w:rPr>
        <w:t xml:space="preserve"> staff, and violations of confidentiality agreements. If the client feels the complaint was not adequately addressed, the client should then follow the </w:t>
      </w:r>
      <w:r>
        <w:rPr>
          <w:rFonts w:asciiTheme="minorBidi" w:hAnsiTheme="minorBidi"/>
          <w:color w:val="000000"/>
          <w:sz w:val="22"/>
          <w:szCs w:val="22"/>
        </w:rPr>
        <w:t>provider</w:t>
      </w:r>
      <w:r w:rsidRPr="004E5FB2">
        <w:rPr>
          <w:rFonts w:asciiTheme="minorBidi" w:hAnsiTheme="minorBidi"/>
          <w:color w:val="000000"/>
          <w:sz w:val="22"/>
          <w:szCs w:val="22"/>
        </w:rPr>
        <w:t xml:space="preserve">’s internal grievance procedure. </w:t>
      </w:r>
    </w:p>
    <w:p w14:paraId="7AA6713C" w14:textId="77777777" w:rsidR="008C23F8" w:rsidRDefault="008C23F8" w:rsidP="008C23F8">
      <w:pPr>
        <w:autoSpaceDE w:val="0"/>
        <w:autoSpaceDN w:val="0"/>
        <w:adjustRightInd w:val="0"/>
        <w:spacing w:after="0" w:line="300" w:lineRule="auto"/>
        <w:contextualSpacing/>
        <w:rPr>
          <w:rFonts w:asciiTheme="minorBidi" w:hAnsiTheme="minorBidi"/>
          <w:color w:val="000000"/>
          <w:sz w:val="22"/>
          <w:szCs w:val="22"/>
        </w:rPr>
      </w:pPr>
    </w:p>
    <w:p w14:paraId="5E530BBF" w14:textId="77777777" w:rsidR="008C23F8" w:rsidRPr="00293621" w:rsidRDefault="008C23F8" w:rsidP="008C23F8">
      <w:pPr>
        <w:autoSpaceDE w:val="0"/>
        <w:autoSpaceDN w:val="0"/>
        <w:adjustRightInd w:val="0"/>
        <w:spacing w:line="300" w:lineRule="auto"/>
        <w:contextualSpacing/>
        <w:rPr>
          <w:rFonts w:asciiTheme="minorBidi" w:hAnsiTheme="minorBidi"/>
          <w:sz w:val="22"/>
          <w:szCs w:val="22"/>
        </w:rPr>
      </w:pPr>
      <w:r w:rsidRPr="00293621">
        <w:rPr>
          <w:rFonts w:asciiTheme="minorBidi" w:hAnsiTheme="minorBidi"/>
          <w:sz w:val="22"/>
          <w:szCs w:val="22"/>
        </w:rPr>
        <w:t xml:space="preserve">All projects must comply with the Fair Housing Act (including Equal Access and Family Separation), the Equal Access to Housing in HUD Programs Regardless of Sexual Orientation or Gender Identity regulations, and the Americans with Disabilities Act regulations. All providers should establish organizational policies to ensure that all federal laws are followed in the administration of homelessness prevention and rapid re-housing services. Refer to </w:t>
      </w:r>
      <w:r>
        <w:rPr>
          <w:rFonts w:asciiTheme="minorBidi" w:hAnsiTheme="minorBidi"/>
          <w:sz w:val="22"/>
          <w:szCs w:val="22"/>
        </w:rPr>
        <w:t xml:space="preserve">the section entitled </w:t>
      </w:r>
      <w:r w:rsidRPr="00293621">
        <w:rPr>
          <w:rFonts w:asciiTheme="minorBidi" w:hAnsiTheme="minorBidi"/>
          <w:sz w:val="22"/>
          <w:szCs w:val="22"/>
        </w:rPr>
        <w:t xml:space="preserve">Organizational Policies </w:t>
      </w:r>
      <w:r>
        <w:rPr>
          <w:rFonts w:asciiTheme="minorBidi" w:hAnsiTheme="minorBidi"/>
          <w:sz w:val="22"/>
          <w:szCs w:val="22"/>
        </w:rPr>
        <w:t>and</w:t>
      </w:r>
      <w:r w:rsidRPr="00293621">
        <w:rPr>
          <w:rFonts w:asciiTheme="minorBidi" w:hAnsiTheme="minorBidi"/>
          <w:sz w:val="22"/>
          <w:szCs w:val="22"/>
        </w:rPr>
        <w:t xml:space="preserve"> Other HUD Requirements</w:t>
      </w:r>
      <w:r>
        <w:rPr>
          <w:rFonts w:asciiTheme="minorBidi" w:hAnsiTheme="minorBidi"/>
          <w:sz w:val="22"/>
          <w:szCs w:val="22"/>
        </w:rPr>
        <w:t xml:space="preserve"> for further details. </w:t>
      </w:r>
    </w:p>
    <w:p w14:paraId="6FC25763" w14:textId="6610D47C" w:rsidR="008C23F8" w:rsidRDefault="008C23F8">
      <w:pPr>
        <w:rPr>
          <w:rFonts w:asciiTheme="minorBidi" w:hAnsiTheme="minorBidi"/>
          <w:sz w:val="22"/>
          <w:szCs w:val="22"/>
        </w:rPr>
      </w:pPr>
      <w:r>
        <w:rPr>
          <w:rFonts w:asciiTheme="minorBidi" w:hAnsiTheme="minorBidi"/>
          <w:sz w:val="22"/>
          <w:szCs w:val="22"/>
        </w:rPr>
        <w:br w:type="page"/>
      </w:r>
    </w:p>
    <w:p w14:paraId="0478BD41" w14:textId="72379506" w:rsidR="00640D1C" w:rsidRDefault="00640D1C" w:rsidP="00640D1C">
      <w:pPr>
        <w:pStyle w:val="Title"/>
        <w:jc w:val="center"/>
      </w:pPr>
      <w:r>
        <w:lastRenderedPageBreak/>
        <w:t>Rapid rehousing and prevention</w:t>
      </w:r>
    </w:p>
    <w:p w14:paraId="46D33A3E" w14:textId="1A6CEFEA" w:rsidR="00640D1C" w:rsidRPr="00F00F75" w:rsidRDefault="00AD6496" w:rsidP="00640D1C">
      <w:pPr>
        <w:pStyle w:val="Heading1"/>
        <w:spacing w:line="300" w:lineRule="auto"/>
        <w:contextualSpacing/>
        <w:rPr>
          <w:rFonts w:asciiTheme="minorBidi" w:hAnsiTheme="minorBidi"/>
          <w:color w:val="000000" w:themeColor="text1"/>
          <w:sz w:val="24"/>
          <w:szCs w:val="24"/>
        </w:rPr>
      </w:pPr>
      <w:bookmarkStart w:id="18" w:name="_Toc110000640"/>
      <w:r w:rsidRPr="00F00F75">
        <w:rPr>
          <w:rFonts w:asciiTheme="minorBidi" w:hAnsiTheme="minorBidi"/>
          <w:caps w:val="0"/>
        </w:rPr>
        <w:t>HOUSING PLACEMENT</w:t>
      </w:r>
      <w:r>
        <w:rPr>
          <w:rFonts w:asciiTheme="minorBidi" w:hAnsiTheme="minorBidi"/>
          <w:caps w:val="0"/>
        </w:rPr>
        <w:t xml:space="preserve"> AND</w:t>
      </w:r>
      <w:r w:rsidRPr="00F00F75">
        <w:rPr>
          <w:rFonts w:asciiTheme="minorBidi" w:hAnsiTheme="minorBidi"/>
          <w:caps w:val="0"/>
        </w:rPr>
        <w:t xml:space="preserve"> LANDLORD ENGAGEMENT</w:t>
      </w:r>
      <w:bookmarkEnd w:id="18"/>
      <w:r w:rsidRPr="00F00F75">
        <w:rPr>
          <w:rFonts w:asciiTheme="minorBidi" w:hAnsiTheme="minorBidi"/>
          <w:caps w:val="0"/>
        </w:rPr>
        <w:t xml:space="preserve"> </w:t>
      </w:r>
    </w:p>
    <w:p w14:paraId="306E377D" w14:textId="77777777" w:rsidR="00640D1C" w:rsidRDefault="00640D1C" w:rsidP="00640D1C">
      <w:pPr>
        <w:spacing w:line="300" w:lineRule="auto"/>
        <w:contextualSpacing/>
        <w:rPr>
          <w:rFonts w:asciiTheme="minorBidi" w:hAnsiTheme="minorBidi"/>
        </w:rPr>
      </w:pPr>
    </w:p>
    <w:p w14:paraId="0F537D85" w14:textId="77777777" w:rsidR="00640D1C" w:rsidRDefault="00640D1C" w:rsidP="00640D1C">
      <w:pPr>
        <w:spacing w:line="300" w:lineRule="auto"/>
        <w:contextualSpacing/>
        <w:rPr>
          <w:rFonts w:asciiTheme="minorBidi" w:hAnsiTheme="minorBidi"/>
          <w:sz w:val="22"/>
          <w:szCs w:val="22"/>
        </w:rPr>
      </w:pPr>
      <w:r>
        <w:rPr>
          <w:rFonts w:asciiTheme="minorBidi" w:hAnsiTheme="minorBidi"/>
          <w:sz w:val="22"/>
          <w:szCs w:val="22"/>
        </w:rPr>
        <w:t>This section provides guidance and best practices for h</w:t>
      </w:r>
      <w:r w:rsidRPr="008B264B">
        <w:rPr>
          <w:rFonts w:asciiTheme="minorBidi" w:hAnsiTheme="minorBidi"/>
          <w:sz w:val="22"/>
          <w:szCs w:val="22"/>
        </w:rPr>
        <w:t>ousing placement and landlord engagement and mediation</w:t>
      </w:r>
      <w:r>
        <w:rPr>
          <w:rFonts w:asciiTheme="minorBidi" w:hAnsiTheme="minorBidi"/>
          <w:sz w:val="22"/>
          <w:szCs w:val="22"/>
        </w:rPr>
        <w:t xml:space="preserve">. These activities are </w:t>
      </w:r>
      <w:r w:rsidRPr="008B264B">
        <w:rPr>
          <w:rFonts w:asciiTheme="minorBidi" w:hAnsiTheme="minorBidi"/>
          <w:sz w:val="22"/>
          <w:szCs w:val="22"/>
        </w:rPr>
        <w:t xml:space="preserve">essential parts of a successful homelessness prevention or rapid re-housing program. </w:t>
      </w:r>
    </w:p>
    <w:p w14:paraId="11031942" w14:textId="77777777" w:rsidR="00640D1C" w:rsidRDefault="00640D1C" w:rsidP="00640D1C">
      <w:pPr>
        <w:spacing w:line="300" w:lineRule="auto"/>
        <w:contextualSpacing/>
        <w:rPr>
          <w:rFonts w:asciiTheme="minorBidi" w:hAnsiTheme="minorBidi"/>
          <w:b/>
          <w:bCs/>
          <w:sz w:val="22"/>
          <w:szCs w:val="22"/>
        </w:rPr>
      </w:pPr>
    </w:p>
    <w:p w14:paraId="3EECA675" w14:textId="77777777" w:rsidR="00640D1C" w:rsidRPr="00B315DD" w:rsidRDefault="00640D1C" w:rsidP="00640D1C">
      <w:pPr>
        <w:spacing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Housing Placement</w:t>
      </w:r>
    </w:p>
    <w:p w14:paraId="17BABA29" w14:textId="77777777" w:rsidR="00640D1C" w:rsidRPr="008B264B" w:rsidRDefault="00640D1C" w:rsidP="00640D1C">
      <w:pPr>
        <w:spacing w:line="300" w:lineRule="auto"/>
        <w:rPr>
          <w:rFonts w:asciiTheme="minorBidi" w:hAnsiTheme="minorBidi"/>
          <w:sz w:val="22"/>
          <w:szCs w:val="22"/>
        </w:rPr>
      </w:pPr>
      <w:r w:rsidRPr="008B264B">
        <w:rPr>
          <w:rFonts w:asciiTheme="minorBidi" w:hAnsiTheme="minorBidi"/>
          <w:sz w:val="22"/>
          <w:szCs w:val="22"/>
        </w:rPr>
        <w:t>Regardless of program structure, program staff are expected to be an active partner in housing search, providing the level of support necessary to help participant household</w:t>
      </w:r>
      <w:r>
        <w:rPr>
          <w:rFonts w:asciiTheme="minorBidi" w:hAnsiTheme="minorBidi"/>
          <w:sz w:val="22"/>
          <w:szCs w:val="22"/>
        </w:rPr>
        <w:t>s</w:t>
      </w:r>
      <w:r w:rsidRPr="008B264B">
        <w:rPr>
          <w:rFonts w:asciiTheme="minorBidi" w:hAnsiTheme="minorBidi"/>
          <w:sz w:val="22"/>
          <w:szCs w:val="22"/>
        </w:rPr>
        <w:t xml:space="preserve"> obtain housing. For households experiencing homelessness, the process of locating housing should be supported by staf</w:t>
      </w:r>
      <w:r>
        <w:rPr>
          <w:rFonts w:asciiTheme="minorBidi" w:hAnsiTheme="minorBidi"/>
          <w:sz w:val="22"/>
          <w:szCs w:val="22"/>
        </w:rPr>
        <w:t>f</w:t>
      </w:r>
      <w:r w:rsidRPr="008B264B">
        <w:rPr>
          <w:rFonts w:asciiTheme="minorBidi" w:hAnsiTheme="minorBidi"/>
          <w:sz w:val="22"/>
          <w:szCs w:val="22"/>
        </w:rPr>
        <w:t xml:space="preserve"> unless the program participant does not want support. Providers can determine how best to align staffing to meet local needs so long as they include housing placement activities in their program implementation and budget</w:t>
      </w:r>
      <w:r>
        <w:rPr>
          <w:rFonts w:asciiTheme="minorBidi" w:hAnsiTheme="minorBidi"/>
          <w:sz w:val="22"/>
          <w:szCs w:val="22"/>
        </w:rPr>
        <w:t xml:space="preserve">. </w:t>
      </w:r>
      <w:r w:rsidRPr="00DC4390">
        <w:rPr>
          <w:rFonts w:asciiTheme="minorBidi" w:hAnsiTheme="minorBidi"/>
          <w:sz w:val="22"/>
          <w:szCs w:val="22"/>
        </w:rPr>
        <w:t>Utilizing grant funds for broker fees is one way to expand services to clients without increasing staff numbers.</w:t>
      </w:r>
      <w:r>
        <w:rPr>
          <w:rFonts w:asciiTheme="minorBidi" w:hAnsiTheme="minorBidi"/>
          <w:sz w:val="22"/>
          <w:szCs w:val="22"/>
        </w:rPr>
        <w:t xml:space="preserve"> Programs are encouraged to establish a housing navigator role that can help support efficient and effective housing placement. </w:t>
      </w:r>
    </w:p>
    <w:p w14:paraId="718480B2" w14:textId="77777777" w:rsidR="00640D1C" w:rsidRDefault="00640D1C" w:rsidP="00640D1C">
      <w:pPr>
        <w:spacing w:line="300" w:lineRule="auto"/>
        <w:rPr>
          <w:rFonts w:asciiTheme="minorBidi" w:hAnsiTheme="minorBidi"/>
          <w:sz w:val="22"/>
          <w:szCs w:val="22"/>
        </w:rPr>
      </w:pPr>
      <w:r w:rsidRPr="008B264B">
        <w:rPr>
          <w:rFonts w:asciiTheme="minorBidi" w:hAnsiTheme="minorBidi"/>
          <w:sz w:val="22"/>
          <w:szCs w:val="22"/>
        </w:rPr>
        <w:t>Program staff should discuss tenants</w:t>
      </w:r>
      <w:r>
        <w:rPr>
          <w:rFonts w:asciiTheme="minorBidi" w:hAnsiTheme="minorBidi"/>
          <w:sz w:val="22"/>
          <w:szCs w:val="22"/>
        </w:rPr>
        <w:t>’</w:t>
      </w:r>
      <w:r w:rsidRPr="008B264B">
        <w:rPr>
          <w:rFonts w:asciiTheme="minorBidi" w:hAnsiTheme="minorBidi"/>
          <w:sz w:val="22"/>
          <w:szCs w:val="22"/>
        </w:rPr>
        <w:t xml:space="preserve"> housing needs, location preferences and other details upon program entry. Staff should consider tenant screening barriers, which reduce a person’s ability to </w:t>
      </w:r>
      <w:r w:rsidRPr="008B264B">
        <w:rPr>
          <w:rFonts w:asciiTheme="minorBidi" w:hAnsiTheme="minorBidi"/>
          <w:sz w:val="22"/>
          <w:szCs w:val="22"/>
          <w:u w:val="single"/>
        </w:rPr>
        <w:t>obtain</w:t>
      </w:r>
      <w:r w:rsidRPr="008B264B">
        <w:rPr>
          <w:rFonts w:asciiTheme="minorBidi" w:hAnsiTheme="minorBidi"/>
          <w:sz w:val="22"/>
          <w:szCs w:val="22"/>
        </w:rPr>
        <w:t xml:space="preserve"> housing because of landlord criteria and screening. Examples may be poor credit, a history of evictions, household size and criminal history. In addition, housing retention barriers, which reduce a household’s ability to</w:t>
      </w:r>
      <w:r w:rsidRPr="008B264B">
        <w:rPr>
          <w:rFonts w:asciiTheme="minorBidi" w:hAnsiTheme="minorBidi"/>
          <w:i/>
          <w:iCs/>
          <w:sz w:val="22"/>
          <w:szCs w:val="22"/>
        </w:rPr>
        <w:t xml:space="preserve"> </w:t>
      </w:r>
      <w:r w:rsidRPr="008B264B">
        <w:rPr>
          <w:rFonts w:asciiTheme="minorBidi" w:hAnsiTheme="minorBidi"/>
          <w:sz w:val="22"/>
          <w:szCs w:val="22"/>
          <w:u w:val="single"/>
        </w:rPr>
        <w:t>retain</w:t>
      </w:r>
      <w:r w:rsidRPr="008B264B">
        <w:rPr>
          <w:rFonts w:asciiTheme="minorBidi" w:hAnsiTheme="minorBidi"/>
          <w:sz w:val="22"/>
          <w:szCs w:val="22"/>
        </w:rPr>
        <w:t xml:space="preserve"> housing must also be considered. Examples of retention barriers include paying the rent in full and on time, caring for the unit, following the </w:t>
      </w:r>
      <w:proofErr w:type="gramStart"/>
      <w:r w:rsidRPr="008B264B">
        <w:rPr>
          <w:rFonts w:asciiTheme="minorBidi" w:hAnsiTheme="minorBidi"/>
          <w:sz w:val="22"/>
          <w:szCs w:val="22"/>
        </w:rPr>
        <w:t>lease</w:t>
      </w:r>
      <w:proofErr w:type="gramEnd"/>
      <w:r w:rsidRPr="008B264B">
        <w:rPr>
          <w:rFonts w:asciiTheme="minorBidi" w:hAnsiTheme="minorBidi"/>
          <w:sz w:val="22"/>
          <w:szCs w:val="22"/>
        </w:rPr>
        <w:t xml:space="preserve"> and interacting with the landlord. Housing placement staff can assist participants by educating them on landlord tenant law and discussing quiet enjoyment. Identifying needs and addressing potential barriers are the best way to ensure a successful housing placement. </w:t>
      </w:r>
    </w:p>
    <w:p w14:paraId="034A29A6" w14:textId="77777777" w:rsidR="00640D1C" w:rsidRDefault="00640D1C" w:rsidP="00640D1C">
      <w:pPr>
        <w:spacing w:line="300" w:lineRule="auto"/>
        <w:contextualSpacing/>
        <w:rPr>
          <w:rFonts w:asciiTheme="minorBidi" w:hAnsiTheme="minorBidi"/>
          <w:b/>
          <w:bCs/>
          <w:sz w:val="22"/>
          <w:szCs w:val="22"/>
          <w:u w:val="single"/>
        </w:rPr>
      </w:pPr>
    </w:p>
    <w:p w14:paraId="4F2C77E1" w14:textId="77777777" w:rsidR="00640D1C" w:rsidRPr="00B315DD" w:rsidRDefault="00640D1C" w:rsidP="00640D1C">
      <w:pPr>
        <w:spacing w:line="300" w:lineRule="auto"/>
        <w:contextualSpacing/>
        <w:rPr>
          <w:rFonts w:asciiTheme="minorBidi" w:hAnsiTheme="minorBidi"/>
          <w:b/>
          <w:bCs/>
          <w:sz w:val="22"/>
          <w:szCs w:val="22"/>
          <w:u w:val="single"/>
        </w:rPr>
      </w:pPr>
      <w:r w:rsidRPr="00B315DD">
        <w:rPr>
          <w:rFonts w:asciiTheme="minorBidi" w:hAnsiTheme="minorBidi"/>
          <w:b/>
          <w:bCs/>
          <w:sz w:val="22"/>
          <w:szCs w:val="22"/>
          <w:u w:val="single"/>
        </w:rPr>
        <w:t xml:space="preserve">Landlord Engagement </w:t>
      </w:r>
    </w:p>
    <w:p w14:paraId="77FFE3E1" w14:textId="77777777" w:rsidR="00640D1C" w:rsidRPr="00A7780E" w:rsidRDefault="00640D1C" w:rsidP="00640D1C">
      <w:pPr>
        <w:spacing w:line="300" w:lineRule="auto"/>
        <w:contextualSpacing/>
        <w:rPr>
          <w:rFonts w:asciiTheme="minorBidi" w:hAnsiTheme="minorBidi"/>
          <w:b/>
          <w:bCs/>
          <w:sz w:val="22"/>
          <w:szCs w:val="22"/>
        </w:rPr>
      </w:pPr>
      <w:proofErr w:type="gramStart"/>
      <w:r>
        <w:rPr>
          <w:rFonts w:asciiTheme="minorBidi" w:hAnsiTheme="minorBidi"/>
          <w:b/>
          <w:bCs/>
          <w:sz w:val="22"/>
          <w:szCs w:val="22"/>
        </w:rPr>
        <w:t>I</w:t>
      </w:r>
      <w:r w:rsidRPr="008B264B">
        <w:rPr>
          <w:rFonts w:asciiTheme="minorBidi" w:hAnsiTheme="minorBidi"/>
          <w:sz w:val="22"/>
          <w:szCs w:val="22"/>
        </w:rPr>
        <w:t>n order to</w:t>
      </w:r>
      <w:proofErr w:type="gramEnd"/>
      <w:r w:rsidRPr="008B264B">
        <w:rPr>
          <w:rFonts w:asciiTheme="minorBidi" w:hAnsiTheme="minorBidi"/>
          <w:sz w:val="22"/>
          <w:szCs w:val="22"/>
        </w:rPr>
        <w:t xml:space="preserve"> successfully place program participants in housing, programs are encouraged to do assertive landlord engagement. Where possible, a coordinated landlord engagement strategy across the CoC or community is encouraged to reduce duplication and increase the speed at which program participants can be placed in housing. However, landlord engagement does not stop at placement. Services need to </w:t>
      </w:r>
      <w:r>
        <w:rPr>
          <w:rFonts w:asciiTheme="minorBidi" w:hAnsiTheme="minorBidi"/>
          <w:sz w:val="22"/>
          <w:szCs w:val="22"/>
        </w:rPr>
        <w:t xml:space="preserve">be </w:t>
      </w:r>
      <w:r w:rsidRPr="008B264B">
        <w:rPr>
          <w:rFonts w:asciiTheme="minorBidi" w:hAnsiTheme="minorBidi"/>
          <w:sz w:val="22"/>
          <w:szCs w:val="22"/>
        </w:rPr>
        <w:t xml:space="preserve">responsive not only to tenants but also to address landlord concerns if they arise. Ensuring open communication and helping to mediate is essential to maintain landlord relationships. In situations where the tenant is facing a threat of eviction, whether this be for homelessness prevention participants or those placed in housing </w:t>
      </w:r>
      <w:r w:rsidRPr="008B264B">
        <w:rPr>
          <w:rFonts w:asciiTheme="minorBidi" w:hAnsiTheme="minorBidi"/>
          <w:sz w:val="22"/>
          <w:szCs w:val="22"/>
        </w:rPr>
        <w:lastRenderedPageBreak/>
        <w:t>through rapid re-housing, the agency should inter</w:t>
      </w:r>
      <w:r>
        <w:rPr>
          <w:rFonts w:asciiTheme="minorBidi" w:hAnsiTheme="minorBidi"/>
          <w:sz w:val="22"/>
          <w:szCs w:val="22"/>
        </w:rPr>
        <w:t>vene</w:t>
      </w:r>
      <w:r w:rsidRPr="008B264B">
        <w:rPr>
          <w:rFonts w:asciiTheme="minorBidi" w:hAnsiTheme="minorBidi"/>
          <w:sz w:val="22"/>
          <w:szCs w:val="22"/>
        </w:rPr>
        <w:t xml:space="preserve"> to create a landlord mediation plan/stabilization plan to prevent eviction.</w:t>
      </w:r>
    </w:p>
    <w:p w14:paraId="124F61E8" w14:textId="77777777" w:rsidR="00AD6496" w:rsidRDefault="00AD6496" w:rsidP="00640D1C">
      <w:pPr>
        <w:pStyle w:val="NormalWeb"/>
        <w:spacing w:before="0" w:beforeAutospacing="0" w:after="0" w:afterAutospacing="0" w:line="300" w:lineRule="auto"/>
        <w:contextualSpacing/>
        <w:rPr>
          <w:rFonts w:asciiTheme="minorBidi" w:hAnsiTheme="minorBidi" w:cstheme="minorBidi"/>
          <w:b/>
          <w:bCs/>
          <w:sz w:val="22"/>
          <w:szCs w:val="22"/>
          <w:u w:val="single"/>
        </w:rPr>
      </w:pPr>
    </w:p>
    <w:p w14:paraId="2ED62A39" w14:textId="603CA9EA" w:rsidR="00640D1C" w:rsidRPr="00B315DD" w:rsidRDefault="00640D1C" w:rsidP="00640D1C">
      <w:pPr>
        <w:pStyle w:val="NormalWeb"/>
        <w:spacing w:before="0" w:beforeAutospacing="0" w:after="0" w:afterAutospacing="0" w:line="300" w:lineRule="auto"/>
        <w:contextualSpacing/>
        <w:rPr>
          <w:rFonts w:asciiTheme="minorBidi" w:eastAsia="Raleway" w:hAnsiTheme="minorBidi" w:cstheme="minorBidi"/>
          <w:b/>
          <w:bCs/>
          <w:sz w:val="22"/>
          <w:szCs w:val="22"/>
          <w:u w:val="single"/>
        </w:rPr>
      </w:pPr>
      <w:r w:rsidRPr="00B315DD">
        <w:rPr>
          <w:rFonts w:asciiTheme="minorBidi" w:hAnsiTheme="minorBidi" w:cstheme="minorBidi"/>
          <w:b/>
          <w:bCs/>
          <w:sz w:val="22"/>
          <w:szCs w:val="22"/>
          <w:u w:val="single"/>
        </w:rPr>
        <w:t>ESG-CV Flexibilities:</w:t>
      </w:r>
      <w:r w:rsidRPr="00B315DD">
        <w:rPr>
          <w:rFonts w:asciiTheme="minorBidi" w:hAnsiTheme="minorBidi" w:cstheme="minorBidi"/>
          <w:sz w:val="22"/>
          <w:szCs w:val="22"/>
          <w:u w:val="single"/>
        </w:rPr>
        <w:t xml:space="preserve"> </w:t>
      </w:r>
      <w:r w:rsidRPr="00B315DD">
        <w:rPr>
          <w:rFonts w:asciiTheme="minorBidi" w:eastAsia="Raleway" w:hAnsiTheme="minorBidi" w:cstheme="minorBidi"/>
          <w:b/>
          <w:bCs/>
          <w:sz w:val="22"/>
          <w:szCs w:val="22"/>
          <w:u w:val="single"/>
        </w:rPr>
        <w:t>Using ESG-CV to Provide Landlord Incentives</w:t>
      </w:r>
    </w:p>
    <w:p w14:paraId="691E8D5E" w14:textId="77777777" w:rsidR="00640D1C" w:rsidRPr="00796E65" w:rsidRDefault="00640D1C" w:rsidP="00640D1C">
      <w:pPr>
        <w:pStyle w:val="NormalWeb"/>
        <w:spacing w:before="0" w:beforeAutospacing="0" w:after="0" w:afterAutospacing="0" w:line="300" w:lineRule="auto"/>
        <w:contextualSpacing/>
        <w:rPr>
          <w:rFonts w:asciiTheme="minorBidi" w:hAnsiTheme="minorBidi" w:cstheme="minorBidi"/>
          <w:sz w:val="22"/>
          <w:szCs w:val="22"/>
        </w:rPr>
      </w:pPr>
      <w:r w:rsidRPr="008B264B">
        <w:rPr>
          <w:rFonts w:asciiTheme="minorBidi" w:hAnsiTheme="minorBidi"/>
          <w:sz w:val="22"/>
          <w:szCs w:val="22"/>
        </w:rPr>
        <w:t xml:space="preserve">ESG-CV funds may be used to pay for landlord incentives that are reasonable and necessary to obtain housing for individuals and families at-risk of or experiencing homelessness. Programs are strongly encouraged to utilize landlord incentives to help support landlord engagement efforts. This can include lease-up incentives up to 3 times the rent charged for the unit within the following categories: </w:t>
      </w:r>
    </w:p>
    <w:p w14:paraId="542245FC" w14:textId="77777777" w:rsidR="00640D1C" w:rsidRPr="008B264B" w:rsidRDefault="00640D1C" w:rsidP="004A10EE">
      <w:pPr>
        <w:pStyle w:val="ListParagraph"/>
        <w:numPr>
          <w:ilvl w:val="0"/>
          <w:numId w:val="13"/>
        </w:numPr>
        <w:spacing w:before="0" w:after="160" w:line="300" w:lineRule="auto"/>
        <w:rPr>
          <w:rFonts w:asciiTheme="minorBidi" w:hAnsiTheme="minorBidi"/>
          <w:sz w:val="22"/>
          <w:szCs w:val="22"/>
        </w:rPr>
      </w:pPr>
      <w:r w:rsidRPr="008B264B">
        <w:rPr>
          <w:rFonts w:asciiTheme="minorBidi" w:hAnsiTheme="minorBidi"/>
          <w:sz w:val="22"/>
          <w:szCs w:val="22"/>
        </w:rPr>
        <w:t>Signing bonuses equal to up to 2 months of rent</w:t>
      </w:r>
    </w:p>
    <w:p w14:paraId="41E3B188" w14:textId="77777777" w:rsidR="00640D1C" w:rsidRPr="008B264B" w:rsidRDefault="00640D1C" w:rsidP="004A10EE">
      <w:pPr>
        <w:pStyle w:val="ListParagraph"/>
        <w:numPr>
          <w:ilvl w:val="0"/>
          <w:numId w:val="13"/>
        </w:numPr>
        <w:spacing w:before="0" w:after="160" w:line="300" w:lineRule="auto"/>
        <w:rPr>
          <w:rFonts w:asciiTheme="minorBidi" w:hAnsiTheme="minorBidi"/>
          <w:sz w:val="22"/>
          <w:szCs w:val="22"/>
        </w:rPr>
      </w:pPr>
      <w:r w:rsidRPr="008B264B">
        <w:rPr>
          <w:rFonts w:asciiTheme="minorBidi" w:hAnsiTheme="minorBidi"/>
          <w:sz w:val="22"/>
          <w:szCs w:val="22"/>
        </w:rPr>
        <w:t>Cost to repair damages incurred by the participant not covered by the security deposit or that are incurred while the program participant is still residing in the unit</w:t>
      </w:r>
    </w:p>
    <w:p w14:paraId="571E9834" w14:textId="77777777" w:rsidR="00640D1C" w:rsidRPr="008B264B" w:rsidRDefault="00640D1C" w:rsidP="004A10EE">
      <w:pPr>
        <w:pStyle w:val="ListParagraph"/>
        <w:numPr>
          <w:ilvl w:val="0"/>
          <w:numId w:val="13"/>
        </w:numPr>
        <w:spacing w:before="0" w:after="160" w:line="300" w:lineRule="auto"/>
        <w:rPr>
          <w:rFonts w:asciiTheme="minorBidi" w:hAnsiTheme="minorBidi"/>
          <w:sz w:val="22"/>
          <w:szCs w:val="22"/>
        </w:rPr>
      </w:pPr>
      <w:r w:rsidRPr="008B264B">
        <w:rPr>
          <w:rFonts w:asciiTheme="minorBidi" w:hAnsiTheme="minorBidi"/>
          <w:sz w:val="22"/>
          <w:szCs w:val="22"/>
        </w:rPr>
        <w:t>Costs of extra cleaning or maintenance of a program participant’s unit or appliances</w:t>
      </w:r>
    </w:p>
    <w:p w14:paraId="4BC1EF03" w14:textId="77777777" w:rsidR="00640D1C" w:rsidRDefault="00640D1C" w:rsidP="00640D1C">
      <w:pPr>
        <w:spacing w:line="300" w:lineRule="auto"/>
        <w:contextualSpacing/>
        <w:rPr>
          <w:rFonts w:asciiTheme="minorBidi" w:hAnsiTheme="minorBidi"/>
          <w:sz w:val="22"/>
          <w:szCs w:val="22"/>
        </w:rPr>
      </w:pPr>
      <w:r w:rsidRPr="008B264B">
        <w:rPr>
          <w:rFonts w:asciiTheme="minorBidi" w:hAnsiTheme="minorBidi"/>
          <w:sz w:val="22"/>
          <w:szCs w:val="22"/>
        </w:rPr>
        <w:t xml:space="preserve">Landlord incentives can be budgeted only under RRH and HP components. Expenditures must be linked to assistance provided per household, and the funds can be used with other funding (e.g., CoC, CDBG-CV) so long as there </w:t>
      </w:r>
      <w:proofErr w:type="gramStart"/>
      <w:r w:rsidRPr="008B264B">
        <w:rPr>
          <w:rFonts w:asciiTheme="minorBidi" w:hAnsiTheme="minorBidi"/>
          <w:sz w:val="22"/>
          <w:szCs w:val="22"/>
        </w:rPr>
        <w:t>isn’t</w:t>
      </w:r>
      <w:proofErr w:type="gramEnd"/>
      <w:r w:rsidRPr="008B264B">
        <w:rPr>
          <w:rFonts w:asciiTheme="minorBidi" w:hAnsiTheme="minorBidi"/>
          <w:sz w:val="22"/>
          <w:szCs w:val="22"/>
        </w:rPr>
        <w:t xml:space="preserve"> a duplication of benefits and all applicable ESG requirements are met. Refer to the </w:t>
      </w:r>
      <w:hyperlink r:id="rId32" w:history="1">
        <w:r w:rsidRPr="008B264B">
          <w:rPr>
            <w:rStyle w:val="Hyperlink"/>
            <w:rFonts w:asciiTheme="minorBidi" w:hAnsiTheme="minorBidi"/>
            <w:sz w:val="22"/>
            <w:szCs w:val="22"/>
          </w:rPr>
          <w:t>Waivers and Alternative Requirements for the Emergency Solutions Grants (ESG)Program Under the CARES Act</w:t>
        </w:r>
      </w:hyperlink>
      <w:r w:rsidRPr="008B264B">
        <w:rPr>
          <w:rFonts w:asciiTheme="minorBidi" w:hAnsiTheme="minorBidi"/>
          <w:sz w:val="22"/>
          <w:szCs w:val="22"/>
        </w:rPr>
        <w:t xml:space="preserve"> for further details. </w:t>
      </w:r>
    </w:p>
    <w:p w14:paraId="5D9989C3" w14:textId="4476D310" w:rsidR="008C23F8" w:rsidRPr="00F00F75" w:rsidRDefault="00AD6496" w:rsidP="008C23F8">
      <w:pPr>
        <w:pStyle w:val="Heading1"/>
        <w:rPr>
          <w:rFonts w:asciiTheme="minorBidi" w:hAnsiTheme="minorBidi"/>
        </w:rPr>
      </w:pPr>
      <w:bookmarkStart w:id="19" w:name="_Toc110000641"/>
      <w:r w:rsidRPr="00F00F75">
        <w:rPr>
          <w:rFonts w:asciiTheme="minorBidi" w:hAnsiTheme="minorBidi"/>
          <w:caps w:val="0"/>
        </w:rPr>
        <w:t>RRH AND PREVENTION CASE MANAGEMENT AND SERVICE DELIVERY</w:t>
      </w:r>
      <w:bookmarkEnd w:id="19"/>
    </w:p>
    <w:p w14:paraId="6646E730"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Pr>
          <w:rFonts w:asciiTheme="minorBidi" w:hAnsiTheme="minorBidi"/>
          <w:color w:val="333333"/>
          <w:sz w:val="22"/>
          <w:szCs w:val="22"/>
          <w:shd w:val="clear" w:color="auto" w:fill="FFFFFF"/>
        </w:rPr>
        <w:t xml:space="preserve">Supportive Services are an essential element of a successful rapid re-housing and/or homelessness prevention program. The goal of services is to help households stabilize and, provide tenancy supports and connect them to services to ensure long-term housing stability. As much as possible, programs should determine how to seek and integrate feedback from program participants and others with lived experience into the program model. Specifically, programs should aim to incorporate the following service elements and best practices. </w:t>
      </w:r>
    </w:p>
    <w:p w14:paraId="4920051D"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6C70F9DB" w14:textId="77777777" w:rsidR="008C23F8" w:rsidRPr="00A564B9"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Trauma</w:t>
      </w:r>
      <w:r>
        <w:rPr>
          <w:rFonts w:asciiTheme="minorBidi" w:hAnsiTheme="minorBidi"/>
          <w:b/>
          <w:bCs/>
          <w:color w:val="333333"/>
          <w:sz w:val="22"/>
          <w:szCs w:val="22"/>
          <w:u w:val="single"/>
          <w:shd w:val="clear" w:color="auto" w:fill="FFFFFF"/>
        </w:rPr>
        <w:t>-</w:t>
      </w:r>
      <w:r w:rsidRPr="00A564B9">
        <w:rPr>
          <w:rFonts w:asciiTheme="minorBidi" w:hAnsiTheme="minorBidi"/>
          <w:b/>
          <w:bCs/>
          <w:color w:val="333333"/>
          <w:sz w:val="22"/>
          <w:szCs w:val="22"/>
          <w:u w:val="single"/>
          <w:shd w:val="clear" w:color="auto" w:fill="FFFFFF"/>
        </w:rPr>
        <w:t>Informed Care</w:t>
      </w:r>
    </w:p>
    <w:p w14:paraId="452E3BF9"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53E42">
        <w:rPr>
          <w:rFonts w:asciiTheme="minorBidi" w:hAnsiTheme="minorBidi"/>
          <w:color w:val="333333"/>
          <w:sz w:val="22"/>
          <w:szCs w:val="22"/>
          <w:shd w:val="clear" w:color="auto" w:fill="FFFFFF"/>
        </w:rPr>
        <w:t xml:space="preserve">Case managers should use a trauma-informed and strengths-based approach. Because homelessness and the threat of becoming homeless can be a crisis of major significance, stabilizing a person in housing requires case managers who understand the impact of trauma and stress on participants’ emotional, behavioral, and cognitive capacity. Until the housing crisis is </w:t>
      </w:r>
      <w:proofErr w:type="gramStart"/>
      <w:r w:rsidRPr="00253E42">
        <w:rPr>
          <w:rFonts w:asciiTheme="minorBidi" w:hAnsiTheme="minorBidi"/>
          <w:color w:val="333333"/>
          <w:sz w:val="22"/>
          <w:szCs w:val="22"/>
          <w:shd w:val="clear" w:color="auto" w:fill="FFFFFF"/>
        </w:rPr>
        <w:t>resolved</w:t>
      </w:r>
      <w:proofErr w:type="gramEnd"/>
      <w:r w:rsidRPr="00253E42">
        <w:rPr>
          <w:rFonts w:asciiTheme="minorBidi" w:hAnsiTheme="minorBidi"/>
          <w:color w:val="333333"/>
          <w:sz w:val="22"/>
          <w:szCs w:val="22"/>
          <w:shd w:val="clear" w:color="auto" w:fill="FFFFFF"/>
        </w:rPr>
        <w:t xml:space="preserve"> and the participant’s stress is decreased, case managers should support the household in setting short-term, achievable, and appropriate goals instead of focusing on longer-term goals. While many of these symptoms of stress will subside once the crisis is resolved, the case manager must be skilled at assessing participants’ various and changing levels of ability to carry out goals and action steps. The case manager should focus on the essential steps required to end the housing crisis.</w:t>
      </w:r>
    </w:p>
    <w:p w14:paraId="265EE0F4" w14:textId="77777777" w:rsidR="00442D16" w:rsidRPr="00253E42" w:rsidRDefault="00442D16"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644C6298" w14:textId="77777777" w:rsidR="008C23F8" w:rsidRPr="00A564B9" w:rsidRDefault="008C23F8" w:rsidP="008C23F8">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lastRenderedPageBreak/>
        <w:t>Housing-Focused</w:t>
      </w:r>
    </w:p>
    <w:p w14:paraId="616F4219"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To effectively assist participant households in achieving housing stability, recipients and sub-recipients must provide ongoing housing-focused case management services. The primary objective of housing-focused case management is to extend support to participants, through an individualized case management relationship, that will ultimately translate to increased housing stability. Housing-focused case management delivery should include regular consultations with participants in individualized meetings, dedicated to assessing and reassessing needs, educating participants on program and community resource opportunities, developing housing stability plans, scheduling appointments, and providing </w:t>
      </w:r>
      <w:proofErr w:type="gramStart"/>
      <w:r w:rsidRPr="00253E42">
        <w:rPr>
          <w:rFonts w:asciiTheme="minorBidi" w:hAnsiTheme="minorBidi"/>
          <w:color w:val="333333"/>
          <w:sz w:val="22"/>
          <w:szCs w:val="22"/>
          <w:shd w:val="clear" w:color="auto" w:fill="FFFFFF"/>
        </w:rPr>
        <w:t>necessary</w:t>
      </w:r>
      <w:proofErr w:type="gramEnd"/>
      <w:r w:rsidRPr="00253E42">
        <w:rPr>
          <w:rFonts w:asciiTheme="minorBidi" w:hAnsiTheme="minorBidi"/>
          <w:color w:val="333333"/>
          <w:sz w:val="22"/>
          <w:szCs w:val="22"/>
          <w:shd w:val="clear" w:color="auto" w:fill="FFFFFF"/>
        </w:rPr>
        <w:t xml:space="preserve"> follow up to ensure housing stability plans are progressing on schedule and needs are adequately being addressed. </w:t>
      </w:r>
    </w:p>
    <w:p w14:paraId="0447B3F8"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Meetings should occur in a participant’s home and/or in a location of the participant’s choosing whenever possible. Structurally, housing-focused case management is central to the </w:t>
      </w:r>
      <w:r>
        <w:rPr>
          <w:rFonts w:asciiTheme="minorBidi" w:hAnsiTheme="minorBidi"/>
          <w:color w:val="333333"/>
          <w:sz w:val="22"/>
          <w:szCs w:val="22"/>
          <w:shd w:val="clear" w:color="auto" w:fill="FFFFFF"/>
        </w:rPr>
        <w:t xml:space="preserve">provider’s </w:t>
      </w:r>
      <w:r w:rsidRPr="00253E42">
        <w:rPr>
          <w:rFonts w:asciiTheme="minorBidi" w:hAnsiTheme="minorBidi"/>
          <w:color w:val="333333"/>
          <w:sz w:val="22"/>
          <w:szCs w:val="22"/>
          <w:shd w:val="clear" w:color="auto" w:fill="FFFFFF"/>
        </w:rPr>
        <w:t xml:space="preserve">array of supportive services. Case managers should help to develop a plan to assist the participant retain permanent housing after the assistance ends, </w:t>
      </w:r>
      <w:proofErr w:type="gramStart"/>
      <w:r w:rsidRPr="00253E42">
        <w:rPr>
          <w:rFonts w:asciiTheme="minorBidi" w:hAnsiTheme="minorBidi"/>
          <w:color w:val="333333"/>
          <w:sz w:val="22"/>
          <w:szCs w:val="22"/>
          <w:shd w:val="clear" w:color="auto" w:fill="FFFFFF"/>
        </w:rPr>
        <w:t>taking into account</w:t>
      </w:r>
      <w:proofErr w:type="gramEnd"/>
      <w:r w:rsidRPr="00253E42">
        <w:rPr>
          <w:rFonts w:asciiTheme="minorBidi" w:hAnsiTheme="minorBidi"/>
          <w:color w:val="333333"/>
          <w:sz w:val="22"/>
          <w:szCs w:val="22"/>
          <w:shd w:val="clear" w:color="auto" w:fill="FFFFFF"/>
        </w:rPr>
        <w:t xml:space="preserve"> all relevant considerations, such as the participant’s current or expected income and expenses, other public or private assistance for which the participant will be eligible and likely to receive, and the relative affordability of available housing in the area.</w:t>
      </w:r>
    </w:p>
    <w:p w14:paraId="4DCFE05F"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3ADF8DF4" w14:textId="77777777" w:rsidR="008C23F8" w:rsidRPr="00A564B9"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Progressive Engagement</w:t>
      </w:r>
    </w:p>
    <w:p w14:paraId="2D55A3A2"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To best meet the needs and build on the strengths of each household, serve as many households as possible, and achieve strong housing outcomes, it is recommended that programs also use a progressive engagement approach </w:t>
      </w:r>
      <w:r>
        <w:rPr>
          <w:rFonts w:asciiTheme="minorBidi" w:hAnsiTheme="minorBidi"/>
          <w:color w:val="333333"/>
          <w:sz w:val="22"/>
          <w:szCs w:val="22"/>
          <w:shd w:val="clear" w:color="auto" w:fill="FFFFFF"/>
        </w:rPr>
        <w:t xml:space="preserve">when offering services or financial assistance. </w:t>
      </w:r>
      <w:r w:rsidRPr="00AF6432">
        <w:rPr>
          <w:rFonts w:asciiTheme="minorBidi" w:hAnsiTheme="minorBidi"/>
          <w:color w:val="333333"/>
          <w:sz w:val="22"/>
          <w:szCs w:val="22"/>
          <w:shd w:val="clear" w:color="auto" w:fill="FFFFFF"/>
        </w:rPr>
        <w:t xml:space="preserve">Progressive Engagement is an approach to helping households end their homelessness as rapidly as possible, despite barriers, with minimal financial and support resources. </w:t>
      </w:r>
      <w:r w:rsidRPr="00BB71D6">
        <w:rPr>
          <w:rFonts w:asciiTheme="minorBidi" w:hAnsiTheme="minorBidi"/>
          <w:color w:val="333333"/>
          <w:sz w:val="22"/>
          <w:szCs w:val="22"/>
          <w:shd w:val="clear" w:color="auto" w:fill="FFFFFF"/>
        </w:rPr>
        <w:t>In this approach, participants are initially offered “light-touch” assistance, including help creating a reasonable housing placement/stabilization plan, housing information and search assistance, and limited financial assistance</w:t>
      </w:r>
      <w:r>
        <w:rPr>
          <w:rFonts w:asciiTheme="minorBidi" w:hAnsiTheme="minorBidi"/>
          <w:color w:val="333333"/>
          <w:sz w:val="22"/>
          <w:szCs w:val="22"/>
          <w:shd w:val="clear" w:color="auto" w:fill="FFFFFF"/>
        </w:rPr>
        <w:t xml:space="preserve">. </w:t>
      </w:r>
      <w:r w:rsidRPr="00AF6432">
        <w:rPr>
          <w:rFonts w:asciiTheme="minorBidi" w:hAnsiTheme="minorBidi"/>
          <w:color w:val="333333"/>
          <w:sz w:val="22"/>
          <w:szCs w:val="22"/>
          <w:shd w:val="clear" w:color="auto" w:fill="FFFFFF"/>
        </w:rPr>
        <w:t>More supports are offered to those households who struggle to stabilize and cannot maintain their housing without assistance.</w:t>
      </w:r>
    </w:p>
    <w:p w14:paraId="49733719"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4158B3A"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P</w:t>
      </w:r>
      <w:r w:rsidRPr="00253E42">
        <w:rPr>
          <w:rFonts w:asciiTheme="minorBidi" w:hAnsiTheme="minorBidi"/>
          <w:color w:val="333333"/>
          <w:sz w:val="22"/>
          <w:szCs w:val="22"/>
          <w:shd w:val="clear" w:color="auto" w:fill="FFFFFF"/>
        </w:rPr>
        <w:t>rogram</w:t>
      </w:r>
      <w:r>
        <w:rPr>
          <w:rFonts w:asciiTheme="minorBidi" w:hAnsiTheme="minorBidi"/>
          <w:color w:val="333333"/>
          <w:sz w:val="22"/>
          <w:szCs w:val="22"/>
          <w:shd w:val="clear" w:color="auto" w:fill="FFFFFF"/>
        </w:rPr>
        <w:t>s</w:t>
      </w:r>
      <w:r w:rsidRPr="00253E42">
        <w:rPr>
          <w:rFonts w:asciiTheme="minorBidi" w:hAnsiTheme="minorBidi"/>
          <w:color w:val="333333"/>
          <w:sz w:val="22"/>
          <w:szCs w:val="22"/>
          <w:shd w:val="clear" w:color="auto" w:fill="FFFFFF"/>
        </w:rPr>
        <w:t xml:space="preserve"> </w:t>
      </w:r>
      <w:r>
        <w:rPr>
          <w:rFonts w:asciiTheme="minorBidi" w:hAnsiTheme="minorBidi"/>
          <w:color w:val="333333"/>
          <w:sz w:val="22"/>
          <w:szCs w:val="22"/>
          <w:shd w:val="clear" w:color="auto" w:fill="FFFFFF"/>
        </w:rPr>
        <w:t xml:space="preserve">should </w:t>
      </w:r>
      <w:r w:rsidRPr="00253E42">
        <w:rPr>
          <w:rFonts w:asciiTheme="minorBidi" w:hAnsiTheme="minorBidi"/>
          <w:color w:val="333333"/>
          <w:sz w:val="22"/>
          <w:szCs w:val="22"/>
          <w:shd w:val="clear" w:color="auto" w:fill="FFFFFF"/>
        </w:rPr>
        <w:t xml:space="preserve">initially provide a basic amount of financial assistance that is just enough to help a household obtain or maintain, and eventually sustain housing on its own. </w:t>
      </w:r>
    </w:p>
    <w:p w14:paraId="298B2569"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The program will periodically assess if the household is on the path to self-sufficiency or needs more assistance. If the household needs more assistance than what was initially provided, the program can extend financial assistance as needed and provide proactive case management to help the household stabilize in housing until they are no longer at risk of becoming homeless. </w:t>
      </w:r>
    </w:p>
    <w:p w14:paraId="5A26F1DA"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When using a progressive approach to providing rental assistance, the program periodically assesses the household’s progress toward assuming full rental payments. This assessment should determine whether financial assistance should be increased, extended, or tapered off. If assistance has been extended to the maximum amount and the program has provided as many services and linkages to the household as possible, and the household still does not seem on a path to housing stability, it may be appropriate to help the household get a more permanent </w:t>
      </w:r>
      <w:r w:rsidRPr="00253E42">
        <w:rPr>
          <w:rFonts w:asciiTheme="minorBidi" w:hAnsiTheme="minorBidi"/>
          <w:color w:val="333333"/>
          <w:sz w:val="22"/>
          <w:szCs w:val="22"/>
          <w:shd w:val="clear" w:color="auto" w:fill="FFFFFF"/>
        </w:rPr>
        <w:lastRenderedPageBreak/>
        <w:t xml:space="preserve">subsidy such as a Housing Choice voucher or a permanent supportive housing </w:t>
      </w:r>
      <w:proofErr w:type="gramStart"/>
      <w:r w:rsidRPr="00253E42">
        <w:rPr>
          <w:rFonts w:asciiTheme="minorBidi" w:hAnsiTheme="minorBidi"/>
          <w:color w:val="333333"/>
          <w:sz w:val="22"/>
          <w:szCs w:val="22"/>
          <w:shd w:val="clear" w:color="auto" w:fill="FFFFFF"/>
        </w:rPr>
        <w:t>placement, if</w:t>
      </w:r>
      <w:proofErr w:type="gramEnd"/>
      <w:r w:rsidRPr="00253E42">
        <w:rPr>
          <w:rFonts w:asciiTheme="minorBidi" w:hAnsiTheme="minorBidi"/>
          <w:color w:val="333333"/>
          <w:sz w:val="22"/>
          <w:szCs w:val="22"/>
          <w:shd w:val="clear" w:color="auto" w:fill="FFFFFF"/>
        </w:rPr>
        <w:t xml:space="preserve"> they are eligible.</w:t>
      </w:r>
    </w:p>
    <w:p w14:paraId="231927B1"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7146F92"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Providing </w:t>
      </w:r>
      <w:r>
        <w:rPr>
          <w:rFonts w:asciiTheme="minorBidi" w:hAnsiTheme="minorBidi"/>
          <w:color w:val="333333"/>
          <w:sz w:val="22"/>
          <w:szCs w:val="22"/>
          <w:shd w:val="clear" w:color="auto" w:fill="FFFFFF"/>
        </w:rPr>
        <w:t xml:space="preserve">services and </w:t>
      </w:r>
      <w:r w:rsidRPr="00253E42">
        <w:rPr>
          <w:rFonts w:asciiTheme="minorBidi" w:hAnsiTheme="minorBidi"/>
          <w:color w:val="333333"/>
          <w:sz w:val="22"/>
          <w:szCs w:val="22"/>
          <w:shd w:val="clear" w:color="auto" w:fill="FFFFFF"/>
        </w:rPr>
        <w:t xml:space="preserve">financial assistance in a progressive way allows the program to be flexible enough to adjust to each household’s unique strengths, needs, and resources, especially as their financial circumstances or </w:t>
      </w:r>
      <w:r>
        <w:rPr>
          <w:rFonts w:asciiTheme="minorBidi" w:hAnsiTheme="minorBidi"/>
          <w:color w:val="333333"/>
          <w:sz w:val="22"/>
          <w:szCs w:val="22"/>
          <w:shd w:val="clear" w:color="auto" w:fill="FFFFFF"/>
        </w:rPr>
        <w:t>service needs</w:t>
      </w:r>
      <w:r w:rsidRPr="00253E42">
        <w:rPr>
          <w:rFonts w:asciiTheme="minorBidi" w:hAnsiTheme="minorBidi"/>
          <w:color w:val="333333"/>
          <w:sz w:val="22"/>
          <w:szCs w:val="22"/>
          <w:shd w:val="clear" w:color="auto" w:fill="FFFFFF"/>
        </w:rPr>
        <w:t xml:space="preserve"> change. </w:t>
      </w:r>
    </w:p>
    <w:p w14:paraId="0608E559"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E532861" w14:textId="77777777" w:rsidR="008C23F8" w:rsidRPr="00A564B9" w:rsidRDefault="008C23F8" w:rsidP="008C23F8">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 xml:space="preserve">Client-Driven and Flexible </w:t>
      </w:r>
    </w:p>
    <w:p w14:paraId="7740C8AF"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Case management should be </w:t>
      </w:r>
      <w:proofErr w:type="gramStart"/>
      <w:r w:rsidRPr="00253E42">
        <w:rPr>
          <w:rFonts w:asciiTheme="minorBidi" w:hAnsiTheme="minorBidi"/>
          <w:color w:val="333333"/>
          <w:sz w:val="22"/>
          <w:szCs w:val="22"/>
          <w:shd w:val="clear" w:color="auto" w:fill="FFFFFF"/>
        </w:rPr>
        <w:t>client-driven</w:t>
      </w:r>
      <w:proofErr w:type="gramEnd"/>
      <w:r w:rsidRPr="00253E42">
        <w:rPr>
          <w:rFonts w:asciiTheme="minorBidi" w:hAnsiTheme="minorBidi"/>
          <w:color w:val="333333"/>
          <w:sz w:val="22"/>
          <w:szCs w:val="22"/>
          <w:shd w:val="clear" w:color="auto" w:fill="FFFFFF"/>
        </w:rPr>
        <w:t xml:space="preserve">. Case managers should actively engage participants in voluntary case management and service participation by creating an environment in which the participant is driving the case planning and </w:t>
      </w:r>
      <w:proofErr w:type="gramStart"/>
      <w:r w:rsidRPr="00253E42">
        <w:rPr>
          <w:rFonts w:asciiTheme="minorBidi" w:hAnsiTheme="minorBidi"/>
          <w:color w:val="333333"/>
          <w:sz w:val="22"/>
          <w:szCs w:val="22"/>
          <w:shd w:val="clear" w:color="auto" w:fill="FFFFFF"/>
        </w:rPr>
        <w:t>goal-setting</w:t>
      </w:r>
      <w:proofErr w:type="gramEnd"/>
      <w:r w:rsidRPr="00253E42">
        <w:rPr>
          <w:rFonts w:asciiTheme="minorBidi" w:hAnsiTheme="minorBidi"/>
          <w:color w:val="333333"/>
          <w:sz w:val="22"/>
          <w:szCs w:val="22"/>
          <w:shd w:val="clear" w:color="auto" w:fill="FFFFFF"/>
        </w:rPr>
        <w:t xml:space="preserve"> based on what they want from the program and services, rather than on what the case manager decides they need to do to be successful. Case managers should use a strengths-based approach to empower clients, identifying inherent strengths of a person or family instead of diagnoses or deficits, then building on those strengths to empower the household to succeed. Case management should be flexible in intensity – offering only essential assistance until or unless the participant demonstrates the need for or requests additional help. </w:t>
      </w:r>
    </w:p>
    <w:p w14:paraId="0B5FCB4D"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750707D6" w14:textId="77777777" w:rsidR="008C23F8" w:rsidRPr="00A564B9" w:rsidRDefault="008C23F8" w:rsidP="008C23F8">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A564B9">
        <w:rPr>
          <w:rFonts w:asciiTheme="minorBidi" w:hAnsiTheme="minorBidi"/>
          <w:b/>
          <w:bCs/>
          <w:color w:val="333333"/>
          <w:sz w:val="22"/>
          <w:szCs w:val="22"/>
          <w:u w:val="single"/>
          <w:shd w:val="clear" w:color="auto" w:fill="FFFFFF"/>
        </w:rPr>
        <w:t xml:space="preserve">Evolving Focus </w:t>
      </w:r>
    </w:p>
    <w:p w14:paraId="29C485CB"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Initially, case management should be primarily focused on assisting a participant in obtaining and moving into a new housing unit or maintaining stability in their current housing. Case managers should help participants resolve or mitigate tenant barriers like rental and utility arrears or multiple evictions; obtain necessary identification if needed; and prepare participants for successful tenancy by reviewing lease provisions. Case management may then shift to home-based and help participants stabilize in housing. Based upon their needs and requests, it should help participants identify and access supports, including family and friend networks, mainstream and community services, and employment and income. </w:t>
      </w:r>
    </w:p>
    <w:p w14:paraId="734D89B2"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Case managers should be available to help resolve issues or conflicts that may lead to tenancy problems while also helping participants develop </w:t>
      </w:r>
      <w:proofErr w:type="gramStart"/>
      <w:r w:rsidRPr="00253E42">
        <w:rPr>
          <w:rFonts w:asciiTheme="minorBidi" w:hAnsiTheme="minorBidi"/>
          <w:color w:val="333333"/>
          <w:sz w:val="22"/>
          <w:szCs w:val="22"/>
          <w:shd w:val="clear" w:color="auto" w:fill="FFFFFF"/>
        </w:rPr>
        <w:t>skills</w:t>
      </w:r>
      <w:proofErr w:type="gramEnd"/>
      <w:r w:rsidRPr="00253E42">
        <w:rPr>
          <w:rFonts w:asciiTheme="minorBidi" w:hAnsiTheme="minorBidi"/>
          <w:color w:val="333333"/>
          <w:sz w:val="22"/>
          <w:szCs w:val="22"/>
          <w:shd w:val="clear" w:color="auto" w:fill="FFFFFF"/>
        </w:rPr>
        <w:t xml:space="preserve"> they will use to retain housing once they are no longer in the program. </w:t>
      </w:r>
    </w:p>
    <w:p w14:paraId="00A8606A"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687619A" w14:textId="34597AA2"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Recipients and sub-recipients must have clear safety procedures for home visits that staff are trained on and that are posted and clearly visible in office space and shared with program participants at </w:t>
      </w:r>
      <w:r w:rsidR="003F65CD" w:rsidRPr="00253E42">
        <w:rPr>
          <w:rFonts w:asciiTheme="minorBidi" w:hAnsiTheme="minorBidi"/>
          <w:color w:val="333333"/>
          <w:sz w:val="22"/>
          <w:szCs w:val="22"/>
          <w:shd w:val="clear" w:color="auto" w:fill="FFFFFF"/>
        </w:rPr>
        <w:t>intake and</w:t>
      </w:r>
      <w:r w:rsidRPr="00253E42">
        <w:rPr>
          <w:rFonts w:asciiTheme="minorBidi" w:hAnsiTheme="minorBidi"/>
          <w:color w:val="333333"/>
          <w:sz w:val="22"/>
          <w:szCs w:val="22"/>
          <w:shd w:val="clear" w:color="auto" w:fill="FFFFFF"/>
        </w:rPr>
        <w:t xml:space="preserve"> shared with participants and staff whenever changes are made. Rapid re-housing or homelessness prevention assistance should </w:t>
      </w:r>
      <w:proofErr w:type="gramStart"/>
      <w:r w:rsidRPr="00253E42">
        <w:rPr>
          <w:rFonts w:asciiTheme="minorBidi" w:hAnsiTheme="minorBidi"/>
          <w:color w:val="333333"/>
          <w:sz w:val="22"/>
          <w:szCs w:val="22"/>
          <w:shd w:val="clear" w:color="auto" w:fill="FFFFFF"/>
        </w:rPr>
        <w:t>end</w:t>
      </w:r>
      <w:proofErr w:type="gramEnd"/>
      <w:r w:rsidRPr="00253E42">
        <w:rPr>
          <w:rFonts w:asciiTheme="minorBidi" w:hAnsiTheme="minorBidi"/>
          <w:color w:val="333333"/>
          <w:sz w:val="22"/>
          <w:szCs w:val="22"/>
          <w:shd w:val="clear" w:color="auto" w:fill="FFFFFF"/>
        </w:rPr>
        <w:t xml:space="preserve"> and the case should be closed when the participant is no longer going to be imminently homeless. In some instances, case management may continue after financial assistance ends if appropriate or requested by the household. </w:t>
      </w:r>
      <w:r w:rsidRPr="00DC4390">
        <w:rPr>
          <w:rFonts w:asciiTheme="minorBidi" w:hAnsiTheme="minorBidi"/>
          <w:color w:val="333333"/>
          <w:sz w:val="22"/>
          <w:szCs w:val="22"/>
          <w:shd w:val="clear" w:color="auto" w:fill="FFFFFF"/>
        </w:rPr>
        <w:t>Being mindful of regulatory time limits for service and rental assistance, the expectation is that a provider will assist someone reaching their maximum time of assistance to identify other resources to maintain stability or find alternative housing.</w:t>
      </w:r>
    </w:p>
    <w:p w14:paraId="22B83966" w14:textId="77777777" w:rsidR="008C23F8" w:rsidRPr="00796E65"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07EC4F1" w14:textId="5F27FBED" w:rsidR="008C23F8" w:rsidRDefault="004A10EE" w:rsidP="008C23F8">
      <w:pPr>
        <w:pStyle w:val="Heading1"/>
        <w:rPr>
          <w:rFonts w:asciiTheme="minorBidi" w:hAnsiTheme="minorBidi"/>
        </w:rPr>
      </w:pPr>
      <w:bookmarkStart w:id="20" w:name="_Toc110000642"/>
      <w:r w:rsidRPr="008B264B">
        <w:rPr>
          <w:rFonts w:asciiTheme="minorBidi" w:hAnsiTheme="minorBidi"/>
          <w:caps w:val="0"/>
        </w:rPr>
        <w:lastRenderedPageBreak/>
        <w:t>ALLOWABLE ACTIVITIES FOR RAPID RE-HOUSING AND PREVENTION</w:t>
      </w:r>
      <w:bookmarkEnd w:id="20"/>
    </w:p>
    <w:p w14:paraId="6A55FE95" w14:textId="77777777" w:rsidR="008C23F8" w:rsidRPr="00EC65DD" w:rsidRDefault="008C23F8" w:rsidP="008C23F8">
      <w:pPr>
        <w:rPr>
          <w:rFonts w:asciiTheme="minorBidi" w:hAnsiTheme="minorBidi"/>
          <w:sz w:val="22"/>
          <w:szCs w:val="22"/>
        </w:rPr>
      </w:pPr>
      <w:r w:rsidRPr="00EC65DD">
        <w:rPr>
          <w:rFonts w:asciiTheme="minorBidi" w:hAnsiTheme="minorBidi"/>
          <w:sz w:val="22"/>
          <w:szCs w:val="22"/>
        </w:rPr>
        <w:t xml:space="preserve">The chart below outlines the allowable activities for CoC and ESG funded programs. </w:t>
      </w:r>
      <w:r>
        <w:rPr>
          <w:rFonts w:asciiTheme="minorBidi" w:hAnsiTheme="minorBidi"/>
          <w:sz w:val="22"/>
          <w:szCs w:val="22"/>
        </w:rPr>
        <w:t>Providers</w:t>
      </w:r>
      <w:r w:rsidRPr="00EC65DD">
        <w:rPr>
          <w:rFonts w:asciiTheme="minorBidi" w:hAnsiTheme="minorBidi"/>
          <w:sz w:val="22"/>
          <w:szCs w:val="22"/>
        </w:rPr>
        <w:t xml:space="preserve"> are encouraged to familiarize themselves with the differences between CoC and ESG-funded rapid rehousing projects.</w:t>
      </w:r>
    </w:p>
    <w:tbl>
      <w:tblPr>
        <w:tblStyle w:val="TableGrid"/>
        <w:tblW w:w="0" w:type="auto"/>
        <w:tblLook w:val="04A0" w:firstRow="1" w:lastRow="0" w:firstColumn="1" w:lastColumn="0" w:noHBand="0" w:noVBand="1"/>
      </w:tblPr>
      <w:tblGrid>
        <w:gridCol w:w="3116"/>
        <w:gridCol w:w="3117"/>
        <w:gridCol w:w="3117"/>
      </w:tblGrid>
      <w:tr w:rsidR="008C23F8" w:rsidRPr="008B264B" w14:paraId="1EEBEE51" w14:textId="77777777" w:rsidTr="00707D43">
        <w:tc>
          <w:tcPr>
            <w:tcW w:w="3116" w:type="dxa"/>
            <w:shd w:val="clear" w:color="auto" w:fill="A9D5E7" w:themeFill="accent1" w:themeFillTint="66"/>
          </w:tcPr>
          <w:p w14:paraId="00147A57" w14:textId="3E760F73" w:rsidR="008C23F8" w:rsidRPr="003439E8" w:rsidRDefault="008C23F8" w:rsidP="00707D43">
            <w:pPr>
              <w:rPr>
                <w:rStyle w:val="Emphasis"/>
                <w:rFonts w:asciiTheme="minorBidi" w:hAnsiTheme="minorBidi"/>
                <w:b/>
                <w:bCs/>
                <w:sz w:val="22"/>
                <w:szCs w:val="22"/>
              </w:rPr>
            </w:pPr>
            <w:r w:rsidRPr="003439E8">
              <w:rPr>
                <w:rStyle w:val="Emphasis"/>
                <w:rFonts w:asciiTheme="minorBidi" w:hAnsiTheme="minorBidi"/>
                <w:b/>
                <w:bCs/>
                <w:sz w:val="22"/>
                <w:szCs w:val="22"/>
              </w:rPr>
              <w:t>C</w:t>
            </w:r>
            <w:r w:rsidR="008619F8">
              <w:rPr>
                <w:rStyle w:val="Emphasis"/>
                <w:rFonts w:asciiTheme="minorBidi" w:hAnsiTheme="minorBidi"/>
                <w:b/>
                <w:bCs/>
                <w:sz w:val="22"/>
                <w:szCs w:val="22"/>
              </w:rPr>
              <w:t>O</w:t>
            </w:r>
            <w:r w:rsidRPr="003439E8">
              <w:rPr>
                <w:rStyle w:val="Emphasis"/>
                <w:rFonts w:asciiTheme="minorBidi" w:hAnsiTheme="minorBidi"/>
                <w:b/>
                <w:bCs/>
                <w:sz w:val="22"/>
                <w:szCs w:val="22"/>
              </w:rPr>
              <w:t>C-RRH</w:t>
            </w:r>
          </w:p>
        </w:tc>
        <w:tc>
          <w:tcPr>
            <w:tcW w:w="3117" w:type="dxa"/>
            <w:shd w:val="clear" w:color="auto" w:fill="A9D5E7" w:themeFill="accent1" w:themeFillTint="66"/>
          </w:tcPr>
          <w:p w14:paraId="2CA617C6" w14:textId="77777777" w:rsidR="008C23F8" w:rsidRPr="003439E8" w:rsidRDefault="008C23F8" w:rsidP="00707D43">
            <w:pPr>
              <w:rPr>
                <w:rStyle w:val="Emphasis"/>
                <w:rFonts w:asciiTheme="minorBidi" w:hAnsiTheme="minorBidi"/>
                <w:b/>
                <w:bCs/>
                <w:sz w:val="22"/>
                <w:szCs w:val="22"/>
              </w:rPr>
            </w:pPr>
            <w:r w:rsidRPr="003439E8">
              <w:rPr>
                <w:rStyle w:val="Emphasis"/>
                <w:rFonts w:asciiTheme="minorBidi" w:hAnsiTheme="minorBidi"/>
                <w:b/>
                <w:bCs/>
                <w:sz w:val="22"/>
                <w:szCs w:val="22"/>
              </w:rPr>
              <w:t>ESG-RRH and Homelessness Prevention</w:t>
            </w:r>
          </w:p>
        </w:tc>
        <w:tc>
          <w:tcPr>
            <w:tcW w:w="3117" w:type="dxa"/>
            <w:shd w:val="clear" w:color="auto" w:fill="A9D5E7" w:themeFill="accent1" w:themeFillTint="66"/>
          </w:tcPr>
          <w:p w14:paraId="7AEADB4C" w14:textId="77777777" w:rsidR="008C23F8" w:rsidRPr="003439E8" w:rsidRDefault="008C23F8" w:rsidP="00707D43">
            <w:pPr>
              <w:rPr>
                <w:rStyle w:val="Emphasis"/>
                <w:rFonts w:asciiTheme="minorBidi" w:hAnsiTheme="minorBidi"/>
                <w:b/>
                <w:bCs/>
                <w:sz w:val="22"/>
                <w:szCs w:val="22"/>
              </w:rPr>
            </w:pPr>
            <w:r w:rsidRPr="003439E8">
              <w:rPr>
                <w:rStyle w:val="Emphasis"/>
                <w:rFonts w:asciiTheme="minorBidi" w:hAnsiTheme="minorBidi"/>
                <w:b/>
                <w:bCs/>
                <w:sz w:val="22"/>
                <w:szCs w:val="22"/>
              </w:rPr>
              <w:t>Additional ESG-CV Eligible Activities for RRH and HP</w:t>
            </w:r>
          </w:p>
        </w:tc>
      </w:tr>
      <w:tr w:rsidR="008C23F8" w:rsidRPr="008B264B" w14:paraId="6B485D82" w14:textId="77777777" w:rsidTr="00707D43">
        <w:tc>
          <w:tcPr>
            <w:tcW w:w="3116" w:type="dxa"/>
          </w:tcPr>
          <w:p w14:paraId="5C226F11" w14:textId="77777777" w:rsidR="008C23F8" w:rsidRPr="003439E8"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Rental Assistance</w:t>
            </w:r>
          </w:p>
          <w:p w14:paraId="300BD09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Short-term rental assistance (up to 3 months)</w:t>
            </w:r>
          </w:p>
          <w:p w14:paraId="504F1763"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Medium-term rental assistance (4-24 months)</w:t>
            </w:r>
          </w:p>
        </w:tc>
        <w:tc>
          <w:tcPr>
            <w:tcW w:w="3117" w:type="dxa"/>
          </w:tcPr>
          <w:p w14:paraId="05411094" w14:textId="77777777" w:rsidR="008C23F8" w:rsidRPr="003439E8"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Rental Assistance</w:t>
            </w:r>
          </w:p>
          <w:p w14:paraId="2C25A88D"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Short-term rental assistance (up to 3 months)</w:t>
            </w:r>
          </w:p>
          <w:p w14:paraId="3BBFF833"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Medium-term rental assistance (4-24 months)</w:t>
            </w:r>
          </w:p>
          <w:p w14:paraId="4EA1813C"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Rental arrears (one-time payment of up to 6 months of rent in arrears, including any late fees on those arrears)</w:t>
            </w:r>
          </w:p>
        </w:tc>
        <w:tc>
          <w:tcPr>
            <w:tcW w:w="3117" w:type="dxa"/>
          </w:tcPr>
          <w:p w14:paraId="24E7CA4B"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p>
        </w:tc>
      </w:tr>
      <w:tr w:rsidR="008C23F8" w:rsidRPr="008B264B" w14:paraId="46975CC7" w14:textId="77777777" w:rsidTr="00707D43">
        <w:trPr>
          <w:trHeight w:val="4895"/>
        </w:trPr>
        <w:tc>
          <w:tcPr>
            <w:tcW w:w="3116" w:type="dxa"/>
          </w:tcPr>
          <w:p w14:paraId="52384241" w14:textId="77777777" w:rsidR="008C23F8" w:rsidRPr="003439E8" w:rsidRDefault="008C23F8" w:rsidP="00707D43">
            <w:pPr>
              <w:autoSpaceDE w:val="0"/>
              <w:autoSpaceDN w:val="0"/>
              <w:adjustRightInd w:val="0"/>
              <w:spacing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Financial Assistance</w:t>
            </w:r>
          </w:p>
          <w:p w14:paraId="5352A588"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 xml:space="preserve">Security deposits (up to </w:t>
            </w:r>
            <w:r>
              <w:rPr>
                <w:rFonts w:asciiTheme="minorBidi" w:hAnsiTheme="minorBidi"/>
                <w:color w:val="333333"/>
                <w:sz w:val="22"/>
                <w:szCs w:val="22"/>
                <w:shd w:val="clear" w:color="auto" w:fill="FFFFFF"/>
              </w:rPr>
              <w:t>1</w:t>
            </w:r>
            <w:r w:rsidRPr="008B264B">
              <w:rPr>
                <w:rFonts w:asciiTheme="minorBidi" w:hAnsiTheme="minorBidi"/>
                <w:color w:val="333333"/>
                <w:sz w:val="22"/>
                <w:szCs w:val="22"/>
                <w:shd w:val="clear" w:color="auto" w:fill="FFFFFF"/>
              </w:rPr>
              <w:t xml:space="preserve"> month)</w:t>
            </w:r>
          </w:p>
          <w:p w14:paraId="24A53E28"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First and last month’s rent</w:t>
            </w:r>
          </w:p>
          <w:p w14:paraId="724E3FA6" w14:textId="77777777" w:rsidR="008C23F8"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Property damage</w:t>
            </w:r>
          </w:p>
          <w:p w14:paraId="3EECA935" w14:textId="77777777" w:rsidR="008C23F8" w:rsidRPr="003A62A6" w:rsidRDefault="008C23F8" w:rsidP="004A10EE">
            <w:pPr>
              <w:pStyle w:val="ListParagraph"/>
              <w:numPr>
                <w:ilvl w:val="0"/>
                <w:numId w:val="14"/>
              </w:numPr>
              <w:autoSpaceDE w:val="0"/>
              <w:autoSpaceDN w:val="0"/>
              <w:adjustRightInd w:val="0"/>
              <w:spacing w:line="300" w:lineRule="auto"/>
              <w:ind w:left="150" w:hanging="150"/>
              <w:rPr>
                <w:rFonts w:asciiTheme="minorBidi" w:hAnsiTheme="minorBidi"/>
                <w:color w:val="333333"/>
                <w:sz w:val="22"/>
                <w:szCs w:val="22"/>
                <w:shd w:val="clear" w:color="auto" w:fill="FFFFFF"/>
              </w:rPr>
            </w:pPr>
            <w:r w:rsidRPr="003A62A6">
              <w:rPr>
                <w:rFonts w:asciiTheme="minorBidi" w:hAnsiTheme="minorBidi"/>
                <w:color w:val="333333"/>
                <w:sz w:val="22"/>
                <w:szCs w:val="22"/>
                <w:shd w:val="clear" w:color="auto" w:fill="FFFFFF"/>
              </w:rPr>
              <w:t>VAWA emergency transfer plan costs</w:t>
            </w:r>
          </w:p>
        </w:tc>
        <w:tc>
          <w:tcPr>
            <w:tcW w:w="3117" w:type="dxa"/>
          </w:tcPr>
          <w:p w14:paraId="1824314B" w14:textId="77777777" w:rsidR="008C23F8" w:rsidRPr="003439E8" w:rsidRDefault="008C23F8" w:rsidP="00707D43">
            <w:pPr>
              <w:autoSpaceDE w:val="0"/>
              <w:autoSpaceDN w:val="0"/>
              <w:adjustRightInd w:val="0"/>
              <w:spacing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Financial Assistance</w:t>
            </w:r>
          </w:p>
          <w:p w14:paraId="3F83D852"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 xml:space="preserve">Security deposits (up to </w:t>
            </w:r>
            <w:r>
              <w:rPr>
                <w:rFonts w:asciiTheme="minorBidi" w:hAnsiTheme="minorBidi"/>
                <w:color w:val="333333"/>
                <w:sz w:val="22"/>
                <w:szCs w:val="22"/>
                <w:shd w:val="clear" w:color="auto" w:fill="FFFFFF"/>
              </w:rPr>
              <w:t>1</w:t>
            </w:r>
            <w:r w:rsidRPr="008B264B">
              <w:rPr>
                <w:rFonts w:asciiTheme="minorBidi" w:hAnsiTheme="minorBidi"/>
                <w:color w:val="333333"/>
                <w:sz w:val="22"/>
                <w:szCs w:val="22"/>
                <w:shd w:val="clear" w:color="auto" w:fill="FFFFFF"/>
              </w:rPr>
              <w:t xml:space="preserve"> month)</w:t>
            </w:r>
          </w:p>
          <w:p w14:paraId="400EA5F8"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Last month’s rent (up to 1 month)</w:t>
            </w:r>
          </w:p>
          <w:p w14:paraId="0D01EF51"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Rental application fees</w:t>
            </w:r>
          </w:p>
          <w:p w14:paraId="1E46B033"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Utility deposits and payments (up to 24 months, including up to 6 months of arrears)</w:t>
            </w:r>
          </w:p>
          <w:p w14:paraId="18E249BB" w14:textId="77777777" w:rsidR="008C23F8"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Moving costs</w:t>
            </w:r>
          </w:p>
          <w:p w14:paraId="3C333D10" w14:textId="77777777" w:rsidR="008C23F8" w:rsidRPr="003439E8" w:rsidRDefault="008C23F8" w:rsidP="004A10EE">
            <w:pPr>
              <w:pStyle w:val="ListParagraph"/>
              <w:numPr>
                <w:ilvl w:val="0"/>
                <w:numId w:val="14"/>
              </w:numPr>
              <w:autoSpaceDE w:val="0"/>
              <w:autoSpaceDN w:val="0"/>
              <w:adjustRightInd w:val="0"/>
              <w:spacing w:line="300" w:lineRule="auto"/>
              <w:ind w:left="121" w:hanging="121"/>
              <w:rPr>
                <w:rFonts w:asciiTheme="minorBidi" w:hAnsiTheme="minorBidi"/>
                <w:color w:val="333333"/>
                <w:sz w:val="22"/>
                <w:szCs w:val="22"/>
                <w:shd w:val="clear" w:color="auto" w:fill="FFFFFF"/>
              </w:rPr>
            </w:pPr>
            <w:r w:rsidRPr="003A62A6">
              <w:rPr>
                <w:rFonts w:asciiTheme="minorBidi" w:hAnsiTheme="minorBidi"/>
                <w:color w:val="333333"/>
                <w:sz w:val="22"/>
                <w:szCs w:val="22"/>
                <w:shd w:val="clear" w:color="auto" w:fill="FFFFFF"/>
              </w:rPr>
              <w:t>VAWA emergency transfer plan costs These costs are not subject to the 24-month limit on rental assistance.</w:t>
            </w:r>
          </w:p>
        </w:tc>
        <w:tc>
          <w:tcPr>
            <w:tcW w:w="3117" w:type="dxa"/>
          </w:tcPr>
          <w:p w14:paraId="14BA5626" w14:textId="77777777" w:rsidR="008C23F8" w:rsidRPr="003439E8" w:rsidRDefault="008C23F8" w:rsidP="00707D43">
            <w:pPr>
              <w:autoSpaceDE w:val="0"/>
              <w:autoSpaceDN w:val="0"/>
              <w:adjustRightInd w:val="0"/>
              <w:spacing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Financial Assistance</w:t>
            </w:r>
          </w:p>
          <w:p w14:paraId="4B87A048" w14:textId="77777777" w:rsidR="008C23F8" w:rsidRPr="003A62A6" w:rsidRDefault="008C23F8" w:rsidP="004A10EE">
            <w:pPr>
              <w:pStyle w:val="ListParagraph"/>
              <w:numPr>
                <w:ilvl w:val="0"/>
                <w:numId w:val="14"/>
              </w:numPr>
              <w:autoSpaceDE w:val="0"/>
              <w:autoSpaceDN w:val="0"/>
              <w:adjustRightInd w:val="0"/>
              <w:spacing w:line="300" w:lineRule="auto"/>
              <w:ind w:left="256" w:hanging="270"/>
              <w:rPr>
                <w:rFonts w:asciiTheme="minorBidi" w:hAnsiTheme="minorBidi"/>
                <w:color w:val="333333"/>
                <w:sz w:val="22"/>
                <w:szCs w:val="22"/>
                <w:shd w:val="clear" w:color="auto" w:fill="FFFFFF"/>
              </w:rPr>
            </w:pPr>
            <w:r w:rsidRPr="003A62A6">
              <w:rPr>
                <w:rFonts w:asciiTheme="minorBidi" w:hAnsiTheme="minorBidi"/>
                <w:color w:val="333333"/>
                <w:sz w:val="22"/>
                <w:szCs w:val="22"/>
                <w:shd w:val="clear" w:color="auto" w:fill="FFFFFF"/>
              </w:rPr>
              <w:t>Landlord Incentives (not to exceed 3 months of unit rent)</w:t>
            </w:r>
          </w:p>
          <w:p w14:paraId="2D1CD801" w14:textId="77777777" w:rsidR="008C23F8" w:rsidRPr="003A62A6" w:rsidRDefault="008C23F8" w:rsidP="004A10EE">
            <w:pPr>
              <w:pStyle w:val="ListParagraph"/>
              <w:numPr>
                <w:ilvl w:val="0"/>
                <w:numId w:val="14"/>
              </w:numPr>
              <w:autoSpaceDE w:val="0"/>
              <w:autoSpaceDN w:val="0"/>
              <w:adjustRightInd w:val="0"/>
              <w:spacing w:line="300" w:lineRule="auto"/>
              <w:ind w:left="256" w:hanging="270"/>
              <w:rPr>
                <w:rFonts w:asciiTheme="minorBidi" w:hAnsiTheme="minorBidi"/>
                <w:color w:val="333333"/>
                <w:sz w:val="22"/>
                <w:szCs w:val="22"/>
                <w:shd w:val="clear" w:color="auto" w:fill="FFFFFF"/>
              </w:rPr>
            </w:pPr>
            <w:r w:rsidRPr="003A62A6">
              <w:rPr>
                <w:rFonts w:asciiTheme="minorBidi" w:hAnsiTheme="minorBidi"/>
                <w:color w:val="333333"/>
                <w:sz w:val="22"/>
                <w:szCs w:val="22"/>
                <w:shd w:val="clear" w:color="auto" w:fill="FFFFFF"/>
              </w:rPr>
              <w:t>Volunteer Incentives</w:t>
            </w:r>
          </w:p>
        </w:tc>
      </w:tr>
      <w:tr w:rsidR="008C23F8" w:rsidRPr="008B264B" w14:paraId="420F487E" w14:textId="77777777" w:rsidTr="00707D43">
        <w:tc>
          <w:tcPr>
            <w:tcW w:w="3116" w:type="dxa"/>
          </w:tcPr>
          <w:p w14:paraId="37CF23E6" w14:textId="77777777" w:rsidR="008C23F8" w:rsidRPr="003439E8"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Supportive Services</w:t>
            </w:r>
          </w:p>
          <w:p w14:paraId="20A0EDB9"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Annual assessment of service needs</w:t>
            </w:r>
          </w:p>
          <w:p w14:paraId="58CC8A67"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Assistance with moving costs</w:t>
            </w:r>
          </w:p>
          <w:p w14:paraId="39E67419"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Case management</w:t>
            </w:r>
          </w:p>
          <w:p w14:paraId="5900C563"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Childcare</w:t>
            </w:r>
          </w:p>
          <w:p w14:paraId="0DA14CCC"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Education services</w:t>
            </w:r>
          </w:p>
          <w:p w14:paraId="000BDBD2"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lastRenderedPageBreak/>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Employment assistance and job training</w:t>
            </w:r>
          </w:p>
          <w:p w14:paraId="61FCB31F"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Food</w:t>
            </w:r>
          </w:p>
          <w:p w14:paraId="36709012"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Housing search and counseling services</w:t>
            </w:r>
          </w:p>
          <w:p w14:paraId="1753C18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Legal services</w:t>
            </w:r>
          </w:p>
          <w:p w14:paraId="03353536"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Life skills training</w:t>
            </w:r>
          </w:p>
          <w:p w14:paraId="2B471D2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Mental health services</w:t>
            </w:r>
          </w:p>
          <w:p w14:paraId="623728E8"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Outpatient health services</w:t>
            </w:r>
          </w:p>
          <w:p w14:paraId="792929CA"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Outreach services</w:t>
            </w:r>
          </w:p>
          <w:p w14:paraId="3B351E99"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Substance abuse treatment services</w:t>
            </w:r>
          </w:p>
          <w:p w14:paraId="7FE3A2ED"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Transportation</w:t>
            </w:r>
          </w:p>
          <w:p w14:paraId="5AEE6C03"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Utility deposits</w:t>
            </w:r>
          </w:p>
        </w:tc>
        <w:tc>
          <w:tcPr>
            <w:tcW w:w="3117" w:type="dxa"/>
          </w:tcPr>
          <w:p w14:paraId="07B28A22" w14:textId="77777777" w:rsidR="008C23F8" w:rsidRPr="003439E8"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lastRenderedPageBreak/>
              <w:t>Supportive Services</w:t>
            </w:r>
          </w:p>
          <w:p w14:paraId="6769E210"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Housing search and placement</w:t>
            </w:r>
          </w:p>
          <w:p w14:paraId="641263FD"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Housing stability case management</w:t>
            </w:r>
          </w:p>
          <w:p w14:paraId="3092DB7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Mediation</w:t>
            </w:r>
          </w:p>
          <w:p w14:paraId="0CFB50E9"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Legal services</w:t>
            </w:r>
          </w:p>
          <w:p w14:paraId="205BAFD9"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Pr="008B264B">
              <w:rPr>
                <w:rFonts w:asciiTheme="minorBidi" w:hAnsiTheme="minorBidi"/>
                <w:color w:val="333333"/>
                <w:sz w:val="22"/>
                <w:szCs w:val="22"/>
                <w:shd w:val="clear" w:color="auto" w:fill="FFFFFF"/>
              </w:rPr>
              <w:t>Credit repair</w:t>
            </w:r>
          </w:p>
        </w:tc>
        <w:tc>
          <w:tcPr>
            <w:tcW w:w="3117" w:type="dxa"/>
          </w:tcPr>
          <w:p w14:paraId="7875C9F5" w14:textId="77777777" w:rsidR="008C23F8" w:rsidRPr="003439E8"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Supportive Services</w:t>
            </w:r>
          </w:p>
          <w:p w14:paraId="59D1A9B3" w14:textId="77777777" w:rsidR="008C23F8" w:rsidRPr="003A62A6" w:rsidRDefault="008C23F8" w:rsidP="004A10EE">
            <w:pPr>
              <w:pStyle w:val="ListParagraph"/>
              <w:numPr>
                <w:ilvl w:val="0"/>
                <w:numId w:val="15"/>
              </w:numPr>
              <w:autoSpaceDE w:val="0"/>
              <w:autoSpaceDN w:val="0"/>
              <w:adjustRightInd w:val="0"/>
              <w:spacing w:line="300" w:lineRule="auto"/>
              <w:ind w:left="256" w:hanging="180"/>
              <w:rPr>
                <w:rFonts w:asciiTheme="minorBidi" w:hAnsiTheme="minorBidi"/>
                <w:color w:val="333333"/>
                <w:sz w:val="22"/>
                <w:szCs w:val="22"/>
                <w:shd w:val="clear" w:color="auto" w:fill="FFFFFF"/>
              </w:rPr>
            </w:pPr>
            <w:r w:rsidRPr="003A62A6">
              <w:rPr>
                <w:rFonts w:asciiTheme="minorBidi" w:hAnsiTheme="minorBidi"/>
                <w:color w:val="333333"/>
                <w:sz w:val="22"/>
                <w:szCs w:val="22"/>
                <w:shd w:val="clear" w:color="auto" w:fill="FFFFFF"/>
              </w:rPr>
              <w:t>Hazard Pay for staff working directly with clients or in high-risk environments.</w:t>
            </w:r>
          </w:p>
          <w:p w14:paraId="5B680EDE" w14:textId="77777777" w:rsidR="008C23F8" w:rsidRPr="008B264B" w:rsidRDefault="008C23F8" w:rsidP="004A10EE">
            <w:pPr>
              <w:numPr>
                <w:ilvl w:val="0"/>
                <w:numId w:val="12"/>
              </w:numPr>
              <w:autoSpaceDE w:val="0"/>
              <w:autoSpaceDN w:val="0"/>
              <w:adjustRightInd w:val="0"/>
              <w:spacing w:before="100" w:line="300" w:lineRule="auto"/>
              <w:ind w:left="256" w:hanging="180"/>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Training for staff on infectious disease prevention and mitigation.</w:t>
            </w:r>
          </w:p>
        </w:tc>
      </w:tr>
    </w:tbl>
    <w:p w14:paraId="5F5CEE8D" w14:textId="77777777" w:rsidR="008C23F8" w:rsidRPr="008B264B"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B387CD4" w14:textId="77777777" w:rsidR="008C23F8" w:rsidRPr="008B264B"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See Regulations at 24 CFR 576, subpart B (ESG) or 578, subpart D (CoC) for additional details on allowable expenditures.</w:t>
      </w:r>
    </w:p>
    <w:p w14:paraId="1119902F" w14:textId="77777777" w:rsidR="008C23F8" w:rsidRPr="008B264B"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CBD1346" w14:textId="77777777" w:rsidR="008C23F8" w:rsidRPr="00B315DD"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Time Limits for Assistance</w:t>
      </w:r>
    </w:p>
    <w:tbl>
      <w:tblPr>
        <w:tblStyle w:val="TableGrid"/>
        <w:tblW w:w="9355" w:type="dxa"/>
        <w:tblLook w:val="04A0" w:firstRow="1" w:lastRow="0" w:firstColumn="1" w:lastColumn="0" w:noHBand="0" w:noVBand="1"/>
      </w:tblPr>
      <w:tblGrid>
        <w:gridCol w:w="3118"/>
        <w:gridCol w:w="3118"/>
        <w:gridCol w:w="3119"/>
      </w:tblGrid>
      <w:tr w:rsidR="008C23F8" w:rsidRPr="008B264B" w14:paraId="193CEB0F" w14:textId="77777777" w:rsidTr="00707D43">
        <w:trPr>
          <w:trHeight w:val="503"/>
        </w:trPr>
        <w:tc>
          <w:tcPr>
            <w:tcW w:w="3118" w:type="dxa"/>
            <w:shd w:val="clear" w:color="auto" w:fill="A9D5E7" w:themeFill="accent1" w:themeFillTint="66"/>
          </w:tcPr>
          <w:p w14:paraId="1C9920C0" w14:textId="77777777" w:rsidR="008C23F8" w:rsidRPr="003439E8" w:rsidRDefault="008C23F8" w:rsidP="00707D43">
            <w:pPr>
              <w:pStyle w:val="Title"/>
              <w:rPr>
                <w:rStyle w:val="SubtleEmphasis"/>
                <w:rFonts w:asciiTheme="minorBidi" w:hAnsiTheme="minorBidi" w:cstheme="minorBidi"/>
                <w:b/>
                <w:bCs/>
                <w:i w:val="0"/>
                <w:iCs w:val="0"/>
                <w:sz w:val="24"/>
                <w:szCs w:val="24"/>
              </w:rPr>
            </w:pPr>
            <w:r w:rsidRPr="003439E8">
              <w:rPr>
                <w:rStyle w:val="SubtleEmphasis"/>
                <w:rFonts w:asciiTheme="minorBidi" w:hAnsiTheme="minorBidi" w:cstheme="minorBidi"/>
                <w:b/>
                <w:bCs/>
                <w:i w:val="0"/>
                <w:iCs w:val="0"/>
                <w:caps w:val="0"/>
                <w:sz w:val="24"/>
                <w:szCs w:val="24"/>
              </w:rPr>
              <w:t>Assistance type</w:t>
            </w:r>
          </w:p>
        </w:tc>
        <w:tc>
          <w:tcPr>
            <w:tcW w:w="3118" w:type="dxa"/>
            <w:shd w:val="clear" w:color="auto" w:fill="A9D5E7" w:themeFill="accent1" w:themeFillTint="66"/>
          </w:tcPr>
          <w:p w14:paraId="398A21B1" w14:textId="77777777" w:rsidR="008C23F8" w:rsidRPr="003439E8" w:rsidRDefault="008C23F8" w:rsidP="00707D43">
            <w:pPr>
              <w:pStyle w:val="Title"/>
              <w:rPr>
                <w:rStyle w:val="SubtleEmphasis"/>
                <w:rFonts w:asciiTheme="minorBidi" w:hAnsiTheme="minorBidi" w:cstheme="minorBidi"/>
                <w:b/>
                <w:bCs/>
                <w:i w:val="0"/>
                <w:iCs w:val="0"/>
                <w:caps w:val="0"/>
                <w:sz w:val="24"/>
                <w:szCs w:val="24"/>
              </w:rPr>
            </w:pPr>
            <w:r>
              <w:rPr>
                <w:rStyle w:val="SubtleEmphasis"/>
                <w:rFonts w:asciiTheme="minorBidi" w:hAnsiTheme="minorBidi" w:cstheme="minorBidi"/>
                <w:b/>
                <w:bCs/>
                <w:i w:val="0"/>
                <w:iCs w:val="0"/>
                <w:caps w:val="0"/>
                <w:sz w:val="24"/>
                <w:szCs w:val="24"/>
              </w:rPr>
              <w:t>CoC</w:t>
            </w:r>
          </w:p>
        </w:tc>
        <w:tc>
          <w:tcPr>
            <w:tcW w:w="3119" w:type="dxa"/>
            <w:shd w:val="clear" w:color="auto" w:fill="A9D5E7" w:themeFill="accent1" w:themeFillTint="66"/>
          </w:tcPr>
          <w:p w14:paraId="033B6922" w14:textId="77777777" w:rsidR="008C23F8" w:rsidRPr="003439E8" w:rsidRDefault="008C23F8" w:rsidP="00707D43">
            <w:pPr>
              <w:pStyle w:val="Title"/>
              <w:rPr>
                <w:rStyle w:val="SubtleEmphasis"/>
                <w:rFonts w:asciiTheme="minorBidi" w:hAnsiTheme="minorBidi" w:cstheme="minorBidi"/>
                <w:b/>
                <w:bCs/>
                <w:i w:val="0"/>
                <w:iCs w:val="0"/>
                <w:sz w:val="24"/>
                <w:szCs w:val="24"/>
              </w:rPr>
            </w:pPr>
            <w:r w:rsidRPr="003439E8">
              <w:rPr>
                <w:rStyle w:val="SubtleEmphasis"/>
                <w:rFonts w:asciiTheme="minorBidi" w:hAnsiTheme="minorBidi" w:cstheme="minorBidi"/>
                <w:b/>
                <w:bCs/>
                <w:i w:val="0"/>
                <w:iCs w:val="0"/>
                <w:caps w:val="0"/>
                <w:sz w:val="24"/>
                <w:szCs w:val="24"/>
              </w:rPr>
              <w:t>E</w:t>
            </w:r>
            <w:r>
              <w:rPr>
                <w:rStyle w:val="SubtleEmphasis"/>
                <w:rFonts w:asciiTheme="minorBidi" w:hAnsiTheme="minorBidi" w:cstheme="minorBidi"/>
                <w:b/>
                <w:bCs/>
                <w:i w:val="0"/>
                <w:iCs w:val="0"/>
                <w:caps w:val="0"/>
                <w:sz w:val="24"/>
                <w:szCs w:val="24"/>
              </w:rPr>
              <w:t>SG</w:t>
            </w:r>
          </w:p>
        </w:tc>
      </w:tr>
      <w:tr w:rsidR="008C23F8" w:rsidRPr="008B264B" w14:paraId="648A6CCC" w14:textId="77777777" w:rsidTr="00707D43">
        <w:trPr>
          <w:trHeight w:val="620"/>
        </w:trPr>
        <w:tc>
          <w:tcPr>
            <w:tcW w:w="3118" w:type="dxa"/>
          </w:tcPr>
          <w:p w14:paraId="511270A6"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Moving Costs</w:t>
            </w:r>
          </w:p>
        </w:tc>
        <w:tc>
          <w:tcPr>
            <w:tcW w:w="3118" w:type="dxa"/>
          </w:tcPr>
          <w:p w14:paraId="4B7864C0"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1 time assistance per Household</w:t>
            </w:r>
          </w:p>
        </w:tc>
        <w:tc>
          <w:tcPr>
            <w:tcW w:w="3119" w:type="dxa"/>
          </w:tcPr>
          <w:p w14:paraId="64BDE86C"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3 Month Limit on Storage Fees</w:t>
            </w:r>
          </w:p>
        </w:tc>
      </w:tr>
      <w:tr w:rsidR="008C23F8" w:rsidRPr="008B264B" w14:paraId="64366ABC" w14:textId="77777777" w:rsidTr="00707D43">
        <w:trPr>
          <w:trHeight w:val="377"/>
        </w:trPr>
        <w:tc>
          <w:tcPr>
            <w:tcW w:w="3118" w:type="dxa"/>
          </w:tcPr>
          <w:p w14:paraId="2D7CA7BA"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Security Deposits</w:t>
            </w:r>
          </w:p>
        </w:tc>
        <w:tc>
          <w:tcPr>
            <w:tcW w:w="3118" w:type="dxa"/>
          </w:tcPr>
          <w:p w14:paraId="223B4757"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 xml:space="preserve">Not to exceed </w:t>
            </w:r>
            <w:r>
              <w:rPr>
                <w:rFonts w:asciiTheme="minorBidi" w:hAnsiTheme="minorBidi"/>
                <w:color w:val="333333"/>
                <w:sz w:val="22"/>
                <w:szCs w:val="22"/>
                <w:shd w:val="clear" w:color="auto" w:fill="FFFFFF"/>
              </w:rPr>
              <w:t>1</w:t>
            </w:r>
            <w:r w:rsidRPr="008B264B">
              <w:rPr>
                <w:rFonts w:asciiTheme="minorBidi" w:hAnsiTheme="minorBidi"/>
                <w:color w:val="333333"/>
                <w:sz w:val="22"/>
                <w:szCs w:val="22"/>
                <w:shd w:val="clear" w:color="auto" w:fill="FFFFFF"/>
              </w:rPr>
              <w:t xml:space="preserve"> month rent</w:t>
            </w:r>
            <w:r>
              <w:rPr>
                <w:rFonts w:asciiTheme="minorBidi" w:hAnsiTheme="minorBidi"/>
                <w:color w:val="333333"/>
                <w:sz w:val="22"/>
                <w:szCs w:val="22"/>
                <w:shd w:val="clear" w:color="auto" w:fill="FFFFFF"/>
              </w:rPr>
              <w:t xml:space="preserve"> based on MA state law</w:t>
            </w:r>
          </w:p>
        </w:tc>
        <w:tc>
          <w:tcPr>
            <w:tcW w:w="3119" w:type="dxa"/>
          </w:tcPr>
          <w:p w14:paraId="572C93F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 xml:space="preserve">Not to exceed </w:t>
            </w:r>
            <w:r>
              <w:rPr>
                <w:rFonts w:asciiTheme="minorBidi" w:hAnsiTheme="minorBidi"/>
                <w:color w:val="333333"/>
                <w:sz w:val="22"/>
                <w:szCs w:val="22"/>
                <w:shd w:val="clear" w:color="auto" w:fill="FFFFFF"/>
              </w:rPr>
              <w:t>1</w:t>
            </w:r>
            <w:r w:rsidRPr="008B264B">
              <w:rPr>
                <w:rFonts w:asciiTheme="minorBidi" w:hAnsiTheme="minorBidi"/>
                <w:color w:val="333333"/>
                <w:sz w:val="22"/>
                <w:szCs w:val="22"/>
                <w:shd w:val="clear" w:color="auto" w:fill="FFFFFF"/>
              </w:rPr>
              <w:t xml:space="preserve"> month rent</w:t>
            </w:r>
            <w:r>
              <w:rPr>
                <w:rFonts w:asciiTheme="minorBidi" w:hAnsiTheme="minorBidi"/>
                <w:color w:val="333333"/>
                <w:sz w:val="22"/>
                <w:szCs w:val="22"/>
                <w:shd w:val="clear" w:color="auto" w:fill="FFFFFF"/>
              </w:rPr>
              <w:t xml:space="preserve"> based on MA state law</w:t>
            </w:r>
          </w:p>
        </w:tc>
      </w:tr>
      <w:tr w:rsidR="008C23F8" w:rsidRPr="008B264B" w14:paraId="104EEA93" w14:textId="77777777" w:rsidTr="00707D43">
        <w:trPr>
          <w:trHeight w:val="1358"/>
        </w:trPr>
        <w:tc>
          <w:tcPr>
            <w:tcW w:w="3118" w:type="dxa"/>
          </w:tcPr>
          <w:p w14:paraId="16A9AAFB"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Rental Arrears</w:t>
            </w:r>
          </w:p>
        </w:tc>
        <w:tc>
          <w:tcPr>
            <w:tcW w:w="3118" w:type="dxa"/>
          </w:tcPr>
          <w:p w14:paraId="06111C41"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Not Allowable</w:t>
            </w:r>
          </w:p>
        </w:tc>
        <w:tc>
          <w:tcPr>
            <w:tcW w:w="3119" w:type="dxa"/>
          </w:tcPr>
          <w:p w14:paraId="59759E83"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1 time payment of up to 6 months (does not count toward the rental assistance limit)</w:t>
            </w:r>
          </w:p>
        </w:tc>
      </w:tr>
      <w:tr w:rsidR="008C23F8" w:rsidRPr="008B264B" w14:paraId="0AD43E86" w14:textId="77777777" w:rsidTr="00707D43">
        <w:trPr>
          <w:trHeight w:val="395"/>
        </w:trPr>
        <w:tc>
          <w:tcPr>
            <w:tcW w:w="3118" w:type="dxa"/>
          </w:tcPr>
          <w:p w14:paraId="3E89BADB"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Utility Deposits</w:t>
            </w:r>
          </w:p>
        </w:tc>
        <w:tc>
          <w:tcPr>
            <w:tcW w:w="3118" w:type="dxa"/>
          </w:tcPr>
          <w:p w14:paraId="44D238E7"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1 time fee</w:t>
            </w:r>
          </w:p>
        </w:tc>
        <w:tc>
          <w:tcPr>
            <w:tcW w:w="3119" w:type="dxa"/>
          </w:tcPr>
          <w:p w14:paraId="4FDDCB7C"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1 time fee</w:t>
            </w:r>
          </w:p>
        </w:tc>
      </w:tr>
      <w:tr w:rsidR="008C23F8" w:rsidRPr="008B264B" w14:paraId="0B5EDDF1" w14:textId="77777777" w:rsidTr="00707D43">
        <w:trPr>
          <w:trHeight w:val="917"/>
        </w:trPr>
        <w:tc>
          <w:tcPr>
            <w:tcW w:w="3118" w:type="dxa"/>
          </w:tcPr>
          <w:p w14:paraId="0B6F526E"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Rental Assistance</w:t>
            </w:r>
          </w:p>
        </w:tc>
        <w:tc>
          <w:tcPr>
            <w:tcW w:w="3118" w:type="dxa"/>
          </w:tcPr>
          <w:p w14:paraId="48B9FED5"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Not to exceed 24 months per Household</w:t>
            </w:r>
          </w:p>
        </w:tc>
        <w:tc>
          <w:tcPr>
            <w:tcW w:w="3119" w:type="dxa"/>
          </w:tcPr>
          <w:p w14:paraId="2272060D"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Including Utility Payments, not to exceed 24 months in 3 years.</w:t>
            </w:r>
          </w:p>
        </w:tc>
      </w:tr>
      <w:tr w:rsidR="008C23F8" w:rsidRPr="008B264B" w14:paraId="7993D60E" w14:textId="77777777" w:rsidTr="00707D43">
        <w:trPr>
          <w:trHeight w:val="818"/>
        </w:trPr>
        <w:tc>
          <w:tcPr>
            <w:tcW w:w="3118" w:type="dxa"/>
          </w:tcPr>
          <w:p w14:paraId="51752963" w14:textId="77777777" w:rsidR="008C23F8" w:rsidRPr="008B264B" w:rsidRDefault="008C23F8" w:rsidP="00707D43">
            <w:pPr>
              <w:autoSpaceDE w:val="0"/>
              <w:autoSpaceDN w:val="0"/>
              <w:adjustRightInd w:val="0"/>
              <w:spacing w:before="100" w:line="300" w:lineRule="auto"/>
              <w:contextualSpacing/>
              <w:rPr>
                <w:rFonts w:asciiTheme="minorBidi" w:hAnsiTheme="minorBidi"/>
                <w:b/>
                <w:bCs/>
                <w:color w:val="333333"/>
                <w:sz w:val="22"/>
                <w:szCs w:val="22"/>
                <w:shd w:val="clear" w:color="auto" w:fill="FFFFFF"/>
              </w:rPr>
            </w:pPr>
            <w:r w:rsidRPr="008B264B">
              <w:rPr>
                <w:rFonts w:asciiTheme="minorBidi" w:hAnsiTheme="minorBidi"/>
                <w:b/>
                <w:bCs/>
                <w:color w:val="333333"/>
                <w:sz w:val="22"/>
                <w:szCs w:val="22"/>
                <w:shd w:val="clear" w:color="auto" w:fill="FFFFFF"/>
              </w:rPr>
              <w:t>Housing Stabilization Case Management/Supportive Services</w:t>
            </w:r>
          </w:p>
        </w:tc>
        <w:tc>
          <w:tcPr>
            <w:tcW w:w="3118" w:type="dxa"/>
          </w:tcPr>
          <w:p w14:paraId="16C195B5" w14:textId="77777777" w:rsidR="008C23F8" w:rsidRPr="008B264B" w:rsidRDefault="008C23F8" w:rsidP="00707D43">
            <w:pPr>
              <w:autoSpaceDE w:val="0"/>
              <w:autoSpaceDN w:val="0"/>
              <w:adjustRightInd w:val="0"/>
              <w:spacing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Up to 6 months after rental assistance ends</w:t>
            </w:r>
          </w:p>
        </w:tc>
        <w:tc>
          <w:tcPr>
            <w:tcW w:w="3119" w:type="dxa"/>
          </w:tcPr>
          <w:p w14:paraId="1B98F2F5" w14:textId="77777777" w:rsidR="008C23F8"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r w:rsidRPr="008B264B">
              <w:rPr>
                <w:rFonts w:asciiTheme="minorBidi" w:hAnsiTheme="minorBidi"/>
                <w:color w:val="333333"/>
                <w:sz w:val="22"/>
                <w:szCs w:val="22"/>
                <w:shd w:val="clear" w:color="auto" w:fill="FFFFFF"/>
              </w:rPr>
              <w:t>30 days prior to move in + up to 24 months in 3 years</w:t>
            </w:r>
          </w:p>
          <w:p w14:paraId="55AD6F4E" w14:textId="77777777" w:rsidR="008C23F8" w:rsidRPr="008B264B" w:rsidRDefault="008C23F8" w:rsidP="00707D43">
            <w:pPr>
              <w:autoSpaceDE w:val="0"/>
              <w:autoSpaceDN w:val="0"/>
              <w:adjustRightInd w:val="0"/>
              <w:spacing w:before="100" w:line="300" w:lineRule="auto"/>
              <w:contextualSpacing/>
              <w:rPr>
                <w:rFonts w:asciiTheme="minorBidi" w:hAnsiTheme="minorBidi"/>
                <w:color w:val="333333"/>
                <w:sz w:val="22"/>
                <w:szCs w:val="22"/>
                <w:shd w:val="clear" w:color="auto" w:fill="FFFFFF"/>
              </w:rPr>
            </w:pPr>
          </w:p>
        </w:tc>
      </w:tr>
    </w:tbl>
    <w:p w14:paraId="3787C54E"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EA922AA" w14:textId="44D91235"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For additional information about the differences between ESG and CoC rapid rehousing programs, please refer to the following comparison </w:t>
      </w:r>
      <w:hyperlink r:id="rId33" w:history="1">
        <w:r w:rsidRPr="0003416D">
          <w:rPr>
            <w:rStyle w:val="Hyperlink"/>
            <w:rFonts w:asciiTheme="minorBidi" w:hAnsiTheme="minorBidi"/>
            <w:sz w:val="22"/>
            <w:szCs w:val="22"/>
            <w:shd w:val="clear" w:color="auto" w:fill="FFFFFF"/>
          </w:rPr>
          <w:t>document</w:t>
        </w:r>
      </w:hyperlink>
      <w:r>
        <w:rPr>
          <w:rFonts w:asciiTheme="minorBidi" w:hAnsiTheme="minorBidi"/>
          <w:color w:val="333333"/>
          <w:sz w:val="22"/>
          <w:szCs w:val="22"/>
          <w:shd w:val="clear" w:color="auto" w:fill="FFFFFF"/>
        </w:rPr>
        <w:t xml:space="preserve"> created by HUD</w:t>
      </w:r>
      <w:r w:rsidRPr="008B264B">
        <w:rPr>
          <w:rFonts w:asciiTheme="minorBidi" w:hAnsiTheme="minorBidi"/>
          <w:color w:val="333333"/>
          <w:sz w:val="22"/>
          <w:szCs w:val="22"/>
          <w:shd w:val="clear" w:color="auto" w:fill="FFFFFF"/>
        </w:rPr>
        <w:t>.</w:t>
      </w:r>
    </w:p>
    <w:p w14:paraId="569C6786" w14:textId="77777777" w:rsidR="007D50B7" w:rsidRPr="00253E42" w:rsidRDefault="007D50B7"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9A3D216" w14:textId="311F9C0B" w:rsidR="008C23F8" w:rsidRPr="003A62A6" w:rsidRDefault="004A10EE" w:rsidP="008C23F8">
      <w:pPr>
        <w:pStyle w:val="Heading1"/>
        <w:rPr>
          <w:rFonts w:asciiTheme="minorBidi" w:hAnsiTheme="minorBidi"/>
        </w:rPr>
      </w:pPr>
      <w:bookmarkStart w:id="21" w:name="_Toc110000643"/>
      <w:r w:rsidRPr="00F00F75">
        <w:rPr>
          <w:rFonts w:asciiTheme="minorBidi" w:hAnsiTheme="minorBidi"/>
          <w:caps w:val="0"/>
        </w:rPr>
        <w:lastRenderedPageBreak/>
        <w:t>DOCU</w:t>
      </w:r>
      <w:r>
        <w:rPr>
          <w:rFonts w:asciiTheme="minorBidi" w:hAnsiTheme="minorBidi"/>
          <w:caps w:val="0"/>
        </w:rPr>
        <w:t>M</w:t>
      </w:r>
      <w:r w:rsidRPr="00F00F75">
        <w:rPr>
          <w:rFonts w:asciiTheme="minorBidi" w:hAnsiTheme="minorBidi"/>
          <w:caps w:val="0"/>
        </w:rPr>
        <w:t xml:space="preserve">ENTATION </w:t>
      </w:r>
      <w:r>
        <w:rPr>
          <w:rFonts w:asciiTheme="minorBidi" w:hAnsiTheme="minorBidi"/>
          <w:caps w:val="0"/>
        </w:rPr>
        <w:t>AND RECORDKEEPING REQUIREMENTS</w:t>
      </w:r>
      <w:bookmarkEnd w:id="21"/>
      <w:r>
        <w:rPr>
          <w:rFonts w:asciiTheme="minorBidi" w:hAnsiTheme="minorBidi"/>
          <w:caps w:val="0"/>
        </w:rPr>
        <w:t xml:space="preserve"> </w:t>
      </w:r>
    </w:p>
    <w:p w14:paraId="4CBF796C" w14:textId="77777777" w:rsidR="008C23F8" w:rsidRPr="00F117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Providers </w:t>
      </w:r>
      <w:r w:rsidRPr="00C00B35">
        <w:rPr>
          <w:rFonts w:asciiTheme="minorBidi" w:hAnsiTheme="minorBidi"/>
          <w:color w:val="333333"/>
          <w:sz w:val="22"/>
          <w:szCs w:val="22"/>
          <w:shd w:val="clear" w:color="auto" w:fill="FFFFFF"/>
        </w:rPr>
        <w:t>must establish and follow written intake procedures to ensure compliance with relevant homeless definition and recordkeeping requirements.</w:t>
      </w:r>
      <w:r>
        <w:rPr>
          <w:rFonts w:asciiTheme="minorBidi" w:hAnsiTheme="minorBidi"/>
          <w:color w:val="333333"/>
          <w:sz w:val="22"/>
          <w:szCs w:val="22"/>
          <w:shd w:val="clear" w:color="auto" w:fill="FFFFFF"/>
        </w:rPr>
        <w:t xml:space="preserve"> Providers may be subject to program monitoring and must make documentation available as requested to ensure eligibility for program participation is clearly demonstrated. </w:t>
      </w:r>
      <w:r w:rsidRPr="00F11742">
        <w:rPr>
          <w:rFonts w:asciiTheme="minorBidi" w:hAnsiTheme="minorBidi"/>
          <w:color w:val="333333"/>
          <w:sz w:val="22"/>
          <w:szCs w:val="22"/>
          <w:shd w:val="clear" w:color="auto" w:fill="FFFFFF"/>
        </w:rPr>
        <w:t>For additional detail</w:t>
      </w:r>
      <w:r>
        <w:rPr>
          <w:rFonts w:asciiTheme="minorBidi" w:hAnsiTheme="minorBidi"/>
          <w:color w:val="333333"/>
          <w:sz w:val="22"/>
          <w:szCs w:val="22"/>
          <w:shd w:val="clear" w:color="auto" w:fill="FFFFFF"/>
        </w:rPr>
        <w:t xml:space="preserve">s and required supporting documentation </w:t>
      </w:r>
      <w:r w:rsidRPr="00F11742">
        <w:rPr>
          <w:rFonts w:asciiTheme="minorBidi" w:hAnsiTheme="minorBidi"/>
          <w:color w:val="333333"/>
          <w:sz w:val="22"/>
          <w:szCs w:val="22"/>
          <w:shd w:val="clear" w:color="auto" w:fill="FFFFFF"/>
        </w:rPr>
        <w:t>on all the of the requirements outline</w:t>
      </w:r>
      <w:r>
        <w:rPr>
          <w:rFonts w:asciiTheme="minorBidi" w:hAnsiTheme="minorBidi"/>
          <w:color w:val="333333"/>
          <w:sz w:val="22"/>
          <w:szCs w:val="22"/>
          <w:shd w:val="clear" w:color="auto" w:fill="FFFFFF"/>
        </w:rPr>
        <w:t>d</w:t>
      </w:r>
      <w:r w:rsidRPr="00F11742">
        <w:rPr>
          <w:rFonts w:asciiTheme="minorBidi" w:hAnsiTheme="minorBidi"/>
          <w:color w:val="333333"/>
          <w:sz w:val="22"/>
          <w:szCs w:val="22"/>
          <w:shd w:val="clear" w:color="auto" w:fill="FFFFFF"/>
        </w:rPr>
        <w:t xml:space="preserve"> </w:t>
      </w:r>
      <w:r>
        <w:rPr>
          <w:rFonts w:asciiTheme="minorBidi" w:hAnsiTheme="minorBidi"/>
          <w:color w:val="333333"/>
          <w:sz w:val="22"/>
          <w:szCs w:val="22"/>
          <w:shd w:val="clear" w:color="auto" w:fill="FFFFFF"/>
        </w:rPr>
        <w:t>in this section</w:t>
      </w:r>
      <w:r w:rsidRPr="00F11742">
        <w:rPr>
          <w:rFonts w:asciiTheme="minorBidi" w:hAnsiTheme="minorBidi"/>
          <w:color w:val="333333"/>
          <w:sz w:val="22"/>
          <w:szCs w:val="22"/>
          <w:shd w:val="clear" w:color="auto" w:fill="FFFFFF"/>
        </w:rPr>
        <w:t>, please refer to Appendix A</w:t>
      </w:r>
      <w:r>
        <w:rPr>
          <w:rFonts w:asciiTheme="minorBidi" w:hAnsiTheme="minorBidi"/>
          <w:color w:val="333333"/>
          <w:sz w:val="22"/>
          <w:szCs w:val="22"/>
          <w:shd w:val="clear" w:color="auto" w:fill="FFFFFF"/>
        </w:rPr>
        <w:t xml:space="preserve">. </w:t>
      </w:r>
    </w:p>
    <w:p w14:paraId="68A1FF7F"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29D38E1E"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Homelessness or At-Risk Status</w:t>
      </w:r>
    </w:p>
    <w:p w14:paraId="33FFECB7" w14:textId="09175725" w:rsidR="008C23F8" w:rsidRPr="00C00B35"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C00B35">
        <w:rPr>
          <w:rFonts w:asciiTheme="minorBidi" w:hAnsiTheme="minorBidi"/>
          <w:color w:val="333333"/>
          <w:sz w:val="22"/>
          <w:szCs w:val="22"/>
          <w:shd w:val="clear" w:color="auto" w:fill="FFFFFF"/>
        </w:rPr>
        <w:t>The</w:t>
      </w:r>
      <w:r>
        <w:rPr>
          <w:rFonts w:asciiTheme="minorBidi" w:hAnsiTheme="minorBidi"/>
          <w:color w:val="333333"/>
          <w:sz w:val="22"/>
          <w:szCs w:val="22"/>
          <w:shd w:val="clear" w:color="auto" w:fill="FFFFFF"/>
        </w:rPr>
        <w:t xml:space="preserve"> provider </w:t>
      </w:r>
      <w:r w:rsidRPr="00C00B35">
        <w:rPr>
          <w:rFonts w:asciiTheme="minorBidi" w:hAnsiTheme="minorBidi"/>
          <w:color w:val="333333"/>
          <w:sz w:val="22"/>
          <w:szCs w:val="22"/>
          <w:shd w:val="clear" w:color="auto" w:fill="FFFFFF"/>
        </w:rPr>
        <w:t>must maintain and follow written intake procedures to ensure compliance with the homeless definition in</w:t>
      </w:r>
      <w:r>
        <w:rPr>
          <w:rFonts w:asciiTheme="minorBidi" w:hAnsiTheme="minorBidi"/>
          <w:color w:val="333333"/>
          <w:sz w:val="22"/>
          <w:szCs w:val="22"/>
          <w:shd w:val="clear" w:color="auto" w:fill="FFFFFF"/>
        </w:rPr>
        <w:t xml:space="preserve"> 24 CFR</w:t>
      </w:r>
      <w:r w:rsidRPr="00C00B35">
        <w:rPr>
          <w:rFonts w:asciiTheme="minorBidi" w:hAnsiTheme="minorBidi"/>
          <w:color w:val="333333"/>
          <w:sz w:val="22"/>
          <w:szCs w:val="22"/>
          <w:shd w:val="clear" w:color="auto" w:fill="FFFFFF"/>
        </w:rPr>
        <w:t xml:space="preserve"> §576.2</w:t>
      </w:r>
      <w:r w:rsidR="007D77FD">
        <w:rPr>
          <w:rFonts w:asciiTheme="minorBidi" w:hAnsiTheme="minorBidi"/>
          <w:color w:val="333333"/>
          <w:sz w:val="22"/>
          <w:szCs w:val="22"/>
          <w:shd w:val="clear" w:color="auto" w:fill="FFFFFF"/>
        </w:rPr>
        <w:t xml:space="preserve"> and</w:t>
      </w:r>
      <w:r w:rsidR="007D77FD" w:rsidRPr="007D77FD">
        <w:rPr>
          <w:rFonts w:asciiTheme="minorBidi" w:hAnsiTheme="minorBidi"/>
          <w:color w:val="333333"/>
          <w:sz w:val="22"/>
          <w:szCs w:val="22"/>
          <w:shd w:val="clear" w:color="auto" w:fill="FFFFFF"/>
        </w:rPr>
        <w:t xml:space="preserve"> CFR §57</w:t>
      </w:r>
      <w:r w:rsidR="007D77FD">
        <w:rPr>
          <w:rFonts w:asciiTheme="minorBidi" w:hAnsiTheme="minorBidi"/>
          <w:color w:val="333333"/>
          <w:sz w:val="22"/>
          <w:szCs w:val="22"/>
          <w:shd w:val="clear" w:color="auto" w:fill="FFFFFF"/>
        </w:rPr>
        <w:t>8</w:t>
      </w:r>
      <w:r w:rsidR="007D77FD" w:rsidRPr="007D77FD">
        <w:rPr>
          <w:rFonts w:asciiTheme="minorBidi" w:hAnsiTheme="minorBidi"/>
          <w:color w:val="333333"/>
          <w:sz w:val="22"/>
          <w:szCs w:val="22"/>
          <w:shd w:val="clear" w:color="auto" w:fill="FFFFFF"/>
        </w:rPr>
        <w:t>.</w:t>
      </w:r>
      <w:r w:rsidR="007D77FD">
        <w:rPr>
          <w:rFonts w:asciiTheme="minorBidi" w:hAnsiTheme="minorBidi"/>
          <w:color w:val="333333"/>
          <w:sz w:val="22"/>
          <w:szCs w:val="22"/>
          <w:shd w:val="clear" w:color="auto" w:fill="FFFFFF"/>
        </w:rPr>
        <w:t xml:space="preserve">3 </w:t>
      </w:r>
      <w:r w:rsidRPr="00C00B35">
        <w:rPr>
          <w:rFonts w:asciiTheme="minorBidi" w:hAnsiTheme="minorBidi"/>
          <w:color w:val="333333"/>
          <w:sz w:val="22"/>
          <w:szCs w:val="22"/>
          <w:shd w:val="clear" w:color="auto" w:fill="FFFFFF"/>
        </w:rPr>
        <w:t xml:space="preserve">. The procedures must require documentation at intake of the evidence relied upon to establish and verify homeless status. </w:t>
      </w:r>
    </w:p>
    <w:p w14:paraId="7C28FDD2" w14:textId="77777777" w:rsidR="008C23F8"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4B9E5D38"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 xml:space="preserve">Income </w:t>
      </w:r>
    </w:p>
    <w:p w14:paraId="156B17F8"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All programs should review income at intake to evaluate a client’s resources and determine the level of assistance that will be the most helpful. </w:t>
      </w:r>
    </w:p>
    <w:p w14:paraId="48834AC7"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FD88B48"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When providing Homelessness Prevention assistance, at initial entry to the program a household must have income below 30 percent of median family income for the area to be eligible for assistance. Income is also reviewed at time of program re-evaluation for both </w:t>
      </w:r>
      <w:r>
        <w:rPr>
          <w:rFonts w:asciiTheme="minorBidi" w:hAnsiTheme="minorBidi"/>
          <w:color w:val="333333"/>
          <w:sz w:val="22"/>
          <w:szCs w:val="22"/>
          <w:shd w:val="clear" w:color="auto" w:fill="FFFFFF"/>
        </w:rPr>
        <w:t>homelessness prevention</w:t>
      </w:r>
      <w:r w:rsidRPr="00253E42">
        <w:rPr>
          <w:rFonts w:asciiTheme="minorBidi" w:hAnsiTheme="minorBidi"/>
          <w:color w:val="333333"/>
          <w:sz w:val="22"/>
          <w:szCs w:val="22"/>
          <w:shd w:val="clear" w:color="auto" w:fill="FFFFFF"/>
        </w:rPr>
        <w:t xml:space="preserve"> and ESG r</w:t>
      </w:r>
      <w:r>
        <w:rPr>
          <w:rFonts w:asciiTheme="minorBidi" w:hAnsiTheme="minorBidi"/>
          <w:color w:val="333333"/>
          <w:sz w:val="22"/>
          <w:szCs w:val="22"/>
          <w:shd w:val="clear" w:color="auto" w:fill="FFFFFF"/>
        </w:rPr>
        <w:t>apid re-housing</w:t>
      </w:r>
      <w:r w:rsidRPr="00253E42">
        <w:rPr>
          <w:rFonts w:asciiTheme="minorBidi" w:hAnsiTheme="minorBidi"/>
          <w:color w:val="333333"/>
          <w:sz w:val="22"/>
          <w:szCs w:val="22"/>
          <w:shd w:val="clear" w:color="auto" w:fill="FFFFFF"/>
        </w:rPr>
        <w:t xml:space="preserve">. </w:t>
      </w:r>
    </w:p>
    <w:p w14:paraId="616444F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EB587B9"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When determining the annual income of an individual or family, the </w:t>
      </w:r>
      <w:r>
        <w:rPr>
          <w:rFonts w:asciiTheme="minorBidi" w:hAnsiTheme="minorBidi"/>
          <w:color w:val="333333"/>
          <w:sz w:val="22"/>
          <w:szCs w:val="22"/>
          <w:shd w:val="clear" w:color="auto" w:fill="FFFFFF"/>
        </w:rPr>
        <w:t xml:space="preserve">provider </w:t>
      </w:r>
      <w:r w:rsidRPr="00253E42">
        <w:rPr>
          <w:rFonts w:asciiTheme="minorBidi" w:hAnsiTheme="minorBidi"/>
          <w:color w:val="333333"/>
          <w:sz w:val="22"/>
          <w:szCs w:val="22"/>
          <w:shd w:val="clear" w:color="auto" w:fill="FFFFFF"/>
        </w:rPr>
        <w:t>must use the standard for calculating annual income under 24 CFR 5.609.</w:t>
      </w:r>
    </w:p>
    <w:p w14:paraId="7524AA8E"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An income calculator can be found here: </w:t>
      </w:r>
      <w:hyperlink r:id="rId34" w:history="1">
        <w:r w:rsidRPr="00253E42">
          <w:rPr>
            <w:rStyle w:val="Hyperlink"/>
            <w:rFonts w:asciiTheme="minorBidi" w:hAnsiTheme="minorBidi"/>
            <w:sz w:val="22"/>
            <w:szCs w:val="22"/>
            <w:shd w:val="clear" w:color="auto" w:fill="FFFFFF"/>
          </w:rPr>
          <w:t>https://www.hudexchange.info/incomecalculator/</w:t>
        </w:r>
      </w:hyperlink>
    </w:p>
    <w:p w14:paraId="1AB00E7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F26941C" w14:textId="77777777" w:rsidR="008C23F8" w:rsidRPr="00B315DD"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B315DD">
        <w:rPr>
          <w:rFonts w:asciiTheme="minorBidi" w:hAnsiTheme="minorBidi"/>
          <w:b/>
          <w:bCs/>
          <w:color w:val="333333"/>
          <w:sz w:val="22"/>
          <w:szCs w:val="22"/>
          <w:shd w:val="clear" w:color="auto" w:fill="FFFFFF"/>
        </w:rPr>
        <w:t>ESG-CV – Homelessness Prevention</w:t>
      </w:r>
    </w:p>
    <w:p w14:paraId="360CE391"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Client</w:t>
      </w:r>
      <w:r>
        <w:rPr>
          <w:rFonts w:asciiTheme="minorBidi" w:hAnsiTheme="minorBidi"/>
          <w:color w:val="333333"/>
          <w:sz w:val="22"/>
          <w:szCs w:val="22"/>
          <w:shd w:val="clear" w:color="auto" w:fill="FFFFFF"/>
        </w:rPr>
        <w:t>s with an annual income at or below</w:t>
      </w:r>
      <w:r w:rsidRPr="00253E42">
        <w:rPr>
          <w:rFonts w:asciiTheme="minorBidi" w:hAnsiTheme="minorBidi"/>
          <w:color w:val="333333"/>
          <w:sz w:val="22"/>
          <w:szCs w:val="22"/>
          <w:shd w:val="clear" w:color="auto" w:fill="FFFFFF"/>
        </w:rPr>
        <w:t xml:space="preserve"> 50 percent of median family income for the area, as determined by HUD</w:t>
      </w:r>
      <w:r>
        <w:rPr>
          <w:rFonts w:asciiTheme="minorBidi" w:hAnsiTheme="minorBidi"/>
          <w:color w:val="333333"/>
          <w:sz w:val="22"/>
          <w:szCs w:val="22"/>
          <w:shd w:val="clear" w:color="auto" w:fill="FFFFFF"/>
        </w:rPr>
        <w:t>,</w:t>
      </w:r>
      <w:r w:rsidRPr="00253E42">
        <w:rPr>
          <w:rFonts w:asciiTheme="minorBidi" w:hAnsiTheme="minorBidi"/>
          <w:color w:val="333333"/>
          <w:sz w:val="22"/>
          <w:szCs w:val="22"/>
          <w:shd w:val="clear" w:color="auto" w:fill="FFFFFF"/>
        </w:rPr>
        <w:t xml:space="preserve"> qualify for assistance under “at risk of homelessness” and paragraphs (2), (3), or (4) of the “homeless” definition in 576.2</w:t>
      </w:r>
      <w:r>
        <w:rPr>
          <w:rFonts w:asciiTheme="minorBidi" w:hAnsiTheme="minorBidi"/>
          <w:color w:val="333333"/>
          <w:sz w:val="22"/>
          <w:szCs w:val="22"/>
          <w:shd w:val="clear" w:color="auto" w:fill="FFFFFF"/>
        </w:rPr>
        <w:t xml:space="preserve"> if being served with ESG-CV or ESG used to prevent, prepare </w:t>
      </w:r>
      <w:proofErr w:type="gramStart"/>
      <w:r>
        <w:rPr>
          <w:rFonts w:asciiTheme="minorBidi" w:hAnsiTheme="minorBidi"/>
          <w:color w:val="333333"/>
          <w:sz w:val="22"/>
          <w:szCs w:val="22"/>
          <w:shd w:val="clear" w:color="auto" w:fill="FFFFFF"/>
        </w:rPr>
        <w:t>for</w:t>
      </w:r>
      <w:proofErr w:type="gramEnd"/>
      <w:r>
        <w:rPr>
          <w:rFonts w:asciiTheme="minorBidi" w:hAnsiTheme="minorBidi"/>
          <w:color w:val="333333"/>
          <w:sz w:val="22"/>
          <w:szCs w:val="22"/>
          <w:shd w:val="clear" w:color="auto" w:fill="FFFFFF"/>
        </w:rPr>
        <w:t xml:space="preserve"> or respond to COVID-19. Note that changes in i</w:t>
      </w:r>
      <w:r w:rsidRPr="00620A88">
        <w:rPr>
          <w:rFonts w:asciiTheme="minorBidi" w:hAnsiTheme="minorBidi"/>
          <w:color w:val="333333"/>
          <w:sz w:val="22"/>
          <w:szCs w:val="22"/>
          <w:shd w:val="clear" w:color="auto" w:fill="FFFFFF"/>
        </w:rPr>
        <w:t>ncome eligibility determination is prospective, not retrospective</w:t>
      </w:r>
      <w:r>
        <w:rPr>
          <w:rFonts w:asciiTheme="minorBidi" w:hAnsiTheme="minorBidi"/>
          <w:color w:val="333333"/>
          <w:sz w:val="22"/>
          <w:szCs w:val="22"/>
          <w:shd w:val="clear" w:color="auto" w:fill="FFFFFF"/>
        </w:rPr>
        <w:t xml:space="preserve">. </w:t>
      </w:r>
    </w:p>
    <w:p w14:paraId="27831302"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A7D0BB1"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Inspections</w:t>
      </w:r>
    </w:p>
    <w:p w14:paraId="5A366894"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CoC Rapid Re-Housing</w:t>
      </w:r>
    </w:p>
    <w:p w14:paraId="7456E974"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Housing for which rental assistance payments are made with CoC program funds, must meet the applicable housing quality standards (HQS) under 24 CFR 982.401.</w:t>
      </w:r>
      <w:r>
        <w:rPr>
          <w:rFonts w:asciiTheme="minorBidi" w:hAnsiTheme="minorBidi"/>
          <w:color w:val="333333"/>
          <w:sz w:val="22"/>
          <w:szCs w:val="22"/>
          <w:shd w:val="clear" w:color="auto" w:fill="FFFFFF"/>
        </w:rPr>
        <w:t xml:space="preserve"> </w:t>
      </w:r>
      <w:r w:rsidRPr="00253E42">
        <w:rPr>
          <w:rFonts w:asciiTheme="minorBidi" w:hAnsiTheme="minorBidi"/>
          <w:color w:val="333333"/>
          <w:sz w:val="22"/>
          <w:szCs w:val="22"/>
          <w:shd w:val="clear" w:color="auto" w:fill="FFFFFF"/>
        </w:rPr>
        <w:t xml:space="preserve">Before any assistance will be provided on behalf of a program participant, the </w:t>
      </w:r>
      <w:r>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must physically inspect each unit to assure that the unit meets HQS. Assistance will not be provided for units that fail to meet HQS, unless the owner corrects any deficiencies within 30 days from the date of the initial inspection and the </w:t>
      </w:r>
      <w:r>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verifies that all deficiencies have been corrected.</w:t>
      </w:r>
      <w:r>
        <w:rPr>
          <w:rFonts w:asciiTheme="minorBidi" w:hAnsiTheme="minorBidi"/>
          <w:color w:val="333333"/>
          <w:sz w:val="22"/>
          <w:szCs w:val="22"/>
          <w:shd w:val="clear" w:color="auto" w:fill="FFFFFF"/>
        </w:rPr>
        <w:t xml:space="preserve"> </w:t>
      </w:r>
      <w:r w:rsidRPr="00253E42">
        <w:rPr>
          <w:rFonts w:asciiTheme="minorBidi" w:hAnsiTheme="minorBidi"/>
          <w:color w:val="333333"/>
          <w:sz w:val="22"/>
          <w:szCs w:val="22"/>
          <w:shd w:val="clear" w:color="auto" w:fill="FFFFFF"/>
        </w:rPr>
        <w:t xml:space="preserve">Recipients or </w:t>
      </w:r>
      <w:r>
        <w:rPr>
          <w:rFonts w:asciiTheme="minorBidi" w:hAnsiTheme="minorBidi"/>
          <w:color w:val="333333"/>
          <w:sz w:val="22"/>
          <w:szCs w:val="22"/>
          <w:shd w:val="clear" w:color="auto" w:fill="FFFFFF"/>
        </w:rPr>
        <w:lastRenderedPageBreak/>
        <w:t>Providers</w:t>
      </w:r>
      <w:r w:rsidRPr="00253E42">
        <w:rPr>
          <w:rFonts w:asciiTheme="minorBidi" w:hAnsiTheme="minorBidi"/>
          <w:color w:val="333333"/>
          <w:sz w:val="22"/>
          <w:szCs w:val="22"/>
          <w:shd w:val="clear" w:color="auto" w:fill="FFFFFF"/>
        </w:rPr>
        <w:t xml:space="preserve"> must inspect all units at least annually during the grant period to ensure that the units continue to meet HQS.</w:t>
      </w:r>
    </w:p>
    <w:p w14:paraId="4546F25D"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4DCCB0ED"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 xml:space="preserve">ESG Rapid Re-Housing and Homelessness Prevention </w:t>
      </w:r>
    </w:p>
    <w:p w14:paraId="40AC5774"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The </w:t>
      </w:r>
      <w:r>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cannot use ESG funds to help a program participant remain or move into housing that does not meet minimum habitability standards (see </w:t>
      </w:r>
      <w:r>
        <w:rPr>
          <w:rFonts w:asciiTheme="minorBidi" w:hAnsiTheme="minorBidi"/>
          <w:color w:val="333333"/>
          <w:sz w:val="22"/>
          <w:szCs w:val="22"/>
          <w:shd w:val="clear" w:color="auto" w:fill="FFFFFF"/>
        </w:rPr>
        <w:t>Appendix A</w:t>
      </w:r>
      <w:r w:rsidRPr="00253E42">
        <w:rPr>
          <w:rFonts w:asciiTheme="minorBidi" w:hAnsiTheme="minorBidi"/>
          <w:color w:val="333333"/>
          <w:sz w:val="22"/>
          <w:szCs w:val="22"/>
          <w:shd w:val="clear" w:color="auto" w:fill="FFFFFF"/>
        </w:rPr>
        <w:t xml:space="preserve">). Best practice is to inspect units annually for clients receiving medium term rental assistance. </w:t>
      </w:r>
    </w:p>
    <w:p w14:paraId="2EA3D17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DA6766D"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Occupancy Standards</w:t>
      </w:r>
    </w:p>
    <w:p w14:paraId="561A0B0A"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Rapid Re-Housing</w:t>
      </w:r>
      <w:r>
        <w:rPr>
          <w:rFonts w:asciiTheme="minorBidi" w:hAnsiTheme="minorBidi"/>
          <w:b/>
          <w:bCs/>
          <w:color w:val="333333"/>
          <w:sz w:val="22"/>
          <w:szCs w:val="22"/>
          <w:shd w:val="clear" w:color="auto" w:fill="FFFFFF"/>
        </w:rPr>
        <w:t xml:space="preserve"> and Homelessness Prevention</w:t>
      </w:r>
    </w:p>
    <w:p w14:paraId="4026578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ESG and CoC rapid re-housing programs should defer to the guidelines in the CoC regulations regarding occupancy standards. As outlined in 578.75 (c) </w:t>
      </w:r>
      <w:r w:rsidRPr="00253E42">
        <w:rPr>
          <w:rFonts w:asciiTheme="minorBidi" w:hAnsiTheme="minorBidi"/>
          <w:color w:val="333333"/>
          <w:sz w:val="22"/>
          <w:szCs w:val="22"/>
          <w:shd w:val="clear" w:color="auto" w:fill="FFFFFF"/>
        </w:rPr>
        <w:t>The dwelling unit must have at least one bedroom or living/sleeping room for each two persons. Children of opposite sex, other than very young children, may not be required to occupy the same bedroom or living/sleeping room. If household composition changes during the term of assistance, subrecipients</w:t>
      </w:r>
      <w:r>
        <w:rPr>
          <w:rFonts w:asciiTheme="minorBidi" w:hAnsiTheme="minorBidi"/>
          <w:color w:val="333333"/>
          <w:sz w:val="22"/>
          <w:szCs w:val="22"/>
          <w:shd w:val="clear" w:color="auto" w:fill="FFFFFF"/>
        </w:rPr>
        <w:t xml:space="preserve"> and/or sub-providers</w:t>
      </w:r>
      <w:r w:rsidRPr="00253E42">
        <w:rPr>
          <w:rFonts w:asciiTheme="minorBidi" w:hAnsiTheme="minorBidi"/>
          <w:color w:val="333333"/>
          <w:sz w:val="22"/>
          <w:szCs w:val="22"/>
          <w:shd w:val="clear" w:color="auto" w:fill="FFFFFF"/>
        </w:rPr>
        <w:t xml:space="preserve"> may relocate the household to a more appropriately sized unit. The household must still have access to appropriate supportive services.</w:t>
      </w:r>
    </w:p>
    <w:p w14:paraId="19F78D50"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48F4F84D"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Fair Market Rent and Rent Reasonableness</w:t>
      </w:r>
    </w:p>
    <w:p w14:paraId="78E66B53"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CoC Rapid Re-Housing</w:t>
      </w:r>
    </w:p>
    <w:p w14:paraId="3AB048B0"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Rental assistance can only be provided to units where the rent meets HUD’s rent reasonableness standards. </w:t>
      </w:r>
    </w:p>
    <w:p w14:paraId="17E15365"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A48F9CC"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 xml:space="preserve">ESG Rapid Re-Housing and Homelessness Prevention </w:t>
      </w:r>
    </w:p>
    <w:p w14:paraId="1CA3D21D"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Housing units where participants receive ESG rental assistance must meet BOTH rent reasonableness standards AND HUD’s published Fair Market Rent (FMR) standards. </w:t>
      </w:r>
    </w:p>
    <w:p w14:paraId="53C0758E"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FMRs established by HUD may be found at: </w:t>
      </w:r>
      <w:hyperlink r:id="rId35" w:history="1">
        <w:r w:rsidRPr="00253E42">
          <w:rPr>
            <w:rStyle w:val="Hyperlink"/>
            <w:rFonts w:asciiTheme="minorBidi" w:hAnsiTheme="minorBidi"/>
            <w:sz w:val="22"/>
            <w:szCs w:val="22"/>
            <w:shd w:val="clear" w:color="auto" w:fill="FFFFFF"/>
          </w:rPr>
          <w:t>http://www.huduser.org/portal/datasets/fmr.html</w:t>
        </w:r>
      </w:hyperlink>
    </w:p>
    <w:p w14:paraId="196AAC51" w14:textId="77777777" w:rsidR="008C23F8" w:rsidRPr="00253E42" w:rsidRDefault="008C23F8" w:rsidP="008C23F8">
      <w:pPr>
        <w:autoSpaceDE w:val="0"/>
        <w:autoSpaceDN w:val="0"/>
        <w:adjustRightInd w:val="0"/>
        <w:spacing w:after="0" w:line="300" w:lineRule="auto"/>
        <w:contextualSpacing/>
        <w:rPr>
          <w:rFonts w:asciiTheme="minorBidi" w:hAnsiTheme="minorBidi"/>
          <w:iCs/>
          <w:color w:val="333333"/>
          <w:sz w:val="22"/>
          <w:szCs w:val="22"/>
          <w:u w:val="single"/>
          <w:shd w:val="clear" w:color="auto" w:fill="FFFFFF"/>
        </w:rPr>
      </w:pPr>
    </w:p>
    <w:p w14:paraId="2C617033" w14:textId="77777777" w:rsidR="008C23F8" w:rsidRPr="00253E42" w:rsidRDefault="008C23F8" w:rsidP="008C23F8">
      <w:pPr>
        <w:autoSpaceDE w:val="0"/>
        <w:autoSpaceDN w:val="0"/>
        <w:adjustRightInd w:val="0"/>
        <w:spacing w:after="0" w:line="300" w:lineRule="auto"/>
        <w:contextualSpacing/>
        <w:rPr>
          <w:rFonts w:asciiTheme="minorBidi" w:hAnsiTheme="minorBidi"/>
          <w:b/>
          <w:bCs/>
          <w:iCs/>
          <w:color w:val="333333"/>
          <w:sz w:val="22"/>
          <w:szCs w:val="22"/>
          <w:shd w:val="clear" w:color="auto" w:fill="FFFFFF"/>
        </w:rPr>
      </w:pPr>
      <w:r>
        <w:rPr>
          <w:rFonts w:asciiTheme="minorBidi" w:hAnsiTheme="minorBidi"/>
          <w:iCs/>
          <w:color w:val="333333"/>
          <w:sz w:val="22"/>
          <w:szCs w:val="22"/>
          <w:u w:val="single"/>
          <w:shd w:val="clear" w:color="auto" w:fill="FFFFFF"/>
        </w:rPr>
        <w:t xml:space="preserve">Note: </w:t>
      </w:r>
      <w:r w:rsidRPr="00253E42">
        <w:rPr>
          <w:rFonts w:asciiTheme="minorBidi" w:hAnsiTheme="minorBidi"/>
          <w:iCs/>
          <w:color w:val="333333"/>
          <w:sz w:val="22"/>
          <w:szCs w:val="22"/>
          <w:u w:val="single"/>
          <w:shd w:val="clear" w:color="auto" w:fill="FFFFFF"/>
        </w:rPr>
        <w:t xml:space="preserve">Exceptions to rent reasonableness and FMR for ESG include assistance with last month’s rent and/or assistance with rental arrears in absence of first month’s rent and short- or medium-term rental assistance.  </w:t>
      </w:r>
    </w:p>
    <w:p w14:paraId="311A2706"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5357EA7E" w14:textId="77777777" w:rsidR="008C23F8" w:rsidRPr="0024504B"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4504B">
        <w:rPr>
          <w:rFonts w:asciiTheme="minorBidi" w:hAnsiTheme="minorBidi"/>
          <w:b/>
          <w:bCs/>
          <w:color w:val="333333"/>
          <w:sz w:val="22"/>
          <w:szCs w:val="22"/>
          <w:shd w:val="clear" w:color="auto" w:fill="FFFFFF"/>
        </w:rPr>
        <w:t>ESG-CV Rapid Re-Housing and Homelessness Prevention</w:t>
      </w:r>
    </w:p>
    <w:p w14:paraId="6ECBD164"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53E42">
        <w:rPr>
          <w:rFonts w:asciiTheme="minorBidi" w:hAnsiTheme="minorBidi"/>
          <w:color w:val="333333"/>
          <w:sz w:val="22"/>
          <w:szCs w:val="22"/>
          <w:shd w:val="clear" w:color="auto" w:fill="FFFFFF"/>
        </w:rPr>
        <w:t>For rental assistance provided with ESG CV funds (either</w:t>
      </w:r>
      <w:r>
        <w:rPr>
          <w:rFonts w:asciiTheme="minorBidi" w:hAnsiTheme="minorBidi"/>
          <w:color w:val="333333"/>
          <w:sz w:val="22"/>
          <w:szCs w:val="22"/>
          <w:shd w:val="clear" w:color="auto" w:fill="FFFFFF"/>
        </w:rPr>
        <w:t xml:space="preserve"> rapid re-housing</w:t>
      </w:r>
      <w:r w:rsidRPr="00253E42">
        <w:rPr>
          <w:rFonts w:asciiTheme="minorBidi" w:hAnsiTheme="minorBidi"/>
          <w:color w:val="333333"/>
          <w:sz w:val="22"/>
          <w:szCs w:val="22"/>
          <w:shd w:val="clear" w:color="auto" w:fill="FFFFFF"/>
        </w:rPr>
        <w:t xml:space="preserve"> or homelessness prevention) HUD has waived the FMR requirement </w:t>
      </w:r>
      <w:r>
        <w:rPr>
          <w:rFonts w:asciiTheme="minorBidi" w:hAnsiTheme="minorBidi"/>
          <w:color w:val="333333"/>
          <w:sz w:val="22"/>
          <w:szCs w:val="22"/>
          <w:shd w:val="clear" w:color="auto" w:fill="FFFFFF"/>
        </w:rPr>
        <w:t xml:space="preserve">if </w:t>
      </w:r>
      <w:r w:rsidRPr="00253E42">
        <w:rPr>
          <w:rFonts w:asciiTheme="minorBidi" w:hAnsiTheme="minorBidi"/>
          <w:color w:val="333333"/>
          <w:sz w:val="22"/>
          <w:szCs w:val="22"/>
          <w:shd w:val="clear" w:color="auto" w:fill="FFFFFF"/>
        </w:rPr>
        <w:t xml:space="preserve">units meet rent reasonableness standards. Waiving this requirement </w:t>
      </w:r>
      <w:r>
        <w:rPr>
          <w:rFonts w:asciiTheme="minorBidi" w:hAnsiTheme="minorBidi"/>
          <w:color w:val="333333"/>
          <w:sz w:val="22"/>
          <w:szCs w:val="22"/>
          <w:shd w:val="clear" w:color="auto" w:fill="FFFFFF"/>
        </w:rPr>
        <w:t xml:space="preserve">is intended to </w:t>
      </w:r>
      <w:r w:rsidRPr="00253E42">
        <w:rPr>
          <w:rFonts w:asciiTheme="minorBidi" w:hAnsiTheme="minorBidi"/>
          <w:color w:val="333333"/>
          <w:sz w:val="22"/>
          <w:szCs w:val="22"/>
          <w:shd w:val="clear" w:color="auto" w:fill="FFFFFF"/>
        </w:rPr>
        <w:t xml:space="preserve">allow recipients to help program participants move quickly into housing or retain their existing housing, which is especially critical at reducing the spread of and responding to </w:t>
      </w:r>
      <w:r>
        <w:rPr>
          <w:rFonts w:asciiTheme="minorBidi" w:hAnsiTheme="minorBidi"/>
          <w:color w:val="333333"/>
          <w:sz w:val="22"/>
          <w:szCs w:val="22"/>
          <w:shd w:val="clear" w:color="auto" w:fill="FFFFFF"/>
        </w:rPr>
        <w:t xml:space="preserve">coronavirus. </w:t>
      </w:r>
    </w:p>
    <w:p w14:paraId="1C2CDF91"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0089896F" w14:textId="77777777" w:rsidR="008C23F8" w:rsidRPr="005520D5" w:rsidRDefault="008C23F8" w:rsidP="008C23F8">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5520D5">
        <w:rPr>
          <w:rFonts w:asciiTheme="minorBidi" w:hAnsiTheme="minorBidi"/>
          <w:b/>
          <w:bCs/>
          <w:color w:val="333333"/>
          <w:sz w:val="22"/>
          <w:szCs w:val="22"/>
          <w:u w:val="single"/>
          <w:shd w:val="clear" w:color="auto" w:fill="FFFFFF"/>
        </w:rPr>
        <w:t>Re-evaluation Requirements</w:t>
      </w:r>
    </w:p>
    <w:p w14:paraId="376A0CF0" w14:textId="77777777" w:rsidR="008C23F8" w:rsidRPr="0024504B"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4504B">
        <w:rPr>
          <w:rFonts w:asciiTheme="minorBidi" w:hAnsiTheme="minorBidi"/>
          <w:b/>
          <w:bCs/>
          <w:color w:val="333333"/>
          <w:sz w:val="22"/>
          <w:szCs w:val="22"/>
          <w:shd w:val="clear" w:color="auto" w:fill="FFFFFF"/>
        </w:rPr>
        <w:t>CoC Rapid Re-Housing</w:t>
      </w:r>
    </w:p>
    <w:p w14:paraId="7A7F3411"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 xml:space="preserve">Each </w:t>
      </w:r>
      <w:r>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of assistance under this part must conduct an ongoing assessment of the supportive services needed by </w:t>
      </w:r>
      <w:r w:rsidRPr="00DC4390">
        <w:rPr>
          <w:rFonts w:asciiTheme="minorBidi" w:hAnsiTheme="minorBidi"/>
          <w:color w:val="333333"/>
          <w:sz w:val="22"/>
          <w:szCs w:val="22"/>
          <w:shd w:val="clear" w:color="auto" w:fill="FFFFFF"/>
        </w:rPr>
        <w:t>the participants enrolled</w:t>
      </w:r>
      <w:r>
        <w:rPr>
          <w:rFonts w:asciiTheme="minorBidi" w:hAnsiTheme="minorBidi"/>
          <w:color w:val="333333"/>
          <w:sz w:val="22"/>
          <w:szCs w:val="22"/>
          <w:shd w:val="clear" w:color="auto" w:fill="FFFFFF"/>
        </w:rPr>
        <w:t xml:space="preserve"> in </w:t>
      </w:r>
      <w:r w:rsidRPr="00253E42">
        <w:rPr>
          <w:rFonts w:asciiTheme="minorBidi" w:hAnsiTheme="minorBidi"/>
          <w:color w:val="333333"/>
          <w:sz w:val="22"/>
          <w:szCs w:val="22"/>
          <w:shd w:val="clear" w:color="auto" w:fill="FFFFFF"/>
        </w:rPr>
        <w:t xml:space="preserve">the project, the availability of such services, and the coordination of services needed to ensure long-term housing stability and must adjust, as appropriate. The assessment is recommended to be completed regularly, but at a minimum, must be done annually. </w:t>
      </w:r>
    </w:p>
    <w:p w14:paraId="7CFD7685"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22B8C062" w14:textId="77777777" w:rsidR="008C23F8" w:rsidRPr="00AC37A6"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C37A6">
        <w:rPr>
          <w:rFonts w:asciiTheme="minorBidi" w:hAnsiTheme="minorBidi"/>
          <w:b/>
          <w:bCs/>
          <w:color w:val="333333"/>
          <w:sz w:val="22"/>
          <w:szCs w:val="22"/>
          <w:shd w:val="clear" w:color="auto" w:fill="FFFFFF"/>
        </w:rPr>
        <w:t xml:space="preserve">ESG Rapid Re-Housing and Homelessness Prevention </w:t>
      </w:r>
    </w:p>
    <w:p w14:paraId="24B93104"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ESG sub-recipients must re-evaluate the program participant’s eligibility and the types and amounts of assistance the program participant needs not less than once every three months for program participants receiving homelessness prevention assistance, and not less than once annually for program participants receiving rapid re-housing assistance.</w:t>
      </w:r>
    </w:p>
    <w:p w14:paraId="6F9A2FE1"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92BCB3E"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At a minimum, each reevaluation of eligibility must establish that the program participant does not have an annual income that exceeds 30 percent of median family income for the area, as determined by HUD, and that the program participant lacks the resources and support networks necessary to retain housing without ESG assistance.</w:t>
      </w:r>
    </w:p>
    <w:p w14:paraId="7020D0C7" w14:textId="77777777" w:rsidR="008C23F8" w:rsidRPr="00253E42"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5F65888" w14:textId="77777777" w:rsidR="008C23F8" w:rsidRPr="00253E42" w:rsidRDefault="008C23F8" w:rsidP="008C23F8">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53E42">
        <w:rPr>
          <w:rFonts w:asciiTheme="minorBidi" w:hAnsiTheme="minorBidi"/>
          <w:b/>
          <w:bCs/>
          <w:color w:val="333333"/>
          <w:sz w:val="22"/>
          <w:szCs w:val="22"/>
          <w:shd w:val="clear" w:color="auto" w:fill="FFFFFF"/>
        </w:rPr>
        <w:t xml:space="preserve">Re-evaluation </w:t>
      </w:r>
      <w:r>
        <w:rPr>
          <w:rFonts w:asciiTheme="minorBidi" w:hAnsiTheme="minorBidi"/>
          <w:b/>
          <w:bCs/>
          <w:color w:val="333333"/>
          <w:sz w:val="22"/>
          <w:szCs w:val="22"/>
          <w:shd w:val="clear" w:color="auto" w:fill="FFFFFF"/>
        </w:rPr>
        <w:t xml:space="preserve">Waiver for </w:t>
      </w:r>
      <w:r w:rsidRPr="00253E42">
        <w:rPr>
          <w:rFonts w:asciiTheme="minorBidi" w:hAnsiTheme="minorBidi"/>
          <w:b/>
          <w:bCs/>
          <w:color w:val="333333"/>
          <w:sz w:val="22"/>
          <w:szCs w:val="22"/>
          <w:shd w:val="clear" w:color="auto" w:fill="FFFFFF"/>
        </w:rPr>
        <w:t>ESG</w:t>
      </w:r>
      <w:r>
        <w:rPr>
          <w:rFonts w:asciiTheme="minorBidi" w:hAnsiTheme="minorBidi"/>
          <w:b/>
          <w:bCs/>
          <w:color w:val="333333"/>
          <w:sz w:val="22"/>
          <w:szCs w:val="22"/>
          <w:shd w:val="clear" w:color="auto" w:fill="FFFFFF"/>
        </w:rPr>
        <w:t xml:space="preserve"> Homelessness Prevention </w:t>
      </w:r>
    </w:p>
    <w:p w14:paraId="46AF2529" w14:textId="77777777" w:rsidR="008C23F8"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The required frequency of re-evaluations for </w:t>
      </w:r>
      <w:r>
        <w:rPr>
          <w:rFonts w:asciiTheme="minorBidi" w:hAnsiTheme="minorBidi"/>
          <w:color w:val="333333"/>
          <w:sz w:val="22"/>
          <w:szCs w:val="22"/>
          <w:shd w:val="clear" w:color="auto" w:fill="FFFFFF"/>
        </w:rPr>
        <w:t xml:space="preserve">all </w:t>
      </w:r>
      <w:r w:rsidRPr="00253E42">
        <w:rPr>
          <w:rFonts w:asciiTheme="minorBidi" w:hAnsiTheme="minorBidi"/>
          <w:color w:val="333333"/>
          <w:sz w:val="22"/>
          <w:szCs w:val="22"/>
          <w:shd w:val="clear" w:color="auto" w:fill="FFFFFF"/>
        </w:rPr>
        <w:t xml:space="preserve">homelessness prevention assistance under section 576.401(b) is waived until </w:t>
      </w:r>
      <w:r>
        <w:rPr>
          <w:rFonts w:asciiTheme="minorBidi" w:hAnsiTheme="minorBidi"/>
          <w:color w:val="333333"/>
          <w:sz w:val="22"/>
          <w:szCs w:val="22"/>
          <w:shd w:val="clear" w:color="auto" w:fill="FFFFFF"/>
        </w:rPr>
        <w:t>April 1,</w:t>
      </w:r>
      <w:r w:rsidRPr="00253E42">
        <w:rPr>
          <w:rFonts w:asciiTheme="minorBidi" w:hAnsiTheme="minorBidi"/>
          <w:color w:val="333333"/>
          <w:sz w:val="22"/>
          <w:szCs w:val="22"/>
          <w:shd w:val="clear" w:color="auto" w:fill="FFFFFF"/>
        </w:rPr>
        <w:t xml:space="preserve"> </w:t>
      </w:r>
      <w:proofErr w:type="gramStart"/>
      <w:r>
        <w:rPr>
          <w:rFonts w:asciiTheme="minorBidi" w:hAnsiTheme="minorBidi"/>
          <w:color w:val="333333"/>
          <w:sz w:val="22"/>
          <w:szCs w:val="22"/>
          <w:shd w:val="clear" w:color="auto" w:fill="FFFFFF"/>
        </w:rPr>
        <w:t>20</w:t>
      </w:r>
      <w:r w:rsidRPr="00253E42">
        <w:rPr>
          <w:rFonts w:asciiTheme="minorBidi" w:hAnsiTheme="minorBidi"/>
          <w:color w:val="333333"/>
          <w:sz w:val="22"/>
          <w:szCs w:val="22"/>
          <w:shd w:val="clear" w:color="auto" w:fill="FFFFFF"/>
        </w:rPr>
        <w:t>22</w:t>
      </w:r>
      <w:proofErr w:type="gramEnd"/>
      <w:r>
        <w:rPr>
          <w:rFonts w:asciiTheme="minorBidi" w:hAnsiTheme="minorBidi"/>
          <w:color w:val="333333"/>
          <w:sz w:val="22"/>
          <w:szCs w:val="22"/>
          <w:shd w:val="clear" w:color="auto" w:fill="FFFFFF"/>
        </w:rPr>
        <w:t xml:space="preserve"> </w:t>
      </w:r>
      <w:r w:rsidRPr="00253E42">
        <w:rPr>
          <w:rFonts w:asciiTheme="minorBidi" w:hAnsiTheme="minorBidi"/>
          <w:color w:val="333333"/>
          <w:sz w:val="22"/>
          <w:szCs w:val="22"/>
          <w:shd w:val="clear" w:color="auto" w:fill="FFFFFF"/>
        </w:rPr>
        <w:t xml:space="preserve">so long as the </w:t>
      </w:r>
      <w:r>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conducts the required re-evaluations not less than once every 6 months.</w:t>
      </w:r>
    </w:p>
    <w:p w14:paraId="483161DF" w14:textId="77777777" w:rsidR="008C23F8" w:rsidRPr="00C00B35" w:rsidRDefault="008C23F8" w:rsidP="008C23F8">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298488E5" w14:textId="1DBB8EBA" w:rsidR="008C23F8" w:rsidRPr="00584180" w:rsidRDefault="004A10EE" w:rsidP="008C23F8">
      <w:pPr>
        <w:pStyle w:val="Heading1"/>
        <w:rPr>
          <w:rFonts w:asciiTheme="minorBidi" w:hAnsiTheme="minorBidi"/>
        </w:rPr>
      </w:pPr>
      <w:bookmarkStart w:id="22" w:name="_Toc110000644"/>
      <w:r w:rsidRPr="00584180">
        <w:rPr>
          <w:rFonts w:asciiTheme="minorBidi" w:hAnsiTheme="minorBidi"/>
          <w:caps w:val="0"/>
        </w:rPr>
        <w:t>RAPID RE-HOUSING AND HOMELESSNESS PREVENTION PROGRAM TERMINATION AND OPPORTUNITY FOR APPEAL</w:t>
      </w:r>
      <w:bookmarkEnd w:id="22"/>
      <w:r w:rsidRPr="00584180">
        <w:rPr>
          <w:rFonts w:asciiTheme="minorBidi" w:hAnsiTheme="minorBidi"/>
          <w:caps w:val="0"/>
        </w:rPr>
        <w:t xml:space="preserve"> </w:t>
      </w:r>
    </w:p>
    <w:p w14:paraId="5C848DB6" w14:textId="77777777" w:rsidR="008C23F8" w:rsidRPr="00584180"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643D54C2" w14:textId="41D27416"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FD5DC5">
        <w:rPr>
          <w:rFonts w:asciiTheme="minorBidi" w:hAnsiTheme="minorBidi"/>
          <w:color w:val="000000"/>
          <w:sz w:val="22"/>
          <w:szCs w:val="22"/>
        </w:rPr>
        <w:t xml:space="preserve">Each </w:t>
      </w:r>
      <w:r>
        <w:rPr>
          <w:rFonts w:asciiTheme="minorBidi" w:hAnsiTheme="minorBidi"/>
          <w:color w:val="000000"/>
          <w:sz w:val="22"/>
          <w:szCs w:val="22"/>
        </w:rPr>
        <w:t>provider</w:t>
      </w:r>
      <w:r w:rsidRPr="00FD5DC5">
        <w:rPr>
          <w:rFonts w:asciiTheme="minorBidi" w:hAnsiTheme="minorBidi"/>
          <w:color w:val="000000"/>
          <w:sz w:val="22"/>
          <w:szCs w:val="22"/>
        </w:rPr>
        <w:t xml:space="preserve"> must have a termination policy in place. </w:t>
      </w:r>
      <w:r w:rsidR="00923CA6">
        <w:rPr>
          <w:rFonts w:asciiTheme="minorBidi" w:hAnsiTheme="minorBidi"/>
          <w:color w:val="000000"/>
          <w:sz w:val="22"/>
          <w:szCs w:val="22"/>
        </w:rPr>
        <w:t>EOHLC</w:t>
      </w:r>
      <w:r>
        <w:rPr>
          <w:rFonts w:asciiTheme="minorBidi" w:hAnsiTheme="minorBidi"/>
          <w:color w:val="000000"/>
          <w:sz w:val="22"/>
          <w:szCs w:val="22"/>
        </w:rPr>
        <w:t xml:space="preserve"> </w:t>
      </w:r>
      <w:r w:rsidRPr="00F41DAA">
        <w:rPr>
          <w:rFonts w:asciiTheme="minorBidi" w:hAnsiTheme="minorBidi"/>
          <w:color w:val="000000"/>
          <w:sz w:val="22"/>
          <w:szCs w:val="22"/>
        </w:rPr>
        <w:t xml:space="preserve">fully endorses </w:t>
      </w:r>
      <w:r>
        <w:rPr>
          <w:rFonts w:asciiTheme="minorBidi" w:hAnsiTheme="minorBidi"/>
          <w:color w:val="000000"/>
          <w:sz w:val="22"/>
          <w:szCs w:val="22"/>
        </w:rPr>
        <w:t xml:space="preserve">the </w:t>
      </w:r>
      <w:r w:rsidRPr="00F41DAA">
        <w:rPr>
          <w:rFonts w:asciiTheme="minorBidi" w:hAnsiTheme="minorBidi"/>
          <w:color w:val="000000"/>
          <w:sz w:val="22"/>
          <w:szCs w:val="22"/>
        </w:rPr>
        <w:t xml:space="preserve">use of a Housing First approach and encourages </w:t>
      </w:r>
      <w:r>
        <w:rPr>
          <w:rFonts w:asciiTheme="minorBidi" w:hAnsiTheme="minorBidi"/>
          <w:color w:val="000000"/>
          <w:sz w:val="22"/>
          <w:szCs w:val="22"/>
        </w:rPr>
        <w:t>providers</w:t>
      </w:r>
      <w:r w:rsidRPr="00F41DAA">
        <w:rPr>
          <w:rFonts w:asciiTheme="minorBidi" w:hAnsiTheme="minorBidi"/>
          <w:color w:val="000000"/>
          <w:sz w:val="22"/>
          <w:szCs w:val="22"/>
        </w:rPr>
        <w:t xml:space="preserve"> to target assistance to households in most need. As such, dismissal or termination policies should avoid unnecessarily terminating assistance due to program violations, </w:t>
      </w:r>
      <w:r>
        <w:rPr>
          <w:rFonts w:asciiTheme="minorBidi" w:hAnsiTheme="minorBidi"/>
          <w:color w:val="000000"/>
          <w:sz w:val="22"/>
          <w:szCs w:val="22"/>
        </w:rPr>
        <w:t>except</w:t>
      </w:r>
      <w:r w:rsidRPr="00F41DAA">
        <w:rPr>
          <w:rFonts w:asciiTheme="minorBidi" w:hAnsiTheme="minorBidi"/>
          <w:color w:val="000000"/>
          <w:sz w:val="22"/>
          <w:szCs w:val="22"/>
        </w:rPr>
        <w:t xml:space="preserve"> in extreme cases. </w:t>
      </w:r>
      <w:r>
        <w:rPr>
          <w:rFonts w:asciiTheme="minorBidi" w:hAnsiTheme="minorBidi"/>
          <w:color w:val="000000"/>
          <w:sz w:val="22"/>
          <w:szCs w:val="22"/>
        </w:rPr>
        <w:t>Providers</w:t>
      </w:r>
      <w:r w:rsidRPr="00F41DAA">
        <w:rPr>
          <w:rFonts w:asciiTheme="minorBidi" w:hAnsiTheme="minorBidi"/>
          <w:color w:val="000000"/>
          <w:sz w:val="22"/>
          <w:szCs w:val="22"/>
        </w:rPr>
        <w:t xml:space="preserve"> should not terminate assistance due to program rule infractions if such termination can be avoided. Such instances provide an opportunity for further proactive, progressive </w:t>
      </w:r>
      <w:r>
        <w:rPr>
          <w:rFonts w:asciiTheme="minorBidi" w:hAnsiTheme="minorBidi"/>
          <w:color w:val="000000"/>
          <w:sz w:val="22"/>
          <w:szCs w:val="22"/>
        </w:rPr>
        <w:t>engagement and service delivery</w:t>
      </w:r>
      <w:r w:rsidRPr="00F41DAA">
        <w:rPr>
          <w:rFonts w:asciiTheme="minorBidi" w:hAnsiTheme="minorBidi"/>
          <w:color w:val="000000"/>
          <w:sz w:val="22"/>
          <w:szCs w:val="22"/>
        </w:rPr>
        <w:t>. For example, terminating assistance solely because a household is using substances, refuses treatment or is not fully implementing their housing plan would not be consistent with a Housing First approach.</w:t>
      </w:r>
      <w:r w:rsidRPr="001E0169">
        <w:rPr>
          <w:rFonts w:asciiTheme="minorBidi" w:hAnsiTheme="minorBidi"/>
          <w:color w:val="000000"/>
          <w:sz w:val="22"/>
          <w:szCs w:val="22"/>
        </w:rPr>
        <w:t xml:space="preserve"> </w:t>
      </w:r>
      <w:r>
        <w:rPr>
          <w:rFonts w:asciiTheme="minorBidi" w:hAnsiTheme="minorBidi"/>
          <w:color w:val="000000"/>
          <w:sz w:val="22"/>
          <w:szCs w:val="22"/>
        </w:rPr>
        <w:t>Providers</w:t>
      </w:r>
      <w:r w:rsidRPr="00F41DAA">
        <w:rPr>
          <w:rFonts w:asciiTheme="minorBidi" w:hAnsiTheme="minorBidi"/>
          <w:color w:val="000000"/>
          <w:sz w:val="22"/>
          <w:szCs w:val="22"/>
        </w:rPr>
        <w:t xml:space="preserve"> must exercise judgment and examine all extenuating circumstances in determining when violations warrant termination so that a program participant's assistance is terminated only in the most severe cases.</w:t>
      </w:r>
      <w:r>
        <w:rPr>
          <w:rFonts w:asciiTheme="minorBidi" w:hAnsiTheme="minorBidi"/>
          <w:color w:val="000000"/>
          <w:sz w:val="22"/>
          <w:szCs w:val="22"/>
        </w:rPr>
        <w:t xml:space="preserve"> </w:t>
      </w:r>
      <w:r w:rsidRPr="00F41DAA">
        <w:rPr>
          <w:rFonts w:asciiTheme="minorBidi" w:hAnsiTheme="minorBidi"/>
          <w:color w:val="000000"/>
          <w:sz w:val="22"/>
          <w:szCs w:val="22"/>
        </w:rPr>
        <w:t xml:space="preserve">Termination does not bar the </w:t>
      </w:r>
      <w:r>
        <w:rPr>
          <w:rFonts w:asciiTheme="minorBidi" w:hAnsiTheme="minorBidi"/>
          <w:color w:val="000000"/>
          <w:sz w:val="22"/>
          <w:szCs w:val="22"/>
        </w:rPr>
        <w:t>provider</w:t>
      </w:r>
      <w:r w:rsidRPr="00F41DAA">
        <w:rPr>
          <w:rFonts w:asciiTheme="minorBidi" w:hAnsiTheme="minorBidi"/>
          <w:color w:val="000000"/>
          <w:sz w:val="22"/>
          <w:szCs w:val="22"/>
        </w:rPr>
        <w:t xml:space="preserve"> from providing further assistance later to the same family or individual.</w:t>
      </w:r>
    </w:p>
    <w:p w14:paraId="1FE987EC" w14:textId="77777777" w:rsidR="008C23F8"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5D101C5C" w14:textId="77777777"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464C0D">
        <w:rPr>
          <w:rFonts w:asciiTheme="minorBidi" w:hAnsiTheme="minorBidi"/>
          <w:color w:val="000000"/>
          <w:sz w:val="22"/>
          <w:szCs w:val="22"/>
        </w:rPr>
        <w:t xml:space="preserve">It is important that providers effectively communicate termination and grievance procedures to participants and ensure that the procedures are fully understood. </w:t>
      </w:r>
      <w:r>
        <w:rPr>
          <w:rFonts w:asciiTheme="minorBidi" w:hAnsiTheme="minorBidi"/>
          <w:color w:val="000000"/>
          <w:sz w:val="22"/>
          <w:szCs w:val="22"/>
        </w:rPr>
        <w:t>A</w:t>
      </w:r>
      <w:r w:rsidRPr="00464C0D">
        <w:rPr>
          <w:rFonts w:asciiTheme="minorBidi" w:hAnsiTheme="minorBidi"/>
          <w:color w:val="000000"/>
          <w:sz w:val="22"/>
          <w:szCs w:val="22"/>
        </w:rPr>
        <w:t xml:space="preserve">ll </w:t>
      </w:r>
      <w:r w:rsidRPr="004E5FB2">
        <w:rPr>
          <w:rFonts w:asciiTheme="minorBidi" w:hAnsiTheme="minorBidi"/>
          <w:color w:val="000000"/>
          <w:sz w:val="22"/>
          <w:szCs w:val="22"/>
        </w:rPr>
        <w:t xml:space="preserve">subrecipients </w:t>
      </w:r>
      <w:r w:rsidRPr="00464C0D">
        <w:rPr>
          <w:rFonts w:asciiTheme="minorBidi" w:hAnsiTheme="minorBidi"/>
          <w:color w:val="000000"/>
          <w:sz w:val="22"/>
          <w:szCs w:val="22"/>
        </w:rPr>
        <w:t xml:space="preserve">must include </w:t>
      </w:r>
      <w:r w:rsidRPr="00464C0D">
        <w:rPr>
          <w:rFonts w:asciiTheme="minorBidi" w:hAnsiTheme="minorBidi"/>
          <w:color w:val="000000"/>
          <w:sz w:val="22"/>
          <w:szCs w:val="22"/>
        </w:rPr>
        <w:lastRenderedPageBreak/>
        <w:t xml:space="preserve">termination policies and procedures in their agency regulations and manuals. </w:t>
      </w:r>
      <w:r w:rsidRPr="00790453">
        <w:rPr>
          <w:rFonts w:asciiTheme="minorBidi" w:hAnsiTheme="minorBidi"/>
          <w:color w:val="000000"/>
          <w:sz w:val="22"/>
          <w:szCs w:val="22"/>
        </w:rPr>
        <w:t>Documentation of termination of assistance must comply with the requirements</w:t>
      </w:r>
      <w:r>
        <w:rPr>
          <w:rFonts w:asciiTheme="minorBidi" w:hAnsiTheme="minorBidi"/>
          <w:color w:val="000000"/>
          <w:sz w:val="22"/>
          <w:szCs w:val="22"/>
        </w:rPr>
        <w:t xml:space="preserve"> </w:t>
      </w:r>
      <w:r w:rsidRPr="00790453">
        <w:rPr>
          <w:rFonts w:asciiTheme="minorBidi" w:hAnsiTheme="minorBidi"/>
          <w:color w:val="000000"/>
          <w:sz w:val="22"/>
          <w:szCs w:val="22"/>
        </w:rPr>
        <w:t>in 24 CFR 576.402.</w:t>
      </w:r>
      <w:r>
        <w:rPr>
          <w:rFonts w:asciiTheme="minorBidi" w:hAnsiTheme="minorBidi"/>
          <w:color w:val="000000"/>
          <w:sz w:val="22"/>
          <w:szCs w:val="22"/>
        </w:rPr>
        <w:t xml:space="preserve"> </w:t>
      </w:r>
      <w:r w:rsidRPr="00464C0D">
        <w:rPr>
          <w:rFonts w:asciiTheme="minorBidi" w:hAnsiTheme="minorBidi"/>
          <w:color w:val="000000"/>
          <w:sz w:val="22"/>
          <w:szCs w:val="22"/>
        </w:rPr>
        <w:t xml:space="preserve">CoC </w:t>
      </w:r>
      <w:r>
        <w:rPr>
          <w:rFonts w:asciiTheme="minorBidi" w:hAnsiTheme="minorBidi"/>
          <w:color w:val="000000"/>
          <w:sz w:val="22"/>
          <w:szCs w:val="22"/>
        </w:rPr>
        <w:t>rapid re-housing</w:t>
      </w:r>
      <w:r w:rsidRPr="00464C0D">
        <w:rPr>
          <w:rFonts w:asciiTheme="minorBidi" w:hAnsiTheme="minorBidi"/>
          <w:color w:val="000000"/>
          <w:sz w:val="22"/>
          <w:szCs w:val="22"/>
        </w:rPr>
        <w:t xml:space="preserve"> programs must ensure their termination policy follows the regulations at 24 CFR 578.91. </w:t>
      </w:r>
    </w:p>
    <w:p w14:paraId="4E1CD508" w14:textId="77777777" w:rsidR="008C23F8" w:rsidRPr="00F41DAA"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4325650E" w14:textId="6F69420C" w:rsidR="008C23F8" w:rsidRPr="00464C0D"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Pr>
          <w:rFonts w:asciiTheme="minorBidi" w:hAnsiTheme="minorBidi"/>
          <w:color w:val="000000"/>
          <w:sz w:val="22"/>
          <w:szCs w:val="22"/>
        </w:rPr>
        <w:t>T</w:t>
      </w:r>
      <w:r w:rsidRPr="00464C0D">
        <w:rPr>
          <w:rFonts w:asciiTheme="minorBidi" w:hAnsiTheme="minorBidi"/>
          <w:color w:val="000000"/>
          <w:sz w:val="22"/>
          <w:szCs w:val="22"/>
        </w:rPr>
        <w:t xml:space="preserve">o ensure effective communication for </w:t>
      </w:r>
      <w:r>
        <w:rPr>
          <w:rFonts w:asciiTheme="minorBidi" w:hAnsiTheme="minorBidi"/>
          <w:color w:val="000000"/>
          <w:sz w:val="22"/>
          <w:szCs w:val="22"/>
        </w:rPr>
        <w:t>homelessness prevention and</w:t>
      </w:r>
      <w:r w:rsidRPr="00464C0D">
        <w:rPr>
          <w:rFonts w:asciiTheme="minorBidi" w:hAnsiTheme="minorBidi"/>
          <w:color w:val="000000"/>
          <w:sz w:val="22"/>
          <w:szCs w:val="22"/>
        </w:rPr>
        <w:t xml:space="preserve"> rapid re-housing agencies and participants, </w:t>
      </w:r>
      <w:r w:rsidR="00923CA6">
        <w:rPr>
          <w:rFonts w:asciiTheme="minorBidi" w:hAnsiTheme="minorBidi"/>
          <w:color w:val="000000"/>
          <w:sz w:val="22"/>
          <w:szCs w:val="22"/>
        </w:rPr>
        <w:t>EOHLC</w:t>
      </w:r>
      <w:r>
        <w:rPr>
          <w:rFonts w:asciiTheme="minorBidi" w:hAnsiTheme="minorBidi"/>
          <w:color w:val="000000"/>
          <w:sz w:val="22"/>
          <w:szCs w:val="22"/>
        </w:rPr>
        <w:t xml:space="preserve"> </w:t>
      </w:r>
      <w:r w:rsidRPr="00464C0D">
        <w:rPr>
          <w:rFonts w:asciiTheme="minorBidi" w:hAnsiTheme="minorBidi"/>
          <w:color w:val="000000"/>
          <w:sz w:val="22"/>
          <w:szCs w:val="22"/>
        </w:rPr>
        <w:t xml:space="preserve">requires the following actions prior to program termination: </w:t>
      </w:r>
    </w:p>
    <w:p w14:paraId="0CA29910" w14:textId="77777777" w:rsidR="008C23F8" w:rsidRPr="00464C0D" w:rsidRDefault="008C23F8" w:rsidP="008C23F8">
      <w:pPr>
        <w:autoSpaceDE w:val="0"/>
        <w:autoSpaceDN w:val="0"/>
        <w:adjustRightInd w:val="0"/>
        <w:spacing w:before="0" w:after="36" w:line="300" w:lineRule="auto"/>
        <w:contextualSpacing/>
        <w:rPr>
          <w:rFonts w:asciiTheme="minorBidi" w:hAnsiTheme="minorBidi"/>
          <w:color w:val="000000"/>
          <w:sz w:val="22"/>
          <w:szCs w:val="22"/>
        </w:rPr>
      </w:pPr>
      <w:r w:rsidRPr="00464C0D">
        <w:rPr>
          <w:rFonts w:asciiTheme="minorBidi" w:hAnsiTheme="minorBidi"/>
          <w:color w:val="000000"/>
          <w:sz w:val="22"/>
          <w:szCs w:val="22"/>
        </w:rPr>
        <w:t>● At least</w:t>
      </w:r>
      <w:r>
        <w:rPr>
          <w:rFonts w:asciiTheme="minorBidi" w:hAnsiTheme="minorBidi"/>
          <w:color w:val="000000"/>
          <w:sz w:val="22"/>
          <w:szCs w:val="22"/>
        </w:rPr>
        <w:t xml:space="preserve"> one</w:t>
      </w:r>
      <w:r w:rsidRPr="00464C0D">
        <w:rPr>
          <w:rFonts w:asciiTheme="minorBidi" w:hAnsiTheme="minorBidi"/>
          <w:color w:val="000000"/>
          <w:sz w:val="22"/>
          <w:szCs w:val="22"/>
        </w:rPr>
        <w:t xml:space="preserve"> meeting </w:t>
      </w:r>
      <w:r>
        <w:rPr>
          <w:rFonts w:asciiTheme="minorBidi" w:hAnsiTheme="minorBidi"/>
          <w:color w:val="000000"/>
          <w:sz w:val="22"/>
          <w:szCs w:val="22"/>
        </w:rPr>
        <w:t xml:space="preserve">(can occur virtually or via phone) </w:t>
      </w:r>
      <w:r w:rsidRPr="00464C0D">
        <w:rPr>
          <w:rFonts w:asciiTheme="minorBidi" w:hAnsiTheme="minorBidi"/>
          <w:color w:val="000000"/>
          <w:sz w:val="22"/>
          <w:szCs w:val="22"/>
        </w:rPr>
        <w:t>with the participating household discussing program violations</w:t>
      </w:r>
    </w:p>
    <w:p w14:paraId="54D6BF85" w14:textId="77777777" w:rsidR="008C23F8" w:rsidRPr="00464C0D" w:rsidRDefault="008C23F8" w:rsidP="008C23F8">
      <w:pPr>
        <w:autoSpaceDE w:val="0"/>
        <w:autoSpaceDN w:val="0"/>
        <w:adjustRightInd w:val="0"/>
        <w:spacing w:before="0" w:after="36" w:line="300" w:lineRule="auto"/>
        <w:contextualSpacing/>
        <w:rPr>
          <w:rFonts w:asciiTheme="minorBidi" w:hAnsiTheme="minorBidi"/>
          <w:color w:val="000000"/>
          <w:sz w:val="22"/>
          <w:szCs w:val="22"/>
        </w:rPr>
      </w:pPr>
      <w:r w:rsidRPr="00464C0D">
        <w:rPr>
          <w:rFonts w:asciiTheme="minorBidi" w:hAnsiTheme="minorBidi"/>
          <w:color w:val="000000"/>
          <w:sz w:val="22"/>
          <w:szCs w:val="22"/>
        </w:rPr>
        <w:t xml:space="preserve">● A written plan for rectifying program violations including action steps for both agency staff and program participants </w:t>
      </w:r>
    </w:p>
    <w:p w14:paraId="4D7E40CF" w14:textId="77777777" w:rsidR="008C23F8" w:rsidRDefault="008C23F8" w:rsidP="008C23F8">
      <w:pPr>
        <w:autoSpaceDE w:val="0"/>
        <w:autoSpaceDN w:val="0"/>
        <w:adjustRightInd w:val="0"/>
        <w:spacing w:before="0" w:after="0" w:line="300" w:lineRule="auto"/>
        <w:contextualSpacing/>
        <w:rPr>
          <w:rFonts w:asciiTheme="minorBidi" w:hAnsiTheme="minorBidi"/>
          <w:color w:val="000000"/>
          <w:sz w:val="22"/>
          <w:szCs w:val="22"/>
        </w:rPr>
      </w:pPr>
    </w:p>
    <w:p w14:paraId="7F8929D3" w14:textId="77777777" w:rsidR="008C23F8" w:rsidRPr="004E5FB2"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464C0D">
        <w:rPr>
          <w:rFonts w:asciiTheme="minorBidi" w:hAnsiTheme="minorBidi"/>
          <w:color w:val="000000"/>
          <w:sz w:val="22"/>
          <w:szCs w:val="22"/>
        </w:rPr>
        <w:t xml:space="preserve">If termination is due to an inability to contact the client, </w:t>
      </w:r>
      <w:r>
        <w:rPr>
          <w:rFonts w:asciiTheme="minorBidi" w:hAnsiTheme="minorBidi"/>
          <w:color w:val="000000"/>
          <w:sz w:val="22"/>
          <w:szCs w:val="22"/>
        </w:rPr>
        <w:t>a</w:t>
      </w:r>
      <w:r w:rsidRPr="00960722">
        <w:rPr>
          <w:rFonts w:asciiTheme="minorBidi" w:hAnsiTheme="minorBidi"/>
          <w:color w:val="000000"/>
          <w:sz w:val="22"/>
          <w:szCs w:val="22"/>
        </w:rPr>
        <w:t xml:space="preserve"> letter to client and landlord notifying the intent to terminate rental assistance</w:t>
      </w:r>
      <w:r>
        <w:rPr>
          <w:rFonts w:asciiTheme="minorBidi" w:hAnsiTheme="minorBidi"/>
          <w:color w:val="000000"/>
          <w:sz w:val="22"/>
          <w:szCs w:val="22"/>
        </w:rPr>
        <w:t xml:space="preserve"> must be sent and documented in the file. </w:t>
      </w:r>
      <w:r w:rsidRPr="004E5FB2">
        <w:rPr>
          <w:rFonts w:asciiTheme="minorBidi" w:hAnsiTheme="minorBidi"/>
          <w:color w:val="000000"/>
          <w:sz w:val="22"/>
          <w:szCs w:val="22"/>
        </w:rPr>
        <w:t>In</w:t>
      </w:r>
      <w:r>
        <w:rPr>
          <w:rFonts w:asciiTheme="minorBidi" w:hAnsiTheme="minorBidi"/>
          <w:color w:val="000000"/>
          <w:sz w:val="22"/>
          <w:szCs w:val="22"/>
        </w:rPr>
        <w:t xml:space="preserve"> all </w:t>
      </w:r>
      <w:r w:rsidRPr="004E5FB2">
        <w:rPr>
          <w:rFonts w:asciiTheme="minorBidi" w:hAnsiTheme="minorBidi"/>
          <w:color w:val="000000"/>
          <w:sz w:val="22"/>
          <w:szCs w:val="22"/>
        </w:rPr>
        <w:t>situation</w:t>
      </w:r>
      <w:r>
        <w:rPr>
          <w:rFonts w:asciiTheme="minorBidi" w:hAnsiTheme="minorBidi"/>
          <w:color w:val="000000"/>
          <w:sz w:val="22"/>
          <w:szCs w:val="22"/>
        </w:rPr>
        <w:t>s</w:t>
      </w:r>
      <w:r w:rsidRPr="004E5FB2">
        <w:rPr>
          <w:rFonts w:asciiTheme="minorBidi" w:hAnsiTheme="minorBidi"/>
          <w:color w:val="000000"/>
          <w:sz w:val="22"/>
          <w:szCs w:val="22"/>
        </w:rPr>
        <w:t>, case notes should demonstrate documented efforts made to contact and connect with client.</w:t>
      </w:r>
    </w:p>
    <w:p w14:paraId="4C1681AE" w14:textId="77777777" w:rsidR="008C23F8" w:rsidRDefault="008C23F8" w:rsidP="008C23F8">
      <w:pPr>
        <w:autoSpaceDE w:val="0"/>
        <w:autoSpaceDN w:val="0"/>
        <w:adjustRightInd w:val="0"/>
        <w:spacing w:before="0" w:after="0" w:line="300" w:lineRule="auto"/>
        <w:contextualSpacing/>
        <w:rPr>
          <w:rFonts w:asciiTheme="minorBidi" w:hAnsiTheme="minorBidi"/>
          <w:b/>
          <w:bCs/>
          <w:color w:val="000000"/>
          <w:sz w:val="22"/>
          <w:szCs w:val="22"/>
        </w:rPr>
      </w:pPr>
    </w:p>
    <w:p w14:paraId="1679DE22" w14:textId="77777777" w:rsidR="008C23F8" w:rsidRPr="008D0CBF"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8D0CBF">
        <w:rPr>
          <w:rFonts w:asciiTheme="minorBidi" w:hAnsiTheme="minorBidi"/>
          <w:b/>
          <w:bCs/>
          <w:color w:val="000000"/>
          <w:sz w:val="22"/>
          <w:szCs w:val="22"/>
        </w:rPr>
        <w:t xml:space="preserve">Grievance Policy </w:t>
      </w:r>
    </w:p>
    <w:p w14:paraId="5C4B83BC" w14:textId="77777777" w:rsidR="008C23F8" w:rsidRDefault="008C23F8" w:rsidP="008C23F8">
      <w:pPr>
        <w:autoSpaceDE w:val="0"/>
        <w:autoSpaceDN w:val="0"/>
        <w:adjustRightInd w:val="0"/>
        <w:spacing w:before="0" w:after="0" w:line="300" w:lineRule="auto"/>
        <w:contextualSpacing/>
        <w:rPr>
          <w:rFonts w:asciiTheme="minorBidi" w:hAnsiTheme="minorBidi"/>
          <w:color w:val="000000"/>
          <w:sz w:val="22"/>
          <w:szCs w:val="22"/>
        </w:rPr>
      </w:pPr>
      <w:r w:rsidRPr="008D0CBF">
        <w:rPr>
          <w:rFonts w:asciiTheme="minorBidi" w:hAnsiTheme="minorBidi"/>
          <w:color w:val="000000"/>
          <w:sz w:val="22"/>
          <w:szCs w:val="22"/>
        </w:rPr>
        <w:t xml:space="preserve">All participating provider agencies must have a client grievance policy in place, a copy of which should be made available to clients. This policy should be available to address grievances involving a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policies, </w:t>
      </w:r>
      <w:proofErr w:type="gramStart"/>
      <w:r w:rsidRPr="008D0CBF">
        <w:rPr>
          <w:rFonts w:asciiTheme="minorBidi" w:hAnsiTheme="minorBidi"/>
          <w:color w:val="000000"/>
          <w:sz w:val="22"/>
          <w:szCs w:val="22"/>
        </w:rPr>
        <w:t>services</w:t>
      </w:r>
      <w:proofErr w:type="gramEnd"/>
      <w:r w:rsidRPr="008D0CBF">
        <w:rPr>
          <w:rFonts w:asciiTheme="minorBidi" w:hAnsiTheme="minorBidi"/>
          <w:color w:val="000000"/>
          <w:sz w:val="22"/>
          <w:szCs w:val="22"/>
        </w:rPr>
        <w:t xml:space="preserve"> or activities. In the event a grievance is received regarding a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policies, services or activities, the grievance will be referred to the appropriate agency for resolution under the </w:t>
      </w:r>
      <w:r>
        <w:rPr>
          <w:rFonts w:asciiTheme="minorBidi" w:hAnsiTheme="minorBidi"/>
          <w:color w:val="000000"/>
          <w:sz w:val="22"/>
          <w:szCs w:val="22"/>
        </w:rPr>
        <w:t>provider</w:t>
      </w:r>
      <w:r w:rsidRPr="008D0CBF">
        <w:rPr>
          <w:rFonts w:asciiTheme="minorBidi" w:hAnsiTheme="minorBidi"/>
          <w:color w:val="000000"/>
          <w:sz w:val="22"/>
          <w:szCs w:val="22"/>
        </w:rPr>
        <w:t xml:space="preserve">’s internal grievance policy. </w:t>
      </w:r>
      <w:r w:rsidRPr="004E5FB2">
        <w:rPr>
          <w:rFonts w:asciiTheme="minorBidi" w:hAnsiTheme="minorBidi"/>
          <w:color w:val="000000"/>
          <w:sz w:val="22"/>
          <w:szCs w:val="22"/>
        </w:rPr>
        <w:t xml:space="preserve">Each </w:t>
      </w:r>
      <w:r>
        <w:rPr>
          <w:rFonts w:asciiTheme="minorBidi" w:hAnsiTheme="minorBidi"/>
          <w:color w:val="000000"/>
          <w:sz w:val="22"/>
          <w:szCs w:val="22"/>
        </w:rPr>
        <w:t>provider</w:t>
      </w:r>
      <w:r w:rsidRPr="004E5FB2">
        <w:rPr>
          <w:rFonts w:asciiTheme="minorBidi" w:hAnsiTheme="minorBidi"/>
          <w:color w:val="000000"/>
          <w:sz w:val="22"/>
          <w:szCs w:val="22"/>
        </w:rPr>
        <w:t xml:space="preserve"> must make a good faith effort to resolve client grievances as best they can in the moment. Complaints that should be addressed directly by the </w:t>
      </w:r>
      <w:r>
        <w:rPr>
          <w:rFonts w:asciiTheme="minorBidi" w:hAnsiTheme="minorBidi"/>
          <w:color w:val="000000"/>
          <w:sz w:val="22"/>
          <w:szCs w:val="22"/>
        </w:rPr>
        <w:t>provider</w:t>
      </w:r>
      <w:r w:rsidRPr="004E5FB2">
        <w:rPr>
          <w:rFonts w:asciiTheme="minorBidi" w:hAnsiTheme="minorBidi"/>
          <w:color w:val="000000"/>
          <w:sz w:val="22"/>
          <w:szCs w:val="22"/>
        </w:rPr>
        <w:t xml:space="preserve"> staff member or supervisor include complaints about agency conditions, how the client was treated by </w:t>
      </w:r>
      <w:r>
        <w:rPr>
          <w:rFonts w:asciiTheme="minorBidi" w:hAnsiTheme="minorBidi"/>
          <w:color w:val="000000"/>
          <w:sz w:val="22"/>
          <w:szCs w:val="22"/>
        </w:rPr>
        <w:t>provider</w:t>
      </w:r>
      <w:r w:rsidRPr="004E5FB2">
        <w:rPr>
          <w:rFonts w:asciiTheme="minorBidi" w:hAnsiTheme="minorBidi"/>
          <w:color w:val="000000"/>
          <w:sz w:val="22"/>
          <w:szCs w:val="22"/>
        </w:rPr>
        <w:t xml:space="preserve"> staff, and violations of confidentiality agreements. If the client feels the complaint was not adequately addressed, the client should then follow the </w:t>
      </w:r>
      <w:r>
        <w:rPr>
          <w:rFonts w:asciiTheme="minorBidi" w:hAnsiTheme="minorBidi"/>
          <w:color w:val="000000"/>
          <w:sz w:val="22"/>
          <w:szCs w:val="22"/>
        </w:rPr>
        <w:t>provider</w:t>
      </w:r>
      <w:r w:rsidRPr="004E5FB2">
        <w:rPr>
          <w:rFonts w:asciiTheme="minorBidi" w:hAnsiTheme="minorBidi"/>
          <w:color w:val="000000"/>
          <w:sz w:val="22"/>
          <w:szCs w:val="22"/>
        </w:rPr>
        <w:t xml:space="preserve">’s internal grievance procedure. </w:t>
      </w:r>
    </w:p>
    <w:p w14:paraId="5809A4C7" w14:textId="77777777" w:rsidR="008C23F8" w:rsidRDefault="008C23F8" w:rsidP="008C23F8">
      <w:pPr>
        <w:autoSpaceDE w:val="0"/>
        <w:autoSpaceDN w:val="0"/>
        <w:adjustRightInd w:val="0"/>
        <w:spacing w:after="0" w:line="300" w:lineRule="auto"/>
        <w:contextualSpacing/>
        <w:rPr>
          <w:rFonts w:asciiTheme="minorBidi" w:hAnsiTheme="minorBidi"/>
          <w:color w:val="000000"/>
          <w:sz w:val="22"/>
          <w:szCs w:val="22"/>
        </w:rPr>
      </w:pPr>
    </w:p>
    <w:p w14:paraId="05034C33" w14:textId="77777777" w:rsidR="008C23F8" w:rsidRPr="00293621" w:rsidRDefault="008C23F8" w:rsidP="008C23F8">
      <w:pPr>
        <w:autoSpaceDE w:val="0"/>
        <w:autoSpaceDN w:val="0"/>
        <w:adjustRightInd w:val="0"/>
        <w:spacing w:line="300" w:lineRule="auto"/>
        <w:contextualSpacing/>
        <w:rPr>
          <w:rFonts w:asciiTheme="minorBidi" w:hAnsiTheme="minorBidi"/>
          <w:sz w:val="22"/>
          <w:szCs w:val="22"/>
        </w:rPr>
      </w:pPr>
      <w:r w:rsidRPr="00293621">
        <w:rPr>
          <w:rFonts w:asciiTheme="minorBidi" w:hAnsiTheme="minorBidi"/>
          <w:sz w:val="22"/>
          <w:szCs w:val="22"/>
        </w:rPr>
        <w:t xml:space="preserve">All projects must comply with the Fair Housing Act (including Equal Access and Family Separation), the Equal Access to Housing in HUD Programs Regardless of Sexual Orientation or Gender Identity regulations, and the Americans with Disabilities Act regulations. All providers should establish organizational policies to ensure that all federal laws are followed in the administration of homelessness prevention and rapid re-housing services. Refer to </w:t>
      </w:r>
      <w:r>
        <w:rPr>
          <w:rFonts w:asciiTheme="minorBidi" w:hAnsiTheme="minorBidi"/>
          <w:sz w:val="22"/>
          <w:szCs w:val="22"/>
        </w:rPr>
        <w:t xml:space="preserve">the section entitled </w:t>
      </w:r>
      <w:r w:rsidRPr="00293621">
        <w:rPr>
          <w:rFonts w:asciiTheme="minorBidi" w:hAnsiTheme="minorBidi"/>
          <w:sz w:val="22"/>
          <w:szCs w:val="22"/>
        </w:rPr>
        <w:t xml:space="preserve">Organizational Policies </w:t>
      </w:r>
      <w:r>
        <w:rPr>
          <w:rFonts w:asciiTheme="minorBidi" w:hAnsiTheme="minorBidi"/>
          <w:sz w:val="22"/>
          <w:szCs w:val="22"/>
        </w:rPr>
        <w:t>and</w:t>
      </w:r>
      <w:r w:rsidRPr="00293621">
        <w:rPr>
          <w:rFonts w:asciiTheme="minorBidi" w:hAnsiTheme="minorBidi"/>
          <w:sz w:val="22"/>
          <w:szCs w:val="22"/>
        </w:rPr>
        <w:t xml:space="preserve"> Other HUD Requirements</w:t>
      </w:r>
      <w:r>
        <w:rPr>
          <w:rFonts w:asciiTheme="minorBidi" w:hAnsiTheme="minorBidi"/>
          <w:sz w:val="22"/>
          <w:szCs w:val="22"/>
        </w:rPr>
        <w:t xml:space="preserve"> for further details. </w:t>
      </w:r>
    </w:p>
    <w:p w14:paraId="2EB47FDA" w14:textId="05AC8A45" w:rsidR="008C23F8" w:rsidRDefault="008C23F8">
      <w:pPr>
        <w:rPr>
          <w:rFonts w:asciiTheme="minorBidi" w:hAnsiTheme="minorBidi"/>
          <w:sz w:val="22"/>
          <w:szCs w:val="22"/>
        </w:rPr>
      </w:pPr>
      <w:r>
        <w:rPr>
          <w:rFonts w:asciiTheme="minorBidi" w:hAnsiTheme="minorBidi"/>
          <w:sz w:val="22"/>
          <w:szCs w:val="22"/>
        </w:rPr>
        <w:br w:type="page"/>
      </w:r>
    </w:p>
    <w:p w14:paraId="474129FF" w14:textId="77777777" w:rsidR="008C23F8" w:rsidRDefault="008C23F8" w:rsidP="00311D0C">
      <w:pPr>
        <w:spacing w:after="0" w:line="300" w:lineRule="auto"/>
        <w:rPr>
          <w:rFonts w:asciiTheme="minorBidi" w:hAnsiTheme="minorBidi"/>
          <w:sz w:val="22"/>
          <w:szCs w:val="22"/>
        </w:rPr>
      </w:pPr>
    </w:p>
    <w:p w14:paraId="2FA9199E" w14:textId="46A803D4" w:rsidR="00311D0C" w:rsidRPr="00311D0C" w:rsidRDefault="004A10EE" w:rsidP="00311D0C">
      <w:pPr>
        <w:pStyle w:val="Heading1"/>
        <w:rPr>
          <w:rFonts w:asciiTheme="minorBidi" w:hAnsiTheme="minorBidi"/>
        </w:rPr>
      </w:pPr>
      <w:bookmarkStart w:id="23" w:name="_Toc110000645"/>
      <w:r>
        <w:rPr>
          <w:rFonts w:asciiTheme="minorBidi" w:hAnsiTheme="minorBidi"/>
          <w:caps w:val="0"/>
        </w:rPr>
        <w:t xml:space="preserve">APPENDIX A </w:t>
      </w:r>
      <w:r w:rsidRPr="00311D0C">
        <w:rPr>
          <w:rFonts w:asciiTheme="minorBidi" w:hAnsiTheme="minorBidi"/>
          <w:caps w:val="0"/>
        </w:rPr>
        <w:t>DOCUMENTATION REFERENCE CHART</w:t>
      </w:r>
      <w:bookmarkEnd w:id="23"/>
    </w:p>
    <w:p w14:paraId="0548895C" w14:textId="0EDF2590" w:rsidR="00311D0C" w:rsidRPr="00B315DD" w:rsidRDefault="00100F06" w:rsidP="00311D0C">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Pr>
          <w:rFonts w:asciiTheme="minorBidi" w:hAnsiTheme="minorBidi"/>
          <w:b/>
          <w:bCs/>
          <w:color w:val="333333"/>
          <w:sz w:val="22"/>
          <w:szCs w:val="22"/>
          <w:u w:val="single"/>
          <w:shd w:val="clear" w:color="auto" w:fill="FFFFFF"/>
        </w:rPr>
        <w:t>STREET OUTREAC</w:t>
      </w:r>
      <w:r w:rsidR="00442D16">
        <w:rPr>
          <w:rFonts w:asciiTheme="minorBidi" w:hAnsiTheme="minorBidi"/>
          <w:b/>
          <w:bCs/>
          <w:color w:val="333333"/>
          <w:sz w:val="22"/>
          <w:szCs w:val="22"/>
          <w:u w:val="single"/>
          <w:shd w:val="clear" w:color="auto" w:fill="FFFFFF"/>
        </w:rPr>
        <w:t>H</w:t>
      </w:r>
      <w:r>
        <w:rPr>
          <w:rFonts w:asciiTheme="minorBidi" w:hAnsiTheme="minorBidi"/>
          <w:b/>
          <w:bCs/>
          <w:color w:val="333333"/>
          <w:sz w:val="22"/>
          <w:szCs w:val="22"/>
          <w:u w:val="single"/>
          <w:shd w:val="clear" w:color="auto" w:fill="FFFFFF"/>
        </w:rPr>
        <w:t xml:space="preserve">, </w:t>
      </w:r>
      <w:r w:rsidR="007E63B9">
        <w:rPr>
          <w:rFonts w:asciiTheme="minorBidi" w:hAnsiTheme="minorBidi"/>
          <w:b/>
          <w:bCs/>
          <w:color w:val="333333"/>
          <w:sz w:val="22"/>
          <w:szCs w:val="22"/>
          <w:u w:val="single"/>
          <w:shd w:val="clear" w:color="auto" w:fill="FFFFFF"/>
        </w:rPr>
        <w:t xml:space="preserve">EMERGECY SHELTER </w:t>
      </w:r>
      <w:r w:rsidR="00311D0C" w:rsidRPr="00B315DD">
        <w:rPr>
          <w:rFonts w:asciiTheme="minorBidi" w:hAnsiTheme="minorBidi"/>
          <w:b/>
          <w:bCs/>
          <w:color w:val="333333"/>
          <w:sz w:val="22"/>
          <w:szCs w:val="22"/>
          <w:u w:val="single"/>
          <w:shd w:val="clear" w:color="auto" w:fill="FFFFFF"/>
        </w:rPr>
        <w:t>RAPID REHOUSING</w:t>
      </w:r>
      <w:r w:rsidR="00C55CE4">
        <w:rPr>
          <w:rFonts w:asciiTheme="minorBidi" w:hAnsiTheme="minorBidi"/>
          <w:b/>
          <w:bCs/>
          <w:color w:val="333333"/>
          <w:sz w:val="22"/>
          <w:szCs w:val="22"/>
          <w:u w:val="single"/>
          <w:shd w:val="clear" w:color="auto" w:fill="FFFFFF"/>
        </w:rPr>
        <w:t>, and PERMANENT SUPPORTIVE HOUSING</w:t>
      </w:r>
      <w:r w:rsidR="00311D0C" w:rsidRPr="00B315DD">
        <w:rPr>
          <w:rFonts w:asciiTheme="minorBidi" w:hAnsiTheme="minorBidi"/>
          <w:b/>
          <w:bCs/>
          <w:color w:val="333333"/>
          <w:sz w:val="22"/>
          <w:szCs w:val="22"/>
          <w:u w:val="single"/>
          <w:shd w:val="clear" w:color="auto" w:fill="FFFFFF"/>
        </w:rPr>
        <w:t xml:space="preserve"> (ESG and CoC)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916"/>
      </w:tblGrid>
      <w:tr w:rsidR="00311D0C" w:rsidRPr="00253E42" w14:paraId="0DCFFDB3" w14:textId="77777777" w:rsidTr="00C1115A">
        <w:tc>
          <w:tcPr>
            <w:tcW w:w="2249" w:type="dxa"/>
            <w:shd w:val="clear" w:color="auto" w:fill="auto"/>
          </w:tcPr>
          <w:p w14:paraId="4ACA426C"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Homeless Status Eligibility Criteria</w:t>
            </w:r>
          </w:p>
        </w:tc>
        <w:tc>
          <w:tcPr>
            <w:tcW w:w="7916" w:type="dxa"/>
            <w:shd w:val="clear" w:color="auto" w:fill="auto"/>
          </w:tcPr>
          <w:p w14:paraId="4C630552"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Required Documentation</w:t>
            </w:r>
          </w:p>
        </w:tc>
      </w:tr>
      <w:tr w:rsidR="00311D0C" w:rsidRPr="00253E42" w14:paraId="3A8A7066" w14:textId="77777777" w:rsidTr="00E07D5F">
        <w:trPr>
          <w:trHeight w:val="980"/>
        </w:trPr>
        <w:tc>
          <w:tcPr>
            <w:tcW w:w="2249" w:type="dxa"/>
            <w:shd w:val="clear" w:color="auto" w:fill="auto"/>
          </w:tcPr>
          <w:p w14:paraId="7F446682" w14:textId="77777777" w:rsidR="00311D0C"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Sleeping in a place not meant for human habitation (</w:t>
            </w:r>
            <w:r w:rsidR="008665F3" w:rsidRPr="00253E42">
              <w:rPr>
                <w:rFonts w:asciiTheme="minorBidi" w:hAnsiTheme="minorBidi"/>
                <w:color w:val="333333"/>
                <w:sz w:val="22"/>
                <w:szCs w:val="22"/>
                <w:shd w:val="clear" w:color="auto" w:fill="FFFFFF"/>
              </w:rPr>
              <w:t>i.e.,</w:t>
            </w:r>
            <w:r w:rsidRPr="00253E42">
              <w:rPr>
                <w:rFonts w:asciiTheme="minorBidi" w:hAnsiTheme="minorBidi"/>
                <w:color w:val="333333"/>
                <w:sz w:val="22"/>
                <w:szCs w:val="22"/>
                <w:shd w:val="clear" w:color="auto" w:fill="FFFFFF"/>
              </w:rPr>
              <w:t xml:space="preserve"> car, park, abandoned building, bus station, airport, etc.)</w:t>
            </w:r>
          </w:p>
          <w:p w14:paraId="7E1D890D" w14:textId="77777777" w:rsidR="0066735F" w:rsidRPr="00A5411F" w:rsidRDefault="0066735F" w:rsidP="00311D0C">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A5411F">
              <w:rPr>
                <w:rFonts w:asciiTheme="minorBidi" w:hAnsiTheme="minorBidi"/>
                <w:b/>
                <w:bCs/>
                <w:color w:val="333333"/>
                <w:sz w:val="22"/>
                <w:szCs w:val="22"/>
                <w:shd w:val="clear" w:color="auto" w:fill="FFFFFF"/>
              </w:rPr>
              <w:t xml:space="preserve">Note that the documentation is ordered in order of preference. Whenever possible, </w:t>
            </w:r>
            <w:proofErr w:type="gramStart"/>
            <w:r w:rsidRPr="00A5411F">
              <w:rPr>
                <w:rFonts w:asciiTheme="minorBidi" w:hAnsiTheme="minorBidi"/>
                <w:b/>
                <w:bCs/>
                <w:color w:val="333333"/>
                <w:sz w:val="22"/>
                <w:szCs w:val="22"/>
                <w:shd w:val="clear" w:color="auto" w:fill="FFFFFF"/>
              </w:rPr>
              <w:t>third party</w:t>
            </w:r>
            <w:proofErr w:type="gramEnd"/>
            <w:r w:rsidRPr="00A5411F">
              <w:rPr>
                <w:rFonts w:asciiTheme="minorBidi" w:hAnsiTheme="minorBidi"/>
                <w:b/>
                <w:bCs/>
                <w:color w:val="333333"/>
                <w:sz w:val="22"/>
                <w:szCs w:val="22"/>
                <w:shd w:val="clear" w:color="auto" w:fill="FFFFFF"/>
              </w:rPr>
              <w:t xml:space="preserve"> documentation should be obtained. </w:t>
            </w:r>
          </w:p>
        </w:tc>
        <w:tc>
          <w:tcPr>
            <w:tcW w:w="7916" w:type="dxa"/>
            <w:shd w:val="clear" w:color="auto" w:fill="auto"/>
          </w:tcPr>
          <w:p w14:paraId="4E1FB36E" w14:textId="77777777" w:rsidR="0066735F" w:rsidRPr="00253E42" w:rsidRDefault="0066735F"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written statement from a housing or service provider documenting the participants living </w:t>
            </w:r>
            <w:proofErr w:type="gramStart"/>
            <w:r w:rsidRPr="00253E42">
              <w:rPr>
                <w:rFonts w:asciiTheme="minorBidi" w:hAnsiTheme="minorBidi"/>
                <w:color w:val="333333"/>
                <w:sz w:val="22"/>
                <w:szCs w:val="22"/>
                <w:shd w:val="clear" w:color="auto" w:fill="FFFFFF"/>
              </w:rPr>
              <w:t>conditions;</w:t>
            </w:r>
            <w:proofErr w:type="gramEnd"/>
            <w:r w:rsidRPr="00253E42">
              <w:rPr>
                <w:rFonts w:asciiTheme="minorBidi" w:hAnsiTheme="minorBidi"/>
                <w:color w:val="333333"/>
                <w:sz w:val="22"/>
                <w:szCs w:val="22"/>
                <w:shd w:val="clear" w:color="auto" w:fill="FFFFFF"/>
              </w:rPr>
              <w:t xml:space="preserve"> </w:t>
            </w:r>
          </w:p>
          <w:p w14:paraId="3133589B" w14:textId="0049DFCA" w:rsidR="00311D0C" w:rsidRPr="00253E42" w:rsidRDefault="00311D0C"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written statement from an outreach worker </w:t>
            </w:r>
            <w:r w:rsidR="0066735F">
              <w:rPr>
                <w:rFonts w:asciiTheme="minorBidi" w:hAnsiTheme="minorBidi"/>
                <w:color w:val="333333"/>
                <w:sz w:val="22"/>
                <w:szCs w:val="22"/>
                <w:shd w:val="clear" w:color="auto" w:fill="FFFFFF"/>
              </w:rPr>
              <w:t>observing</w:t>
            </w:r>
            <w:r w:rsidRPr="00253E42">
              <w:rPr>
                <w:rFonts w:asciiTheme="minorBidi" w:hAnsiTheme="minorBidi"/>
                <w:color w:val="333333"/>
                <w:sz w:val="22"/>
                <w:szCs w:val="22"/>
                <w:shd w:val="clear" w:color="auto" w:fill="FFFFFF"/>
              </w:rPr>
              <w:t xml:space="preserve"> the participants living </w:t>
            </w:r>
            <w:proofErr w:type="gramStart"/>
            <w:r w:rsidRPr="00253E42">
              <w:rPr>
                <w:rFonts w:asciiTheme="minorBidi" w:hAnsiTheme="minorBidi"/>
                <w:color w:val="333333"/>
                <w:sz w:val="22"/>
                <w:szCs w:val="22"/>
                <w:shd w:val="clear" w:color="auto" w:fill="FFFFFF"/>
              </w:rPr>
              <w:t>conditions;</w:t>
            </w:r>
            <w:proofErr w:type="gramEnd"/>
            <w:r w:rsidRPr="00253E42">
              <w:rPr>
                <w:rFonts w:asciiTheme="minorBidi" w:hAnsiTheme="minorBidi"/>
                <w:color w:val="333333"/>
                <w:sz w:val="22"/>
                <w:szCs w:val="22"/>
                <w:shd w:val="clear" w:color="auto" w:fill="FFFFFF"/>
              </w:rPr>
              <w:t xml:space="preserve"> </w:t>
            </w:r>
          </w:p>
          <w:p w14:paraId="013798F5" w14:textId="77777777" w:rsidR="00311D0C" w:rsidRPr="00253E42" w:rsidRDefault="00311D0C"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self-certification from the participant documenting their living conditions. The self-certification must include a statement from the subrecipients intake worker documenting their attempt to obtain third party verification. </w:t>
            </w:r>
          </w:p>
          <w:p w14:paraId="4CF3A84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7039836F" w14:textId="77777777" w:rsidTr="00C1115A">
        <w:trPr>
          <w:trHeight w:val="2600"/>
        </w:trPr>
        <w:tc>
          <w:tcPr>
            <w:tcW w:w="2249" w:type="dxa"/>
            <w:shd w:val="clear" w:color="auto" w:fill="auto"/>
          </w:tcPr>
          <w:p w14:paraId="6C06D37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In an emergency shelter, i.e., congregate shelters, transitional housing, hotels/motels paid for by charitable organizations or government programs</w:t>
            </w:r>
          </w:p>
        </w:tc>
        <w:tc>
          <w:tcPr>
            <w:tcW w:w="7916" w:type="dxa"/>
            <w:shd w:val="clear" w:color="auto" w:fill="auto"/>
            <w:vAlign w:val="center"/>
          </w:tcPr>
          <w:p w14:paraId="34798E0F" w14:textId="07F832A2" w:rsidR="002311C1" w:rsidRPr="002311C1" w:rsidRDefault="002311C1" w:rsidP="004A10EE">
            <w:pPr>
              <w:pStyle w:val="ListParagraph"/>
              <w:numPr>
                <w:ilvl w:val="0"/>
                <w:numId w:val="22"/>
              </w:numPr>
              <w:autoSpaceDE w:val="0"/>
              <w:autoSpaceDN w:val="0"/>
              <w:adjustRightInd w:val="0"/>
              <w:spacing w:after="0" w:line="300" w:lineRule="auto"/>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HMIS bed stay documentation </w:t>
            </w:r>
          </w:p>
          <w:p w14:paraId="5CEC6BD4" w14:textId="19783AEE" w:rsidR="00311D0C" w:rsidRPr="002311C1" w:rsidRDefault="00311D0C" w:rsidP="004A10EE">
            <w:pPr>
              <w:pStyle w:val="ListParagraph"/>
              <w:numPr>
                <w:ilvl w:val="0"/>
                <w:numId w:val="22"/>
              </w:numPr>
              <w:autoSpaceDE w:val="0"/>
              <w:autoSpaceDN w:val="0"/>
              <w:adjustRightInd w:val="0"/>
              <w:spacing w:after="0" w:line="300" w:lineRule="auto"/>
              <w:rPr>
                <w:rFonts w:asciiTheme="minorBidi" w:hAnsiTheme="minorBidi"/>
                <w:color w:val="333333"/>
                <w:sz w:val="22"/>
                <w:szCs w:val="22"/>
                <w:shd w:val="clear" w:color="auto" w:fill="FFFFFF"/>
              </w:rPr>
            </w:pPr>
            <w:r w:rsidRPr="002311C1">
              <w:rPr>
                <w:rFonts w:asciiTheme="minorBidi" w:hAnsiTheme="minorBidi"/>
                <w:color w:val="333333"/>
                <w:sz w:val="22"/>
                <w:szCs w:val="22"/>
                <w:shd w:val="clear" w:color="auto" w:fill="FFFFFF"/>
              </w:rPr>
              <w:t xml:space="preserve">A written statement from the emergency shelter provider documenting the participant’s stay. </w:t>
            </w:r>
          </w:p>
          <w:p w14:paraId="74F182F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7FAD6152" w14:textId="77777777" w:rsidTr="00C1115A">
        <w:tc>
          <w:tcPr>
            <w:tcW w:w="2249" w:type="dxa"/>
            <w:shd w:val="clear" w:color="auto" w:fill="auto"/>
            <w:vAlign w:val="center"/>
          </w:tcPr>
          <w:p w14:paraId="69742D89"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Exiting an institution where the participant resided for 90 days or less and resided in an emergency shelter or place not meant for habitation </w:t>
            </w:r>
            <w:r w:rsidRPr="00253E42">
              <w:rPr>
                <w:rFonts w:asciiTheme="minorBidi" w:hAnsiTheme="minorBidi"/>
                <w:color w:val="333333"/>
                <w:sz w:val="22"/>
                <w:szCs w:val="22"/>
                <w:shd w:val="clear" w:color="auto" w:fill="FFFFFF"/>
              </w:rPr>
              <w:lastRenderedPageBreak/>
              <w:t>immediately before entering the institution</w:t>
            </w:r>
          </w:p>
        </w:tc>
        <w:tc>
          <w:tcPr>
            <w:tcW w:w="7916" w:type="dxa"/>
            <w:shd w:val="clear" w:color="auto" w:fill="auto"/>
          </w:tcPr>
          <w:p w14:paraId="2903D67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 xml:space="preserve">Written verification from the institution documenting exit date and length of time in the institution AND one of the following: </w:t>
            </w:r>
          </w:p>
          <w:p w14:paraId="1348143D" w14:textId="77777777" w:rsidR="00311D0C" w:rsidRPr="00253E42" w:rsidRDefault="00311D0C"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written statement from an outreach worker documenting the participants living conditions prior to entering the </w:t>
            </w:r>
            <w:proofErr w:type="gramStart"/>
            <w:r w:rsidRPr="00253E42">
              <w:rPr>
                <w:rFonts w:asciiTheme="minorBidi" w:hAnsiTheme="minorBidi"/>
                <w:color w:val="333333"/>
                <w:sz w:val="22"/>
                <w:szCs w:val="22"/>
                <w:shd w:val="clear" w:color="auto" w:fill="FFFFFF"/>
              </w:rPr>
              <w:t>institution;</w:t>
            </w:r>
            <w:proofErr w:type="gramEnd"/>
            <w:r w:rsidRPr="00253E42">
              <w:rPr>
                <w:rFonts w:asciiTheme="minorBidi" w:hAnsiTheme="minorBidi"/>
                <w:color w:val="333333"/>
                <w:sz w:val="22"/>
                <w:szCs w:val="22"/>
                <w:shd w:val="clear" w:color="auto" w:fill="FFFFFF"/>
              </w:rPr>
              <w:t xml:space="preserve"> </w:t>
            </w:r>
          </w:p>
          <w:p w14:paraId="4F3D1CAF" w14:textId="77777777" w:rsidR="00311D0C" w:rsidRPr="00253E42" w:rsidRDefault="00311D0C"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written statement from a housing or service provider documenting the participants living conditions prior to entering the </w:t>
            </w:r>
            <w:proofErr w:type="gramStart"/>
            <w:r w:rsidRPr="00253E42">
              <w:rPr>
                <w:rFonts w:asciiTheme="minorBidi" w:hAnsiTheme="minorBidi"/>
                <w:color w:val="333333"/>
                <w:sz w:val="22"/>
                <w:szCs w:val="22"/>
                <w:shd w:val="clear" w:color="auto" w:fill="FFFFFF"/>
              </w:rPr>
              <w:t>institution;</w:t>
            </w:r>
            <w:proofErr w:type="gramEnd"/>
            <w:r w:rsidRPr="00253E42">
              <w:rPr>
                <w:rFonts w:asciiTheme="minorBidi" w:hAnsiTheme="minorBidi"/>
                <w:color w:val="333333"/>
                <w:sz w:val="22"/>
                <w:szCs w:val="22"/>
                <w:shd w:val="clear" w:color="auto" w:fill="FFFFFF"/>
              </w:rPr>
              <w:t xml:space="preserve"> </w:t>
            </w:r>
          </w:p>
          <w:p w14:paraId="76824C13" w14:textId="77777777" w:rsidR="00311D0C" w:rsidRPr="00253E42" w:rsidRDefault="00311D0C" w:rsidP="004A10EE">
            <w:pPr>
              <w:numPr>
                <w:ilvl w:val="0"/>
                <w:numId w:val="10"/>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self-certification from the participant documenting their living conditions prior to entering the institution. The self-certification must </w:t>
            </w:r>
            <w:r w:rsidRPr="00253E42">
              <w:rPr>
                <w:rFonts w:asciiTheme="minorBidi" w:hAnsiTheme="minorBidi"/>
                <w:color w:val="333333"/>
                <w:sz w:val="22"/>
                <w:szCs w:val="22"/>
                <w:shd w:val="clear" w:color="auto" w:fill="FFFFFF"/>
              </w:rPr>
              <w:lastRenderedPageBreak/>
              <w:t>include a statement from the subrecipients intake worker documenting their attempt to obtain third party verification.</w:t>
            </w:r>
          </w:p>
        </w:tc>
      </w:tr>
    </w:tbl>
    <w:p w14:paraId="397B80B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2051AE2" w14:textId="77777777" w:rsidR="00311D0C" w:rsidRPr="00253E42" w:rsidRDefault="00311D0C" w:rsidP="00311D0C">
      <w:pPr>
        <w:autoSpaceDE w:val="0"/>
        <w:autoSpaceDN w:val="0"/>
        <w:adjustRightInd w:val="0"/>
        <w:spacing w:after="0" w:line="300" w:lineRule="auto"/>
        <w:contextualSpacing/>
        <w:rPr>
          <w:rFonts w:asciiTheme="minorBidi" w:hAnsiTheme="minorBidi"/>
          <w:b/>
          <w:bCs/>
          <w:color w:val="333333"/>
          <w:sz w:val="22"/>
          <w:szCs w:val="22"/>
          <w:shd w:val="clear" w:color="auto" w:fill="FFFFFF"/>
        </w:rPr>
      </w:pPr>
    </w:p>
    <w:p w14:paraId="28E5315C" w14:textId="77777777" w:rsidR="00311D0C" w:rsidRPr="00B315DD" w:rsidRDefault="00311D0C" w:rsidP="00311D0C">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HOMELESSNESS PREVENTION (ESG ONLY)</w:t>
      </w:r>
    </w:p>
    <w:tbl>
      <w:tblPr>
        <w:tblW w:w="10142" w:type="dxa"/>
        <w:tblInd w:w="18" w:type="dxa"/>
        <w:tblBorders>
          <w:top w:val="nil"/>
          <w:left w:val="nil"/>
          <w:right w:val="nil"/>
        </w:tblBorders>
        <w:tblLayout w:type="fixed"/>
        <w:tblLook w:val="0000" w:firstRow="0" w:lastRow="0" w:firstColumn="0" w:lastColumn="0" w:noHBand="0" w:noVBand="0"/>
      </w:tblPr>
      <w:tblGrid>
        <w:gridCol w:w="2430"/>
        <w:gridCol w:w="7712"/>
      </w:tblGrid>
      <w:tr w:rsidR="00311D0C" w:rsidRPr="00253E42" w14:paraId="4F915961" w14:textId="77777777" w:rsidTr="00311D0C">
        <w:trPr>
          <w:cantSplit/>
        </w:trPr>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BA3676B" w14:textId="77777777" w:rsidR="00311D0C" w:rsidRPr="00253E42" w:rsidRDefault="00311D0C" w:rsidP="00311D0C">
            <w:pPr>
              <w:autoSpaceDE w:val="0"/>
              <w:autoSpaceDN w:val="0"/>
              <w:adjustRightInd w:val="0"/>
              <w:spacing w:after="0" w:line="300" w:lineRule="auto"/>
              <w:contextualSpacing/>
              <w:rPr>
                <w:rFonts w:asciiTheme="minorBidi" w:hAnsiTheme="minorBidi"/>
                <w:b/>
                <w:bCs/>
                <w:color w:val="333333"/>
                <w:sz w:val="22"/>
                <w:szCs w:val="22"/>
                <w:shd w:val="clear" w:color="auto" w:fill="FFFFFF"/>
              </w:rPr>
            </w:pPr>
            <w:r w:rsidRPr="00253E42">
              <w:rPr>
                <w:rFonts w:asciiTheme="minorBidi" w:hAnsiTheme="minorBidi"/>
                <w:b/>
                <w:bCs/>
                <w:color w:val="333333"/>
                <w:sz w:val="22"/>
                <w:szCs w:val="22"/>
                <w:shd w:val="clear" w:color="auto" w:fill="FFFFFF"/>
              </w:rPr>
              <w:t>Income/Resources Eligibility Criteria</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6C35B46"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b/>
                <w:bCs/>
                <w:color w:val="333333"/>
                <w:sz w:val="22"/>
                <w:szCs w:val="22"/>
                <w:shd w:val="clear" w:color="auto" w:fill="FFFFFF"/>
              </w:rPr>
              <w:t>Required Documentation</w:t>
            </w:r>
          </w:p>
        </w:tc>
      </w:tr>
      <w:tr w:rsidR="00311D0C" w:rsidRPr="00253E42" w14:paraId="33DE95F9"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1ECCF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6AAA4DB"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4B83401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53DDC91"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Annual household income below 30% of area medium income (AMI) based on HUD HOME income limits. Income limits can be found at: </w:t>
            </w:r>
          </w:p>
          <w:p w14:paraId="31435AFA" w14:textId="77777777" w:rsidR="00311D0C" w:rsidRPr="00253E42" w:rsidRDefault="003E7871"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hyperlink r:id="rId36" w:history="1">
              <w:r w:rsidR="00311D0C" w:rsidRPr="00253E42">
                <w:rPr>
                  <w:rStyle w:val="Hyperlink"/>
                  <w:rFonts w:asciiTheme="minorBidi" w:hAnsiTheme="minorBidi"/>
                  <w:sz w:val="22"/>
                  <w:szCs w:val="22"/>
                  <w:shd w:val="clear" w:color="auto" w:fill="FFFFFF"/>
                </w:rPr>
                <w:t>https://www.hudexchange.info/programs/home/home-income-limits/</w:t>
              </w:r>
            </w:hyperlink>
            <w:r w:rsidR="00311D0C" w:rsidRPr="00253E42">
              <w:rPr>
                <w:rFonts w:asciiTheme="minorBidi" w:hAnsiTheme="minorBidi"/>
                <w:color w:val="333333"/>
                <w:sz w:val="22"/>
                <w:szCs w:val="22"/>
                <w:shd w:val="clear" w:color="auto" w:fill="FFFFFF"/>
              </w:rPr>
              <w:t xml:space="preserve"> </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005FA6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Income documentation must be collected at intake and updated at each required quarterly re-certification (completed at minimum every three months), </w:t>
            </w:r>
            <w:proofErr w:type="gramStart"/>
            <w:r w:rsidRPr="00253E42">
              <w:rPr>
                <w:rFonts w:asciiTheme="minorBidi" w:hAnsiTheme="minorBidi"/>
                <w:color w:val="333333"/>
                <w:sz w:val="22"/>
                <w:szCs w:val="22"/>
                <w:shd w:val="clear" w:color="auto" w:fill="FFFFFF"/>
              </w:rPr>
              <w:t>as long as</w:t>
            </w:r>
            <w:proofErr w:type="gramEnd"/>
            <w:r w:rsidRPr="00253E42">
              <w:rPr>
                <w:rFonts w:asciiTheme="minorBidi" w:hAnsiTheme="minorBidi"/>
                <w:color w:val="333333"/>
                <w:sz w:val="22"/>
                <w:szCs w:val="22"/>
                <w:shd w:val="clear" w:color="auto" w:fill="FFFFFF"/>
              </w:rPr>
              <w:t xml:space="preserve"> the household is enrolled in an ESG Homelessness Prevention project. Income documents for each period (intake, re-certification 1, 2, etc.) should be clearly documented as such. </w:t>
            </w:r>
          </w:p>
          <w:p w14:paraId="0064AD4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ADFE841" w14:textId="2FAF5023" w:rsidR="00311D0C" w:rsidRDefault="00744264"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Providers</w:t>
            </w:r>
            <w:r w:rsidR="00311D0C" w:rsidRPr="00253E42">
              <w:rPr>
                <w:rFonts w:asciiTheme="minorBidi" w:hAnsiTheme="minorBidi"/>
                <w:color w:val="333333"/>
                <w:sz w:val="22"/>
                <w:szCs w:val="22"/>
                <w:shd w:val="clear" w:color="auto" w:fill="FFFFFF"/>
              </w:rPr>
              <w:t xml:space="preserve"> should utilize the CPD Income Eligibility Calculator found at: </w:t>
            </w:r>
            <w:hyperlink r:id="rId37" w:history="1">
              <w:r w:rsidR="00311D0C" w:rsidRPr="00253E42">
                <w:rPr>
                  <w:rStyle w:val="Hyperlink"/>
                  <w:rFonts w:asciiTheme="minorBidi" w:hAnsiTheme="minorBidi"/>
                  <w:sz w:val="22"/>
                  <w:szCs w:val="22"/>
                  <w:shd w:val="clear" w:color="auto" w:fill="FFFFFF"/>
                </w:rPr>
                <w:t>https://www.hudexchange.info/incomecalculator/</w:t>
              </w:r>
            </w:hyperlink>
            <w:r w:rsidR="00311D0C" w:rsidRPr="00253E42">
              <w:rPr>
                <w:rFonts w:asciiTheme="minorBidi" w:hAnsiTheme="minorBidi"/>
                <w:color w:val="333333"/>
                <w:sz w:val="22"/>
                <w:szCs w:val="22"/>
                <w:shd w:val="clear" w:color="auto" w:fill="FFFFFF"/>
              </w:rPr>
              <w:t>. If the CPD Income Eligibility Calculator is unavailable at the time of intake or re-certification, the case record must contain an annual income evaluation form which captures each participant’s source of income, the frequency of that income, and the calculation method used to determine the estimated annual amount. Annual income must be calculated from current (</w:t>
            </w:r>
            <w:r w:rsidR="00311D0C" w:rsidRPr="00253E42">
              <w:rPr>
                <w:rFonts w:asciiTheme="minorBidi" w:hAnsiTheme="minorBidi"/>
                <w:color w:val="333333"/>
                <w:sz w:val="22"/>
                <w:szCs w:val="22"/>
                <w:u w:val="single"/>
                <w:shd w:val="clear" w:color="auto" w:fill="FFFFFF"/>
              </w:rPr>
              <w:t>at minimum the most recent 30-day period</w:t>
            </w:r>
            <w:r w:rsidR="00311D0C" w:rsidRPr="00253E42">
              <w:rPr>
                <w:rFonts w:asciiTheme="minorBidi" w:hAnsiTheme="minorBidi"/>
                <w:color w:val="333333"/>
                <w:sz w:val="22"/>
                <w:szCs w:val="22"/>
                <w:shd w:val="clear" w:color="auto" w:fill="FFFFFF"/>
              </w:rPr>
              <w:t xml:space="preserve">) and complete income information, for each member of the household. A full list of HUD income inclusions and exclusions can be found at: </w:t>
            </w:r>
            <w:hyperlink r:id="rId38" w:history="1">
              <w:r w:rsidR="00365A92" w:rsidRPr="005A7A22">
                <w:rPr>
                  <w:rStyle w:val="Hyperlink"/>
                  <w:rFonts w:asciiTheme="minorBidi" w:hAnsiTheme="minorBidi"/>
                  <w:sz w:val="22"/>
                  <w:szCs w:val="22"/>
                  <w:shd w:val="clear" w:color="auto" w:fill="FFFFFF"/>
                </w:rPr>
                <w:t>https://www.hud.gov/sites/documents/DOC_35699.PDF</w:t>
              </w:r>
            </w:hyperlink>
          </w:p>
          <w:p w14:paraId="684674F3" w14:textId="77777777" w:rsidR="00365A92" w:rsidRPr="00253E42" w:rsidRDefault="00365A92"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ADDCCA5"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Income documentation may include, but is not limited </w:t>
            </w:r>
            <w:proofErr w:type="gramStart"/>
            <w:r w:rsidRPr="00253E42">
              <w:rPr>
                <w:rFonts w:asciiTheme="minorBidi" w:hAnsiTheme="minorBidi"/>
                <w:color w:val="333333"/>
                <w:sz w:val="22"/>
                <w:szCs w:val="22"/>
                <w:shd w:val="clear" w:color="auto" w:fill="FFFFFF"/>
              </w:rPr>
              <w:t>to:</w:t>
            </w:r>
            <w:proofErr w:type="gramEnd"/>
            <w:r w:rsidRPr="00253E42">
              <w:rPr>
                <w:rFonts w:asciiTheme="minorBidi" w:hAnsiTheme="minorBidi"/>
                <w:color w:val="333333"/>
                <w:sz w:val="22"/>
                <w:szCs w:val="22"/>
                <w:shd w:val="clear" w:color="auto" w:fill="FFFFFF"/>
              </w:rPr>
              <w:t xml:space="preserve"> wage stubs, unemployment comp. statement, public benefits statement, bank statement(s), a letter from employer documenting approximate hours worked and compensation, and/or a self-certification from the household member documenting the income. </w:t>
            </w:r>
          </w:p>
          <w:p w14:paraId="6A00B745"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92AE0F8" w14:textId="39DD8303" w:rsidR="009949B0"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Additional clarification regarding income documentation can be found in the Interim Rule (§576.500(e)) and in the HUD webinar titled </w:t>
            </w:r>
            <w:r w:rsidRPr="00253E42">
              <w:rPr>
                <w:rFonts w:asciiTheme="minorBidi" w:hAnsiTheme="minorBidi"/>
                <w:color w:val="333333"/>
                <w:sz w:val="22"/>
                <w:szCs w:val="22"/>
                <w:u w:val="single"/>
                <w:shd w:val="clear" w:color="auto" w:fill="FFFFFF"/>
              </w:rPr>
              <w:t>At Risk Status and Income: Recordkeeping Requirements Webinar for ESG Grantees</w:t>
            </w:r>
            <w:r w:rsidRPr="00253E42">
              <w:rPr>
                <w:rFonts w:asciiTheme="minorBidi" w:hAnsiTheme="minorBidi"/>
                <w:color w:val="333333"/>
                <w:sz w:val="22"/>
                <w:szCs w:val="22"/>
                <w:shd w:val="clear" w:color="auto" w:fill="FFFFFF"/>
              </w:rPr>
              <w:t xml:space="preserve">. Slides and a recording of the webinar can be found at: </w:t>
            </w:r>
            <w:hyperlink r:id="rId39" w:history="1">
              <w:r w:rsidR="009949B0" w:rsidRPr="005A7A22">
                <w:rPr>
                  <w:rStyle w:val="Hyperlink"/>
                  <w:rFonts w:asciiTheme="minorBidi" w:hAnsiTheme="minorBidi"/>
                  <w:sz w:val="22"/>
                  <w:szCs w:val="22"/>
                  <w:shd w:val="clear" w:color="auto" w:fill="FFFFFF"/>
                </w:rPr>
                <w:t>https://www.hudexchange.info/trainings/courses/at-risk-status-and-income-recordkeeping-requirements-webinar-for-esg-grantees1/</w:t>
              </w:r>
            </w:hyperlink>
          </w:p>
          <w:p w14:paraId="3883D065" w14:textId="1A9E08A6"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w:t>
            </w:r>
          </w:p>
        </w:tc>
      </w:tr>
      <w:tr w:rsidR="00311D0C" w:rsidRPr="00253E42" w14:paraId="3C36E397"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2C3EC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Insufficient resources or support networks</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57169E1"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AF7B3E2" w14:textId="30F1251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253E42">
              <w:rPr>
                <w:rFonts w:asciiTheme="minorBidi" w:hAnsiTheme="minorBidi"/>
                <w:color w:val="333333"/>
                <w:sz w:val="22"/>
                <w:szCs w:val="22"/>
                <w:shd w:val="clear" w:color="auto" w:fill="FFFFFF"/>
              </w:rPr>
              <w:lastRenderedPageBreak/>
              <w:t xml:space="preserve">At minimum, documentation of insufficient resources or support networks must be documented on </w:t>
            </w:r>
            <w:proofErr w:type="gramStart"/>
            <w:r w:rsidRPr="00253E42">
              <w:rPr>
                <w:rFonts w:asciiTheme="minorBidi" w:hAnsiTheme="minorBidi"/>
                <w:color w:val="333333"/>
                <w:sz w:val="22"/>
                <w:szCs w:val="22"/>
                <w:shd w:val="clear" w:color="auto" w:fill="FFFFFF"/>
              </w:rPr>
              <w:t>a</w:t>
            </w:r>
            <w:proofErr w:type="gramEnd"/>
            <w:r w:rsidRPr="00253E42">
              <w:rPr>
                <w:rFonts w:asciiTheme="minorBidi" w:hAnsiTheme="minorBidi"/>
                <w:color w:val="333333"/>
                <w:sz w:val="22"/>
                <w:szCs w:val="22"/>
                <w:shd w:val="clear" w:color="auto" w:fill="FFFFFF"/>
              </w:rPr>
              <w:t xml:space="preserve"> </w:t>
            </w:r>
            <w:r w:rsidR="00923CA6">
              <w:rPr>
                <w:rFonts w:asciiTheme="minorBidi" w:hAnsiTheme="minorBidi"/>
                <w:color w:val="333333"/>
                <w:sz w:val="22"/>
                <w:szCs w:val="22"/>
                <w:shd w:val="clear" w:color="auto" w:fill="FFFFFF"/>
              </w:rPr>
              <w:t>EOHLC</w:t>
            </w:r>
            <w:r w:rsidRPr="00253E42">
              <w:rPr>
                <w:rFonts w:asciiTheme="minorBidi" w:hAnsiTheme="minorBidi"/>
                <w:color w:val="333333"/>
                <w:sz w:val="22"/>
                <w:szCs w:val="22"/>
                <w:shd w:val="clear" w:color="auto" w:fill="FFFFFF"/>
              </w:rPr>
              <w:t xml:space="preserve">-approved form which clearly states that the household does not have sufficient resources or support networks; e.g., family, friends, faith-based or other social networks immediately available to prevent eviction and maintain housing stability, and that ‘but for’ ESG services the household would become literally homeless according to HUD’s definition.  </w:t>
            </w:r>
            <w:r w:rsidR="00923CA6">
              <w:rPr>
                <w:rFonts w:asciiTheme="minorBidi" w:hAnsiTheme="minorBidi"/>
                <w:color w:val="333333"/>
                <w:sz w:val="22"/>
                <w:szCs w:val="22"/>
                <w:u w:val="single"/>
                <w:shd w:val="clear" w:color="auto" w:fill="FFFFFF"/>
              </w:rPr>
              <w:t>EOHLC</w:t>
            </w:r>
            <w:r w:rsidRPr="00253E42">
              <w:rPr>
                <w:rFonts w:asciiTheme="minorBidi" w:hAnsiTheme="minorBidi"/>
                <w:color w:val="333333"/>
                <w:sz w:val="22"/>
                <w:szCs w:val="22"/>
                <w:u w:val="single"/>
                <w:shd w:val="clear" w:color="auto" w:fill="FFFFFF"/>
              </w:rPr>
              <w:t xml:space="preserve"> expects that case records will also include case notes and additional evidence documenting insufficient resources and support networks as applicable to each participant’s circumstances. </w:t>
            </w:r>
          </w:p>
          <w:p w14:paraId="5BBCA21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EA3470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HUD provides the following examples of source documentation for insufficient resources: </w:t>
            </w:r>
            <w:r w:rsidRPr="00253E42">
              <w:rPr>
                <w:rFonts w:asciiTheme="minorBidi" w:hAnsiTheme="minorBidi"/>
                <w:color w:val="333333"/>
                <w:sz w:val="22"/>
                <w:szCs w:val="22"/>
                <w:shd w:val="clear" w:color="auto" w:fill="FFFFFF"/>
              </w:rPr>
              <w:br/>
            </w:r>
          </w:p>
          <w:p w14:paraId="08E82532" w14:textId="77777777" w:rsidR="00311D0C" w:rsidRPr="00253E42" w:rsidRDefault="00311D0C" w:rsidP="004A10EE">
            <w:pPr>
              <w:numPr>
                <w:ilvl w:val="0"/>
                <w:numId w:val="2"/>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notice of termination from employment </w:t>
            </w:r>
          </w:p>
          <w:p w14:paraId="4CE7A03E" w14:textId="77777777" w:rsidR="00311D0C" w:rsidRPr="00253E42" w:rsidRDefault="00311D0C" w:rsidP="004A10EE">
            <w:pPr>
              <w:numPr>
                <w:ilvl w:val="0"/>
                <w:numId w:val="2"/>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unemployment compensation statement </w:t>
            </w:r>
          </w:p>
          <w:p w14:paraId="6CFB4363" w14:textId="77777777" w:rsidR="00311D0C" w:rsidRPr="00253E42" w:rsidRDefault="00311D0C" w:rsidP="004A10EE">
            <w:pPr>
              <w:numPr>
                <w:ilvl w:val="0"/>
                <w:numId w:val="2"/>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bank statement(s)</w:t>
            </w:r>
          </w:p>
          <w:p w14:paraId="7E551722" w14:textId="77777777" w:rsidR="00311D0C" w:rsidRPr="00253E42" w:rsidRDefault="00311D0C" w:rsidP="004A10EE">
            <w:pPr>
              <w:numPr>
                <w:ilvl w:val="0"/>
                <w:numId w:val="2"/>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health-care bill showing arrears</w:t>
            </w:r>
          </w:p>
          <w:p w14:paraId="21658264" w14:textId="77777777" w:rsidR="00311D0C" w:rsidRPr="00253E42" w:rsidRDefault="00311D0C" w:rsidP="004A10EE">
            <w:pPr>
              <w:numPr>
                <w:ilvl w:val="0"/>
                <w:numId w:val="2"/>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utility bill showing arrears</w:t>
            </w:r>
          </w:p>
          <w:p w14:paraId="4E4806BA"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6760CE4F" w14:textId="77777777" w:rsidTr="00311D0C">
        <w:tblPrEx>
          <w:tblBorders>
            <w:top w:val="none" w:sz="0" w:space="0" w:color="auto"/>
          </w:tblBorders>
        </w:tblPrEx>
        <w:tc>
          <w:tcPr>
            <w:tcW w:w="101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0C5DF6A"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b/>
                <w:color w:val="333333"/>
                <w:sz w:val="22"/>
                <w:szCs w:val="22"/>
                <w:shd w:val="clear" w:color="auto" w:fill="FFFFFF"/>
              </w:rPr>
              <w:lastRenderedPageBreak/>
              <w:br/>
              <w:t>HUD regulations require households meet one of the following conditions to be eligible for ESG homelessness prevention services in addition to meeting the above income and resources criteria.</w:t>
            </w:r>
          </w:p>
          <w:p w14:paraId="6218AAE4"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p>
        </w:tc>
      </w:tr>
      <w:tr w:rsidR="00311D0C" w:rsidRPr="00253E42" w14:paraId="099FA9A0"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7D7929B"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Homeless/Housing Status Eligibility Criteria</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41FF8FB"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Required Documentation</w:t>
            </w:r>
          </w:p>
        </w:tc>
      </w:tr>
      <w:tr w:rsidR="00311D0C" w:rsidRPr="00253E42" w14:paraId="18686C96"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B1D1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Moved because of economic reasons two or more times during the 60 days immediately preceding the application for ESG homelessness prevention assistance</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FD7DD8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Evidence of moving includes, but is not limited to: </w:t>
            </w:r>
            <w:r w:rsidRPr="00253E42">
              <w:rPr>
                <w:rFonts w:asciiTheme="minorBidi" w:hAnsiTheme="minorBidi"/>
                <w:color w:val="333333"/>
                <w:sz w:val="22"/>
                <w:szCs w:val="22"/>
                <w:shd w:val="clear" w:color="auto" w:fill="FFFFFF"/>
              </w:rPr>
              <w:br/>
            </w:r>
          </w:p>
          <w:p w14:paraId="4759C27B" w14:textId="77777777" w:rsidR="00311D0C" w:rsidRPr="00253E42" w:rsidRDefault="00311D0C" w:rsidP="004A10EE">
            <w:pPr>
              <w:numPr>
                <w:ilvl w:val="0"/>
                <w:numId w:val="3"/>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moving receipts</w:t>
            </w:r>
          </w:p>
          <w:p w14:paraId="5986C512" w14:textId="77777777" w:rsidR="00311D0C" w:rsidRPr="00253E42" w:rsidRDefault="00311D0C" w:rsidP="004A10EE">
            <w:pPr>
              <w:numPr>
                <w:ilvl w:val="0"/>
                <w:numId w:val="3"/>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change of address documentation (utility bills, bank statements, pay stubs, etc.)</w:t>
            </w:r>
          </w:p>
          <w:p w14:paraId="22431BF5" w14:textId="77777777" w:rsidR="00311D0C" w:rsidRPr="00253E42" w:rsidRDefault="00311D0C" w:rsidP="004A10EE">
            <w:pPr>
              <w:numPr>
                <w:ilvl w:val="0"/>
                <w:numId w:val="3"/>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eviction notice</w:t>
            </w:r>
          </w:p>
          <w:p w14:paraId="0394465F" w14:textId="77777777" w:rsidR="00311D0C" w:rsidRPr="00253E42" w:rsidRDefault="00311D0C" w:rsidP="004A10EE">
            <w:pPr>
              <w:numPr>
                <w:ilvl w:val="0"/>
                <w:numId w:val="3"/>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leasing documents</w:t>
            </w:r>
          </w:p>
          <w:p w14:paraId="6A5C5F1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74B9A2A4" w14:textId="0025CE20"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 instances where the above documentation is unavailable, HUD allows for a written statement from the relevant third party to suffice. This may include a current or former employer, owner, primary lease holder, public administrator, and hotel or motel manager. If verbal verification is provided, </w:t>
            </w:r>
            <w:r w:rsidRPr="00253E42">
              <w:rPr>
                <w:rFonts w:asciiTheme="minorBidi" w:hAnsiTheme="minorBidi"/>
                <w:color w:val="333333"/>
                <w:sz w:val="22"/>
                <w:szCs w:val="22"/>
                <w:shd w:val="clear" w:color="auto" w:fill="FFFFFF"/>
              </w:rPr>
              <w:lastRenderedPageBreak/>
              <w:t xml:space="preserve">intake staff are expected to document the conversation on the </w:t>
            </w:r>
            <w:r w:rsidR="00803781">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’s letterhead. </w:t>
            </w:r>
          </w:p>
          <w:p w14:paraId="10A155E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41530FAA"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1A73C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Living in the home of another because of economic hardship</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6D8AFD4" w14:textId="674BCE3F"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Sufficient documentation may take different forms depending on each household’s situation. However, </w:t>
            </w:r>
            <w:r w:rsidR="00923CA6">
              <w:rPr>
                <w:rFonts w:asciiTheme="minorBidi" w:hAnsiTheme="minorBidi"/>
                <w:color w:val="333333"/>
                <w:sz w:val="22"/>
                <w:szCs w:val="22"/>
                <w:shd w:val="clear" w:color="auto" w:fill="FFFFFF"/>
              </w:rPr>
              <w:t>EOHLC</w:t>
            </w:r>
            <w:r w:rsidRPr="00253E42">
              <w:rPr>
                <w:rFonts w:asciiTheme="minorBidi" w:hAnsiTheme="minorBidi"/>
                <w:color w:val="333333"/>
                <w:sz w:val="22"/>
                <w:szCs w:val="22"/>
                <w:shd w:val="clear" w:color="auto" w:fill="FFFFFF"/>
              </w:rPr>
              <w:t xml:space="preserve"> expects subrecipients to gather evidence to document that a participant who lives in the home of another is living there due to </w:t>
            </w:r>
            <w:r w:rsidRPr="00253E42">
              <w:rPr>
                <w:rFonts w:asciiTheme="minorBidi" w:hAnsiTheme="minorBidi"/>
                <w:color w:val="333333"/>
                <w:sz w:val="22"/>
                <w:szCs w:val="22"/>
                <w:u w:val="single"/>
                <w:shd w:val="clear" w:color="auto" w:fill="FFFFFF"/>
              </w:rPr>
              <w:t>economic hardship</w:t>
            </w:r>
            <w:r w:rsidRPr="00253E42">
              <w:rPr>
                <w:rFonts w:asciiTheme="minorBidi" w:hAnsiTheme="minorBidi"/>
                <w:color w:val="333333"/>
                <w:sz w:val="22"/>
                <w:szCs w:val="22"/>
                <w:shd w:val="clear" w:color="auto" w:fill="FFFFFF"/>
              </w:rPr>
              <w:t xml:space="preserve"> and that without ESG services, the household would have to leave the housing situation and become literally homeless according to HUD’s definition. Sufficient documentation may include, but is not limited to:</w:t>
            </w:r>
            <w:r w:rsidRPr="00253E42">
              <w:rPr>
                <w:rFonts w:asciiTheme="minorBidi" w:hAnsiTheme="minorBidi"/>
                <w:color w:val="333333"/>
                <w:sz w:val="22"/>
                <w:szCs w:val="22"/>
                <w:shd w:val="clear" w:color="auto" w:fill="FFFFFF"/>
              </w:rPr>
              <w:br/>
              <w:t xml:space="preserve"> </w:t>
            </w:r>
          </w:p>
          <w:p w14:paraId="41DE0858" w14:textId="77777777" w:rsidR="00311D0C" w:rsidRPr="00253E42" w:rsidRDefault="00311D0C" w:rsidP="004A10EE">
            <w:pPr>
              <w:numPr>
                <w:ilvl w:val="0"/>
                <w:numId w:val="4"/>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documentation of past eviction</w:t>
            </w:r>
          </w:p>
          <w:p w14:paraId="7DF2F7E0" w14:textId="77777777" w:rsidR="00311D0C" w:rsidRPr="00253E42" w:rsidRDefault="00311D0C" w:rsidP="004A10EE">
            <w:pPr>
              <w:numPr>
                <w:ilvl w:val="0"/>
                <w:numId w:val="4"/>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bank statements</w:t>
            </w:r>
          </w:p>
          <w:p w14:paraId="6D1C3965" w14:textId="77777777" w:rsidR="00311D0C" w:rsidRPr="00253E42" w:rsidRDefault="00311D0C" w:rsidP="004A10EE">
            <w:pPr>
              <w:numPr>
                <w:ilvl w:val="0"/>
                <w:numId w:val="4"/>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documentation of loss of employment </w:t>
            </w:r>
          </w:p>
          <w:p w14:paraId="6ED2BC9E" w14:textId="77777777" w:rsidR="00311D0C" w:rsidRPr="00253E42" w:rsidRDefault="00311D0C" w:rsidP="004A10EE">
            <w:pPr>
              <w:numPr>
                <w:ilvl w:val="0"/>
                <w:numId w:val="4"/>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expense receipts</w:t>
            </w:r>
          </w:p>
          <w:p w14:paraId="259AED04" w14:textId="77777777" w:rsidR="00311D0C" w:rsidRPr="00253E42" w:rsidRDefault="00311D0C" w:rsidP="004A10EE">
            <w:pPr>
              <w:numPr>
                <w:ilvl w:val="0"/>
                <w:numId w:val="4"/>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verification from owner or primary leaseholder</w:t>
            </w:r>
          </w:p>
          <w:p w14:paraId="4383706B"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247C9B0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Supporting documentation should be supplemented with descriptive case notes explaining the circumstances which led the household to live in the home of another. </w:t>
            </w:r>
          </w:p>
          <w:p w14:paraId="5B54336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253E42">
              <w:rPr>
                <w:rFonts w:asciiTheme="minorBidi" w:hAnsiTheme="minorBidi"/>
                <w:color w:val="333333"/>
                <w:sz w:val="22"/>
                <w:szCs w:val="22"/>
                <w:u w:val="single"/>
                <w:shd w:val="clear" w:color="auto" w:fill="FFFFFF"/>
              </w:rPr>
              <w:t xml:space="preserve">A solitary letter from the owner or primary leasehold stating that the dependent household must leave the unit will not suffice. </w:t>
            </w:r>
          </w:p>
          <w:p w14:paraId="484605A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5EADB050"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8CB13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Written notification that their right to occupy their unit will be terminated within 21 days of their application for assistance</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78721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63A5ACD" w14:textId="77777777" w:rsidR="00311D0C"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court ordered </w:t>
            </w:r>
            <w:r w:rsidRPr="00253E42">
              <w:rPr>
                <w:rFonts w:asciiTheme="minorBidi" w:hAnsiTheme="minorBidi"/>
                <w:color w:val="333333"/>
                <w:sz w:val="22"/>
                <w:szCs w:val="22"/>
                <w:u w:val="single"/>
                <w:shd w:val="clear" w:color="auto" w:fill="FFFFFF"/>
              </w:rPr>
              <w:t>Execution Notice</w:t>
            </w:r>
            <w:r w:rsidRPr="00253E42">
              <w:rPr>
                <w:rFonts w:asciiTheme="minorBidi" w:hAnsiTheme="minorBidi"/>
                <w:color w:val="333333"/>
                <w:sz w:val="22"/>
                <w:szCs w:val="22"/>
                <w:shd w:val="clear" w:color="auto" w:fill="FFFFFF"/>
              </w:rPr>
              <w:t xml:space="preserve"> which requires the household to vacate the premises within 21 days of their application for ESG assistance. </w:t>
            </w:r>
          </w:p>
          <w:p w14:paraId="17BA3C72" w14:textId="77777777" w:rsidR="00A557A7" w:rsidRPr="00253E42" w:rsidRDefault="00A557A7"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75E16AE9"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851D12B"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Lives in a hotel or motel </w:t>
            </w:r>
            <w:r w:rsidRPr="00253E42">
              <w:rPr>
                <w:rFonts w:asciiTheme="minorBidi" w:hAnsiTheme="minorBidi"/>
                <w:color w:val="333333"/>
                <w:sz w:val="22"/>
                <w:szCs w:val="22"/>
                <w:u w:val="single"/>
                <w:shd w:val="clear" w:color="auto" w:fill="FFFFFF"/>
              </w:rPr>
              <w:t>not</w:t>
            </w:r>
            <w:r w:rsidRPr="00253E42">
              <w:rPr>
                <w:rFonts w:asciiTheme="minorBidi" w:hAnsiTheme="minorBidi"/>
                <w:color w:val="333333"/>
                <w:sz w:val="22"/>
                <w:szCs w:val="22"/>
                <w:shd w:val="clear" w:color="auto" w:fill="FFFFFF"/>
              </w:rPr>
              <w:t xml:space="preserve"> paid by a charitable organization or by Federal, State, or local government programs for low-income individuals</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D22BE0" w14:textId="77777777" w:rsidR="00311D0C" w:rsidRPr="00253E42" w:rsidRDefault="00311D0C" w:rsidP="004A10EE">
            <w:pPr>
              <w:numPr>
                <w:ilvl w:val="0"/>
                <w:numId w:val="5"/>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Hotel or motel receipts </w:t>
            </w:r>
          </w:p>
          <w:p w14:paraId="6AE9EE43" w14:textId="77777777" w:rsidR="00311D0C" w:rsidRPr="00253E42" w:rsidRDefault="00311D0C" w:rsidP="004A10EE">
            <w:pPr>
              <w:numPr>
                <w:ilvl w:val="0"/>
                <w:numId w:val="5"/>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Bank statements documenting hotel or motel charges </w:t>
            </w:r>
          </w:p>
          <w:p w14:paraId="2B6681E4" w14:textId="77777777" w:rsidR="00311D0C" w:rsidRPr="00253E42" w:rsidRDefault="00311D0C" w:rsidP="004A10EE">
            <w:pPr>
              <w:numPr>
                <w:ilvl w:val="0"/>
                <w:numId w:val="5"/>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Letter from hotel or motel manager documenting length and cost of stay</w:t>
            </w:r>
          </w:p>
          <w:p w14:paraId="1691E3EB"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02EE29D0"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F63DB" w14:textId="654188B6"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Lives in </w:t>
            </w:r>
            <w:r w:rsidR="00181C61" w:rsidRPr="00253E42">
              <w:rPr>
                <w:rFonts w:asciiTheme="minorBidi" w:hAnsiTheme="minorBidi"/>
                <w:color w:val="333333"/>
                <w:sz w:val="22"/>
                <w:szCs w:val="22"/>
                <w:shd w:val="clear" w:color="auto" w:fill="FFFFFF"/>
              </w:rPr>
              <w:t>an</w:t>
            </w:r>
            <w:r w:rsidRPr="00253E42">
              <w:rPr>
                <w:rFonts w:asciiTheme="minorBidi" w:hAnsiTheme="minorBidi"/>
                <w:color w:val="333333"/>
                <w:sz w:val="22"/>
                <w:szCs w:val="22"/>
                <w:shd w:val="clear" w:color="auto" w:fill="FFFFFF"/>
              </w:rPr>
              <w:t xml:space="preserve"> SRO or efficiency apartment with more than two </w:t>
            </w:r>
            <w:r w:rsidRPr="00253E42">
              <w:rPr>
                <w:rFonts w:asciiTheme="minorBidi" w:hAnsiTheme="minorBidi"/>
                <w:color w:val="333333"/>
                <w:sz w:val="22"/>
                <w:szCs w:val="22"/>
                <w:shd w:val="clear" w:color="auto" w:fill="FFFFFF"/>
              </w:rPr>
              <w:lastRenderedPageBreak/>
              <w:t>persons OR lives in a housing unit where more than 1.5 persons reside per room</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636A21A"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 xml:space="preserve">For eligibility purposes, 1.5 persons residing per room includes all rooms in the housing unit, including bedrooms, living rooms, dining rooms, kitchens, finished recreation rooms, enclosed porches suitable for year-round use, and </w:t>
            </w:r>
            <w:r w:rsidRPr="00253E42">
              <w:rPr>
                <w:rFonts w:asciiTheme="minorBidi" w:hAnsiTheme="minorBidi"/>
                <w:color w:val="333333"/>
                <w:sz w:val="22"/>
                <w:szCs w:val="22"/>
                <w:shd w:val="clear" w:color="auto" w:fill="FFFFFF"/>
              </w:rPr>
              <w:lastRenderedPageBreak/>
              <w:t xml:space="preserve">lodger’s rooms. A partially divided room is a separate room only if there is a partition from floor to ceiling, but not if the partition consists solely of shelves or cabinets. Rooms that are excluded from this definition are strip or pullman kitchens, bathrooms, open porches, balconies, halls or foyers, half-rooms, utility rooms, unfinished attics or basements, or other unfinished space used for storage. </w:t>
            </w:r>
          </w:p>
          <w:p w14:paraId="18F5753F" w14:textId="77777777" w:rsidR="00311D0C" w:rsidRPr="00253E42" w:rsidRDefault="00311D0C" w:rsidP="004A10EE">
            <w:pPr>
              <w:numPr>
                <w:ilvl w:val="0"/>
                <w:numId w:val="9"/>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Lease listing the number of persons residing in the unit and the number of rooms or size of the unit. </w:t>
            </w:r>
          </w:p>
          <w:p w14:paraId="1B9FB566" w14:textId="77777777" w:rsidR="00311D0C" w:rsidRPr="00253E42" w:rsidRDefault="00311D0C" w:rsidP="004A10EE">
            <w:pPr>
              <w:numPr>
                <w:ilvl w:val="0"/>
                <w:numId w:val="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Third party verification from the landlord documenting the size of the unit and the number of people residing in that unit. </w:t>
            </w:r>
          </w:p>
          <w:p w14:paraId="58FED6C8" w14:textId="77777777" w:rsidR="00311D0C" w:rsidRPr="00253E42" w:rsidRDefault="00311D0C" w:rsidP="004A10EE">
            <w:pPr>
              <w:numPr>
                <w:ilvl w:val="0"/>
                <w:numId w:val="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written statement from caseworker or intake staff documenting that a home visit was </w:t>
            </w:r>
            <w:proofErr w:type="gramStart"/>
            <w:r w:rsidRPr="00253E42">
              <w:rPr>
                <w:rFonts w:asciiTheme="minorBidi" w:hAnsiTheme="minorBidi"/>
                <w:color w:val="333333"/>
                <w:sz w:val="22"/>
                <w:szCs w:val="22"/>
                <w:shd w:val="clear" w:color="auto" w:fill="FFFFFF"/>
              </w:rPr>
              <w:t>conducted</w:t>
            </w:r>
            <w:proofErr w:type="gramEnd"/>
            <w:r w:rsidRPr="00253E42">
              <w:rPr>
                <w:rFonts w:asciiTheme="minorBidi" w:hAnsiTheme="minorBidi"/>
                <w:color w:val="333333"/>
                <w:sz w:val="22"/>
                <w:szCs w:val="22"/>
                <w:shd w:val="clear" w:color="auto" w:fill="FFFFFF"/>
              </w:rPr>
              <w:t xml:space="preserve"> and that the unit is an SRO or efficiency apartment in which more than two persons reside. </w:t>
            </w:r>
          </w:p>
          <w:p w14:paraId="4382907F" w14:textId="77777777" w:rsidR="00311D0C" w:rsidRPr="00253E42" w:rsidRDefault="00311D0C" w:rsidP="00311D0C">
            <w:pPr>
              <w:autoSpaceDE w:val="0"/>
              <w:autoSpaceDN w:val="0"/>
              <w:adjustRightInd w:val="0"/>
              <w:spacing w:after="0" w:line="300" w:lineRule="auto"/>
              <w:contextualSpacing/>
              <w:rPr>
                <w:rFonts w:asciiTheme="minorBidi" w:hAnsiTheme="minorBidi"/>
                <w:i/>
                <w:color w:val="333333"/>
                <w:sz w:val="22"/>
                <w:szCs w:val="22"/>
                <w:shd w:val="clear" w:color="auto" w:fill="FFFFFF"/>
              </w:rPr>
            </w:pPr>
          </w:p>
        </w:tc>
      </w:tr>
      <w:tr w:rsidR="00311D0C" w:rsidRPr="00253E42" w14:paraId="526F01B3"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C6C39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Exiting a publicly funded institution, or system of care (such as a health-care facility, a mental health facility, foster care or youth facility, or correction program or institution)</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54A4615" w14:textId="06E099D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HUD does not prescribe a minimum length of time during which a person or household must reside in a publicly funded institution or system of care </w:t>
            </w:r>
            <w:proofErr w:type="gramStart"/>
            <w:r w:rsidRPr="00253E42">
              <w:rPr>
                <w:rFonts w:asciiTheme="minorBidi" w:hAnsiTheme="minorBidi"/>
                <w:color w:val="333333"/>
                <w:sz w:val="22"/>
                <w:szCs w:val="22"/>
                <w:shd w:val="clear" w:color="auto" w:fill="FFFFFF"/>
              </w:rPr>
              <w:t>in order to</w:t>
            </w:r>
            <w:proofErr w:type="gramEnd"/>
            <w:r w:rsidRPr="00253E42">
              <w:rPr>
                <w:rFonts w:asciiTheme="minorBidi" w:hAnsiTheme="minorBidi"/>
                <w:color w:val="333333"/>
                <w:sz w:val="22"/>
                <w:szCs w:val="22"/>
                <w:shd w:val="clear" w:color="auto" w:fill="FFFFFF"/>
              </w:rPr>
              <w:t xml:space="preserve"> meet this criterion. However, </w:t>
            </w:r>
            <w:r w:rsidR="00923CA6">
              <w:rPr>
                <w:rFonts w:asciiTheme="minorBidi" w:hAnsiTheme="minorBidi"/>
                <w:color w:val="333333"/>
                <w:sz w:val="22"/>
                <w:szCs w:val="22"/>
                <w:shd w:val="clear" w:color="auto" w:fill="FFFFFF"/>
              </w:rPr>
              <w:t>EOHLC</w:t>
            </w:r>
            <w:r w:rsidRPr="00253E42">
              <w:rPr>
                <w:rFonts w:asciiTheme="minorBidi" w:hAnsiTheme="minorBidi"/>
                <w:color w:val="333333"/>
                <w:sz w:val="22"/>
                <w:szCs w:val="22"/>
                <w:shd w:val="clear" w:color="auto" w:fill="FFFFFF"/>
              </w:rPr>
              <w:t xml:space="preserve"> expects that households will have resided in a publicly funded institution or system of care for such </w:t>
            </w:r>
            <w:proofErr w:type="gramStart"/>
            <w:r w:rsidRPr="00253E42">
              <w:rPr>
                <w:rFonts w:asciiTheme="minorBidi" w:hAnsiTheme="minorBidi"/>
                <w:color w:val="333333"/>
                <w:sz w:val="22"/>
                <w:szCs w:val="22"/>
                <w:shd w:val="clear" w:color="auto" w:fill="FFFFFF"/>
              </w:rPr>
              <w:t>a period of time</w:t>
            </w:r>
            <w:proofErr w:type="gramEnd"/>
            <w:r w:rsidRPr="00253E42">
              <w:rPr>
                <w:rFonts w:asciiTheme="minorBidi" w:hAnsiTheme="minorBidi"/>
                <w:color w:val="333333"/>
                <w:sz w:val="22"/>
                <w:szCs w:val="22"/>
                <w:shd w:val="clear" w:color="auto" w:fill="FFFFFF"/>
              </w:rPr>
              <w:t xml:space="preserve"> such that they have lost the ability to return to their previous housing situation OR that they have met the definition for </w:t>
            </w:r>
            <w:r w:rsidRPr="00253E42">
              <w:rPr>
                <w:rFonts w:asciiTheme="minorBidi" w:hAnsiTheme="minorBidi"/>
                <w:i/>
                <w:color w:val="333333"/>
                <w:sz w:val="22"/>
                <w:szCs w:val="22"/>
                <w:shd w:val="clear" w:color="auto" w:fill="FFFFFF"/>
              </w:rPr>
              <w:t xml:space="preserve">at risk of homelessness </w:t>
            </w:r>
            <w:r w:rsidRPr="00253E42">
              <w:rPr>
                <w:rFonts w:asciiTheme="minorBidi" w:hAnsiTheme="minorBidi"/>
                <w:color w:val="333333"/>
                <w:sz w:val="22"/>
                <w:szCs w:val="22"/>
                <w:shd w:val="clear" w:color="auto" w:fill="FFFFFF"/>
              </w:rPr>
              <w:t xml:space="preserve">prior to entering the publicly funded institution or system of care. </w:t>
            </w:r>
          </w:p>
          <w:p w14:paraId="7D6F765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81D1AE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Adequate documentation may include: </w:t>
            </w:r>
          </w:p>
          <w:p w14:paraId="4F9DDFDE" w14:textId="77777777" w:rsidR="00311D0C" w:rsidRPr="00253E42" w:rsidRDefault="00311D0C" w:rsidP="004A10EE">
            <w:pPr>
              <w:numPr>
                <w:ilvl w:val="0"/>
                <w:numId w:val="6"/>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Discharge papers or other evidence documenting the </w:t>
            </w:r>
            <w:proofErr w:type="gramStart"/>
            <w:r w:rsidRPr="00253E42">
              <w:rPr>
                <w:rFonts w:asciiTheme="minorBidi" w:hAnsiTheme="minorBidi"/>
                <w:color w:val="333333"/>
                <w:sz w:val="22"/>
                <w:szCs w:val="22"/>
                <w:shd w:val="clear" w:color="auto" w:fill="FFFFFF"/>
              </w:rPr>
              <w:t>time period</w:t>
            </w:r>
            <w:proofErr w:type="gramEnd"/>
            <w:r w:rsidRPr="00253E42">
              <w:rPr>
                <w:rFonts w:asciiTheme="minorBidi" w:hAnsiTheme="minorBidi"/>
                <w:color w:val="333333"/>
                <w:sz w:val="22"/>
                <w:szCs w:val="22"/>
                <w:shd w:val="clear" w:color="auto" w:fill="FFFFFF"/>
              </w:rPr>
              <w:t xml:space="preserve"> the person or household was in a publicly funded institution or system of care</w:t>
            </w:r>
          </w:p>
          <w:p w14:paraId="76A21A37" w14:textId="77777777" w:rsidR="00311D0C" w:rsidRPr="00253E42" w:rsidRDefault="00311D0C" w:rsidP="004A10EE">
            <w:pPr>
              <w:numPr>
                <w:ilvl w:val="0"/>
                <w:numId w:val="6"/>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Letter from institution or system of care, including letters written by case workers and other direct care staff working within those institutions or systems of care</w:t>
            </w:r>
          </w:p>
          <w:p w14:paraId="43D4B6A0" w14:textId="77777777" w:rsidR="00311D0C" w:rsidRPr="00253E42" w:rsidRDefault="00311D0C" w:rsidP="004A10EE">
            <w:pPr>
              <w:numPr>
                <w:ilvl w:val="0"/>
                <w:numId w:val="6"/>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Notice of eviction which occurred during the period the participant was residing in a publicly funded institution or system of care</w:t>
            </w:r>
          </w:p>
        </w:tc>
      </w:tr>
      <w:tr w:rsidR="00311D0C" w:rsidRPr="00253E42" w14:paraId="5D99F9CD" w14:textId="77777777" w:rsidTr="00E07D5F">
        <w:tblPrEx>
          <w:tblBorders>
            <w:top w:val="none" w:sz="0" w:space="0" w:color="auto"/>
          </w:tblBorders>
        </w:tblPrEx>
        <w:trPr>
          <w:trHeight w:val="2878"/>
        </w:trPr>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A1073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Has a summary process notice</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79FBFD9"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At a minimum, a Summons and Complaint served by a sheriff or constable is required. Households in between the Summons and Complaint and Execution notice periods meet this criterion provided they have insufficient resources and support networks and would become literally homeless without ESG assistance. </w:t>
            </w:r>
          </w:p>
          <w:p w14:paraId="568FB801"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292E5D6"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Households who have agreed in court to a payment plan and are able to meet the stipulations of that payment plan are not considered to be lacking sufficient financial resources to prevent homelessness.</w:t>
            </w:r>
          </w:p>
          <w:p w14:paraId="38883D0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161FDE32"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7111984"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Notification that primary nighttime residence will be lost within 14 days</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0CDA4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court ordered Execution notice requiring the tenant to vacate the unit within 14 days of their application for assistance. </w:t>
            </w:r>
          </w:p>
        </w:tc>
      </w:tr>
      <w:tr w:rsidR="00311D0C" w:rsidRPr="00253E42" w14:paraId="68EFEF93" w14:textId="77777777" w:rsidTr="00311D0C">
        <w:tblPrEx>
          <w:tblBorders>
            <w:top w:val="none" w:sz="0" w:space="0" w:color="auto"/>
          </w:tblBorders>
        </w:tblPrEx>
        <w:tc>
          <w:tcPr>
            <w:tcW w:w="243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F9BE14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Fleeing or attempting to flee domestic violence or other instances of violence in the home, and/or life-threatening conditions as permitted by HUD, and/or have left and are fearful of returning to their home</w:t>
            </w:r>
          </w:p>
        </w:tc>
        <w:tc>
          <w:tcPr>
            <w:tcW w:w="771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1F4F9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Documentation may include, but is not limited to:</w:t>
            </w:r>
            <w:r w:rsidRPr="00253E42">
              <w:rPr>
                <w:rFonts w:asciiTheme="minorBidi" w:hAnsiTheme="minorBidi"/>
                <w:color w:val="333333"/>
                <w:sz w:val="22"/>
                <w:szCs w:val="22"/>
                <w:shd w:val="clear" w:color="auto" w:fill="FFFFFF"/>
              </w:rPr>
              <w:br/>
            </w:r>
          </w:p>
          <w:p w14:paraId="1E3C4C8A"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 police report</w:t>
            </w:r>
          </w:p>
          <w:p w14:paraId="0A50FC1D"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Third party verification from a domestic violence provider</w:t>
            </w:r>
          </w:p>
          <w:p w14:paraId="5FE49DEE"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Lapsed or current restraining orders</w:t>
            </w:r>
          </w:p>
          <w:p w14:paraId="608B928B"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Affidavits from restraining orders</w:t>
            </w:r>
          </w:p>
          <w:p w14:paraId="6581CB97"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Medical records (if DV was referenced or treated)</w:t>
            </w:r>
          </w:p>
          <w:p w14:paraId="3F6C4BAD"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Written statement from social worker or mental health counselor</w:t>
            </w:r>
          </w:p>
          <w:p w14:paraId="38A0144C" w14:textId="77777777" w:rsidR="00311D0C" w:rsidRPr="00253E42" w:rsidRDefault="00311D0C" w:rsidP="004A10EE">
            <w:pPr>
              <w:numPr>
                <w:ilvl w:val="0"/>
                <w:numId w:val="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Psychiatrist letter</w:t>
            </w:r>
          </w:p>
          <w:p w14:paraId="7037896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D9E9CB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In the instance where third party documentation is unavailable, subrecipients may accept a self-certification from the head of the household. The self-certification should clearly state that the household is </w:t>
            </w:r>
            <w:proofErr w:type="gramStart"/>
            <w:r w:rsidRPr="00253E42">
              <w:rPr>
                <w:rFonts w:asciiTheme="minorBidi" w:hAnsiTheme="minorBidi"/>
                <w:color w:val="333333"/>
                <w:sz w:val="22"/>
                <w:szCs w:val="22"/>
                <w:shd w:val="clear" w:color="auto" w:fill="FFFFFF"/>
              </w:rPr>
              <w:t>fleeing, or</w:t>
            </w:r>
            <w:proofErr w:type="gramEnd"/>
            <w:r w:rsidRPr="00253E42">
              <w:rPr>
                <w:rFonts w:asciiTheme="minorBidi" w:hAnsiTheme="minorBidi"/>
                <w:color w:val="333333"/>
                <w:sz w:val="22"/>
                <w:szCs w:val="22"/>
                <w:shd w:val="clear" w:color="auto" w:fill="FFFFFF"/>
              </w:rPr>
              <w:t xml:space="preserve"> attempting to flee domestic violence or other life-threatening violence and is unsafe remaining in or returning to their home. </w:t>
            </w:r>
          </w:p>
        </w:tc>
      </w:tr>
    </w:tbl>
    <w:p w14:paraId="57C6D05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1336FB4"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5C2ACDA" w14:textId="77777777" w:rsidR="00311D0C" w:rsidRPr="00B315DD" w:rsidRDefault="00311D0C" w:rsidP="00311D0C">
      <w:pPr>
        <w:autoSpaceDE w:val="0"/>
        <w:autoSpaceDN w:val="0"/>
        <w:adjustRightInd w:val="0"/>
        <w:spacing w:after="0" w:line="300" w:lineRule="auto"/>
        <w:contextualSpacing/>
        <w:rPr>
          <w:rFonts w:asciiTheme="minorBidi" w:hAnsiTheme="minorBidi"/>
          <w:b/>
          <w:bCs/>
          <w:color w:val="333333"/>
          <w:sz w:val="22"/>
          <w:szCs w:val="22"/>
          <w:u w:val="single"/>
          <w:shd w:val="clear" w:color="auto" w:fill="FFFFFF"/>
        </w:rPr>
      </w:pPr>
      <w:r w:rsidRPr="00B315DD">
        <w:rPr>
          <w:rFonts w:asciiTheme="minorBidi" w:hAnsiTheme="minorBidi"/>
          <w:b/>
          <w:bCs/>
          <w:color w:val="333333"/>
          <w:sz w:val="22"/>
          <w:szCs w:val="22"/>
          <w:u w:val="single"/>
          <w:shd w:val="clear" w:color="auto" w:fill="FFFFFF"/>
        </w:rPr>
        <w:t>RECORDKEEPING REQUIREMENTS FOR ALL ELIGIBLE HOUSEHOLDS</w:t>
      </w:r>
    </w:p>
    <w:p w14:paraId="686DEE30" w14:textId="701D2774" w:rsidR="00311D0C"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Case records for households receiving</w:t>
      </w:r>
      <w:r w:rsidR="003C31CE">
        <w:rPr>
          <w:rFonts w:asciiTheme="minorBidi" w:hAnsiTheme="minorBidi"/>
          <w:color w:val="333333"/>
          <w:sz w:val="22"/>
          <w:szCs w:val="22"/>
          <w:shd w:val="clear" w:color="auto" w:fill="FFFFFF"/>
        </w:rPr>
        <w:t xml:space="preserve"> emergency shelter,</w:t>
      </w:r>
      <w:r w:rsidRPr="00253E42">
        <w:rPr>
          <w:rFonts w:asciiTheme="minorBidi" w:hAnsiTheme="minorBidi"/>
          <w:color w:val="333333"/>
          <w:sz w:val="22"/>
          <w:szCs w:val="22"/>
          <w:shd w:val="clear" w:color="auto" w:fill="FFFFFF"/>
        </w:rPr>
        <w:t xml:space="preserve"> homelessness prevention or rapid re-housing services must contain the following documentation.</w:t>
      </w:r>
    </w:p>
    <w:p w14:paraId="0A89B839" w14:textId="77777777" w:rsidR="003C31CE" w:rsidRPr="00253E42" w:rsidRDefault="003C31CE"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bl>
      <w:tblPr>
        <w:tblW w:w="10548" w:type="dxa"/>
        <w:tblBorders>
          <w:left w:val="nil"/>
          <w:right w:val="nil"/>
        </w:tblBorders>
        <w:tblLayout w:type="fixed"/>
        <w:tblLook w:val="0000" w:firstRow="0" w:lastRow="0" w:firstColumn="0" w:lastColumn="0" w:noHBand="0" w:noVBand="0"/>
      </w:tblPr>
      <w:tblGrid>
        <w:gridCol w:w="2448"/>
        <w:gridCol w:w="8100"/>
      </w:tblGrid>
      <w:tr w:rsidR="00311D0C" w:rsidRPr="00253E42" w14:paraId="1A15EDB8"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C579877"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Recordkeeping Requirement</w:t>
            </w:r>
          </w:p>
        </w:tc>
        <w:tc>
          <w:tcPr>
            <w:tcW w:w="8100" w:type="dxa"/>
            <w:tcBorders>
              <w:top w:val="single" w:sz="8" w:space="0" w:color="000000"/>
              <w:left w:val="single" w:sz="8" w:space="0" w:color="000000"/>
              <w:bottom w:val="single" w:sz="8" w:space="0" w:color="000000"/>
              <w:right w:val="single" w:sz="8" w:space="0" w:color="000000"/>
            </w:tcBorders>
          </w:tcPr>
          <w:p w14:paraId="2780FA7A" w14:textId="77777777" w:rsidR="00311D0C" w:rsidRPr="00253E42" w:rsidRDefault="00311D0C" w:rsidP="00311D0C">
            <w:pPr>
              <w:autoSpaceDE w:val="0"/>
              <w:autoSpaceDN w:val="0"/>
              <w:adjustRightInd w:val="0"/>
              <w:spacing w:after="0" w:line="300" w:lineRule="auto"/>
              <w:contextualSpacing/>
              <w:rPr>
                <w:rFonts w:asciiTheme="minorBidi" w:hAnsiTheme="minorBidi"/>
                <w:b/>
                <w:color w:val="333333"/>
                <w:sz w:val="22"/>
                <w:szCs w:val="22"/>
                <w:shd w:val="clear" w:color="auto" w:fill="FFFFFF"/>
              </w:rPr>
            </w:pPr>
            <w:r w:rsidRPr="00253E42">
              <w:rPr>
                <w:rFonts w:asciiTheme="minorBidi" w:hAnsiTheme="minorBidi"/>
                <w:b/>
                <w:color w:val="333333"/>
                <w:sz w:val="22"/>
                <w:szCs w:val="22"/>
                <w:shd w:val="clear" w:color="auto" w:fill="FFFFFF"/>
              </w:rPr>
              <w:t>Required Documentation</w:t>
            </w:r>
          </w:p>
        </w:tc>
      </w:tr>
      <w:tr w:rsidR="00311D0C" w:rsidRPr="00253E42" w14:paraId="50401C13"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4D65B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Services received</w:t>
            </w:r>
          </w:p>
          <w:p w14:paraId="7242F37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D8316F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7914C995" w14:textId="602F2773" w:rsidR="00311D0C" w:rsidRPr="00253E42" w:rsidRDefault="00343D89"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S</w:t>
            </w:r>
            <w:r w:rsidR="00311D0C" w:rsidRPr="00253E42">
              <w:rPr>
                <w:rFonts w:asciiTheme="minorBidi" w:hAnsiTheme="minorBidi"/>
                <w:color w:val="333333"/>
                <w:sz w:val="22"/>
                <w:szCs w:val="22"/>
                <w:shd w:val="clear" w:color="auto" w:fill="FFFFFF"/>
              </w:rPr>
              <w:t xml:space="preserve">ubrecipients </w:t>
            </w:r>
            <w:r>
              <w:rPr>
                <w:rFonts w:asciiTheme="minorBidi" w:hAnsiTheme="minorBidi"/>
                <w:color w:val="333333"/>
                <w:sz w:val="22"/>
                <w:szCs w:val="22"/>
                <w:shd w:val="clear" w:color="auto" w:fill="FFFFFF"/>
              </w:rPr>
              <w:t xml:space="preserve">or sub-providers </w:t>
            </w:r>
            <w:r w:rsidR="00311D0C" w:rsidRPr="00253E42">
              <w:rPr>
                <w:rFonts w:asciiTheme="minorBidi" w:hAnsiTheme="minorBidi"/>
                <w:color w:val="333333"/>
                <w:sz w:val="22"/>
                <w:szCs w:val="22"/>
                <w:shd w:val="clear" w:color="auto" w:fill="FFFFFF"/>
              </w:rPr>
              <w:t xml:space="preserve">must document the types of </w:t>
            </w:r>
            <w:r w:rsidR="00705EE9">
              <w:rPr>
                <w:rFonts w:asciiTheme="minorBidi" w:hAnsiTheme="minorBidi"/>
                <w:color w:val="333333"/>
                <w:sz w:val="22"/>
                <w:szCs w:val="22"/>
                <w:shd w:val="clear" w:color="auto" w:fill="FFFFFF"/>
              </w:rPr>
              <w:t xml:space="preserve">essential </w:t>
            </w:r>
            <w:r w:rsidR="00311D0C" w:rsidRPr="00253E42">
              <w:rPr>
                <w:rFonts w:asciiTheme="minorBidi" w:hAnsiTheme="minorBidi"/>
                <w:color w:val="333333"/>
                <w:sz w:val="22"/>
                <w:szCs w:val="22"/>
                <w:shd w:val="clear" w:color="auto" w:fill="FFFFFF"/>
              </w:rPr>
              <w:t xml:space="preserve">services and financial assistance provided to each household in a case record designated to that household. The case record should clearly list, in chronological order, the </w:t>
            </w:r>
            <w:r w:rsidR="00311D0C" w:rsidRPr="00253E42">
              <w:rPr>
                <w:rFonts w:asciiTheme="minorBidi" w:hAnsiTheme="minorBidi"/>
                <w:color w:val="333333"/>
                <w:sz w:val="22"/>
                <w:szCs w:val="22"/>
                <w:shd w:val="clear" w:color="auto" w:fill="FFFFFF"/>
              </w:rPr>
              <w:lastRenderedPageBreak/>
              <w:t xml:space="preserve">types of services provided (including financial assistance) and corresponding dates of services.  </w:t>
            </w:r>
          </w:p>
          <w:p w14:paraId="2D8660C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73A76E6" w14:textId="27C2D97C" w:rsidR="00311D0C" w:rsidRPr="00253E42" w:rsidRDefault="00343D89"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S</w:t>
            </w:r>
            <w:r w:rsidRPr="00253E42">
              <w:rPr>
                <w:rFonts w:asciiTheme="minorBidi" w:hAnsiTheme="minorBidi"/>
                <w:color w:val="333333"/>
                <w:sz w:val="22"/>
                <w:szCs w:val="22"/>
                <w:shd w:val="clear" w:color="auto" w:fill="FFFFFF"/>
              </w:rPr>
              <w:t xml:space="preserve">ubrecipients </w:t>
            </w:r>
            <w:r>
              <w:rPr>
                <w:rFonts w:asciiTheme="minorBidi" w:hAnsiTheme="minorBidi"/>
                <w:color w:val="333333"/>
                <w:sz w:val="22"/>
                <w:szCs w:val="22"/>
                <w:shd w:val="clear" w:color="auto" w:fill="FFFFFF"/>
              </w:rPr>
              <w:t xml:space="preserve">or sub-providers </w:t>
            </w:r>
            <w:r w:rsidR="00311D0C" w:rsidRPr="00253E42">
              <w:rPr>
                <w:rFonts w:asciiTheme="minorBidi" w:hAnsiTheme="minorBidi"/>
                <w:color w:val="333333"/>
                <w:sz w:val="22"/>
                <w:szCs w:val="22"/>
                <w:shd w:val="clear" w:color="auto" w:fill="FFFFFF"/>
              </w:rPr>
              <w:t xml:space="preserve">are expected to clearly document the need for each type of service provided. Documentation may take various forms depending on the participating household’s </w:t>
            </w:r>
            <w:proofErr w:type="gramStart"/>
            <w:r w:rsidR="00311D0C" w:rsidRPr="00253E42">
              <w:rPr>
                <w:rFonts w:asciiTheme="minorBidi" w:hAnsiTheme="minorBidi"/>
                <w:color w:val="333333"/>
                <w:sz w:val="22"/>
                <w:szCs w:val="22"/>
                <w:shd w:val="clear" w:color="auto" w:fill="FFFFFF"/>
              </w:rPr>
              <w:t>situation, but</w:t>
            </w:r>
            <w:proofErr w:type="gramEnd"/>
            <w:r w:rsidR="00311D0C" w:rsidRPr="00253E42">
              <w:rPr>
                <w:rFonts w:asciiTheme="minorBidi" w:hAnsiTheme="minorBidi"/>
                <w:color w:val="333333"/>
                <w:sz w:val="22"/>
                <w:szCs w:val="22"/>
                <w:shd w:val="clear" w:color="auto" w:fill="FFFFFF"/>
              </w:rPr>
              <w:t xml:space="preserve"> may include any form of documentation included in this policies and procedures manual. </w:t>
            </w:r>
          </w:p>
          <w:p w14:paraId="38F0248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FB63A1D" w14:textId="0105E3F0" w:rsidR="00311D0C" w:rsidRPr="00253E42" w:rsidRDefault="00343D89"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S</w:t>
            </w:r>
            <w:r w:rsidRPr="00253E42">
              <w:rPr>
                <w:rFonts w:asciiTheme="minorBidi" w:hAnsiTheme="minorBidi"/>
                <w:color w:val="333333"/>
                <w:sz w:val="22"/>
                <w:szCs w:val="22"/>
                <w:shd w:val="clear" w:color="auto" w:fill="FFFFFF"/>
              </w:rPr>
              <w:t xml:space="preserve">ubrecipients </w:t>
            </w:r>
            <w:r>
              <w:rPr>
                <w:rFonts w:asciiTheme="minorBidi" w:hAnsiTheme="minorBidi"/>
                <w:color w:val="333333"/>
                <w:sz w:val="22"/>
                <w:szCs w:val="22"/>
                <w:shd w:val="clear" w:color="auto" w:fill="FFFFFF"/>
              </w:rPr>
              <w:t xml:space="preserve">or sub-providers </w:t>
            </w:r>
            <w:r w:rsidR="00311D0C" w:rsidRPr="00253E42">
              <w:rPr>
                <w:rFonts w:asciiTheme="minorBidi" w:hAnsiTheme="minorBidi"/>
                <w:color w:val="333333"/>
                <w:sz w:val="22"/>
                <w:szCs w:val="22"/>
                <w:shd w:val="clear" w:color="auto" w:fill="FFFFFF"/>
              </w:rPr>
              <w:t xml:space="preserve">choose to cap or restrict services to eligible participants, they must establish written policies outlining such restrictions and procedures for applying them fairly to eligible households. </w:t>
            </w:r>
            <w:r w:rsidR="00923CA6">
              <w:rPr>
                <w:rFonts w:asciiTheme="minorBidi" w:hAnsiTheme="minorBidi"/>
                <w:color w:val="333333"/>
                <w:sz w:val="22"/>
                <w:szCs w:val="22"/>
                <w:u w:val="single"/>
                <w:shd w:val="clear" w:color="auto" w:fill="FFFFFF"/>
              </w:rPr>
              <w:t>EOHLC</w:t>
            </w:r>
            <w:r w:rsidR="00311D0C" w:rsidRPr="00253E42">
              <w:rPr>
                <w:rFonts w:asciiTheme="minorBidi" w:hAnsiTheme="minorBidi"/>
                <w:color w:val="333333"/>
                <w:sz w:val="22"/>
                <w:szCs w:val="22"/>
                <w:u w:val="single"/>
                <w:shd w:val="clear" w:color="auto" w:fill="FFFFFF"/>
              </w:rPr>
              <w:t xml:space="preserve"> must approve ESG standards.</w:t>
            </w:r>
            <w:r w:rsidR="00311D0C" w:rsidRPr="00253E42">
              <w:rPr>
                <w:rFonts w:asciiTheme="minorBidi" w:hAnsiTheme="minorBidi"/>
                <w:color w:val="333333"/>
                <w:sz w:val="22"/>
                <w:szCs w:val="22"/>
                <w:shd w:val="clear" w:color="auto" w:fill="FFFFFF"/>
              </w:rPr>
              <w:t xml:space="preserve"> </w:t>
            </w:r>
          </w:p>
          <w:p w14:paraId="3CE05A0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582A6A7" w14:textId="71D4B6EE"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Rather than establishing rigid formulas for financial assistance, it is encouraged to work with each eligible participant to determine what services are necessary to resolve their immediate housing crisis. It is also expected that services, including financial assistance, be provided on an </w:t>
            </w:r>
            <w:r w:rsidR="00343D89">
              <w:rPr>
                <w:rFonts w:asciiTheme="minorBidi" w:hAnsiTheme="minorBidi"/>
                <w:color w:val="333333"/>
                <w:sz w:val="22"/>
                <w:szCs w:val="22"/>
                <w:shd w:val="clear" w:color="auto" w:fill="FFFFFF"/>
              </w:rPr>
              <w:t xml:space="preserve">as-needed, case by case basis. </w:t>
            </w:r>
          </w:p>
        </w:tc>
      </w:tr>
      <w:tr w:rsidR="00311D0C" w:rsidRPr="00253E42" w14:paraId="5A21A035"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81E2B6"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Verification of participant sustainability</w:t>
            </w:r>
          </w:p>
          <w:p w14:paraId="7FE349D6"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D94A242" w14:textId="59F316E5"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ESG subrecipients must document that households receiving services can reasonably be expected to maintain the housing assisted through ESG immediately following their exit from the ESG project. Housing sustainability need not be documented upon entry into an ESG </w:t>
            </w:r>
            <w:proofErr w:type="gramStart"/>
            <w:r w:rsidRPr="00253E42">
              <w:rPr>
                <w:rFonts w:asciiTheme="minorBidi" w:hAnsiTheme="minorBidi"/>
                <w:color w:val="333333"/>
                <w:sz w:val="22"/>
                <w:szCs w:val="22"/>
                <w:shd w:val="clear" w:color="auto" w:fill="FFFFFF"/>
              </w:rPr>
              <w:t>project, but</w:t>
            </w:r>
            <w:proofErr w:type="gramEnd"/>
            <w:r w:rsidRPr="00253E42">
              <w:rPr>
                <w:rFonts w:asciiTheme="minorBidi" w:hAnsiTheme="minorBidi"/>
                <w:color w:val="333333"/>
                <w:sz w:val="22"/>
                <w:szCs w:val="22"/>
                <w:shd w:val="clear" w:color="auto" w:fill="FFFFFF"/>
              </w:rPr>
              <w:t xml:space="preserve"> should be discussed in the participant’s housing stabilization planning and case management sessions. A plan for sustainability should be documented as part of the participant’s housing stabilization plan upon exit. </w:t>
            </w:r>
          </w:p>
        </w:tc>
      </w:tr>
      <w:tr w:rsidR="00311D0C" w:rsidRPr="00253E42" w14:paraId="648D9529"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0BF01D" w14:textId="662969C6"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Legal lease hold</w:t>
            </w:r>
            <w:r w:rsidR="00705EE9">
              <w:rPr>
                <w:rFonts w:asciiTheme="minorBidi" w:hAnsiTheme="minorBidi"/>
                <w:color w:val="333333"/>
                <w:sz w:val="22"/>
                <w:szCs w:val="22"/>
                <w:shd w:val="clear" w:color="auto" w:fill="FFFFFF"/>
              </w:rPr>
              <w:t xml:space="preserve"> (HP</w:t>
            </w:r>
            <w:r w:rsidR="004544F1">
              <w:rPr>
                <w:rFonts w:asciiTheme="minorBidi" w:hAnsiTheme="minorBidi"/>
                <w:color w:val="333333"/>
                <w:sz w:val="22"/>
                <w:szCs w:val="22"/>
                <w:shd w:val="clear" w:color="auto" w:fill="FFFFFF"/>
              </w:rPr>
              <w:t>, PH, PSH,</w:t>
            </w:r>
            <w:r w:rsidR="00705EE9">
              <w:rPr>
                <w:rFonts w:asciiTheme="minorBidi" w:hAnsiTheme="minorBidi"/>
                <w:color w:val="333333"/>
                <w:sz w:val="22"/>
                <w:szCs w:val="22"/>
                <w:shd w:val="clear" w:color="auto" w:fill="FFFFFF"/>
              </w:rPr>
              <w:t xml:space="preserve"> and RRH)</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000760BB"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legally binding, </w:t>
            </w:r>
            <w:r w:rsidRPr="00253E42">
              <w:rPr>
                <w:rFonts w:asciiTheme="minorBidi" w:hAnsiTheme="minorBidi"/>
                <w:color w:val="333333"/>
                <w:sz w:val="22"/>
                <w:szCs w:val="22"/>
                <w:u w:val="single"/>
                <w:shd w:val="clear" w:color="auto" w:fill="FFFFFF"/>
              </w:rPr>
              <w:t>written</w:t>
            </w:r>
            <w:r w:rsidRPr="00253E42">
              <w:rPr>
                <w:rFonts w:asciiTheme="minorBidi" w:hAnsiTheme="minorBidi"/>
                <w:color w:val="333333"/>
                <w:sz w:val="22"/>
                <w:szCs w:val="22"/>
                <w:shd w:val="clear" w:color="auto" w:fill="FFFFFF"/>
              </w:rPr>
              <w:t xml:space="preserve"> lease for the unit assisted is required. The lease must be between the owner or owner’s representative and the household and is required prior authorizing any payment for rental assistance, excluding ESG rental arrears, to the property owner (including first month’s rent or security deposit payments). </w:t>
            </w:r>
          </w:p>
          <w:p w14:paraId="36169165"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The lease MUST include the following items: </w:t>
            </w:r>
          </w:p>
          <w:p w14:paraId="1AD490A9"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Tenant name</w:t>
            </w:r>
          </w:p>
          <w:p w14:paraId="67BE50A6"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Address of unit</w:t>
            </w:r>
          </w:p>
          <w:p w14:paraId="0B28E56C"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Term of tenancy</w:t>
            </w:r>
          </w:p>
          <w:p w14:paraId="3AF6100A"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Move in date</w:t>
            </w:r>
          </w:p>
          <w:p w14:paraId="0CD22521"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Rent amount</w:t>
            </w:r>
          </w:p>
          <w:p w14:paraId="74E72020"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Responsibility for utilities</w:t>
            </w:r>
          </w:p>
          <w:p w14:paraId="61C87438" w14:textId="77777777" w:rsidR="00311D0C" w:rsidRPr="00253E42" w:rsidRDefault="00311D0C" w:rsidP="004A10EE">
            <w:pPr>
              <w:numPr>
                <w:ilvl w:val="0"/>
                <w:numId w:val="11"/>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The lease must be signed and dated by all appropriate parties</w:t>
            </w:r>
          </w:p>
          <w:p w14:paraId="621F674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69C9EDF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-----------------ESG Only----------------------------</w:t>
            </w:r>
          </w:p>
          <w:p w14:paraId="02BA7758" w14:textId="40194E7E"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 xml:space="preserve">Only when the assistance is solely for rental arrears* may a verbal agreement be accepted in place of a written lease and </w:t>
            </w:r>
            <w:r w:rsidRPr="00253E42">
              <w:rPr>
                <w:rFonts w:asciiTheme="minorBidi" w:hAnsiTheme="minorBidi"/>
                <w:b/>
                <w:color w:val="333333"/>
                <w:sz w:val="22"/>
                <w:szCs w:val="22"/>
                <w:shd w:val="clear" w:color="auto" w:fill="FFFFFF"/>
              </w:rPr>
              <w:t>only if</w:t>
            </w:r>
            <w:r w:rsidRPr="00253E42">
              <w:rPr>
                <w:rFonts w:asciiTheme="minorBidi" w:hAnsiTheme="minorBidi"/>
                <w:color w:val="333333"/>
                <w:sz w:val="22"/>
                <w:szCs w:val="22"/>
                <w:shd w:val="clear" w:color="auto" w:fill="FFFFFF"/>
              </w:rPr>
              <w:t xml:space="preserve"> the verbal agreement gives the household an enforceable leasehold interest under state law and the agreement and rent owed are sufficiently documented by the property owner’s financial records, rent ledgers, or cancelled checks. The verbal agreement must be documented by the </w:t>
            </w:r>
            <w:r w:rsidR="00803781">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on the organization or property owner’s official letterhead detailing the address of the unit, rent amount, and term of occupancy. </w:t>
            </w:r>
          </w:p>
          <w:p w14:paraId="46812C4E" w14:textId="77777777" w:rsidR="00311D0C" w:rsidRPr="00253E42" w:rsidRDefault="00311D0C" w:rsidP="00311D0C">
            <w:pPr>
              <w:autoSpaceDE w:val="0"/>
              <w:autoSpaceDN w:val="0"/>
              <w:adjustRightInd w:val="0"/>
              <w:spacing w:after="0" w:line="300" w:lineRule="auto"/>
              <w:contextualSpacing/>
              <w:rPr>
                <w:rFonts w:asciiTheme="minorBidi" w:hAnsiTheme="minorBidi"/>
                <w:i/>
                <w:iCs/>
                <w:color w:val="333333"/>
                <w:sz w:val="22"/>
                <w:szCs w:val="22"/>
                <w:shd w:val="clear" w:color="auto" w:fill="FFFFFF"/>
              </w:rPr>
            </w:pPr>
            <w:r w:rsidRPr="00253E42">
              <w:rPr>
                <w:rFonts w:asciiTheme="minorBidi" w:hAnsiTheme="minorBidi"/>
                <w:i/>
                <w:iCs/>
                <w:color w:val="333333"/>
                <w:sz w:val="22"/>
                <w:szCs w:val="22"/>
                <w:shd w:val="clear" w:color="auto" w:fill="FFFFFF"/>
              </w:rPr>
              <w:t>*A one-time payment of up to 6 months of rental arrears is an eligible cost under ESG RRH. However, this service should only be provided if the participant would not be able to secure housing without it.</w:t>
            </w:r>
          </w:p>
        </w:tc>
      </w:tr>
      <w:tr w:rsidR="00311D0C" w:rsidRPr="00253E42" w14:paraId="0549A41C"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A03B29"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Property ownership</w:t>
            </w:r>
          </w:p>
          <w:p w14:paraId="6C0A51A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(ESG Only)</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2EAA77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Proof of ownership of the unit must be obtained prior to making any financial payments to the property owner unless the property is owned by a local housing authority. </w:t>
            </w:r>
          </w:p>
          <w:p w14:paraId="5F27648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Documentation of ownership may include a copy of a deed, water bill, mortgage payment, or tax bill. </w:t>
            </w:r>
          </w:p>
        </w:tc>
      </w:tr>
      <w:tr w:rsidR="00311D0C" w:rsidRPr="00253E42" w14:paraId="3D182692"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2977B2" w14:textId="374ABDCB"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Rental assistance agreement</w:t>
            </w:r>
            <w:r w:rsidR="0017742A">
              <w:rPr>
                <w:rFonts w:asciiTheme="minorBidi" w:hAnsiTheme="minorBidi"/>
                <w:color w:val="333333"/>
                <w:sz w:val="22"/>
                <w:szCs w:val="22"/>
                <w:shd w:val="clear" w:color="auto" w:fill="FFFFFF"/>
              </w:rPr>
              <w:t xml:space="preserve"> (HP</w:t>
            </w:r>
            <w:r w:rsidR="00B02A6E">
              <w:rPr>
                <w:rFonts w:asciiTheme="minorBidi" w:hAnsiTheme="minorBidi"/>
                <w:color w:val="333333"/>
                <w:sz w:val="22"/>
                <w:szCs w:val="22"/>
                <w:shd w:val="clear" w:color="auto" w:fill="FFFFFF"/>
              </w:rPr>
              <w:t>, PSH, PH</w:t>
            </w:r>
            <w:r w:rsidR="0017742A">
              <w:rPr>
                <w:rFonts w:asciiTheme="minorBidi" w:hAnsiTheme="minorBidi"/>
                <w:color w:val="333333"/>
                <w:sz w:val="22"/>
                <w:szCs w:val="22"/>
                <w:shd w:val="clear" w:color="auto" w:fill="FFFFFF"/>
              </w:rPr>
              <w:t xml:space="preserve"> and RRH)</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52E1EA57" w14:textId="124E7714"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rental assistance agreement between the property owner/landlord and </w:t>
            </w:r>
            <w:r w:rsidR="00803781">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must be in place prior to executing any service under the rental assistance component (including ESG rental arrears). The agreement must set forth the terms under which assistance will be provided. </w:t>
            </w:r>
          </w:p>
          <w:p w14:paraId="3FE7DD0E" w14:textId="673AF65B"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The agreement must also provide that, during the period indicated, the property owner must give the </w:t>
            </w:r>
            <w:r w:rsidR="00803781">
              <w:rPr>
                <w:rFonts w:asciiTheme="minorBidi" w:hAnsiTheme="minorBidi"/>
                <w:color w:val="333333"/>
                <w:sz w:val="22"/>
                <w:szCs w:val="22"/>
                <w:shd w:val="clear" w:color="auto" w:fill="FFFFFF"/>
              </w:rPr>
              <w:t>provider</w:t>
            </w:r>
            <w:r w:rsidRPr="00253E42">
              <w:rPr>
                <w:rFonts w:asciiTheme="minorBidi" w:hAnsiTheme="minorBidi"/>
                <w:color w:val="333333"/>
                <w:sz w:val="22"/>
                <w:szCs w:val="22"/>
                <w:shd w:val="clear" w:color="auto" w:fill="FFFFFF"/>
              </w:rPr>
              <w:t xml:space="preserve"> a copy of any notice given to the household to vacate the unit used under state or local law to commence an eviction action against the household, including a 14-day notice to quit.</w:t>
            </w:r>
          </w:p>
        </w:tc>
      </w:tr>
      <w:tr w:rsidR="00311D0C" w:rsidRPr="00253E42" w14:paraId="7E91A712"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8C89A0" w14:textId="1AD6E5AD" w:rsidR="00311D0C" w:rsidRPr="00253E42" w:rsidRDefault="00B84207"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 xml:space="preserve">Shelter and </w:t>
            </w:r>
            <w:r w:rsidR="00311D0C" w:rsidRPr="00253E42">
              <w:rPr>
                <w:rFonts w:asciiTheme="minorBidi" w:hAnsiTheme="minorBidi"/>
                <w:color w:val="333333"/>
                <w:sz w:val="22"/>
                <w:szCs w:val="22"/>
                <w:shd w:val="clear" w:color="auto" w:fill="FFFFFF"/>
              </w:rPr>
              <w:t>Housing Standards</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488B01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u w:val="single"/>
                <w:shd w:val="clear" w:color="auto" w:fill="FFFFFF"/>
              </w:rPr>
              <w:t>Housing and Lead Based Paint* standards apply for all households receiving services, including ESG rental arrears or legal assistance only.</w:t>
            </w:r>
            <w:r w:rsidRPr="00253E42">
              <w:rPr>
                <w:rFonts w:asciiTheme="minorBidi" w:hAnsiTheme="minorBidi"/>
                <w:color w:val="333333"/>
                <w:sz w:val="22"/>
                <w:szCs w:val="22"/>
                <w:shd w:val="clear" w:color="auto" w:fill="FFFFFF"/>
              </w:rPr>
              <w:t xml:space="preserve">  </w:t>
            </w:r>
          </w:p>
          <w:p w14:paraId="4AD94571" w14:textId="01F684B9" w:rsidR="00311D0C"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*Lead Based Paint visual assessments must be completed on all units receiving assistance if constructed before 1978 </w:t>
            </w:r>
            <w:r w:rsidRPr="00253E42">
              <w:rPr>
                <w:rFonts w:asciiTheme="minorBidi" w:hAnsiTheme="minorBidi"/>
                <w:color w:val="333333"/>
                <w:sz w:val="22"/>
                <w:szCs w:val="22"/>
                <w:u w:val="single"/>
                <w:shd w:val="clear" w:color="auto" w:fill="FFFFFF"/>
              </w:rPr>
              <w:t>AND</w:t>
            </w:r>
            <w:r w:rsidRPr="00253E42">
              <w:rPr>
                <w:rFonts w:asciiTheme="minorBidi" w:hAnsiTheme="minorBidi"/>
                <w:color w:val="333333"/>
                <w:sz w:val="22"/>
                <w:szCs w:val="22"/>
                <w:shd w:val="clear" w:color="auto" w:fill="FFFFFF"/>
              </w:rPr>
              <w:t xml:space="preserve"> have a child under 6 or a pregnant woman. Documentation of the visual inspection completed by qualified staff must be kept in the case record. All staff members responsible for completing visual assessments must be properly credentialed. HUD offers an online visual assessment training to be completed by staff members conducting inspections. The certification of completion by staff members should be kept with the grant administrative records. The training can be found at:</w:t>
            </w:r>
            <w:r w:rsidR="009949B0">
              <w:rPr>
                <w:rFonts w:asciiTheme="minorBidi" w:hAnsiTheme="minorBidi"/>
                <w:color w:val="333333"/>
                <w:sz w:val="22"/>
                <w:szCs w:val="22"/>
                <w:shd w:val="clear" w:color="auto" w:fill="FFFFFF"/>
              </w:rPr>
              <w:t xml:space="preserve"> </w:t>
            </w:r>
            <w:hyperlink r:id="rId40" w:history="1">
              <w:r w:rsidR="009949B0" w:rsidRPr="005A7A22">
                <w:rPr>
                  <w:rStyle w:val="Hyperlink"/>
                  <w:rFonts w:asciiTheme="minorBidi" w:hAnsiTheme="minorBidi"/>
                  <w:sz w:val="22"/>
                  <w:szCs w:val="22"/>
                  <w:shd w:val="clear" w:color="auto" w:fill="FFFFFF"/>
                </w:rPr>
                <w:t>https://apps.hud.gov/offices/lead/training/visualassessment/h00101.htm</w:t>
              </w:r>
            </w:hyperlink>
          </w:p>
          <w:p w14:paraId="0783CD2B" w14:textId="77777777" w:rsidR="009949B0" w:rsidRPr="00253E42" w:rsidRDefault="009949B0"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4BE8865F" w14:textId="7B9C3DF3" w:rsidR="00311D0C" w:rsidRDefault="00311D0C" w:rsidP="00311D0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253E42">
              <w:rPr>
                <w:rFonts w:asciiTheme="minorBidi" w:hAnsiTheme="minorBidi"/>
                <w:color w:val="333333"/>
                <w:sz w:val="22"/>
                <w:szCs w:val="22"/>
                <w:u w:val="single"/>
                <w:shd w:val="clear" w:color="auto" w:fill="FFFFFF"/>
              </w:rPr>
              <w:t>ESG</w:t>
            </w:r>
          </w:p>
          <w:p w14:paraId="34017E80" w14:textId="6D715FF2" w:rsidR="00A876F6" w:rsidRDefault="00FD026D"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t>The Emergency Solutions Grants (ESG) Program interim rule, at 24 CFR 576.403, establishes minimum standards for safety, sanitation, and privacy in emergency shelters funded with ESG</w:t>
            </w:r>
            <w:r w:rsidR="00110B85">
              <w:rPr>
                <w:rFonts w:asciiTheme="minorBidi" w:hAnsiTheme="minorBidi"/>
                <w:color w:val="333333"/>
                <w:sz w:val="22"/>
                <w:szCs w:val="22"/>
                <w:shd w:val="clear" w:color="auto" w:fill="FFFFFF"/>
              </w:rPr>
              <w:t>.</w:t>
            </w:r>
          </w:p>
          <w:p w14:paraId="59631677" w14:textId="77777777" w:rsidR="004A10EE" w:rsidRDefault="004A10EE"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A874474" w14:textId="36A7AB4A" w:rsidR="00F71D92" w:rsidRDefault="00F71D92"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lastRenderedPageBreak/>
              <w:t xml:space="preserve">Completion of a </w:t>
            </w:r>
            <w:r w:rsidR="00035626">
              <w:rPr>
                <w:rFonts w:asciiTheme="minorBidi" w:hAnsiTheme="minorBidi"/>
                <w:color w:val="333333"/>
                <w:sz w:val="22"/>
                <w:szCs w:val="22"/>
                <w:shd w:val="clear" w:color="auto" w:fill="FFFFFF"/>
              </w:rPr>
              <w:t xml:space="preserve">shelter standards </w:t>
            </w:r>
            <w:r w:rsidR="00854BBF">
              <w:rPr>
                <w:rFonts w:asciiTheme="minorBidi" w:hAnsiTheme="minorBidi"/>
                <w:color w:val="333333"/>
                <w:sz w:val="22"/>
                <w:szCs w:val="22"/>
                <w:shd w:val="clear" w:color="auto" w:fill="FFFFFF"/>
              </w:rPr>
              <w:t xml:space="preserve">inspection checklist </w:t>
            </w:r>
            <w:r w:rsidR="00854BBF" w:rsidRPr="00253E42">
              <w:rPr>
                <w:rFonts w:asciiTheme="minorBidi" w:hAnsiTheme="minorBidi"/>
                <w:color w:val="333333"/>
                <w:sz w:val="22"/>
                <w:szCs w:val="22"/>
                <w:shd w:val="clear" w:color="auto" w:fill="FFFFFF"/>
              </w:rPr>
              <w:t xml:space="preserve">or a copy of an inspection report completed by a HUD-certified inspector must be </w:t>
            </w:r>
            <w:r w:rsidR="00110B85">
              <w:rPr>
                <w:rFonts w:asciiTheme="minorBidi" w:hAnsiTheme="minorBidi"/>
                <w:color w:val="333333"/>
                <w:sz w:val="22"/>
                <w:szCs w:val="22"/>
                <w:shd w:val="clear" w:color="auto" w:fill="FFFFFF"/>
              </w:rPr>
              <w:t>kept on file for any emergency shelter that receives ESG funds for renovation or shelter operations. The completed inspection must, at minimum, document compliance with the following habitability standards:</w:t>
            </w:r>
          </w:p>
          <w:p w14:paraId="62F73AEA" w14:textId="49F0CD91" w:rsidR="00110B85" w:rsidRDefault="00110B85" w:rsidP="004A10EE">
            <w:pPr>
              <w:pStyle w:val="ListParagraph"/>
              <w:numPr>
                <w:ilvl w:val="0"/>
                <w:numId w:val="37"/>
              </w:numPr>
              <w:autoSpaceDE w:val="0"/>
              <w:autoSpaceDN w:val="0"/>
              <w:adjustRightInd w:val="0"/>
              <w:spacing w:after="0" w:line="300" w:lineRule="auto"/>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Structure and materials</w:t>
            </w:r>
          </w:p>
          <w:p w14:paraId="360B0BDE" w14:textId="21BC0505" w:rsidR="00110B85" w:rsidRDefault="00C16AAC" w:rsidP="004A10EE">
            <w:pPr>
              <w:pStyle w:val="ListParagraph"/>
              <w:numPr>
                <w:ilvl w:val="0"/>
                <w:numId w:val="37"/>
              </w:numPr>
              <w:autoSpaceDE w:val="0"/>
              <w:autoSpaceDN w:val="0"/>
              <w:adjustRightInd w:val="0"/>
              <w:spacing w:after="0" w:line="300" w:lineRule="auto"/>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Access</w:t>
            </w:r>
          </w:p>
          <w:p w14:paraId="2DCEFE93" w14:textId="77777777" w:rsidR="00C16AAC" w:rsidRDefault="00C16AAC" w:rsidP="004A10EE">
            <w:pPr>
              <w:pStyle w:val="ListParagraph"/>
              <w:numPr>
                <w:ilvl w:val="0"/>
                <w:numId w:val="37"/>
              </w:numPr>
              <w:autoSpaceDE w:val="0"/>
              <w:autoSpaceDN w:val="0"/>
              <w:adjustRightInd w:val="0"/>
              <w:spacing w:after="0" w:line="300" w:lineRule="auto"/>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Space and security</w:t>
            </w:r>
          </w:p>
          <w:p w14:paraId="015A3FE0" w14:textId="77777777" w:rsidR="00C16AAC" w:rsidRDefault="00C16AAC" w:rsidP="004A10EE">
            <w:pPr>
              <w:pStyle w:val="ListParagraph"/>
              <w:numPr>
                <w:ilvl w:val="0"/>
                <w:numId w:val="37"/>
              </w:numPr>
              <w:autoSpaceDE w:val="0"/>
              <w:autoSpaceDN w:val="0"/>
              <w:adjustRightInd w:val="0"/>
              <w:spacing w:after="0" w:line="300" w:lineRule="auto"/>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t>Interior air quality free of pollutants</w:t>
            </w:r>
          </w:p>
          <w:p w14:paraId="081B045A" w14:textId="70505383" w:rsidR="00C16AAC" w:rsidRDefault="00C16AAC" w:rsidP="004A10EE">
            <w:pPr>
              <w:pStyle w:val="ListParagraph"/>
              <w:numPr>
                <w:ilvl w:val="0"/>
                <w:numId w:val="37"/>
              </w:numPr>
              <w:autoSpaceDE w:val="0"/>
              <w:autoSpaceDN w:val="0"/>
              <w:adjustRightInd w:val="0"/>
              <w:spacing w:after="0" w:line="300" w:lineRule="auto"/>
              <w:rPr>
                <w:rFonts w:asciiTheme="minorBidi" w:hAnsiTheme="minorBidi"/>
                <w:color w:val="333333"/>
                <w:sz w:val="22"/>
                <w:szCs w:val="22"/>
                <w:shd w:val="clear" w:color="auto" w:fill="FFFFFF"/>
              </w:rPr>
            </w:pPr>
            <w:r w:rsidRPr="00D47533">
              <w:rPr>
                <w:rFonts w:asciiTheme="minorBidi" w:hAnsiTheme="minorBidi"/>
                <w:color w:val="333333"/>
                <w:sz w:val="22"/>
                <w:szCs w:val="22"/>
                <w:shd w:val="clear" w:color="auto" w:fill="FFFFFF"/>
              </w:rPr>
              <w:t>Contamination free water supply</w:t>
            </w:r>
          </w:p>
          <w:p w14:paraId="677C8BDD" w14:textId="77777777" w:rsidR="00AB64A6" w:rsidRPr="00253E42" w:rsidRDefault="00AB64A6"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Necessary heating and cooling facilities</w:t>
            </w:r>
          </w:p>
          <w:p w14:paraId="300E9732" w14:textId="77777777" w:rsidR="00AB64A6" w:rsidRPr="00253E42" w:rsidRDefault="00AB64A6"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Adequate and safe illumination and electricity</w:t>
            </w:r>
          </w:p>
          <w:p w14:paraId="3ACB20F2" w14:textId="4B52ECD4" w:rsidR="00AB64A6" w:rsidRDefault="00AB64A6"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Adequate space for safe food preparation when such space is provided</w:t>
            </w:r>
          </w:p>
          <w:p w14:paraId="2646260A" w14:textId="77777777" w:rsidR="00AB64A6" w:rsidRPr="00253E42" w:rsidRDefault="00AB64A6"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Unit must be maintained in overall sanitary condition</w:t>
            </w:r>
          </w:p>
          <w:p w14:paraId="6C2E1DF4" w14:textId="77777777" w:rsidR="00AB64A6" w:rsidRPr="00253E42" w:rsidRDefault="00AB64A6"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Fire safety </w:t>
            </w:r>
          </w:p>
          <w:p w14:paraId="40400F0E" w14:textId="77777777" w:rsidR="00AB64A6" w:rsidRPr="00253E42" w:rsidRDefault="00AB64A6"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Second means of egress</w:t>
            </w:r>
          </w:p>
          <w:p w14:paraId="748E57D6" w14:textId="77777777" w:rsidR="00AB64A6" w:rsidRPr="00253E42" w:rsidRDefault="00AB64A6"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Smoke detectors on each level (when applicable smoke detectors must be designed to alert hearing impaired tenants)</w:t>
            </w:r>
          </w:p>
          <w:p w14:paraId="13CC9F16" w14:textId="77777777" w:rsidR="00AB64A6" w:rsidRPr="00253E42" w:rsidRDefault="00AB64A6"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Public areas of the facility must be equipped with smoke detectors</w:t>
            </w:r>
          </w:p>
          <w:p w14:paraId="03566D44" w14:textId="77777777" w:rsidR="00F71D92" w:rsidRDefault="00F71D92"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277B7C4" w14:textId="13E640F3"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Completion of a housing standards inspection checklist or a copy of an inspection report completed by a HUD-certified inspector must be in the case record for all households receiving </w:t>
            </w:r>
            <w:r w:rsidRPr="00253E42">
              <w:rPr>
                <w:rFonts w:asciiTheme="minorBidi" w:hAnsiTheme="minorBidi"/>
                <w:b/>
                <w:color w:val="333333"/>
                <w:sz w:val="22"/>
                <w:szCs w:val="22"/>
                <w:u w:val="single"/>
                <w:shd w:val="clear" w:color="auto" w:fill="FFFFFF"/>
              </w:rPr>
              <w:t>any type</w:t>
            </w:r>
            <w:r w:rsidRPr="00253E42">
              <w:rPr>
                <w:rFonts w:asciiTheme="minorBidi" w:hAnsiTheme="minorBidi"/>
                <w:color w:val="333333"/>
                <w:sz w:val="22"/>
                <w:szCs w:val="22"/>
                <w:shd w:val="clear" w:color="auto" w:fill="FFFFFF"/>
              </w:rPr>
              <w:t xml:space="preserve"> of ESG service. The completed inspection must, at minimum, document compliance with the following habitability standards: </w:t>
            </w:r>
            <w:r w:rsidRPr="00253E42">
              <w:rPr>
                <w:rFonts w:asciiTheme="minorBidi" w:hAnsiTheme="minorBidi"/>
                <w:color w:val="333333"/>
                <w:sz w:val="22"/>
                <w:szCs w:val="22"/>
                <w:shd w:val="clear" w:color="auto" w:fill="FFFFFF"/>
              </w:rPr>
              <w:br/>
            </w:r>
          </w:p>
          <w:p w14:paraId="35D19818"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Structural soundness</w:t>
            </w:r>
          </w:p>
          <w:p w14:paraId="44C4ABE8"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Adequate space &amp; security</w:t>
            </w:r>
          </w:p>
          <w:p w14:paraId="4803BF4B"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Interior air quality free of pollutants</w:t>
            </w:r>
          </w:p>
          <w:p w14:paraId="52CE7C2F"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Contamination free water supply</w:t>
            </w:r>
          </w:p>
          <w:p w14:paraId="567EEC0B"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Sufficient and private sanitary facilities in proper operating condition</w:t>
            </w:r>
          </w:p>
          <w:p w14:paraId="5E323B16"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Necessary heating and cooling facilities</w:t>
            </w:r>
          </w:p>
          <w:p w14:paraId="481193B5"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Adequate and safe illumination and electricity</w:t>
            </w:r>
          </w:p>
          <w:p w14:paraId="655C62FD"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Adequate space for safe food preparation when such space is provided</w:t>
            </w:r>
          </w:p>
          <w:p w14:paraId="244E74C1"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Unit must be maintained in overall sanitary condition</w:t>
            </w:r>
          </w:p>
          <w:p w14:paraId="70E1D8B7" w14:textId="77777777" w:rsidR="00311D0C" w:rsidRPr="00253E42" w:rsidRDefault="00311D0C" w:rsidP="004A10EE">
            <w:pPr>
              <w:numPr>
                <w:ilvl w:val="0"/>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Fire safety </w:t>
            </w:r>
          </w:p>
          <w:p w14:paraId="2343E50F" w14:textId="77777777" w:rsidR="00311D0C" w:rsidRPr="00253E42" w:rsidRDefault="00311D0C"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Second means of egress</w:t>
            </w:r>
          </w:p>
          <w:p w14:paraId="7EB73E99" w14:textId="77777777" w:rsidR="00311D0C" w:rsidRPr="00253E42" w:rsidRDefault="00311D0C"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Smoke detectors on each level (when applicable smoke detectors must be designed to alert hearing impaired tenants)</w:t>
            </w:r>
          </w:p>
          <w:p w14:paraId="56E95EBA" w14:textId="77777777" w:rsidR="00311D0C" w:rsidRPr="00253E42" w:rsidRDefault="00311D0C" w:rsidP="004A10EE">
            <w:pPr>
              <w:numPr>
                <w:ilvl w:val="1"/>
                <w:numId w:val="37"/>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Public areas of the facility must be equipped with smoke detectors</w:t>
            </w:r>
          </w:p>
          <w:p w14:paraId="51E3FC2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324E5F2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r w:rsidRPr="00253E42">
              <w:rPr>
                <w:rFonts w:asciiTheme="minorBidi" w:hAnsiTheme="minorBidi"/>
                <w:color w:val="333333"/>
                <w:sz w:val="22"/>
                <w:szCs w:val="22"/>
                <w:u w:val="single"/>
                <w:shd w:val="clear" w:color="auto" w:fill="FFFFFF"/>
              </w:rPr>
              <w:t>CoC</w:t>
            </w:r>
          </w:p>
          <w:p w14:paraId="03A55155"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Completion of a housing quality standards inspection checklist must be in the case record for all households receiving tenant based rental assistance. The completed inspection must, at minimum, document compliance with the following standards:</w:t>
            </w:r>
          </w:p>
          <w:p w14:paraId="782DEE8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The HQS consist of:</w:t>
            </w:r>
          </w:p>
          <w:p w14:paraId="1524001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(A) Performance requirements; and</w:t>
            </w:r>
          </w:p>
          <w:p w14:paraId="2125415D"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(B) Acceptability criteria or HUD approved variations in the acceptability criteria.</w:t>
            </w:r>
          </w:p>
          <w:p w14:paraId="2D4944A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(ii) This section states performance and acceptability criteria for these key            aspects of housing quality:</w:t>
            </w:r>
          </w:p>
          <w:p w14:paraId="6EDCB461"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(A) Sanitary </w:t>
            </w:r>
            <w:proofErr w:type="gramStart"/>
            <w:r w:rsidRPr="00253E42">
              <w:rPr>
                <w:rFonts w:asciiTheme="minorBidi" w:hAnsiTheme="minorBidi"/>
                <w:color w:val="333333"/>
                <w:sz w:val="22"/>
                <w:szCs w:val="22"/>
                <w:shd w:val="clear" w:color="auto" w:fill="FFFFFF"/>
              </w:rPr>
              <w:t>facilities;</w:t>
            </w:r>
            <w:proofErr w:type="gramEnd"/>
          </w:p>
          <w:p w14:paraId="2400E008"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(B) Food preparation and refuse </w:t>
            </w:r>
            <w:proofErr w:type="gramStart"/>
            <w:r w:rsidRPr="00253E42">
              <w:rPr>
                <w:rFonts w:asciiTheme="minorBidi" w:hAnsiTheme="minorBidi"/>
                <w:color w:val="333333"/>
                <w:sz w:val="22"/>
                <w:szCs w:val="22"/>
                <w:shd w:val="clear" w:color="auto" w:fill="FFFFFF"/>
              </w:rPr>
              <w:t>disposal;</w:t>
            </w:r>
            <w:proofErr w:type="gramEnd"/>
          </w:p>
          <w:p w14:paraId="509F50D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(C) Space and </w:t>
            </w:r>
            <w:proofErr w:type="gramStart"/>
            <w:r w:rsidRPr="00253E42">
              <w:rPr>
                <w:rFonts w:asciiTheme="minorBidi" w:hAnsiTheme="minorBidi"/>
                <w:color w:val="333333"/>
                <w:sz w:val="22"/>
                <w:szCs w:val="22"/>
                <w:shd w:val="clear" w:color="auto" w:fill="FFFFFF"/>
              </w:rPr>
              <w:t>security;</w:t>
            </w:r>
            <w:proofErr w:type="gramEnd"/>
          </w:p>
          <w:p w14:paraId="0AEE5D2C"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(D) Thermal </w:t>
            </w:r>
            <w:proofErr w:type="gramStart"/>
            <w:r w:rsidRPr="00253E42">
              <w:rPr>
                <w:rFonts w:asciiTheme="minorBidi" w:hAnsiTheme="minorBidi"/>
                <w:color w:val="333333"/>
                <w:sz w:val="22"/>
                <w:szCs w:val="22"/>
                <w:shd w:val="clear" w:color="auto" w:fill="FFFFFF"/>
              </w:rPr>
              <w:t>environment;</w:t>
            </w:r>
            <w:proofErr w:type="gramEnd"/>
          </w:p>
          <w:p w14:paraId="7579128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(E) Illumination and </w:t>
            </w:r>
            <w:proofErr w:type="gramStart"/>
            <w:r w:rsidRPr="00253E42">
              <w:rPr>
                <w:rFonts w:asciiTheme="minorBidi" w:hAnsiTheme="minorBidi"/>
                <w:color w:val="333333"/>
                <w:sz w:val="22"/>
                <w:szCs w:val="22"/>
                <w:shd w:val="clear" w:color="auto" w:fill="FFFFFF"/>
              </w:rPr>
              <w:t>electricity;</w:t>
            </w:r>
            <w:proofErr w:type="gramEnd"/>
          </w:p>
          <w:p w14:paraId="40C807E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 Structure and </w:t>
            </w:r>
            <w:proofErr w:type="gramStart"/>
            <w:r w:rsidRPr="00253E42">
              <w:rPr>
                <w:rFonts w:asciiTheme="minorBidi" w:hAnsiTheme="minorBidi"/>
                <w:color w:val="333333"/>
                <w:sz w:val="22"/>
                <w:szCs w:val="22"/>
                <w:shd w:val="clear" w:color="auto" w:fill="FFFFFF"/>
              </w:rPr>
              <w:t>materials;</w:t>
            </w:r>
            <w:proofErr w:type="gramEnd"/>
          </w:p>
          <w:p w14:paraId="54E3FA5D"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(G) Interior air </w:t>
            </w:r>
            <w:proofErr w:type="gramStart"/>
            <w:r w:rsidRPr="00253E42">
              <w:rPr>
                <w:rFonts w:asciiTheme="minorBidi" w:hAnsiTheme="minorBidi"/>
                <w:color w:val="333333"/>
                <w:sz w:val="22"/>
                <w:szCs w:val="22"/>
                <w:shd w:val="clear" w:color="auto" w:fill="FFFFFF"/>
              </w:rPr>
              <w:t>quality;</w:t>
            </w:r>
            <w:proofErr w:type="gramEnd"/>
          </w:p>
          <w:p w14:paraId="4908ACA2"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(H) Water </w:t>
            </w:r>
            <w:proofErr w:type="gramStart"/>
            <w:r w:rsidRPr="00253E42">
              <w:rPr>
                <w:rFonts w:asciiTheme="minorBidi" w:hAnsiTheme="minorBidi"/>
                <w:color w:val="333333"/>
                <w:sz w:val="22"/>
                <w:szCs w:val="22"/>
                <w:shd w:val="clear" w:color="auto" w:fill="FFFFFF"/>
              </w:rPr>
              <w:t>supply;</w:t>
            </w:r>
            <w:proofErr w:type="gramEnd"/>
          </w:p>
          <w:p w14:paraId="6CD39D7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(I) Lead-based </w:t>
            </w:r>
            <w:proofErr w:type="gramStart"/>
            <w:r w:rsidRPr="00253E42">
              <w:rPr>
                <w:rFonts w:asciiTheme="minorBidi" w:hAnsiTheme="minorBidi"/>
                <w:color w:val="333333"/>
                <w:sz w:val="22"/>
                <w:szCs w:val="22"/>
                <w:shd w:val="clear" w:color="auto" w:fill="FFFFFF"/>
              </w:rPr>
              <w:t>paint;</w:t>
            </w:r>
            <w:proofErr w:type="gramEnd"/>
          </w:p>
          <w:p w14:paraId="0D4BC2A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(J) </w:t>
            </w:r>
            <w:proofErr w:type="gramStart"/>
            <w:r w:rsidRPr="00253E42">
              <w:rPr>
                <w:rFonts w:asciiTheme="minorBidi" w:hAnsiTheme="minorBidi"/>
                <w:color w:val="333333"/>
                <w:sz w:val="22"/>
                <w:szCs w:val="22"/>
                <w:shd w:val="clear" w:color="auto" w:fill="FFFFFF"/>
              </w:rPr>
              <w:t>Access;</w:t>
            </w:r>
            <w:proofErr w:type="gramEnd"/>
          </w:p>
          <w:p w14:paraId="2E7863C1"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(K) Site and </w:t>
            </w:r>
            <w:proofErr w:type="gramStart"/>
            <w:r w:rsidRPr="00253E42">
              <w:rPr>
                <w:rFonts w:asciiTheme="minorBidi" w:hAnsiTheme="minorBidi"/>
                <w:color w:val="333333"/>
                <w:sz w:val="22"/>
                <w:szCs w:val="22"/>
                <w:shd w:val="clear" w:color="auto" w:fill="FFFFFF"/>
              </w:rPr>
              <w:t>neighborhood;</w:t>
            </w:r>
            <w:proofErr w:type="gramEnd"/>
          </w:p>
          <w:p w14:paraId="5B97B515"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(L) Sanitary condition; and</w:t>
            </w:r>
          </w:p>
          <w:p w14:paraId="660ADBE4"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(M) Smoke detectors.</w:t>
            </w:r>
          </w:p>
          <w:p w14:paraId="49A29DEF"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r w:rsidR="00311D0C" w:rsidRPr="00253E42" w14:paraId="7C90E49C"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C36828" w14:textId="4C44587F"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FMR &amp; rent reasonableness</w:t>
            </w:r>
            <w:r w:rsidR="0096784F">
              <w:rPr>
                <w:rFonts w:asciiTheme="minorBidi" w:hAnsiTheme="minorBidi"/>
                <w:color w:val="333333"/>
                <w:sz w:val="22"/>
                <w:szCs w:val="22"/>
                <w:shd w:val="clear" w:color="auto" w:fill="FFFFFF"/>
              </w:rPr>
              <w:t xml:space="preserve"> (HP</w:t>
            </w:r>
            <w:r w:rsidR="00B02A6E">
              <w:rPr>
                <w:rFonts w:asciiTheme="minorBidi" w:hAnsiTheme="minorBidi"/>
                <w:color w:val="333333"/>
                <w:sz w:val="22"/>
                <w:szCs w:val="22"/>
                <w:shd w:val="clear" w:color="auto" w:fill="FFFFFF"/>
              </w:rPr>
              <w:t>, PH, PSH,</w:t>
            </w:r>
            <w:r w:rsidR="0096784F">
              <w:rPr>
                <w:rFonts w:asciiTheme="minorBidi" w:hAnsiTheme="minorBidi"/>
                <w:color w:val="333333"/>
                <w:sz w:val="22"/>
                <w:szCs w:val="22"/>
                <w:shd w:val="clear" w:color="auto" w:fill="FFFFFF"/>
              </w:rPr>
              <w:t xml:space="preserve"> and RRH)</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477FA1DE"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Rent reasonableness compliance must be recorded on a form showing both the calculation used to determine gross rent and listing comparable units used to determine rent reasonableness, documented in each case record. </w:t>
            </w:r>
          </w:p>
          <w:p w14:paraId="0671AB9A"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51D0E047"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Fair Market Rent compliance may be documented using screenshots or other printable material from HUD resources. </w:t>
            </w:r>
          </w:p>
          <w:p w14:paraId="5538D983"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00FD48A4"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 xml:space="preserve">Fair Market Rents established by HUD may be found at: </w:t>
            </w:r>
          </w:p>
          <w:p w14:paraId="0FD86B16" w14:textId="77777777" w:rsidR="00311D0C" w:rsidRPr="00253E42" w:rsidRDefault="003E7871" w:rsidP="00311D0C">
            <w:pPr>
              <w:autoSpaceDE w:val="0"/>
              <w:autoSpaceDN w:val="0"/>
              <w:adjustRightInd w:val="0"/>
              <w:spacing w:after="0" w:line="300" w:lineRule="auto"/>
              <w:contextualSpacing/>
              <w:rPr>
                <w:rFonts w:asciiTheme="minorBidi" w:hAnsiTheme="minorBidi"/>
                <w:color w:val="333333"/>
                <w:sz w:val="22"/>
                <w:szCs w:val="22"/>
                <w:u w:val="single"/>
                <w:shd w:val="clear" w:color="auto" w:fill="FFFFFF"/>
              </w:rPr>
            </w:pPr>
            <w:hyperlink r:id="rId41" w:history="1">
              <w:r w:rsidR="00311D0C" w:rsidRPr="00253E42">
                <w:rPr>
                  <w:rStyle w:val="Hyperlink"/>
                  <w:rFonts w:asciiTheme="minorBidi" w:hAnsiTheme="minorBidi"/>
                  <w:sz w:val="22"/>
                  <w:szCs w:val="22"/>
                  <w:shd w:val="clear" w:color="auto" w:fill="FFFFFF"/>
                </w:rPr>
                <w:t>http://www.huduser.org/portal/datasets/fmr.html</w:t>
              </w:r>
            </w:hyperlink>
          </w:p>
        </w:tc>
      </w:tr>
      <w:tr w:rsidR="00DE6F03" w:rsidRPr="00253E42" w14:paraId="31A75660"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AA5195" w14:textId="7226B1E0" w:rsidR="00DE6F03" w:rsidRPr="00DC4390" w:rsidRDefault="00DC4390" w:rsidP="00DC4390">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C4390">
              <w:rPr>
                <w:rFonts w:asciiTheme="minorBidi" w:hAnsiTheme="minorBidi"/>
                <w:color w:val="333333"/>
                <w:sz w:val="22"/>
                <w:szCs w:val="22"/>
                <w:shd w:val="clear" w:color="auto" w:fill="FFFFFF"/>
              </w:rPr>
              <w:t>Housing search and placement</w:t>
            </w:r>
            <w:r>
              <w:rPr>
                <w:rFonts w:asciiTheme="minorBidi" w:hAnsiTheme="minorBidi"/>
                <w:color w:val="333333"/>
                <w:sz w:val="22"/>
                <w:szCs w:val="22"/>
                <w:shd w:val="clear" w:color="auto" w:fill="FFFFFF"/>
              </w:rPr>
              <w:t xml:space="preserve"> costs (Broker </w:t>
            </w:r>
            <w:r w:rsidR="00DE6F03" w:rsidRPr="00DC4390">
              <w:rPr>
                <w:rFonts w:asciiTheme="minorBidi" w:hAnsiTheme="minorBidi"/>
                <w:color w:val="333333"/>
                <w:sz w:val="22"/>
                <w:szCs w:val="22"/>
                <w:shd w:val="clear" w:color="auto" w:fill="FFFFFF"/>
              </w:rPr>
              <w:t>Fees</w:t>
            </w:r>
            <w:r>
              <w:rPr>
                <w:rFonts w:asciiTheme="minorBidi" w:hAnsiTheme="minorBidi"/>
                <w:color w:val="333333"/>
                <w:sz w:val="22"/>
                <w:szCs w:val="22"/>
                <w:shd w:val="clear" w:color="auto" w:fill="FFFFFF"/>
              </w:rPr>
              <w:t>)</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27BA154F" w14:textId="1289611C" w:rsidR="00DE6F03" w:rsidRPr="00DC4390" w:rsidRDefault="00DE6F03"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C4390">
              <w:rPr>
                <w:rFonts w:asciiTheme="minorBidi" w:hAnsiTheme="minorBidi"/>
                <w:color w:val="333333"/>
                <w:sz w:val="22"/>
                <w:szCs w:val="22"/>
                <w:shd w:val="clear" w:color="auto" w:fill="FFFFFF"/>
              </w:rPr>
              <w:t xml:space="preserve">Real estate broker fees must be documented in the applicable client files detailing </w:t>
            </w:r>
            <w:r w:rsidR="006460D3" w:rsidRPr="00DC4390">
              <w:rPr>
                <w:rFonts w:asciiTheme="minorBidi" w:hAnsiTheme="minorBidi"/>
                <w:color w:val="333333"/>
                <w:sz w:val="22"/>
                <w:szCs w:val="22"/>
                <w:shd w:val="clear" w:color="auto" w:fill="FFFFFF"/>
              </w:rPr>
              <w:t>not only</w:t>
            </w:r>
            <w:r w:rsidRPr="00DC4390">
              <w:rPr>
                <w:rFonts w:asciiTheme="minorBidi" w:hAnsiTheme="minorBidi"/>
                <w:color w:val="333333"/>
                <w:sz w:val="22"/>
                <w:szCs w:val="22"/>
                <w:shd w:val="clear" w:color="auto" w:fill="FFFFFF"/>
              </w:rPr>
              <w:t xml:space="preserve"> the amounts paid, but also how the assistance was necessary to assist a program participant to obtain suitable permanent housing. </w:t>
            </w:r>
          </w:p>
          <w:p w14:paraId="55A208AE" w14:textId="77777777" w:rsidR="00DE6F03" w:rsidRPr="00DC4390" w:rsidRDefault="00DE6F03"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p w14:paraId="10088372" w14:textId="006B0D58" w:rsidR="00DE6F03" w:rsidRPr="00DC4390" w:rsidRDefault="006460D3"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DC4390">
              <w:rPr>
                <w:rFonts w:asciiTheme="minorBidi" w:hAnsiTheme="minorBidi"/>
                <w:color w:val="333333"/>
                <w:sz w:val="22"/>
                <w:szCs w:val="22"/>
                <w:shd w:val="clear" w:color="auto" w:fill="FFFFFF"/>
              </w:rPr>
              <w:lastRenderedPageBreak/>
              <w:t>Providers that choose to utilize a for profit company as a vendor (</w:t>
            </w:r>
            <w:proofErr w:type="gramStart"/>
            <w:r w:rsidRPr="00DC4390">
              <w:rPr>
                <w:rFonts w:asciiTheme="minorBidi" w:hAnsiTheme="minorBidi"/>
                <w:color w:val="333333"/>
                <w:sz w:val="22"/>
                <w:szCs w:val="22"/>
                <w:shd w:val="clear" w:color="auto" w:fill="FFFFFF"/>
              </w:rPr>
              <w:t>e.g.</w:t>
            </w:r>
            <w:proofErr w:type="gramEnd"/>
            <w:r w:rsidRPr="00DC4390">
              <w:rPr>
                <w:rFonts w:asciiTheme="minorBidi" w:hAnsiTheme="minorBidi"/>
                <w:color w:val="333333"/>
                <w:sz w:val="22"/>
                <w:szCs w:val="22"/>
                <w:shd w:val="clear" w:color="auto" w:fill="FFFFFF"/>
              </w:rPr>
              <w:t xml:space="preserve"> realtors) must follow the provider's procurement procedures.</w:t>
            </w:r>
          </w:p>
        </w:tc>
      </w:tr>
      <w:tr w:rsidR="00311D0C" w:rsidRPr="00253E42" w14:paraId="1D62F2BA"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9F3429"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lastRenderedPageBreak/>
              <w:t>Determination of Ineligibility</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FA0F850" w14:textId="77777777" w:rsidR="00311D0C" w:rsidRPr="00253E42" w:rsidRDefault="00311D0C"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253E42">
              <w:rPr>
                <w:rFonts w:asciiTheme="minorBidi" w:hAnsiTheme="minorBidi"/>
                <w:color w:val="333333"/>
                <w:sz w:val="22"/>
                <w:szCs w:val="22"/>
                <w:shd w:val="clear" w:color="auto" w:fill="FFFFFF"/>
              </w:rPr>
              <w:t>For each individual and family determined ineligible to receive Emergency Solutions Grant (ESG) assistance, the record must include documentation of the reason for that determination.</w:t>
            </w:r>
          </w:p>
        </w:tc>
      </w:tr>
      <w:tr w:rsidR="00B50D91" w:rsidRPr="00253E42" w14:paraId="6AA50FE3" w14:textId="77777777" w:rsidTr="00590689">
        <w:tc>
          <w:tcPr>
            <w:tcW w:w="244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6830BF" w14:textId="283B7393" w:rsidR="00B50D91" w:rsidRPr="00253E42" w:rsidRDefault="00B50D91"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Emergency Shelter Facilities</w:t>
            </w:r>
          </w:p>
        </w:tc>
        <w:tc>
          <w:tcPr>
            <w:tcW w:w="81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C46A541" w14:textId="7FCCE9F3" w:rsidR="00EC09EF" w:rsidRDefault="00200519" w:rsidP="00D47533">
            <w:pPr>
              <w:adjustRightInd w:val="0"/>
              <w:spacing w:line="300" w:lineRule="auto"/>
              <w:contextualSpacing/>
              <w:rPr>
                <w:rFonts w:asciiTheme="minorBidi" w:hAnsiTheme="minorBidi"/>
                <w:color w:val="333333"/>
                <w:sz w:val="22"/>
                <w:szCs w:val="22"/>
                <w:shd w:val="clear" w:color="auto" w:fill="FFFFFF"/>
              </w:rPr>
            </w:pPr>
            <w:r>
              <w:rPr>
                <w:rFonts w:asciiTheme="minorBidi" w:hAnsiTheme="minorBidi"/>
                <w:color w:val="333333"/>
                <w:sz w:val="22"/>
                <w:szCs w:val="22"/>
                <w:shd w:val="clear" w:color="auto" w:fill="FFFFFF"/>
              </w:rPr>
              <w:t>If ESG funds are used to r</w:t>
            </w:r>
            <w:r w:rsidRPr="00200519">
              <w:rPr>
                <w:rFonts w:asciiTheme="minorBidi" w:hAnsiTheme="minorBidi"/>
                <w:color w:val="333333"/>
                <w:sz w:val="22"/>
                <w:szCs w:val="22"/>
                <w:shd w:val="clear" w:color="auto" w:fill="FFFFFF"/>
              </w:rPr>
              <w:t>enovat</w:t>
            </w:r>
            <w:r>
              <w:rPr>
                <w:rFonts w:asciiTheme="minorBidi" w:hAnsiTheme="minorBidi"/>
                <w:color w:val="333333"/>
                <w:sz w:val="22"/>
                <w:szCs w:val="22"/>
                <w:shd w:val="clear" w:color="auto" w:fill="FFFFFF"/>
              </w:rPr>
              <w:t>e</w:t>
            </w:r>
            <w:r w:rsidR="005E4961">
              <w:rPr>
                <w:rFonts w:asciiTheme="minorBidi" w:hAnsiTheme="minorBidi"/>
                <w:color w:val="333333"/>
                <w:sz w:val="22"/>
                <w:szCs w:val="22"/>
                <w:shd w:val="clear" w:color="auto" w:fill="FFFFFF"/>
              </w:rPr>
              <w:t>,</w:t>
            </w:r>
            <w:r>
              <w:rPr>
                <w:rFonts w:asciiTheme="minorBidi" w:hAnsiTheme="minorBidi"/>
                <w:color w:val="333333"/>
                <w:sz w:val="22"/>
                <w:szCs w:val="22"/>
                <w:shd w:val="clear" w:color="auto" w:fill="FFFFFF"/>
              </w:rPr>
              <w:t xml:space="preserve"> </w:t>
            </w:r>
            <w:r w:rsidR="005E4961">
              <w:rPr>
                <w:rFonts w:asciiTheme="minorBidi" w:hAnsiTheme="minorBidi"/>
                <w:color w:val="333333"/>
                <w:sz w:val="22"/>
                <w:szCs w:val="22"/>
                <w:shd w:val="clear" w:color="auto" w:fill="FFFFFF"/>
              </w:rPr>
              <w:t>re</w:t>
            </w:r>
            <w:r>
              <w:rPr>
                <w:rFonts w:asciiTheme="minorBidi" w:hAnsiTheme="minorBidi"/>
                <w:color w:val="333333"/>
                <w:sz w:val="22"/>
                <w:szCs w:val="22"/>
                <w:shd w:val="clear" w:color="auto" w:fill="FFFFFF"/>
              </w:rPr>
              <w:t>habilitate</w:t>
            </w:r>
            <w:r w:rsidR="005E4961">
              <w:rPr>
                <w:rFonts w:asciiTheme="minorBidi" w:hAnsiTheme="minorBidi"/>
                <w:color w:val="333333"/>
                <w:sz w:val="22"/>
                <w:szCs w:val="22"/>
                <w:shd w:val="clear" w:color="auto" w:fill="FFFFFF"/>
              </w:rPr>
              <w:t>, or convert</w:t>
            </w:r>
            <w:r w:rsidRPr="00200519">
              <w:rPr>
                <w:rFonts w:asciiTheme="minorBidi" w:hAnsiTheme="minorBidi"/>
                <w:color w:val="333333"/>
                <w:sz w:val="22"/>
                <w:szCs w:val="22"/>
                <w:shd w:val="clear" w:color="auto" w:fill="FFFFFF"/>
              </w:rPr>
              <w:t xml:space="preserve"> buildings to be used as emergency shelter for homeless families and </w:t>
            </w:r>
            <w:proofErr w:type="gramStart"/>
            <w:r w:rsidRPr="00200519">
              <w:rPr>
                <w:rFonts w:asciiTheme="minorBidi" w:hAnsiTheme="minorBidi"/>
                <w:color w:val="333333"/>
                <w:sz w:val="22"/>
                <w:szCs w:val="22"/>
                <w:shd w:val="clear" w:color="auto" w:fill="FFFFFF"/>
              </w:rPr>
              <w:t>individuals</w:t>
            </w:r>
            <w:proofErr w:type="gramEnd"/>
            <w:r w:rsidR="002D08AF">
              <w:rPr>
                <w:rFonts w:asciiTheme="minorBidi" w:hAnsiTheme="minorBidi"/>
                <w:color w:val="333333"/>
                <w:sz w:val="22"/>
                <w:szCs w:val="22"/>
                <w:shd w:val="clear" w:color="auto" w:fill="FFFFFF"/>
              </w:rPr>
              <w:t xml:space="preserve"> </w:t>
            </w:r>
            <w:r w:rsidR="0098705B" w:rsidRPr="0098705B">
              <w:rPr>
                <w:rFonts w:asciiTheme="minorBidi" w:hAnsiTheme="minorBidi"/>
                <w:color w:val="333333"/>
                <w:sz w:val="22"/>
                <w:szCs w:val="22"/>
                <w:shd w:val="clear" w:color="auto" w:fill="FFFFFF"/>
              </w:rPr>
              <w:t xml:space="preserve">records </w:t>
            </w:r>
            <w:r w:rsidRPr="0098705B">
              <w:rPr>
                <w:rFonts w:asciiTheme="minorBidi" w:hAnsiTheme="minorBidi"/>
                <w:color w:val="333333"/>
                <w:sz w:val="22"/>
                <w:szCs w:val="22"/>
                <w:shd w:val="clear" w:color="auto" w:fill="FFFFFF"/>
              </w:rPr>
              <w:t>must include</w:t>
            </w:r>
            <w:r w:rsidR="0098705B" w:rsidRPr="0098705B">
              <w:rPr>
                <w:rFonts w:asciiTheme="minorBidi" w:hAnsiTheme="minorBidi"/>
                <w:color w:val="333333"/>
                <w:sz w:val="22"/>
                <w:szCs w:val="22"/>
                <w:shd w:val="clear" w:color="auto" w:fill="FFFFFF"/>
              </w:rPr>
              <w:t xml:space="preserve"> documentation of the value of the building before the rehabilitation of an existing emergency shelter or after the conversion of a building into an emergency shelter and copies of the recorded deed or use restrictions</w:t>
            </w:r>
            <w:r w:rsidR="00EC09EF">
              <w:rPr>
                <w:rFonts w:asciiTheme="minorBidi" w:hAnsiTheme="minorBidi"/>
                <w:color w:val="333333"/>
                <w:sz w:val="22"/>
                <w:szCs w:val="22"/>
                <w:shd w:val="clear" w:color="auto" w:fill="FFFFFF"/>
              </w:rPr>
              <w:t xml:space="preserve">. </w:t>
            </w:r>
          </w:p>
          <w:p w14:paraId="1318AC88" w14:textId="3F93984D" w:rsidR="00EC09EF" w:rsidRPr="00EC09EF" w:rsidRDefault="00EC09EF" w:rsidP="004A10EE">
            <w:pPr>
              <w:numPr>
                <w:ilvl w:val="0"/>
                <w:numId w:val="38"/>
              </w:numPr>
              <w:adjustRightInd w:val="0"/>
              <w:spacing w:line="300" w:lineRule="auto"/>
              <w:contextualSpacing/>
              <w:rPr>
                <w:rFonts w:asciiTheme="minorBidi" w:hAnsiTheme="minorBidi"/>
                <w:color w:val="333333"/>
                <w:sz w:val="22"/>
                <w:szCs w:val="22"/>
                <w:shd w:val="clear" w:color="auto" w:fill="FFFFFF"/>
              </w:rPr>
            </w:pPr>
            <w:r w:rsidRPr="00EC09EF">
              <w:rPr>
                <w:rFonts w:asciiTheme="minorBidi" w:hAnsiTheme="minorBidi"/>
                <w:color w:val="333333"/>
                <w:sz w:val="22"/>
                <w:szCs w:val="22"/>
                <w:shd w:val="clear" w:color="auto" w:fill="FFFFFF"/>
              </w:rPr>
              <w:t>Where the ESG funds that are used for the renovation of an emergency shelter exceed 75 percent of the value of the building before renovation, records must be retained until 10 years after the date that ESG funds are first obligated for the renovation.</w:t>
            </w:r>
          </w:p>
          <w:p w14:paraId="349F9275" w14:textId="77777777" w:rsidR="00EC09EF" w:rsidRPr="00EC09EF" w:rsidRDefault="00EC09EF" w:rsidP="004A10EE">
            <w:pPr>
              <w:numPr>
                <w:ilvl w:val="0"/>
                <w:numId w:val="38"/>
              </w:numPr>
              <w:autoSpaceDE w:val="0"/>
              <w:autoSpaceDN w:val="0"/>
              <w:adjustRightInd w:val="0"/>
              <w:spacing w:after="0" w:line="300" w:lineRule="auto"/>
              <w:contextualSpacing/>
              <w:rPr>
                <w:rFonts w:asciiTheme="minorBidi" w:hAnsiTheme="minorBidi"/>
                <w:color w:val="333333"/>
                <w:sz w:val="22"/>
                <w:szCs w:val="22"/>
                <w:shd w:val="clear" w:color="auto" w:fill="FFFFFF"/>
              </w:rPr>
            </w:pPr>
            <w:r w:rsidRPr="00EC09EF">
              <w:rPr>
                <w:rFonts w:asciiTheme="minorBidi" w:hAnsiTheme="minorBidi"/>
                <w:color w:val="333333"/>
                <w:sz w:val="22"/>
                <w:szCs w:val="22"/>
                <w:shd w:val="clear" w:color="auto" w:fill="FFFFFF"/>
              </w:rPr>
              <w:t>Where the ESG funds that are used to convert a building into an emergency shelter exceed 75 percent of the value of the building after conversion, records must be retained until 10 years after the date that ESG funds are first obligated for the conversion.</w:t>
            </w:r>
          </w:p>
          <w:p w14:paraId="1922E482" w14:textId="68C25D0E" w:rsidR="00B50D91" w:rsidRPr="00253E42" w:rsidRDefault="00B50D91" w:rsidP="00311D0C">
            <w:pPr>
              <w:autoSpaceDE w:val="0"/>
              <w:autoSpaceDN w:val="0"/>
              <w:adjustRightInd w:val="0"/>
              <w:spacing w:after="0" w:line="300" w:lineRule="auto"/>
              <w:contextualSpacing/>
              <w:rPr>
                <w:rFonts w:asciiTheme="minorBidi" w:hAnsiTheme="minorBidi"/>
                <w:color w:val="333333"/>
                <w:sz w:val="22"/>
                <w:szCs w:val="22"/>
                <w:shd w:val="clear" w:color="auto" w:fill="FFFFFF"/>
              </w:rPr>
            </w:pPr>
          </w:p>
        </w:tc>
      </w:tr>
    </w:tbl>
    <w:p w14:paraId="6592F497" w14:textId="6D85A5E0" w:rsidR="00E07D5F" w:rsidRPr="00D47533" w:rsidRDefault="00E07D5F">
      <w:pPr>
        <w:rPr>
          <w:rFonts w:ascii="Arial" w:hAnsi="Arial" w:cs="Arial"/>
        </w:rPr>
      </w:pPr>
      <w:r w:rsidRPr="00D47533">
        <w:rPr>
          <w:rFonts w:ascii="Arial" w:hAnsi="Arial" w:cs="Arial"/>
        </w:rPr>
        <w:br w:type="page"/>
      </w:r>
    </w:p>
    <w:p w14:paraId="79CBD035" w14:textId="6E62F378" w:rsidR="00973CA3" w:rsidRPr="00D47533" w:rsidRDefault="004A10EE" w:rsidP="00973CA3">
      <w:pPr>
        <w:pStyle w:val="Heading1"/>
        <w:rPr>
          <w:rFonts w:ascii="Arial" w:hAnsi="Arial" w:cs="Arial"/>
        </w:rPr>
      </w:pPr>
      <w:bookmarkStart w:id="24" w:name="_Toc109630103"/>
      <w:bookmarkStart w:id="25" w:name="_Toc110000646"/>
      <w:r w:rsidRPr="00D47533">
        <w:rPr>
          <w:rFonts w:ascii="Arial" w:hAnsi="Arial" w:cs="Arial"/>
          <w:caps w:val="0"/>
        </w:rPr>
        <w:lastRenderedPageBreak/>
        <w:t>FUNDING PROCESS AND REQUIREMENTS</w:t>
      </w:r>
      <w:bookmarkEnd w:id="24"/>
      <w:bookmarkEnd w:id="25"/>
    </w:p>
    <w:p w14:paraId="1AFF826F" w14:textId="43DCE831" w:rsidR="00973CA3" w:rsidRPr="00D47533" w:rsidRDefault="004A10EE" w:rsidP="00973CA3">
      <w:pPr>
        <w:pStyle w:val="Heading2"/>
        <w:rPr>
          <w:rFonts w:ascii="Arial" w:hAnsi="Arial" w:cs="Arial"/>
        </w:rPr>
      </w:pPr>
      <w:bookmarkStart w:id="26" w:name="_Toc109630104"/>
      <w:bookmarkStart w:id="27" w:name="_Toc110000647"/>
      <w:r w:rsidRPr="00D47533">
        <w:rPr>
          <w:rFonts w:ascii="Arial" w:hAnsi="Arial" w:cs="Arial"/>
          <w:caps w:val="0"/>
        </w:rPr>
        <w:t>GRANT AWARDS</w:t>
      </w:r>
      <w:bookmarkEnd w:id="26"/>
      <w:bookmarkEnd w:id="27"/>
    </w:p>
    <w:p w14:paraId="573B957E" w14:textId="77777777" w:rsidR="00973CA3" w:rsidRPr="00D47533" w:rsidRDefault="00973CA3" w:rsidP="00973CA3">
      <w:pPr>
        <w:rPr>
          <w:rFonts w:ascii="Arial" w:hAnsi="Arial" w:cs="Arial"/>
          <w:sz w:val="22"/>
          <w:szCs w:val="22"/>
        </w:rPr>
      </w:pPr>
      <w:r w:rsidRPr="00D47533">
        <w:rPr>
          <w:rFonts w:ascii="Arial" w:hAnsi="Arial" w:cs="Arial"/>
          <w:sz w:val="22"/>
          <w:szCs w:val="22"/>
        </w:rPr>
        <w:t>The amount of ESG allocation received from the U.S. Department of Housing and Urban Development (HUD) varies each year and is awarded to the State via an annual Award Notic</w:t>
      </w:r>
      <w:bookmarkStart w:id="28" w:name="bookmark=id.3j2qqm3"/>
      <w:bookmarkStart w:id="29" w:name="_heading=h.1y810tw"/>
      <w:bookmarkEnd w:id="28"/>
      <w:bookmarkEnd w:id="29"/>
      <w:r w:rsidRPr="00D47533">
        <w:rPr>
          <w:rFonts w:ascii="Arial" w:hAnsi="Arial" w:cs="Arial"/>
          <w:sz w:val="22"/>
          <w:szCs w:val="22"/>
        </w:rPr>
        <w:t>e</w:t>
      </w:r>
    </w:p>
    <w:p w14:paraId="23E2F351" w14:textId="4C38C140" w:rsidR="00973CA3" w:rsidRPr="00D47533" w:rsidRDefault="004A10EE" w:rsidP="00973CA3">
      <w:pPr>
        <w:pStyle w:val="Heading2"/>
        <w:rPr>
          <w:rFonts w:ascii="Arial" w:eastAsiaTheme="majorEastAsia" w:hAnsi="Arial" w:cs="Arial"/>
        </w:rPr>
      </w:pPr>
      <w:bookmarkStart w:id="30" w:name="_Toc109630105"/>
      <w:bookmarkStart w:id="31" w:name="_Toc110000648"/>
      <w:r w:rsidRPr="00D47533">
        <w:rPr>
          <w:rFonts w:ascii="Arial" w:eastAsiaTheme="majorEastAsia" w:hAnsi="Arial" w:cs="Arial"/>
          <w:caps w:val="0"/>
        </w:rPr>
        <w:t>GRANT AGREEMENTS GENERAL TIMELINE</w:t>
      </w:r>
      <w:bookmarkEnd w:id="30"/>
      <w:bookmarkEnd w:id="31"/>
      <w:r w:rsidRPr="00D47533">
        <w:rPr>
          <w:rFonts w:ascii="Arial" w:eastAsiaTheme="majorEastAsia" w:hAnsi="Arial" w:cs="Arial"/>
          <w:caps w:val="0"/>
        </w:rPr>
        <w:t xml:space="preserve"> </w:t>
      </w:r>
    </w:p>
    <w:p w14:paraId="5EB0201A" w14:textId="38630723" w:rsidR="00973CA3" w:rsidRPr="00D47533" w:rsidRDefault="00973CA3" w:rsidP="00973CA3">
      <w:pPr>
        <w:rPr>
          <w:rFonts w:ascii="Arial" w:hAnsi="Arial" w:cs="Arial"/>
          <w:sz w:val="22"/>
          <w:szCs w:val="22"/>
        </w:rPr>
      </w:pPr>
      <w:r w:rsidRPr="00D47533">
        <w:rPr>
          <w:rFonts w:ascii="Arial" w:hAnsi="Arial" w:cs="Arial"/>
          <w:sz w:val="22"/>
          <w:szCs w:val="22"/>
        </w:rPr>
        <w:t>Initial notification of pending grant agreement</w:t>
      </w:r>
      <w:r w:rsidR="00F747C8">
        <w:rPr>
          <w:rFonts w:ascii="Arial" w:hAnsi="Arial" w:cs="Arial"/>
          <w:sz w:val="22"/>
          <w:szCs w:val="22"/>
        </w:rPr>
        <w:t>s</w:t>
      </w:r>
      <w:r w:rsidRPr="00D47533">
        <w:rPr>
          <w:rFonts w:ascii="Arial" w:hAnsi="Arial" w:cs="Arial"/>
          <w:sz w:val="22"/>
          <w:szCs w:val="22"/>
        </w:rPr>
        <w:t xml:space="preserve"> </w:t>
      </w:r>
      <w:proofErr w:type="gramStart"/>
      <w:r w:rsidRPr="00D47533">
        <w:rPr>
          <w:rFonts w:ascii="Arial" w:hAnsi="Arial" w:cs="Arial"/>
          <w:sz w:val="22"/>
          <w:szCs w:val="22"/>
        </w:rPr>
        <w:t>are</w:t>
      </w:r>
      <w:proofErr w:type="gramEnd"/>
      <w:r w:rsidRPr="00D47533">
        <w:rPr>
          <w:rFonts w:ascii="Arial" w:hAnsi="Arial" w:cs="Arial"/>
          <w:sz w:val="22"/>
          <w:szCs w:val="22"/>
        </w:rPr>
        <w:t xml:space="preserve"> generated electronically by HUD and are sent to the Federal Grants Manager.  In many cases, there are issues and conditions from HUD that must be resolved prior to the grant agreement being sent by HUD to </w:t>
      </w:r>
      <w:r w:rsidR="00923CA6">
        <w:rPr>
          <w:rFonts w:ascii="Arial" w:hAnsi="Arial" w:cs="Arial"/>
          <w:sz w:val="22"/>
          <w:szCs w:val="22"/>
        </w:rPr>
        <w:t>EOHLC</w:t>
      </w:r>
      <w:r w:rsidRPr="00D47533">
        <w:rPr>
          <w:rFonts w:ascii="Arial" w:hAnsi="Arial" w:cs="Arial"/>
          <w:sz w:val="22"/>
          <w:szCs w:val="22"/>
        </w:rPr>
        <w:t>.  The initial electronic notification will include those issues and conditions.</w:t>
      </w:r>
    </w:p>
    <w:p w14:paraId="3124AF01" w14:textId="2DFABB38" w:rsidR="00973CA3" w:rsidRPr="00D47533" w:rsidRDefault="004A10EE" w:rsidP="00973CA3">
      <w:pPr>
        <w:pStyle w:val="Heading2"/>
        <w:rPr>
          <w:rFonts w:ascii="Arial" w:eastAsiaTheme="majorEastAsia" w:hAnsi="Arial" w:cs="Arial"/>
        </w:rPr>
      </w:pPr>
      <w:bookmarkStart w:id="32" w:name="_Toc109630106"/>
      <w:bookmarkStart w:id="33" w:name="_Toc110000649"/>
      <w:r w:rsidRPr="00D47533">
        <w:rPr>
          <w:rFonts w:ascii="Arial" w:eastAsiaTheme="majorEastAsia" w:hAnsi="Arial" w:cs="Arial"/>
          <w:caps w:val="0"/>
        </w:rPr>
        <w:t>RECEIVING &amp; PROCESSING THE GRANT AGREEMENT</w:t>
      </w:r>
      <w:bookmarkEnd w:id="32"/>
      <w:bookmarkEnd w:id="33"/>
    </w:p>
    <w:p w14:paraId="675A9260" w14:textId="0DE8837A" w:rsidR="00973CA3" w:rsidRPr="00D47533" w:rsidRDefault="00973CA3" w:rsidP="00D47533">
      <w:pPr>
        <w:contextualSpacing/>
        <w:rPr>
          <w:rFonts w:ascii="Arial" w:hAnsi="Arial" w:cs="Arial"/>
          <w:sz w:val="22"/>
          <w:szCs w:val="22"/>
        </w:rPr>
      </w:pPr>
      <w:r w:rsidRPr="00D47533">
        <w:rPr>
          <w:rFonts w:ascii="Arial" w:hAnsi="Arial" w:cs="Arial"/>
          <w:sz w:val="22"/>
          <w:szCs w:val="22"/>
        </w:rPr>
        <w:t xml:space="preserve">HUD will notify </w:t>
      </w:r>
      <w:r w:rsidR="00923CA6">
        <w:rPr>
          <w:rFonts w:ascii="Arial" w:hAnsi="Arial" w:cs="Arial"/>
          <w:sz w:val="22"/>
          <w:szCs w:val="22"/>
        </w:rPr>
        <w:t>EOHLC</w:t>
      </w:r>
      <w:r w:rsidRPr="00D47533">
        <w:rPr>
          <w:rFonts w:ascii="Arial" w:hAnsi="Arial" w:cs="Arial"/>
          <w:sz w:val="22"/>
          <w:szCs w:val="22"/>
        </w:rPr>
        <w:t xml:space="preserve"> that the grant agreement is prepared for signature by </w:t>
      </w:r>
      <w:r w:rsidR="00923CA6">
        <w:rPr>
          <w:rFonts w:ascii="Arial" w:hAnsi="Arial" w:cs="Arial"/>
          <w:sz w:val="22"/>
          <w:szCs w:val="22"/>
        </w:rPr>
        <w:t>EOHLC</w:t>
      </w:r>
      <w:r w:rsidRPr="00D47533">
        <w:rPr>
          <w:rFonts w:ascii="Arial" w:hAnsi="Arial" w:cs="Arial"/>
          <w:sz w:val="22"/>
          <w:szCs w:val="22"/>
        </w:rPr>
        <w:t>. Typically, the notice is issued to the Director of Policy or to the Federal Grants Manager; the person who receives the notice will coordinate with the Undersecretary’s office to complete the signature process with HUD.</w:t>
      </w:r>
    </w:p>
    <w:p w14:paraId="6BF11FA3" w14:textId="77777777" w:rsidR="00F73265" w:rsidRDefault="00F73265" w:rsidP="004E3C05">
      <w:pPr>
        <w:contextualSpacing/>
        <w:rPr>
          <w:rFonts w:ascii="Arial" w:hAnsi="Arial" w:cs="Arial"/>
          <w:sz w:val="22"/>
          <w:szCs w:val="22"/>
        </w:rPr>
      </w:pPr>
    </w:p>
    <w:p w14:paraId="18AE64FD" w14:textId="56789B78" w:rsidR="00973CA3" w:rsidRPr="00D47533" w:rsidRDefault="00973CA3" w:rsidP="00D47533">
      <w:pPr>
        <w:contextualSpacing/>
        <w:rPr>
          <w:rFonts w:ascii="Arial" w:hAnsi="Arial" w:cs="Arial"/>
          <w:sz w:val="22"/>
          <w:szCs w:val="22"/>
        </w:rPr>
      </w:pPr>
      <w:r w:rsidRPr="00D47533">
        <w:rPr>
          <w:rFonts w:ascii="Arial" w:hAnsi="Arial" w:cs="Arial"/>
          <w:sz w:val="22"/>
          <w:szCs w:val="22"/>
        </w:rPr>
        <w:t xml:space="preserve">Once complete, the Director of Policy or Federal Grants Manager will scan and send a copy of the document to the ESG Contract Manager. </w:t>
      </w:r>
    </w:p>
    <w:p w14:paraId="27964178" w14:textId="77777777" w:rsidR="00F73265" w:rsidRDefault="00F73265" w:rsidP="004E3C05">
      <w:pPr>
        <w:contextualSpacing/>
        <w:rPr>
          <w:rFonts w:ascii="Arial" w:hAnsi="Arial" w:cs="Arial"/>
          <w:sz w:val="22"/>
          <w:szCs w:val="22"/>
        </w:rPr>
      </w:pPr>
    </w:p>
    <w:p w14:paraId="7564F7E7" w14:textId="349086F5" w:rsidR="00973CA3" w:rsidRPr="00D47533" w:rsidRDefault="00973CA3" w:rsidP="00D47533">
      <w:pPr>
        <w:contextualSpacing/>
        <w:rPr>
          <w:rFonts w:ascii="Arial" w:hAnsi="Arial" w:cs="Arial"/>
          <w:sz w:val="22"/>
          <w:szCs w:val="22"/>
        </w:rPr>
      </w:pPr>
      <w:r w:rsidRPr="00D47533">
        <w:rPr>
          <w:rFonts w:ascii="Arial" w:hAnsi="Arial" w:cs="Arial"/>
          <w:sz w:val="22"/>
          <w:szCs w:val="22"/>
        </w:rPr>
        <w:t xml:space="preserve">The ESG Contract Manager will coordinate with the Budget Analyst on an appropriate timeline for issuing contracts to vendors based on when funds will be loaded into IDIS. This process typically takes 2-3 weeks, during which time contracts may be generated and submitted for internal review. </w:t>
      </w:r>
    </w:p>
    <w:p w14:paraId="3D874963" w14:textId="77777777" w:rsidR="00973CA3" w:rsidRPr="00D47533" w:rsidRDefault="00973CA3" w:rsidP="00973CA3">
      <w:pPr>
        <w:keepNext/>
        <w:keepLines/>
        <w:spacing w:before="40" w:after="0"/>
        <w:outlineLvl w:val="1"/>
        <w:rPr>
          <w:rFonts w:ascii="Arial" w:eastAsiaTheme="majorEastAsia" w:hAnsi="Arial" w:cs="Arial"/>
          <w:color w:val="276E8B" w:themeColor="accent1" w:themeShade="BF"/>
          <w:sz w:val="28"/>
          <w:szCs w:val="28"/>
        </w:rPr>
      </w:pPr>
    </w:p>
    <w:p w14:paraId="0A17272C" w14:textId="4D8A8E60" w:rsidR="00973CA3" w:rsidRPr="00D47533" w:rsidRDefault="004A10EE" w:rsidP="00973CA3">
      <w:pPr>
        <w:pStyle w:val="Heading2"/>
        <w:rPr>
          <w:rFonts w:ascii="Arial" w:eastAsiaTheme="majorEastAsia" w:hAnsi="Arial" w:cs="Arial"/>
        </w:rPr>
      </w:pPr>
      <w:bookmarkStart w:id="34" w:name="_Toc109630107"/>
      <w:bookmarkStart w:id="35" w:name="_Toc110000650"/>
      <w:r w:rsidRPr="00D47533">
        <w:rPr>
          <w:rFonts w:ascii="Arial" w:eastAsiaTheme="majorEastAsia" w:hAnsi="Arial" w:cs="Arial"/>
          <w:caps w:val="0"/>
        </w:rPr>
        <w:t>PREPARING CONTRACTS &amp; AMENDMENTS</w:t>
      </w:r>
      <w:bookmarkEnd w:id="34"/>
      <w:bookmarkEnd w:id="35"/>
      <w:r w:rsidRPr="00D47533">
        <w:rPr>
          <w:rFonts w:ascii="Arial" w:eastAsiaTheme="majorEastAsia" w:hAnsi="Arial" w:cs="Arial"/>
          <w:caps w:val="0"/>
        </w:rPr>
        <w:t xml:space="preserve"> </w:t>
      </w:r>
    </w:p>
    <w:p w14:paraId="1B9D8AA2" w14:textId="3CC7859E" w:rsidR="00973CA3" w:rsidRPr="00D47533" w:rsidRDefault="001C3523" w:rsidP="00D47533">
      <w:pPr>
        <w:contextualSpacing/>
        <w:rPr>
          <w:rFonts w:ascii="Arial" w:hAnsi="Arial" w:cs="Arial"/>
          <w:sz w:val="22"/>
          <w:szCs w:val="22"/>
          <w:highlight w:val="yellow"/>
        </w:rPr>
      </w:pPr>
      <w:r>
        <w:rPr>
          <w:rFonts w:ascii="Arial" w:hAnsi="Arial" w:cs="Arial"/>
          <w:sz w:val="22"/>
          <w:szCs w:val="22"/>
        </w:rPr>
        <w:t xml:space="preserve">All communication on initial contracts and contract amendments should be discussed with the </w:t>
      </w:r>
      <w:r w:rsidR="00BE6753">
        <w:rPr>
          <w:rFonts w:ascii="Arial" w:hAnsi="Arial" w:cs="Arial"/>
          <w:sz w:val="22"/>
          <w:szCs w:val="22"/>
        </w:rPr>
        <w:t>assigned contracts</w:t>
      </w:r>
      <w:r w:rsidR="00F22D77">
        <w:rPr>
          <w:rFonts w:ascii="Arial" w:hAnsi="Arial" w:cs="Arial"/>
          <w:sz w:val="22"/>
          <w:szCs w:val="22"/>
        </w:rPr>
        <w:t xml:space="preserve"> manager</w:t>
      </w:r>
      <w:r>
        <w:rPr>
          <w:rFonts w:ascii="Arial" w:hAnsi="Arial" w:cs="Arial"/>
          <w:sz w:val="22"/>
          <w:szCs w:val="22"/>
        </w:rPr>
        <w:t>.</w:t>
      </w:r>
    </w:p>
    <w:p w14:paraId="6A878E9B" w14:textId="35BF8A3C" w:rsidR="00973CA3" w:rsidRPr="00D47533" w:rsidRDefault="004A10EE" w:rsidP="00973CA3">
      <w:pPr>
        <w:pStyle w:val="Heading1"/>
        <w:rPr>
          <w:rFonts w:ascii="Arial" w:eastAsiaTheme="majorEastAsia" w:hAnsi="Arial" w:cs="Arial"/>
        </w:rPr>
      </w:pPr>
      <w:bookmarkStart w:id="36" w:name="_Toc109630123"/>
      <w:bookmarkStart w:id="37" w:name="_Toc110000651"/>
      <w:r w:rsidRPr="00D47533">
        <w:rPr>
          <w:rFonts w:ascii="Arial" w:eastAsiaTheme="majorEastAsia" w:hAnsi="Arial" w:cs="Arial"/>
          <w:caps w:val="0"/>
        </w:rPr>
        <w:t>PAYMENT REQUESTS / INVOICE</w:t>
      </w:r>
      <w:bookmarkEnd w:id="36"/>
      <w:bookmarkEnd w:id="37"/>
    </w:p>
    <w:p w14:paraId="6D76C80B" w14:textId="7AA77686" w:rsidR="00973CA3" w:rsidRPr="00D47533" w:rsidRDefault="00EE3F7A" w:rsidP="00973CA3">
      <w:pPr>
        <w:pStyle w:val="Heading2"/>
        <w:rPr>
          <w:rFonts w:ascii="Arial" w:eastAsiaTheme="majorEastAsia" w:hAnsi="Arial" w:cs="Arial"/>
        </w:rPr>
      </w:pPr>
      <w:bookmarkStart w:id="38" w:name="_Toc109630124"/>
      <w:bookmarkStart w:id="39" w:name="_Toc110000652"/>
      <w:r w:rsidRPr="00D47533">
        <w:rPr>
          <w:rFonts w:ascii="Arial" w:eastAsiaTheme="majorEastAsia" w:hAnsi="Arial" w:cs="Arial"/>
          <w:caps w:val="0"/>
        </w:rPr>
        <w:t>PROCESSING PAYMENT REQUESTS</w:t>
      </w:r>
      <w:bookmarkEnd w:id="38"/>
      <w:bookmarkEnd w:id="39"/>
      <w:r w:rsidRPr="00D47533">
        <w:rPr>
          <w:rFonts w:ascii="Arial" w:eastAsiaTheme="majorEastAsia" w:hAnsi="Arial" w:cs="Arial"/>
          <w:caps w:val="0"/>
        </w:rPr>
        <w:t xml:space="preserve"> </w:t>
      </w:r>
    </w:p>
    <w:p w14:paraId="00E531E1" w14:textId="77777777" w:rsidR="00973CA3" w:rsidRPr="00D47533" w:rsidRDefault="00973CA3" w:rsidP="004A10EE">
      <w:pPr>
        <w:widowControl w:val="0"/>
        <w:numPr>
          <w:ilvl w:val="0"/>
          <w:numId w:val="26"/>
        </w:numPr>
        <w:spacing w:after="0"/>
        <w:contextualSpacing/>
        <w:jc w:val="both"/>
        <w:rPr>
          <w:rFonts w:ascii="Arial" w:hAnsi="Arial" w:cs="Arial"/>
          <w:sz w:val="22"/>
          <w:szCs w:val="22"/>
        </w:rPr>
      </w:pPr>
      <w:r w:rsidRPr="00D47533">
        <w:rPr>
          <w:rFonts w:ascii="Arial" w:hAnsi="Arial" w:cs="Arial"/>
          <w:sz w:val="22"/>
          <w:szCs w:val="22"/>
        </w:rPr>
        <w:t xml:space="preserve">Payment requests and corresponding supporting documentation (MER, personnel summary reports, rent rolls, </w:t>
      </w:r>
      <w:proofErr w:type="spellStart"/>
      <w:r w:rsidRPr="00D47533">
        <w:rPr>
          <w:rFonts w:ascii="Arial" w:hAnsi="Arial" w:cs="Arial"/>
          <w:sz w:val="22"/>
          <w:szCs w:val="22"/>
        </w:rPr>
        <w:t>etc</w:t>
      </w:r>
      <w:proofErr w:type="spellEnd"/>
      <w:r w:rsidRPr="00D47533">
        <w:rPr>
          <w:rFonts w:ascii="Arial" w:hAnsi="Arial" w:cs="Arial"/>
          <w:sz w:val="22"/>
          <w:szCs w:val="22"/>
        </w:rPr>
        <w:t>) for all programs are due to the Program Coordinator no later than the close of business on the 20</w:t>
      </w:r>
      <w:r w:rsidRPr="00D47533">
        <w:rPr>
          <w:rFonts w:ascii="Arial" w:hAnsi="Arial" w:cs="Arial"/>
          <w:sz w:val="22"/>
          <w:szCs w:val="22"/>
          <w:vertAlign w:val="superscript"/>
        </w:rPr>
        <w:t>th</w:t>
      </w:r>
      <w:r w:rsidRPr="00D47533">
        <w:rPr>
          <w:rFonts w:ascii="Arial" w:hAnsi="Arial" w:cs="Arial"/>
          <w:sz w:val="22"/>
          <w:szCs w:val="22"/>
        </w:rPr>
        <w:t xml:space="preserve"> of each month, unless a modified submission date has been agreed upon.</w:t>
      </w:r>
    </w:p>
    <w:p w14:paraId="73B73D28" w14:textId="77777777" w:rsidR="00973CA3" w:rsidRPr="00D47533" w:rsidRDefault="00973CA3" w:rsidP="004A10EE">
      <w:pPr>
        <w:widowControl w:val="0"/>
        <w:numPr>
          <w:ilvl w:val="0"/>
          <w:numId w:val="26"/>
        </w:numPr>
        <w:spacing w:after="0"/>
        <w:contextualSpacing/>
        <w:jc w:val="both"/>
        <w:rPr>
          <w:rFonts w:ascii="Arial" w:hAnsi="Arial" w:cs="Arial"/>
          <w:sz w:val="22"/>
          <w:szCs w:val="22"/>
        </w:rPr>
      </w:pPr>
      <w:r w:rsidRPr="00D47533">
        <w:rPr>
          <w:rFonts w:ascii="Arial" w:hAnsi="Arial" w:cs="Arial"/>
          <w:sz w:val="22"/>
          <w:szCs w:val="22"/>
        </w:rPr>
        <w:t>Once received, within two business days, the Program Coordinator will review the packet for:</w:t>
      </w:r>
    </w:p>
    <w:p w14:paraId="57B21F1E"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Assuring completeness of the payment voucher</w:t>
      </w:r>
    </w:p>
    <w:p w14:paraId="6760A361"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 xml:space="preserve">Assuring that the payment requests are consistent with the contract </w:t>
      </w:r>
    </w:p>
    <w:p w14:paraId="0168A625"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Date stamping and logging the request</w:t>
      </w:r>
    </w:p>
    <w:p w14:paraId="26BA8E1E"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lastRenderedPageBreak/>
        <w:t>Consistency between the supporting documentation in the packet with the payment voucher.</w:t>
      </w:r>
    </w:p>
    <w:p w14:paraId="5DEAE2F9"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The payment request is appropriately signed</w:t>
      </w:r>
    </w:p>
    <w:p w14:paraId="17125A24"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There are adequate funds remaining on the contracted amount within each line item to cover the payment requested.</w:t>
      </w:r>
    </w:p>
    <w:p w14:paraId="3618D39F" w14:textId="77777777" w:rsidR="00973CA3" w:rsidRPr="00D47533" w:rsidRDefault="00973CA3" w:rsidP="004A10EE">
      <w:pPr>
        <w:widowControl w:val="0"/>
        <w:numPr>
          <w:ilvl w:val="0"/>
          <w:numId w:val="26"/>
        </w:numPr>
        <w:spacing w:after="0"/>
        <w:contextualSpacing/>
        <w:jc w:val="both"/>
        <w:rPr>
          <w:rFonts w:ascii="Arial" w:hAnsi="Arial" w:cs="Arial"/>
          <w:sz w:val="22"/>
          <w:szCs w:val="22"/>
        </w:rPr>
      </w:pPr>
      <w:r w:rsidRPr="00D47533">
        <w:rPr>
          <w:rFonts w:ascii="Arial" w:hAnsi="Arial" w:cs="Arial"/>
          <w:sz w:val="22"/>
          <w:szCs w:val="22"/>
        </w:rPr>
        <w:t>If there are issues with the packet:</w:t>
      </w:r>
    </w:p>
    <w:p w14:paraId="717B4B9B"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 xml:space="preserve">The Program Coordinator will email the sub-recipient and request corrections be made and the revised payment request be re-submitted within two days and will follow up with the sub-recipient by phone and email (cc’ing the Federal Grants Manager as necessary) every three days until the revised packet has been received. </w:t>
      </w:r>
    </w:p>
    <w:p w14:paraId="22107923"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On the 1</w:t>
      </w:r>
      <w:r w:rsidRPr="00D47533">
        <w:rPr>
          <w:rFonts w:ascii="Arial" w:hAnsi="Arial" w:cs="Arial"/>
          <w:sz w:val="22"/>
          <w:szCs w:val="22"/>
          <w:vertAlign w:val="superscript"/>
        </w:rPr>
        <w:t>st</w:t>
      </w:r>
      <w:r w:rsidRPr="00D47533">
        <w:rPr>
          <w:rFonts w:ascii="Arial" w:hAnsi="Arial" w:cs="Arial"/>
          <w:sz w:val="22"/>
          <w:szCs w:val="22"/>
        </w:rPr>
        <w:t xml:space="preserve">  of the following month, the Program Coordinator will generate a list of sub-recipients that have failed to submit a complete packet for processing, including any status updates from the sub-recipient. The list of outstanding ESG packets will be given to the Federal Grants Manager by the end of the business day.</w:t>
      </w:r>
    </w:p>
    <w:p w14:paraId="6D04090E"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The Federal Grants Manager will contact the Executive Director of the agency with incorrect or missing payment request via phone and e-mail on the2nd of each month alerting them to the situation and asking them to assure that the repaired request is submitted to the Program Coordinator within the next three days.</w:t>
      </w:r>
    </w:p>
    <w:p w14:paraId="4EDC5A04"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On the 5</w:t>
      </w:r>
      <w:r w:rsidRPr="00D47533">
        <w:rPr>
          <w:rFonts w:ascii="Arial" w:hAnsi="Arial" w:cs="Arial"/>
          <w:sz w:val="22"/>
          <w:szCs w:val="22"/>
          <w:vertAlign w:val="superscript"/>
        </w:rPr>
        <w:t>th</w:t>
      </w:r>
      <w:r w:rsidRPr="00D47533">
        <w:rPr>
          <w:rFonts w:ascii="Arial" w:hAnsi="Arial" w:cs="Arial"/>
          <w:sz w:val="22"/>
          <w:szCs w:val="22"/>
        </w:rPr>
        <w:t xml:space="preserve"> of each month, the Program Coordinator will alert the Federal Grants Manager of any PVs that are still incomplete or missing.   </w:t>
      </w:r>
    </w:p>
    <w:p w14:paraId="76763613"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 xml:space="preserve">The Federal Grants Manager will send, via US mail, a written letter explaining that the payment request is significantly </w:t>
      </w:r>
      <w:proofErr w:type="gramStart"/>
      <w:r w:rsidRPr="00D47533">
        <w:rPr>
          <w:rFonts w:ascii="Arial" w:hAnsi="Arial" w:cs="Arial"/>
          <w:sz w:val="22"/>
          <w:szCs w:val="22"/>
        </w:rPr>
        <w:t>late</w:t>
      </w:r>
      <w:proofErr w:type="gramEnd"/>
      <w:r w:rsidRPr="00D47533">
        <w:rPr>
          <w:rFonts w:ascii="Arial" w:hAnsi="Arial" w:cs="Arial"/>
          <w:sz w:val="22"/>
          <w:szCs w:val="22"/>
        </w:rPr>
        <w:t xml:space="preserve"> and the project is in jeopardy of being in noncompliance.</w:t>
      </w:r>
    </w:p>
    <w:p w14:paraId="300562F3" w14:textId="77777777" w:rsidR="00973CA3" w:rsidRPr="00D47533" w:rsidRDefault="00973CA3" w:rsidP="004A10EE">
      <w:pPr>
        <w:widowControl w:val="0"/>
        <w:numPr>
          <w:ilvl w:val="0"/>
          <w:numId w:val="26"/>
        </w:numPr>
        <w:spacing w:after="0"/>
        <w:contextualSpacing/>
        <w:jc w:val="both"/>
        <w:rPr>
          <w:rFonts w:ascii="Arial" w:hAnsi="Arial" w:cs="Arial"/>
          <w:sz w:val="22"/>
          <w:szCs w:val="22"/>
        </w:rPr>
      </w:pPr>
      <w:r w:rsidRPr="00D47533">
        <w:rPr>
          <w:rFonts w:ascii="Arial" w:hAnsi="Arial" w:cs="Arial"/>
          <w:sz w:val="22"/>
          <w:szCs w:val="22"/>
        </w:rPr>
        <w:t>If there are no issues with the packet:</w:t>
      </w:r>
    </w:p>
    <w:p w14:paraId="59B1DB6B"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 xml:space="preserve">The Program Coordinator will prepare the PRC and, where relevant LOCCS forms, including assigning a unique PRC number. </w:t>
      </w:r>
    </w:p>
    <w:p w14:paraId="173B7B3B"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The Program Coordinator will prepare the packet for accounting</w:t>
      </w:r>
    </w:p>
    <w:p w14:paraId="1F0A6DE9"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The Program Coordinator will then send the packet to the Director of Finance and log it on the unit spreadsheet.</w:t>
      </w:r>
    </w:p>
    <w:p w14:paraId="6E273625" w14:textId="77777777" w:rsidR="00973CA3" w:rsidRPr="00D47533" w:rsidRDefault="00973CA3" w:rsidP="004A10EE">
      <w:pPr>
        <w:widowControl w:val="0"/>
        <w:numPr>
          <w:ilvl w:val="1"/>
          <w:numId w:val="26"/>
        </w:numPr>
        <w:spacing w:after="0"/>
        <w:contextualSpacing/>
        <w:jc w:val="both"/>
        <w:rPr>
          <w:rFonts w:ascii="Arial" w:hAnsi="Arial" w:cs="Arial"/>
          <w:sz w:val="22"/>
          <w:szCs w:val="22"/>
        </w:rPr>
      </w:pPr>
      <w:r w:rsidRPr="00D47533">
        <w:rPr>
          <w:rFonts w:ascii="Arial" w:hAnsi="Arial" w:cs="Arial"/>
          <w:sz w:val="22"/>
          <w:szCs w:val="22"/>
        </w:rPr>
        <w:t xml:space="preserve">The Director of Finance will review and approve the packet and send it to </w:t>
      </w:r>
      <w:proofErr w:type="gramStart"/>
      <w:r w:rsidRPr="00D47533">
        <w:rPr>
          <w:rFonts w:ascii="Arial" w:hAnsi="Arial" w:cs="Arial"/>
          <w:sz w:val="22"/>
          <w:szCs w:val="22"/>
        </w:rPr>
        <w:t>accounting</w:t>
      </w:r>
      <w:proofErr w:type="gramEnd"/>
      <w:r w:rsidRPr="00D47533">
        <w:rPr>
          <w:rFonts w:ascii="Arial" w:hAnsi="Arial" w:cs="Arial"/>
          <w:sz w:val="22"/>
          <w:szCs w:val="22"/>
        </w:rPr>
        <w:t>.</w:t>
      </w:r>
    </w:p>
    <w:p w14:paraId="7155139D" w14:textId="5988110E" w:rsidR="00973CA3" w:rsidRPr="00D47533" w:rsidRDefault="00EE3F7A" w:rsidP="00973CA3">
      <w:pPr>
        <w:pStyle w:val="Heading2"/>
        <w:rPr>
          <w:rFonts w:ascii="Arial" w:eastAsiaTheme="majorEastAsia" w:hAnsi="Arial" w:cs="Arial"/>
        </w:rPr>
      </w:pPr>
      <w:bookmarkStart w:id="40" w:name="_Toc109630125"/>
      <w:bookmarkStart w:id="41" w:name="_Toc110000653"/>
      <w:r w:rsidRPr="00D47533">
        <w:rPr>
          <w:rFonts w:ascii="Arial" w:eastAsiaTheme="majorEastAsia" w:hAnsi="Arial" w:cs="Arial"/>
          <w:caps w:val="0"/>
        </w:rPr>
        <w:t>RECEIVING REQUESTS IN A TIMELY WAY</w:t>
      </w:r>
      <w:bookmarkEnd w:id="40"/>
      <w:bookmarkEnd w:id="41"/>
    </w:p>
    <w:p w14:paraId="67DE56B5" w14:textId="77777777" w:rsidR="00973CA3" w:rsidRPr="00D47533" w:rsidRDefault="00973CA3" w:rsidP="00D47533">
      <w:pPr>
        <w:ind w:left="360"/>
        <w:contextualSpacing/>
        <w:rPr>
          <w:rFonts w:ascii="Arial" w:hAnsi="Arial" w:cs="Arial"/>
          <w:sz w:val="22"/>
          <w:szCs w:val="22"/>
        </w:rPr>
      </w:pPr>
      <w:r w:rsidRPr="00D47533">
        <w:rPr>
          <w:rFonts w:ascii="Arial" w:hAnsi="Arial" w:cs="Arial"/>
          <w:sz w:val="22"/>
          <w:szCs w:val="22"/>
        </w:rPr>
        <w:t xml:space="preserve">Payment vouchers and corresponding supporting documentation (MER, personnel summary reports, requisition forms rent roles, invoices, </w:t>
      </w:r>
      <w:proofErr w:type="spellStart"/>
      <w:r w:rsidRPr="00D47533">
        <w:rPr>
          <w:rFonts w:ascii="Arial" w:hAnsi="Arial" w:cs="Arial"/>
          <w:sz w:val="22"/>
          <w:szCs w:val="22"/>
        </w:rPr>
        <w:t>etc</w:t>
      </w:r>
      <w:proofErr w:type="spellEnd"/>
      <w:r w:rsidRPr="00D47533">
        <w:rPr>
          <w:rFonts w:ascii="Arial" w:hAnsi="Arial" w:cs="Arial"/>
          <w:sz w:val="22"/>
          <w:szCs w:val="22"/>
        </w:rPr>
        <w:t>) for all Federal Grants are due to the Program Coordinator responsible for monitoring the project, no later than the close of business on the 20</w:t>
      </w:r>
      <w:r w:rsidRPr="00D47533">
        <w:rPr>
          <w:rFonts w:ascii="Arial" w:hAnsi="Arial" w:cs="Arial"/>
          <w:sz w:val="22"/>
          <w:szCs w:val="22"/>
          <w:vertAlign w:val="superscript"/>
        </w:rPr>
        <w:t>th</w:t>
      </w:r>
      <w:r w:rsidRPr="00D47533">
        <w:rPr>
          <w:rFonts w:ascii="Arial" w:hAnsi="Arial" w:cs="Arial"/>
          <w:sz w:val="22"/>
          <w:szCs w:val="22"/>
        </w:rPr>
        <w:t xml:space="preserve"> of each month.</w:t>
      </w:r>
    </w:p>
    <w:p w14:paraId="0EBA1DAE" w14:textId="77777777" w:rsidR="00011DA7" w:rsidRDefault="00011DA7" w:rsidP="00011DA7">
      <w:pPr>
        <w:ind w:left="360"/>
        <w:contextualSpacing/>
        <w:rPr>
          <w:rFonts w:ascii="Arial" w:hAnsi="Arial" w:cs="Arial"/>
          <w:sz w:val="22"/>
          <w:szCs w:val="22"/>
        </w:rPr>
      </w:pPr>
    </w:p>
    <w:p w14:paraId="57B15484" w14:textId="09D0F415" w:rsidR="00973CA3" w:rsidRPr="00D47533" w:rsidRDefault="00973CA3" w:rsidP="00D47533">
      <w:pPr>
        <w:ind w:left="360"/>
        <w:contextualSpacing/>
        <w:rPr>
          <w:rFonts w:ascii="Arial" w:hAnsi="Arial" w:cs="Arial"/>
          <w:sz w:val="22"/>
          <w:szCs w:val="22"/>
        </w:rPr>
      </w:pPr>
      <w:r w:rsidRPr="00D47533">
        <w:rPr>
          <w:rFonts w:ascii="Arial" w:hAnsi="Arial" w:cs="Arial"/>
          <w:sz w:val="22"/>
          <w:szCs w:val="22"/>
        </w:rPr>
        <w:t xml:space="preserve">The Program Coordinator will contact the subrecipient of any project with missing payment vouchers via phone </w:t>
      </w:r>
      <w:r w:rsidR="00C43F53">
        <w:rPr>
          <w:rFonts w:ascii="Arial" w:hAnsi="Arial" w:cs="Arial"/>
          <w:sz w:val="22"/>
          <w:szCs w:val="22"/>
        </w:rPr>
        <w:t xml:space="preserve">or </w:t>
      </w:r>
      <w:r w:rsidR="00C43F53" w:rsidRPr="00D47533">
        <w:rPr>
          <w:rFonts w:ascii="Arial" w:hAnsi="Arial" w:cs="Arial"/>
          <w:sz w:val="22"/>
          <w:szCs w:val="22"/>
        </w:rPr>
        <w:t xml:space="preserve">an e-mail </w:t>
      </w:r>
      <w:r w:rsidRPr="00D47533">
        <w:rPr>
          <w:rFonts w:ascii="Arial" w:hAnsi="Arial" w:cs="Arial"/>
          <w:sz w:val="22"/>
          <w:szCs w:val="22"/>
        </w:rPr>
        <w:t>on the 21</w:t>
      </w:r>
      <w:r w:rsidRPr="00D47533">
        <w:rPr>
          <w:rFonts w:ascii="Arial" w:hAnsi="Arial" w:cs="Arial"/>
          <w:sz w:val="22"/>
          <w:szCs w:val="22"/>
          <w:vertAlign w:val="superscript"/>
        </w:rPr>
        <w:t>st</w:t>
      </w:r>
      <w:r w:rsidRPr="00D47533">
        <w:rPr>
          <w:rFonts w:ascii="Arial" w:hAnsi="Arial" w:cs="Arial"/>
          <w:sz w:val="22"/>
          <w:szCs w:val="22"/>
        </w:rPr>
        <w:t xml:space="preserve"> of each month and follow up </w:t>
      </w:r>
      <w:r w:rsidR="00485174">
        <w:rPr>
          <w:rFonts w:ascii="Arial" w:hAnsi="Arial" w:cs="Arial"/>
          <w:sz w:val="22"/>
          <w:szCs w:val="22"/>
        </w:rPr>
        <w:t>as needed</w:t>
      </w:r>
      <w:r w:rsidRPr="00D47533">
        <w:rPr>
          <w:rFonts w:ascii="Arial" w:hAnsi="Arial" w:cs="Arial"/>
          <w:sz w:val="22"/>
          <w:szCs w:val="22"/>
        </w:rPr>
        <w:t>.  Subrecipients will be instructed to submit their paperwork within 48 hours.</w:t>
      </w:r>
    </w:p>
    <w:p w14:paraId="1E823582" w14:textId="77777777" w:rsidR="00011DA7" w:rsidRDefault="00011DA7" w:rsidP="00011DA7">
      <w:pPr>
        <w:ind w:left="360"/>
        <w:contextualSpacing/>
        <w:rPr>
          <w:rFonts w:ascii="Arial" w:hAnsi="Arial" w:cs="Arial"/>
          <w:sz w:val="22"/>
          <w:szCs w:val="22"/>
        </w:rPr>
      </w:pPr>
    </w:p>
    <w:p w14:paraId="490421F8" w14:textId="5CF42D7E" w:rsidR="00973CA3" w:rsidRPr="00D47533" w:rsidRDefault="00973CA3" w:rsidP="00D47533">
      <w:pPr>
        <w:ind w:left="360"/>
        <w:contextualSpacing/>
        <w:rPr>
          <w:rFonts w:ascii="Arial" w:hAnsi="Arial" w:cs="Arial"/>
          <w:sz w:val="22"/>
          <w:szCs w:val="22"/>
        </w:rPr>
      </w:pPr>
      <w:r w:rsidRPr="00D47533">
        <w:rPr>
          <w:rFonts w:ascii="Arial" w:hAnsi="Arial" w:cs="Arial"/>
          <w:sz w:val="22"/>
          <w:szCs w:val="22"/>
        </w:rPr>
        <w:lastRenderedPageBreak/>
        <w:t>The Program Coordinator will notify the Federal Grants Manager of any missing payment vouchers by the close of business on the 25</w:t>
      </w:r>
      <w:r w:rsidRPr="00D47533">
        <w:rPr>
          <w:rFonts w:ascii="Arial" w:hAnsi="Arial" w:cs="Arial"/>
          <w:sz w:val="22"/>
          <w:szCs w:val="22"/>
          <w:vertAlign w:val="superscript"/>
        </w:rPr>
        <w:t>th</w:t>
      </w:r>
      <w:r w:rsidRPr="00D47533">
        <w:rPr>
          <w:rFonts w:ascii="Arial" w:hAnsi="Arial" w:cs="Arial"/>
          <w:sz w:val="22"/>
          <w:szCs w:val="22"/>
        </w:rPr>
        <w:t xml:space="preserve"> of each month.</w:t>
      </w:r>
    </w:p>
    <w:p w14:paraId="3CAE08DB" w14:textId="77777777" w:rsidR="00011DA7" w:rsidRDefault="00011DA7" w:rsidP="00011DA7">
      <w:pPr>
        <w:ind w:left="360"/>
        <w:contextualSpacing/>
        <w:rPr>
          <w:rFonts w:ascii="Arial" w:hAnsi="Arial" w:cs="Arial"/>
          <w:sz w:val="22"/>
          <w:szCs w:val="22"/>
        </w:rPr>
      </w:pPr>
    </w:p>
    <w:p w14:paraId="3E981504" w14:textId="7CF0CB23" w:rsidR="00973CA3" w:rsidRPr="00D47533" w:rsidRDefault="00973CA3" w:rsidP="00D47533">
      <w:pPr>
        <w:ind w:left="360"/>
        <w:contextualSpacing/>
        <w:rPr>
          <w:rFonts w:ascii="Arial" w:hAnsi="Arial" w:cs="Arial"/>
          <w:sz w:val="22"/>
          <w:szCs w:val="22"/>
        </w:rPr>
      </w:pPr>
      <w:r w:rsidRPr="00D47533">
        <w:rPr>
          <w:rFonts w:ascii="Arial" w:hAnsi="Arial" w:cs="Arial"/>
          <w:sz w:val="22"/>
          <w:szCs w:val="22"/>
        </w:rPr>
        <w:t>The Federal Grants Manager will contact the Executive Director of the agency with missing payment vouchers via phone and e-mail on the 25</w:t>
      </w:r>
      <w:r w:rsidRPr="00D47533">
        <w:rPr>
          <w:rFonts w:ascii="Arial" w:hAnsi="Arial" w:cs="Arial"/>
          <w:sz w:val="22"/>
          <w:szCs w:val="22"/>
          <w:vertAlign w:val="superscript"/>
        </w:rPr>
        <w:t>th</w:t>
      </w:r>
      <w:r w:rsidRPr="00D47533">
        <w:rPr>
          <w:rFonts w:ascii="Arial" w:hAnsi="Arial" w:cs="Arial"/>
          <w:sz w:val="22"/>
          <w:szCs w:val="22"/>
        </w:rPr>
        <w:t xml:space="preserve"> of each month alerting them to the situation and asking them to assure that the voucher is submitted to the Program Coordinator within the next three days.</w:t>
      </w:r>
    </w:p>
    <w:p w14:paraId="1B5AD1CA" w14:textId="77777777" w:rsidR="00011DA7" w:rsidRDefault="00011DA7" w:rsidP="00011DA7">
      <w:pPr>
        <w:ind w:left="360"/>
        <w:contextualSpacing/>
        <w:rPr>
          <w:rFonts w:ascii="Arial" w:hAnsi="Arial" w:cs="Arial"/>
          <w:sz w:val="22"/>
          <w:szCs w:val="22"/>
        </w:rPr>
      </w:pPr>
    </w:p>
    <w:p w14:paraId="02E5963A" w14:textId="0042A365" w:rsidR="00973CA3" w:rsidRPr="00D47533" w:rsidRDefault="00973CA3" w:rsidP="00D47533">
      <w:pPr>
        <w:ind w:left="360"/>
        <w:contextualSpacing/>
        <w:rPr>
          <w:rFonts w:ascii="Arial" w:hAnsi="Arial" w:cs="Arial"/>
          <w:sz w:val="22"/>
          <w:szCs w:val="22"/>
        </w:rPr>
      </w:pPr>
      <w:r w:rsidRPr="00D47533">
        <w:rPr>
          <w:rFonts w:ascii="Arial" w:hAnsi="Arial" w:cs="Arial"/>
          <w:sz w:val="22"/>
          <w:szCs w:val="22"/>
        </w:rPr>
        <w:t>On the 29</w:t>
      </w:r>
      <w:r w:rsidRPr="00D47533">
        <w:rPr>
          <w:rFonts w:ascii="Arial" w:hAnsi="Arial" w:cs="Arial"/>
          <w:sz w:val="22"/>
          <w:szCs w:val="22"/>
          <w:vertAlign w:val="superscript"/>
        </w:rPr>
        <w:t>th</w:t>
      </w:r>
      <w:r w:rsidRPr="00D47533">
        <w:rPr>
          <w:rFonts w:ascii="Arial" w:hAnsi="Arial" w:cs="Arial"/>
          <w:sz w:val="22"/>
          <w:szCs w:val="22"/>
        </w:rPr>
        <w:t xml:space="preserve"> of each month, the Program Coordinator will alert the Federal Grants Manager of any payment vouchers that have still not been submitted.  The Federal Grants Manager will send, via US mail, a written letter explaining that the payment voucher is significantly </w:t>
      </w:r>
      <w:proofErr w:type="gramStart"/>
      <w:r w:rsidRPr="00D47533">
        <w:rPr>
          <w:rFonts w:ascii="Arial" w:hAnsi="Arial" w:cs="Arial"/>
          <w:sz w:val="22"/>
          <w:szCs w:val="22"/>
        </w:rPr>
        <w:t>late</w:t>
      </w:r>
      <w:proofErr w:type="gramEnd"/>
      <w:r w:rsidRPr="00D47533">
        <w:rPr>
          <w:rFonts w:ascii="Arial" w:hAnsi="Arial" w:cs="Arial"/>
          <w:sz w:val="22"/>
          <w:szCs w:val="22"/>
        </w:rPr>
        <w:t xml:space="preserve"> and the project is in jeopardy of being in noncompliance.</w:t>
      </w:r>
    </w:p>
    <w:p w14:paraId="3CC0EEAF" w14:textId="77777777" w:rsidR="00973CA3" w:rsidRPr="00D47533" w:rsidRDefault="00973CA3" w:rsidP="00973CA3">
      <w:pPr>
        <w:rPr>
          <w:rFonts w:ascii="Arial" w:eastAsiaTheme="majorEastAsia" w:hAnsi="Arial" w:cs="Arial"/>
          <w:color w:val="276E8B" w:themeColor="accent1" w:themeShade="BF"/>
          <w:sz w:val="36"/>
          <w:szCs w:val="36"/>
        </w:rPr>
      </w:pPr>
      <w:r w:rsidRPr="00D47533">
        <w:rPr>
          <w:rFonts w:ascii="Arial" w:hAnsi="Arial" w:cs="Arial"/>
          <w:sz w:val="22"/>
          <w:szCs w:val="22"/>
        </w:rPr>
        <w:br w:type="page"/>
      </w:r>
    </w:p>
    <w:p w14:paraId="50919195" w14:textId="3C89F671" w:rsidR="00973CA3" w:rsidRPr="00D47533" w:rsidRDefault="004A10EE" w:rsidP="00973CA3">
      <w:pPr>
        <w:pStyle w:val="Heading1"/>
        <w:rPr>
          <w:rFonts w:ascii="Arial" w:eastAsiaTheme="majorEastAsia" w:hAnsi="Arial" w:cs="Arial"/>
        </w:rPr>
      </w:pPr>
      <w:bookmarkStart w:id="42" w:name="_Toc109630126"/>
      <w:bookmarkStart w:id="43" w:name="_Toc110000654"/>
      <w:r w:rsidRPr="00D47533">
        <w:rPr>
          <w:rFonts w:ascii="Arial" w:eastAsiaTheme="majorEastAsia" w:hAnsi="Arial" w:cs="Arial"/>
          <w:caps w:val="0"/>
        </w:rPr>
        <w:lastRenderedPageBreak/>
        <w:t>FEDERAL CASH DRAW PROCESSING</w:t>
      </w:r>
      <w:bookmarkEnd w:id="42"/>
      <w:bookmarkEnd w:id="43"/>
    </w:p>
    <w:p w14:paraId="7B8AE215" w14:textId="77777777" w:rsidR="00973CA3" w:rsidRPr="00D47533" w:rsidRDefault="00973CA3" w:rsidP="00973CA3">
      <w:pPr>
        <w:rPr>
          <w:rFonts w:ascii="Arial" w:hAnsi="Arial" w:cs="Arial"/>
          <w:sz w:val="22"/>
          <w:szCs w:val="22"/>
        </w:rPr>
      </w:pPr>
      <w:bookmarkStart w:id="44" w:name="_Toc402437939"/>
      <w:r w:rsidRPr="00D47533">
        <w:rPr>
          <w:rFonts w:ascii="Arial" w:hAnsi="Arial" w:cs="Arial"/>
          <w:b/>
          <w:sz w:val="22"/>
          <w:szCs w:val="22"/>
        </w:rPr>
        <w:t>Control Objective:</w:t>
      </w:r>
      <w:r w:rsidRPr="00D47533">
        <w:rPr>
          <w:rFonts w:ascii="Arial" w:hAnsi="Arial" w:cs="Arial"/>
          <w:sz w:val="22"/>
          <w:szCs w:val="22"/>
        </w:rPr>
        <w:t xml:space="preserve"> To ensure that cash draws are for legitimate </w:t>
      </w:r>
      <w:proofErr w:type="gramStart"/>
      <w:r w:rsidRPr="00D47533">
        <w:rPr>
          <w:rFonts w:ascii="Arial" w:hAnsi="Arial" w:cs="Arial"/>
          <w:sz w:val="22"/>
          <w:szCs w:val="22"/>
        </w:rPr>
        <w:t>service related</w:t>
      </w:r>
      <w:proofErr w:type="gramEnd"/>
      <w:r w:rsidRPr="00D47533">
        <w:rPr>
          <w:rFonts w:ascii="Arial" w:hAnsi="Arial" w:cs="Arial"/>
          <w:sz w:val="22"/>
          <w:szCs w:val="22"/>
        </w:rPr>
        <w:t xml:space="preserve"> expenses; for the correct vendor, for proper service activities, and the correct amount.</w:t>
      </w:r>
      <w:bookmarkEnd w:id="44"/>
    </w:p>
    <w:p w14:paraId="1A10417B" w14:textId="77777777" w:rsidR="00973CA3" w:rsidRPr="00D47533" w:rsidRDefault="00973CA3" w:rsidP="00973CA3">
      <w:pPr>
        <w:rPr>
          <w:rFonts w:ascii="Arial" w:hAnsi="Arial" w:cs="Arial"/>
          <w:sz w:val="22"/>
          <w:szCs w:val="22"/>
        </w:rPr>
      </w:pPr>
      <w:bookmarkStart w:id="45" w:name="_Toc402437940"/>
      <w:r w:rsidRPr="00D47533">
        <w:rPr>
          <w:rFonts w:ascii="Arial" w:hAnsi="Arial" w:cs="Arial"/>
          <w:b/>
          <w:sz w:val="22"/>
          <w:szCs w:val="22"/>
        </w:rPr>
        <w:t>Risk Assessment</w:t>
      </w:r>
      <w:r w:rsidRPr="00D47533">
        <w:rPr>
          <w:rFonts w:ascii="Arial" w:hAnsi="Arial" w:cs="Arial"/>
          <w:sz w:val="22"/>
          <w:szCs w:val="22"/>
        </w:rPr>
        <w:t>: There is the risk that payments and related cash draws might not be service/program related and the authorization control violated.</w:t>
      </w:r>
      <w:bookmarkEnd w:id="45"/>
    </w:p>
    <w:p w14:paraId="7CACDD47" w14:textId="77777777" w:rsidR="00973CA3" w:rsidRPr="00D47533" w:rsidRDefault="00973CA3" w:rsidP="00973CA3">
      <w:pPr>
        <w:rPr>
          <w:rFonts w:ascii="Arial" w:hAnsi="Arial" w:cs="Arial"/>
          <w:b/>
          <w:sz w:val="22"/>
          <w:szCs w:val="22"/>
        </w:rPr>
      </w:pPr>
      <w:bookmarkStart w:id="46" w:name="_Toc402437941"/>
      <w:r w:rsidRPr="00D47533">
        <w:rPr>
          <w:rFonts w:ascii="Arial" w:hAnsi="Arial" w:cs="Arial"/>
          <w:b/>
          <w:sz w:val="22"/>
          <w:szCs w:val="22"/>
        </w:rPr>
        <w:t>Procedures to mitigate risks</w:t>
      </w:r>
      <w:bookmarkEnd w:id="46"/>
    </w:p>
    <w:p w14:paraId="0EB1E595" w14:textId="77777777" w:rsidR="00973CA3" w:rsidRPr="00D47533" w:rsidRDefault="00973CA3" w:rsidP="00973CA3">
      <w:pPr>
        <w:spacing w:after="0"/>
        <w:jc w:val="both"/>
        <w:rPr>
          <w:rFonts w:ascii="Arial" w:hAnsi="Arial" w:cs="Arial"/>
          <w:sz w:val="22"/>
          <w:szCs w:val="22"/>
        </w:rPr>
      </w:pPr>
      <w:r w:rsidRPr="00D47533">
        <w:rPr>
          <w:rFonts w:ascii="Arial" w:hAnsi="Arial" w:cs="Arial"/>
          <w:sz w:val="22"/>
          <w:szCs w:val="22"/>
        </w:rPr>
        <w:t>The following procedures are in place to ensure cash draw procedure control.</w:t>
      </w:r>
    </w:p>
    <w:p w14:paraId="59C1311C" w14:textId="77777777" w:rsidR="00973CA3" w:rsidRPr="00D47533" w:rsidRDefault="00973CA3" w:rsidP="00973CA3">
      <w:pPr>
        <w:spacing w:after="0"/>
        <w:rPr>
          <w:rFonts w:ascii="Arial" w:hAnsi="Arial" w:cs="Arial"/>
          <w:b/>
          <w:sz w:val="22"/>
          <w:szCs w:val="22"/>
        </w:rPr>
      </w:pPr>
      <w:r w:rsidRPr="00D47533">
        <w:rPr>
          <w:rFonts w:ascii="Arial" w:hAnsi="Arial" w:cs="Arial"/>
          <w:b/>
          <w:sz w:val="22"/>
          <w:szCs w:val="22"/>
        </w:rPr>
        <w:t>Cash Draw Processing CoC</w:t>
      </w:r>
    </w:p>
    <w:p w14:paraId="6385F0E9" w14:textId="77777777" w:rsidR="00973CA3" w:rsidRPr="00D47533" w:rsidRDefault="00973CA3" w:rsidP="004A10EE">
      <w:pPr>
        <w:widowControl w:val="0"/>
        <w:numPr>
          <w:ilvl w:val="0"/>
          <w:numId w:val="27"/>
        </w:numPr>
        <w:spacing w:after="0"/>
        <w:contextualSpacing/>
        <w:jc w:val="both"/>
        <w:rPr>
          <w:rFonts w:ascii="Arial" w:hAnsi="Arial" w:cs="Arial"/>
          <w:sz w:val="22"/>
          <w:szCs w:val="28"/>
        </w:rPr>
      </w:pPr>
      <w:r w:rsidRPr="00D47533">
        <w:rPr>
          <w:rFonts w:ascii="Arial" w:hAnsi="Arial" w:cs="Arial"/>
          <w:sz w:val="22"/>
          <w:szCs w:val="28"/>
        </w:rPr>
        <w:t>Once the payment voucher and corresponding paperwork meet expectations as outlined in #5 (Processing of Payment Requests) above, the Program Coordinator will:</w:t>
      </w:r>
    </w:p>
    <w:p w14:paraId="24781082"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Initial and date the Request</w:t>
      </w:r>
    </w:p>
    <w:p w14:paraId="2D1E1A5A"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Assign a unique number to the request</w:t>
      </w:r>
    </w:p>
    <w:p w14:paraId="76E5C157"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Enter the numbers from the payment request onto the tracking spreadsheet</w:t>
      </w:r>
    </w:p>
    <w:p w14:paraId="67370DDB"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Forward the payment voucher packet on to the Director of Finance.</w:t>
      </w:r>
    </w:p>
    <w:p w14:paraId="461B7016" w14:textId="77777777" w:rsidR="00973CA3" w:rsidRPr="00D47533" w:rsidRDefault="00973CA3" w:rsidP="004A10EE">
      <w:pPr>
        <w:widowControl w:val="0"/>
        <w:numPr>
          <w:ilvl w:val="2"/>
          <w:numId w:val="27"/>
        </w:numPr>
        <w:spacing w:after="0"/>
        <w:contextualSpacing/>
        <w:jc w:val="both"/>
        <w:rPr>
          <w:rFonts w:ascii="Arial" w:hAnsi="Arial" w:cs="Arial"/>
          <w:sz w:val="22"/>
          <w:szCs w:val="28"/>
        </w:rPr>
      </w:pPr>
      <w:r w:rsidRPr="00D47533">
        <w:rPr>
          <w:rFonts w:ascii="Arial" w:hAnsi="Arial" w:cs="Arial"/>
          <w:sz w:val="22"/>
          <w:szCs w:val="28"/>
        </w:rPr>
        <w:t>At least initially, and at other times as needed, the Program Coordinator will, instead, forward the packets onto the Federal Grants Manager who after reviewing, will forward it onto the Director of Finance</w:t>
      </w:r>
    </w:p>
    <w:p w14:paraId="25A7DA8E" w14:textId="77777777" w:rsidR="00973CA3" w:rsidRPr="00D47533" w:rsidRDefault="00973CA3" w:rsidP="004A10EE">
      <w:pPr>
        <w:widowControl w:val="0"/>
        <w:numPr>
          <w:ilvl w:val="0"/>
          <w:numId w:val="27"/>
        </w:numPr>
        <w:spacing w:after="0"/>
        <w:contextualSpacing/>
        <w:jc w:val="both"/>
        <w:rPr>
          <w:rFonts w:ascii="Arial" w:hAnsi="Arial" w:cs="Arial"/>
          <w:sz w:val="22"/>
          <w:szCs w:val="28"/>
        </w:rPr>
      </w:pPr>
      <w:r w:rsidRPr="00D47533">
        <w:rPr>
          <w:rFonts w:ascii="Arial" w:hAnsi="Arial" w:cs="Arial"/>
          <w:sz w:val="22"/>
          <w:szCs w:val="28"/>
        </w:rPr>
        <w:t xml:space="preserve">The Director of Finance will review the packet, </w:t>
      </w:r>
      <w:proofErr w:type="gramStart"/>
      <w:r w:rsidRPr="00D47533">
        <w:rPr>
          <w:rFonts w:ascii="Arial" w:hAnsi="Arial" w:cs="Arial"/>
          <w:sz w:val="22"/>
          <w:szCs w:val="28"/>
        </w:rPr>
        <w:t>sign</w:t>
      </w:r>
      <w:proofErr w:type="gramEnd"/>
      <w:r w:rsidRPr="00D47533">
        <w:rPr>
          <w:rFonts w:ascii="Arial" w:hAnsi="Arial" w:cs="Arial"/>
          <w:sz w:val="22"/>
          <w:szCs w:val="28"/>
        </w:rPr>
        <w:t xml:space="preserve"> and date it and return it to the Program Coordinator.</w:t>
      </w:r>
    </w:p>
    <w:p w14:paraId="337835E8" w14:textId="77777777" w:rsidR="00973CA3" w:rsidRPr="00D47533" w:rsidRDefault="00973CA3" w:rsidP="004A10EE">
      <w:pPr>
        <w:widowControl w:val="0"/>
        <w:numPr>
          <w:ilvl w:val="0"/>
          <w:numId w:val="27"/>
        </w:numPr>
        <w:spacing w:after="0"/>
        <w:contextualSpacing/>
        <w:jc w:val="both"/>
        <w:rPr>
          <w:rFonts w:ascii="Arial" w:hAnsi="Arial" w:cs="Arial"/>
          <w:sz w:val="22"/>
          <w:szCs w:val="28"/>
        </w:rPr>
      </w:pPr>
      <w:r w:rsidRPr="00D47533">
        <w:rPr>
          <w:rFonts w:ascii="Arial" w:hAnsi="Arial" w:cs="Arial"/>
          <w:sz w:val="22"/>
          <w:szCs w:val="28"/>
        </w:rPr>
        <w:t>Within 1 business day of receipt of the returned packet from the Director of Finance, the Program Coordinator will:</w:t>
      </w:r>
    </w:p>
    <w:p w14:paraId="25B8C13A"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 xml:space="preserve">Pull together the packet for </w:t>
      </w:r>
      <w:proofErr w:type="gramStart"/>
      <w:r w:rsidRPr="00D47533">
        <w:rPr>
          <w:rFonts w:ascii="Arial" w:hAnsi="Arial" w:cs="Arial"/>
          <w:sz w:val="22"/>
          <w:szCs w:val="28"/>
        </w:rPr>
        <w:t>Accounting</w:t>
      </w:r>
      <w:proofErr w:type="gramEnd"/>
    </w:p>
    <w:p w14:paraId="3BD98D89" w14:textId="77777777" w:rsidR="00973CA3" w:rsidRPr="00D47533" w:rsidRDefault="00973CA3" w:rsidP="004A10EE">
      <w:pPr>
        <w:widowControl w:val="0"/>
        <w:numPr>
          <w:ilvl w:val="1"/>
          <w:numId w:val="27"/>
        </w:numPr>
        <w:spacing w:after="0"/>
        <w:contextualSpacing/>
        <w:jc w:val="both"/>
        <w:rPr>
          <w:rFonts w:ascii="Arial" w:hAnsi="Arial" w:cs="Arial"/>
          <w:sz w:val="22"/>
          <w:szCs w:val="28"/>
        </w:rPr>
      </w:pPr>
      <w:r w:rsidRPr="00D47533">
        <w:rPr>
          <w:rFonts w:ascii="Arial" w:hAnsi="Arial" w:cs="Arial"/>
          <w:sz w:val="22"/>
          <w:szCs w:val="28"/>
        </w:rPr>
        <w:t xml:space="preserve"> Log and submit the payment voucher packet to accounting.</w:t>
      </w:r>
    </w:p>
    <w:p w14:paraId="241794D7" w14:textId="77777777" w:rsidR="00973CA3" w:rsidRPr="00D47533" w:rsidRDefault="00973CA3" w:rsidP="004A10EE">
      <w:pPr>
        <w:widowControl w:val="0"/>
        <w:numPr>
          <w:ilvl w:val="0"/>
          <w:numId w:val="27"/>
        </w:numPr>
        <w:spacing w:after="0"/>
        <w:contextualSpacing/>
        <w:jc w:val="both"/>
        <w:rPr>
          <w:rFonts w:ascii="Arial" w:hAnsi="Arial" w:cs="Arial"/>
          <w:sz w:val="22"/>
          <w:szCs w:val="28"/>
        </w:rPr>
      </w:pPr>
      <w:r w:rsidRPr="00D47533">
        <w:rPr>
          <w:rFonts w:ascii="Arial" w:hAnsi="Arial" w:cs="Arial"/>
          <w:sz w:val="22"/>
          <w:szCs w:val="28"/>
        </w:rPr>
        <w:t>Accounting will:</w:t>
      </w:r>
    </w:p>
    <w:p w14:paraId="37B5CE4D" w14:textId="77777777" w:rsidR="00973CA3" w:rsidRPr="00D47533" w:rsidRDefault="00973CA3" w:rsidP="004A10EE">
      <w:pPr>
        <w:widowControl w:val="0"/>
        <w:numPr>
          <w:ilvl w:val="0"/>
          <w:numId w:val="25"/>
        </w:numPr>
        <w:spacing w:after="0"/>
        <w:contextualSpacing/>
        <w:jc w:val="both"/>
        <w:rPr>
          <w:rFonts w:ascii="Arial" w:hAnsi="Arial" w:cs="Arial"/>
          <w:sz w:val="22"/>
          <w:szCs w:val="28"/>
        </w:rPr>
      </w:pPr>
      <w:r w:rsidRPr="00D47533">
        <w:rPr>
          <w:rFonts w:ascii="Arial" w:hAnsi="Arial" w:cs="Arial"/>
          <w:sz w:val="22"/>
          <w:szCs w:val="28"/>
        </w:rPr>
        <w:t>Send payment to the subrecipient</w:t>
      </w:r>
    </w:p>
    <w:p w14:paraId="54B843C7" w14:textId="77777777" w:rsidR="00973CA3" w:rsidRPr="00D47533" w:rsidRDefault="00973CA3" w:rsidP="004A10EE">
      <w:pPr>
        <w:widowControl w:val="0"/>
        <w:numPr>
          <w:ilvl w:val="0"/>
          <w:numId w:val="25"/>
        </w:numPr>
        <w:spacing w:after="0"/>
        <w:contextualSpacing/>
        <w:jc w:val="both"/>
        <w:rPr>
          <w:rFonts w:ascii="Arial" w:hAnsi="Arial" w:cs="Arial"/>
          <w:sz w:val="22"/>
          <w:szCs w:val="28"/>
        </w:rPr>
      </w:pPr>
      <w:r w:rsidRPr="00D47533">
        <w:rPr>
          <w:rFonts w:ascii="Arial" w:hAnsi="Arial" w:cs="Arial"/>
          <w:sz w:val="22"/>
          <w:szCs w:val="28"/>
        </w:rPr>
        <w:t>Draw down</w:t>
      </w:r>
    </w:p>
    <w:p w14:paraId="3C0D0109" w14:textId="77777777" w:rsidR="00973CA3" w:rsidRPr="00D47533" w:rsidRDefault="00973CA3" w:rsidP="00973CA3">
      <w:pPr>
        <w:spacing w:after="0"/>
        <w:rPr>
          <w:rFonts w:ascii="Arial" w:hAnsi="Arial" w:cs="Arial"/>
          <w:b/>
          <w:sz w:val="22"/>
          <w:szCs w:val="22"/>
        </w:rPr>
      </w:pPr>
      <w:r w:rsidRPr="00D47533">
        <w:rPr>
          <w:rFonts w:ascii="Arial" w:hAnsi="Arial" w:cs="Arial"/>
          <w:b/>
          <w:sz w:val="22"/>
          <w:szCs w:val="22"/>
        </w:rPr>
        <w:t>Cash Draw Processing ESG</w:t>
      </w:r>
    </w:p>
    <w:p w14:paraId="59ED84A5" w14:textId="77777777" w:rsidR="00973CA3" w:rsidRPr="00D47533" w:rsidRDefault="00973CA3" w:rsidP="004A10EE">
      <w:pPr>
        <w:widowControl w:val="0"/>
        <w:numPr>
          <w:ilvl w:val="0"/>
          <w:numId w:val="28"/>
        </w:numPr>
        <w:spacing w:after="0"/>
        <w:contextualSpacing/>
        <w:jc w:val="both"/>
        <w:rPr>
          <w:rFonts w:ascii="Arial" w:hAnsi="Arial" w:cs="Arial"/>
          <w:sz w:val="22"/>
          <w:szCs w:val="28"/>
        </w:rPr>
      </w:pPr>
      <w:r w:rsidRPr="00D47533">
        <w:rPr>
          <w:rFonts w:ascii="Arial" w:hAnsi="Arial" w:cs="Arial"/>
          <w:sz w:val="22"/>
          <w:szCs w:val="28"/>
        </w:rPr>
        <w:t>Once the payment voucher and corresponding paperwork meet expectations as outlined in #5 (Processing of Payment Vouchers) above, Federal Program Coordinator will:</w:t>
      </w:r>
    </w:p>
    <w:p w14:paraId="080687A2"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t>Initial and date the purchase voucher</w:t>
      </w:r>
    </w:p>
    <w:p w14:paraId="7D8E1595"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t>Enter the numbers from the payment voucher onto the tracking spreadsheet</w:t>
      </w:r>
    </w:p>
    <w:p w14:paraId="4EDEFD20"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t>Forward the payment voucher packet on to the Director of Finance.</w:t>
      </w:r>
    </w:p>
    <w:p w14:paraId="5BA1822D" w14:textId="77777777" w:rsidR="00973CA3" w:rsidRPr="00D47533" w:rsidRDefault="00973CA3" w:rsidP="004A10EE">
      <w:pPr>
        <w:widowControl w:val="0"/>
        <w:numPr>
          <w:ilvl w:val="0"/>
          <w:numId w:val="28"/>
        </w:numPr>
        <w:spacing w:after="0"/>
        <w:contextualSpacing/>
        <w:jc w:val="both"/>
        <w:rPr>
          <w:rFonts w:ascii="Arial" w:hAnsi="Arial" w:cs="Arial"/>
          <w:sz w:val="22"/>
          <w:szCs w:val="28"/>
        </w:rPr>
      </w:pPr>
      <w:r w:rsidRPr="00D47533">
        <w:rPr>
          <w:rFonts w:ascii="Arial" w:hAnsi="Arial" w:cs="Arial"/>
          <w:sz w:val="22"/>
          <w:szCs w:val="28"/>
        </w:rPr>
        <w:t xml:space="preserve">The Director of Finance will review the packet, </w:t>
      </w:r>
      <w:proofErr w:type="gramStart"/>
      <w:r w:rsidRPr="00D47533">
        <w:rPr>
          <w:rFonts w:ascii="Arial" w:hAnsi="Arial" w:cs="Arial"/>
          <w:sz w:val="22"/>
          <w:szCs w:val="28"/>
        </w:rPr>
        <w:t>sign</w:t>
      </w:r>
      <w:proofErr w:type="gramEnd"/>
      <w:r w:rsidRPr="00D47533">
        <w:rPr>
          <w:rFonts w:ascii="Arial" w:hAnsi="Arial" w:cs="Arial"/>
          <w:sz w:val="22"/>
          <w:szCs w:val="28"/>
        </w:rPr>
        <w:t xml:space="preserve"> and date it and return it to Feral Program Coordinator.</w:t>
      </w:r>
    </w:p>
    <w:p w14:paraId="5E0BD21C" w14:textId="77777777" w:rsidR="00973CA3" w:rsidRPr="00D47533" w:rsidRDefault="00973CA3" w:rsidP="004A10EE">
      <w:pPr>
        <w:widowControl w:val="0"/>
        <w:numPr>
          <w:ilvl w:val="0"/>
          <w:numId w:val="28"/>
        </w:numPr>
        <w:spacing w:after="0"/>
        <w:contextualSpacing/>
        <w:jc w:val="both"/>
        <w:rPr>
          <w:rFonts w:ascii="Arial" w:hAnsi="Arial" w:cs="Arial"/>
          <w:sz w:val="22"/>
          <w:szCs w:val="28"/>
        </w:rPr>
      </w:pPr>
      <w:r w:rsidRPr="00D47533">
        <w:rPr>
          <w:rFonts w:ascii="Arial" w:hAnsi="Arial" w:cs="Arial"/>
          <w:sz w:val="22"/>
          <w:szCs w:val="28"/>
        </w:rPr>
        <w:t>Federal Program Coordinator forward package to the Financial Analyst</w:t>
      </w:r>
    </w:p>
    <w:p w14:paraId="06886D3E" w14:textId="77777777" w:rsidR="00973CA3" w:rsidRPr="00D47533" w:rsidRDefault="00973CA3" w:rsidP="004A10EE">
      <w:pPr>
        <w:widowControl w:val="0"/>
        <w:numPr>
          <w:ilvl w:val="0"/>
          <w:numId w:val="28"/>
        </w:numPr>
        <w:spacing w:after="0"/>
        <w:contextualSpacing/>
        <w:jc w:val="both"/>
        <w:rPr>
          <w:rFonts w:ascii="Arial" w:hAnsi="Arial" w:cs="Arial"/>
          <w:sz w:val="22"/>
          <w:szCs w:val="28"/>
        </w:rPr>
      </w:pPr>
      <w:r w:rsidRPr="00D47533">
        <w:rPr>
          <w:rFonts w:ascii="Arial" w:hAnsi="Arial" w:cs="Arial"/>
          <w:sz w:val="22"/>
          <w:szCs w:val="28"/>
        </w:rPr>
        <w:t>Financial Analyst reconciles current expenditures in MMARS to grant expenditure spreadsheet aligning to corresponding activity code(s).</w:t>
      </w:r>
    </w:p>
    <w:p w14:paraId="3AD39AAC" w14:textId="77777777" w:rsidR="00973CA3" w:rsidRPr="00D47533" w:rsidRDefault="00973CA3" w:rsidP="004A10EE">
      <w:pPr>
        <w:widowControl w:val="0"/>
        <w:numPr>
          <w:ilvl w:val="0"/>
          <w:numId w:val="28"/>
        </w:numPr>
        <w:spacing w:after="0"/>
        <w:contextualSpacing/>
        <w:jc w:val="both"/>
        <w:rPr>
          <w:rFonts w:ascii="Arial" w:hAnsi="Arial" w:cs="Arial"/>
          <w:sz w:val="22"/>
          <w:szCs w:val="28"/>
        </w:rPr>
      </w:pPr>
      <w:r w:rsidRPr="00D47533">
        <w:rPr>
          <w:rFonts w:ascii="Arial" w:hAnsi="Arial" w:cs="Arial"/>
          <w:sz w:val="22"/>
          <w:szCs w:val="28"/>
        </w:rPr>
        <w:t xml:space="preserve">Federal Grants Analyst </w:t>
      </w:r>
    </w:p>
    <w:p w14:paraId="62E18655"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t>Inputs expenditures/activities into HUD IDIS system to obtain HUD voucher # and authorization.</w:t>
      </w:r>
    </w:p>
    <w:p w14:paraId="00EB6085"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t xml:space="preserve">Attach the HUD voucher form to the vendor invoice packet </w:t>
      </w:r>
    </w:p>
    <w:p w14:paraId="60E28889" w14:textId="77777777" w:rsidR="00973CA3" w:rsidRPr="00D47533" w:rsidRDefault="00973CA3" w:rsidP="004A10EE">
      <w:pPr>
        <w:widowControl w:val="0"/>
        <w:numPr>
          <w:ilvl w:val="1"/>
          <w:numId w:val="28"/>
        </w:numPr>
        <w:spacing w:after="0"/>
        <w:contextualSpacing/>
        <w:jc w:val="both"/>
        <w:rPr>
          <w:rFonts w:ascii="Arial" w:hAnsi="Arial" w:cs="Arial"/>
          <w:sz w:val="22"/>
          <w:szCs w:val="28"/>
        </w:rPr>
      </w:pPr>
      <w:r w:rsidRPr="00D47533">
        <w:rPr>
          <w:rFonts w:ascii="Arial" w:hAnsi="Arial" w:cs="Arial"/>
          <w:sz w:val="22"/>
          <w:szCs w:val="28"/>
        </w:rPr>
        <w:lastRenderedPageBreak/>
        <w:t xml:space="preserve"> Log and submit the payment voucher packet to accounting.</w:t>
      </w:r>
    </w:p>
    <w:p w14:paraId="6D9CCEC7" w14:textId="77777777" w:rsidR="00973CA3" w:rsidRPr="00D47533" w:rsidRDefault="00973CA3" w:rsidP="004A10EE">
      <w:pPr>
        <w:widowControl w:val="0"/>
        <w:numPr>
          <w:ilvl w:val="0"/>
          <w:numId w:val="27"/>
        </w:numPr>
        <w:spacing w:after="0"/>
        <w:contextualSpacing/>
        <w:jc w:val="both"/>
        <w:rPr>
          <w:rFonts w:ascii="Arial" w:hAnsi="Arial" w:cs="Arial"/>
          <w:sz w:val="22"/>
          <w:szCs w:val="28"/>
        </w:rPr>
      </w:pPr>
      <w:r w:rsidRPr="00D47533">
        <w:rPr>
          <w:rFonts w:ascii="Arial" w:hAnsi="Arial" w:cs="Arial"/>
          <w:sz w:val="22"/>
          <w:szCs w:val="28"/>
        </w:rPr>
        <w:t>Accounting will:</w:t>
      </w:r>
    </w:p>
    <w:p w14:paraId="33B599E3" w14:textId="77777777" w:rsidR="00973CA3" w:rsidRPr="00D47533" w:rsidRDefault="00973CA3" w:rsidP="004A10EE">
      <w:pPr>
        <w:widowControl w:val="0"/>
        <w:numPr>
          <w:ilvl w:val="0"/>
          <w:numId w:val="29"/>
        </w:numPr>
        <w:spacing w:after="0"/>
        <w:contextualSpacing/>
        <w:jc w:val="both"/>
        <w:rPr>
          <w:rFonts w:ascii="Arial" w:hAnsi="Arial" w:cs="Arial"/>
          <w:sz w:val="22"/>
          <w:szCs w:val="28"/>
        </w:rPr>
      </w:pPr>
      <w:r w:rsidRPr="00D47533">
        <w:rPr>
          <w:rFonts w:ascii="Arial" w:hAnsi="Arial" w:cs="Arial"/>
          <w:sz w:val="22"/>
          <w:szCs w:val="28"/>
        </w:rPr>
        <w:t>Send payment to the subrecipient</w:t>
      </w:r>
    </w:p>
    <w:p w14:paraId="58DD5B07" w14:textId="41AA468A" w:rsidR="00973CA3" w:rsidRDefault="00973CA3" w:rsidP="004A10EE">
      <w:pPr>
        <w:widowControl w:val="0"/>
        <w:numPr>
          <w:ilvl w:val="0"/>
          <w:numId w:val="29"/>
        </w:numPr>
        <w:spacing w:after="0"/>
        <w:contextualSpacing/>
        <w:jc w:val="both"/>
        <w:rPr>
          <w:rFonts w:ascii="Arial" w:hAnsi="Arial" w:cs="Arial"/>
          <w:sz w:val="22"/>
          <w:szCs w:val="28"/>
        </w:rPr>
      </w:pPr>
      <w:r w:rsidRPr="004A10EE">
        <w:rPr>
          <w:rFonts w:ascii="Arial" w:hAnsi="Arial" w:cs="Arial"/>
          <w:sz w:val="22"/>
          <w:szCs w:val="28"/>
        </w:rPr>
        <w:t>Draw down</w:t>
      </w:r>
    </w:p>
    <w:p w14:paraId="3B87E74C" w14:textId="5CB4B589" w:rsidR="004A10EE" w:rsidRPr="004A10EE" w:rsidRDefault="004A10EE" w:rsidP="004A10EE">
      <w:pPr>
        <w:rPr>
          <w:rFonts w:ascii="Arial" w:hAnsi="Arial" w:cs="Arial"/>
          <w:sz w:val="22"/>
          <w:szCs w:val="28"/>
        </w:rPr>
      </w:pPr>
      <w:r>
        <w:rPr>
          <w:rFonts w:ascii="Arial" w:hAnsi="Arial" w:cs="Arial"/>
          <w:sz w:val="22"/>
          <w:szCs w:val="28"/>
        </w:rPr>
        <w:br w:type="page"/>
      </w:r>
    </w:p>
    <w:p w14:paraId="3EF9F2E9" w14:textId="2D9A1964" w:rsidR="00973CA3" w:rsidRPr="00D47533" w:rsidRDefault="004A10EE" w:rsidP="00973CA3">
      <w:pPr>
        <w:pStyle w:val="Heading1"/>
        <w:rPr>
          <w:rFonts w:ascii="Arial" w:eastAsiaTheme="majorEastAsia" w:hAnsi="Arial" w:cs="Arial"/>
        </w:rPr>
      </w:pPr>
      <w:bookmarkStart w:id="47" w:name="_Project_Monitoring"/>
      <w:bookmarkStart w:id="48" w:name="_Toc109630127"/>
      <w:bookmarkStart w:id="49" w:name="_Toc110000655"/>
      <w:bookmarkEnd w:id="47"/>
      <w:r w:rsidRPr="00D47533">
        <w:rPr>
          <w:rFonts w:ascii="Arial" w:eastAsiaTheme="majorEastAsia" w:hAnsi="Arial" w:cs="Arial"/>
          <w:caps w:val="0"/>
        </w:rPr>
        <w:lastRenderedPageBreak/>
        <w:t>PROJECT MONITORING</w:t>
      </w:r>
      <w:bookmarkEnd w:id="48"/>
      <w:bookmarkEnd w:id="49"/>
    </w:p>
    <w:p w14:paraId="15E8A68B" w14:textId="4D783889" w:rsidR="00973CA3" w:rsidRPr="00D47533" w:rsidRDefault="004A10EE" w:rsidP="00973CA3">
      <w:pPr>
        <w:pStyle w:val="Heading2"/>
        <w:rPr>
          <w:rFonts w:ascii="Arial" w:hAnsi="Arial" w:cs="Arial"/>
        </w:rPr>
      </w:pPr>
      <w:bookmarkStart w:id="50" w:name="_Toc109630128"/>
      <w:bookmarkStart w:id="51" w:name="_Toc110000656"/>
      <w:r w:rsidRPr="00D47533">
        <w:rPr>
          <w:rFonts w:ascii="Arial" w:hAnsi="Arial" w:cs="Arial"/>
          <w:caps w:val="0"/>
        </w:rPr>
        <w:t>PURPOSE</w:t>
      </w:r>
      <w:bookmarkEnd w:id="50"/>
      <w:bookmarkEnd w:id="51"/>
    </w:p>
    <w:p w14:paraId="1949EA6E" w14:textId="77777777" w:rsidR="00973CA3" w:rsidRPr="00D47533" w:rsidRDefault="00973CA3" w:rsidP="00973CA3">
      <w:pPr>
        <w:rPr>
          <w:rFonts w:ascii="Arial" w:hAnsi="Arial" w:cs="Arial"/>
          <w:b/>
          <w:bCs/>
          <w:sz w:val="22"/>
          <w:szCs w:val="22"/>
        </w:rPr>
      </w:pPr>
      <w:r w:rsidRPr="00D47533">
        <w:rPr>
          <w:rFonts w:ascii="Arial" w:hAnsi="Arial" w:cs="Arial"/>
          <w:sz w:val="22"/>
          <w:szCs w:val="22"/>
        </w:rPr>
        <w:t xml:space="preserve">This document is intended to outline the Department of Housing and Community Development’s policy on programmatic monitoring of subrecipients receiving ESG and/or ESG-CV funding. </w:t>
      </w:r>
    </w:p>
    <w:p w14:paraId="43B33FD3" w14:textId="22603F49" w:rsidR="00973CA3" w:rsidRPr="00D47533" w:rsidRDefault="004A10EE" w:rsidP="00973CA3">
      <w:pPr>
        <w:pStyle w:val="Heading2"/>
        <w:rPr>
          <w:rFonts w:ascii="Arial" w:hAnsi="Arial" w:cs="Arial"/>
        </w:rPr>
      </w:pPr>
      <w:bookmarkStart w:id="52" w:name="_Toc109630129"/>
      <w:bookmarkStart w:id="53" w:name="_Toc110000657"/>
      <w:r w:rsidRPr="00D47533">
        <w:rPr>
          <w:rFonts w:ascii="Arial" w:hAnsi="Arial" w:cs="Arial"/>
          <w:caps w:val="0"/>
        </w:rPr>
        <w:t>POLICY STATEMENT</w:t>
      </w:r>
      <w:bookmarkEnd w:id="52"/>
      <w:bookmarkEnd w:id="53"/>
    </w:p>
    <w:p w14:paraId="4EA44E87" w14:textId="47FB90D5" w:rsidR="00973CA3" w:rsidRPr="00D47533" w:rsidRDefault="00923CA6" w:rsidP="00973CA3">
      <w:pPr>
        <w:rPr>
          <w:rFonts w:ascii="Arial" w:hAnsi="Arial" w:cs="Arial"/>
          <w:sz w:val="22"/>
          <w:szCs w:val="22"/>
        </w:rPr>
      </w:pPr>
      <w:r>
        <w:rPr>
          <w:rFonts w:ascii="Arial" w:hAnsi="Arial" w:cs="Arial"/>
          <w:sz w:val="22"/>
          <w:szCs w:val="22"/>
        </w:rPr>
        <w:t>EOHLC</w:t>
      </w:r>
      <w:r w:rsidR="00973CA3" w:rsidRPr="00D47533">
        <w:rPr>
          <w:rFonts w:ascii="Arial" w:hAnsi="Arial" w:cs="Arial"/>
          <w:sz w:val="22"/>
          <w:szCs w:val="22"/>
        </w:rPr>
        <w:t xml:space="preserve"> is responsible for ensuring compliance with all regulatory and statutory requirements relative to ESG and ESG-CV funding. Therefore, it is incumbent upon </w:t>
      </w:r>
      <w:r>
        <w:rPr>
          <w:rFonts w:ascii="Arial" w:hAnsi="Arial" w:cs="Arial"/>
          <w:sz w:val="22"/>
          <w:szCs w:val="22"/>
        </w:rPr>
        <w:t>EOHLC</w:t>
      </w:r>
      <w:r w:rsidR="00973CA3" w:rsidRPr="00D47533">
        <w:rPr>
          <w:rFonts w:ascii="Arial" w:hAnsi="Arial" w:cs="Arial"/>
          <w:sz w:val="22"/>
          <w:szCs w:val="22"/>
        </w:rPr>
        <w:t xml:space="preserve"> staff to ensure Emergency Solutions Grant funds or those specifically delineated as match are spent on time and in compliance with all regulatory, statutory, and mandates outlined in the subrecipient agreements. </w:t>
      </w:r>
      <w:r>
        <w:rPr>
          <w:rFonts w:ascii="Arial" w:hAnsi="Arial" w:cs="Arial"/>
          <w:sz w:val="22"/>
          <w:szCs w:val="22"/>
        </w:rPr>
        <w:t>EOHLC</w:t>
      </w:r>
      <w:r w:rsidR="00973CA3" w:rsidRPr="00D47533">
        <w:rPr>
          <w:rFonts w:ascii="Arial" w:hAnsi="Arial" w:cs="Arial"/>
          <w:sz w:val="22"/>
          <w:szCs w:val="22"/>
        </w:rPr>
        <w:t xml:space="preserve"> staff also ensure adherence to the Continuum of Care’s written standards. </w:t>
      </w:r>
    </w:p>
    <w:p w14:paraId="106578D2" w14:textId="0FD686E5" w:rsidR="00973CA3" w:rsidRPr="00D47533" w:rsidRDefault="00973CA3" w:rsidP="00973CA3">
      <w:pPr>
        <w:rPr>
          <w:rFonts w:ascii="Arial" w:hAnsi="Arial" w:cs="Arial"/>
          <w:sz w:val="22"/>
          <w:szCs w:val="22"/>
        </w:rPr>
      </w:pPr>
      <w:r w:rsidRPr="00D47533">
        <w:rPr>
          <w:rFonts w:ascii="Arial" w:hAnsi="Arial" w:cs="Arial"/>
          <w:sz w:val="22"/>
          <w:szCs w:val="22"/>
        </w:rPr>
        <w:t xml:space="preserve">Programmatic monitoring is an essential part of ensuring the effectiveness of programs funded to meet the basic needs of those at risk of or experiencing homelessness and ensuring the policies and procedures outlined by </w:t>
      </w:r>
      <w:r w:rsidR="00923CA6">
        <w:rPr>
          <w:rFonts w:ascii="Arial" w:hAnsi="Arial" w:cs="Arial"/>
          <w:sz w:val="22"/>
          <w:szCs w:val="22"/>
        </w:rPr>
        <w:t>EOHLC</w:t>
      </w:r>
      <w:r w:rsidRPr="00D47533">
        <w:rPr>
          <w:rFonts w:ascii="Arial" w:hAnsi="Arial" w:cs="Arial"/>
          <w:sz w:val="22"/>
          <w:szCs w:val="22"/>
        </w:rPr>
        <w:t xml:space="preserve"> are being adhered to. </w:t>
      </w:r>
      <w:r w:rsidR="00923CA6">
        <w:rPr>
          <w:rFonts w:ascii="Arial" w:hAnsi="Arial" w:cs="Arial"/>
          <w:sz w:val="22"/>
          <w:szCs w:val="22"/>
        </w:rPr>
        <w:t>EOHLC</w:t>
      </w:r>
      <w:r w:rsidRPr="00D47533">
        <w:rPr>
          <w:rFonts w:ascii="Arial" w:hAnsi="Arial" w:cs="Arial"/>
          <w:sz w:val="22"/>
          <w:szCs w:val="22"/>
        </w:rPr>
        <w:t xml:space="preserve"> has developed the following policy and procedures to ensure that subrecipient monitoring is an effective ongoing process.  </w:t>
      </w:r>
    </w:p>
    <w:p w14:paraId="1FD8D9B9" w14:textId="421BA5AE" w:rsidR="00973CA3" w:rsidRPr="00D47533" w:rsidRDefault="00973CA3" w:rsidP="00973CA3">
      <w:pPr>
        <w:rPr>
          <w:rFonts w:ascii="Arial" w:hAnsi="Arial" w:cs="Arial"/>
          <w:sz w:val="22"/>
          <w:szCs w:val="22"/>
        </w:rPr>
      </w:pPr>
      <w:r w:rsidRPr="00D47533">
        <w:rPr>
          <w:rFonts w:ascii="Arial" w:hAnsi="Arial" w:cs="Arial"/>
          <w:sz w:val="22"/>
          <w:szCs w:val="22"/>
        </w:rPr>
        <w:t xml:space="preserve">The risk assessment tool is a comprehensive tool that reviews the past programmatic and financial performance of subrecipients. Completed risk assessments target attention to program activities and participants that represent the greatest risk of poor programmatic performance and/or susceptibility to fraud, waste, and mismanagement.  Once the level of risk is determined for each subrecipient, the appropriate monitoring level is determined. To ensure compliance, all subrecipients will receive annual risk assessments prior to any program expenditure. In addition, programs scoring for “high” risk will receive, at minimum, annual desk audits and a site visit every 24 months. A “medium” score will, at minimum, receive a site or desk review every 24 months. And those with a “low” risk score will be reviewed as needed. </w:t>
      </w:r>
      <w:r w:rsidR="00923CA6">
        <w:rPr>
          <w:rFonts w:ascii="Arial" w:hAnsi="Arial" w:cs="Arial"/>
          <w:sz w:val="22"/>
          <w:szCs w:val="22"/>
        </w:rPr>
        <w:t>EOHLC</w:t>
      </w:r>
      <w:r w:rsidRPr="00D47533">
        <w:rPr>
          <w:rFonts w:ascii="Arial" w:hAnsi="Arial" w:cs="Arial"/>
          <w:sz w:val="22"/>
          <w:szCs w:val="22"/>
        </w:rPr>
        <w:t xml:space="preserve"> may elect, at any time, to complete chart reviews to assess the quality of services offered to program participants or address regulatory concerns. </w:t>
      </w:r>
    </w:p>
    <w:p w14:paraId="5D2541FB" w14:textId="002F1C4A" w:rsidR="00973CA3" w:rsidRPr="00D47533" w:rsidRDefault="00923CA6" w:rsidP="00973CA3">
      <w:pPr>
        <w:rPr>
          <w:rFonts w:ascii="Arial" w:hAnsi="Arial" w:cs="Arial"/>
          <w:sz w:val="22"/>
          <w:szCs w:val="22"/>
        </w:rPr>
      </w:pPr>
      <w:r>
        <w:rPr>
          <w:rFonts w:ascii="Arial" w:hAnsi="Arial" w:cs="Arial"/>
          <w:sz w:val="22"/>
          <w:szCs w:val="22"/>
        </w:rPr>
        <w:t>EOHLC</w:t>
      </w:r>
      <w:r w:rsidR="00973CA3" w:rsidRPr="00D47533">
        <w:rPr>
          <w:rFonts w:ascii="Arial" w:hAnsi="Arial" w:cs="Arial"/>
          <w:sz w:val="22"/>
          <w:szCs w:val="22"/>
        </w:rPr>
        <w:t xml:space="preserve"> will issue a formal finding letter within 60 days following any desk or site monitoring. As appropriate, </w:t>
      </w:r>
      <w:r>
        <w:rPr>
          <w:rFonts w:ascii="Arial" w:hAnsi="Arial" w:cs="Arial"/>
          <w:sz w:val="22"/>
          <w:szCs w:val="22"/>
        </w:rPr>
        <w:t>EOHLC</w:t>
      </w:r>
      <w:r w:rsidR="00973CA3" w:rsidRPr="00D47533">
        <w:rPr>
          <w:rFonts w:ascii="Arial" w:hAnsi="Arial" w:cs="Arial"/>
          <w:sz w:val="22"/>
          <w:szCs w:val="22"/>
        </w:rPr>
        <w:t xml:space="preserve"> will create a corrective action plan for areas of concern. Failure to submit an acceptable plan of correction within the timeline outlined in the finding letter can result in additional action ranging from placing a hold on reimbursement requests to reallocation of funds awarded to the organization. These decisions will be made as a team, as needed, within </w:t>
      </w:r>
      <w:r>
        <w:rPr>
          <w:rFonts w:ascii="Arial" w:hAnsi="Arial" w:cs="Arial"/>
          <w:sz w:val="22"/>
          <w:szCs w:val="22"/>
        </w:rPr>
        <w:t>EOHLC</w:t>
      </w:r>
      <w:r w:rsidR="00973CA3" w:rsidRPr="00D47533">
        <w:rPr>
          <w:rFonts w:ascii="Arial" w:hAnsi="Arial" w:cs="Arial"/>
          <w:sz w:val="22"/>
          <w:szCs w:val="22"/>
        </w:rPr>
        <w:t xml:space="preserve"> based on the seriousness of the original findings and the responsiveness of the subrecipient. </w:t>
      </w:r>
    </w:p>
    <w:p w14:paraId="796127BA" w14:textId="1170DE73" w:rsidR="00973CA3" w:rsidRPr="00D47533" w:rsidRDefault="00973CA3" w:rsidP="00973CA3">
      <w:pPr>
        <w:rPr>
          <w:rFonts w:ascii="Arial" w:hAnsi="Arial" w:cs="Arial"/>
          <w:sz w:val="22"/>
          <w:szCs w:val="22"/>
        </w:rPr>
      </w:pPr>
      <w:r w:rsidRPr="00D47533">
        <w:rPr>
          <w:rFonts w:ascii="Arial" w:hAnsi="Arial" w:cs="Arial"/>
          <w:sz w:val="22"/>
          <w:szCs w:val="22"/>
        </w:rPr>
        <w:t>Programmatic</w:t>
      </w:r>
      <w:r w:rsidR="00E56996">
        <w:rPr>
          <w:rFonts w:ascii="Arial" w:hAnsi="Arial" w:cs="Arial"/>
          <w:sz w:val="22"/>
          <w:szCs w:val="22"/>
        </w:rPr>
        <w:t xml:space="preserve"> and fiscal</w:t>
      </w:r>
      <w:r w:rsidRPr="00D47533">
        <w:rPr>
          <w:rFonts w:ascii="Arial" w:hAnsi="Arial" w:cs="Arial"/>
          <w:sz w:val="22"/>
          <w:szCs w:val="22"/>
        </w:rPr>
        <w:t xml:space="preserve"> monitoring for homeless service organizations </w:t>
      </w:r>
      <w:r w:rsidR="00E56996">
        <w:rPr>
          <w:rFonts w:ascii="Arial" w:hAnsi="Arial" w:cs="Arial"/>
          <w:sz w:val="22"/>
          <w:szCs w:val="22"/>
        </w:rPr>
        <w:t>includes the</w:t>
      </w:r>
      <w:r w:rsidRPr="00D47533">
        <w:rPr>
          <w:rFonts w:ascii="Arial" w:hAnsi="Arial" w:cs="Arial"/>
          <w:sz w:val="22"/>
          <w:szCs w:val="22"/>
        </w:rPr>
        <w:t xml:space="preserve"> </w:t>
      </w:r>
      <w:proofErr w:type="spellStart"/>
      <w:r w:rsidRPr="00D47533">
        <w:rPr>
          <w:rFonts w:ascii="Arial" w:hAnsi="Arial" w:cs="Arial"/>
          <w:sz w:val="22"/>
          <w:szCs w:val="22"/>
        </w:rPr>
        <w:t>the</w:t>
      </w:r>
      <w:proofErr w:type="spellEnd"/>
      <w:r w:rsidRPr="00D47533">
        <w:rPr>
          <w:rFonts w:ascii="Arial" w:hAnsi="Arial" w:cs="Arial"/>
          <w:sz w:val="22"/>
          <w:szCs w:val="22"/>
        </w:rPr>
        <w:t xml:space="preserve"> following</w:t>
      </w:r>
      <w:r w:rsidR="00E56996">
        <w:rPr>
          <w:rFonts w:ascii="Arial" w:hAnsi="Arial" w:cs="Arial"/>
          <w:sz w:val="22"/>
          <w:szCs w:val="22"/>
        </w:rPr>
        <w:t xml:space="preserve"> but is not limited to:</w:t>
      </w:r>
    </w:p>
    <w:p w14:paraId="1F3DF9D7" w14:textId="77777777" w:rsidR="00973CA3" w:rsidRPr="00D47533" w:rsidRDefault="00973CA3" w:rsidP="004A10EE">
      <w:pPr>
        <w:numPr>
          <w:ilvl w:val="0"/>
          <w:numId w:val="30"/>
        </w:numPr>
        <w:rPr>
          <w:rFonts w:ascii="Arial" w:hAnsi="Arial" w:cs="Arial"/>
          <w:sz w:val="22"/>
          <w:szCs w:val="22"/>
        </w:rPr>
      </w:pPr>
      <w:r w:rsidRPr="00D47533">
        <w:rPr>
          <w:rFonts w:ascii="Arial" w:hAnsi="Arial" w:cs="Arial"/>
          <w:sz w:val="22"/>
          <w:szCs w:val="22"/>
        </w:rPr>
        <w:t>Review of Policies and Procedures that outline client service provision</w:t>
      </w:r>
    </w:p>
    <w:p w14:paraId="27A67CE8" w14:textId="77777777" w:rsidR="00973CA3" w:rsidRPr="00D47533" w:rsidRDefault="00973CA3" w:rsidP="004A10EE">
      <w:pPr>
        <w:numPr>
          <w:ilvl w:val="0"/>
          <w:numId w:val="30"/>
        </w:numPr>
        <w:rPr>
          <w:rFonts w:ascii="Arial" w:hAnsi="Arial" w:cs="Arial"/>
          <w:sz w:val="22"/>
          <w:szCs w:val="22"/>
        </w:rPr>
      </w:pPr>
      <w:r w:rsidRPr="00D47533">
        <w:rPr>
          <w:rFonts w:ascii="Arial" w:hAnsi="Arial" w:cs="Arial"/>
          <w:sz w:val="22"/>
          <w:szCs w:val="22"/>
        </w:rPr>
        <w:lastRenderedPageBreak/>
        <w:t>File review of randomly selected client files, including review and comparison of information provided in the HMIS record with paper files</w:t>
      </w:r>
    </w:p>
    <w:p w14:paraId="391294EB" w14:textId="77777777" w:rsidR="00973CA3" w:rsidRPr="00D47533" w:rsidRDefault="00973CA3" w:rsidP="004A10EE">
      <w:pPr>
        <w:numPr>
          <w:ilvl w:val="0"/>
          <w:numId w:val="30"/>
        </w:numPr>
        <w:rPr>
          <w:rFonts w:ascii="Arial" w:hAnsi="Arial" w:cs="Arial"/>
          <w:sz w:val="22"/>
          <w:szCs w:val="22"/>
        </w:rPr>
      </w:pPr>
      <w:r w:rsidRPr="00D47533">
        <w:rPr>
          <w:rFonts w:ascii="Arial" w:hAnsi="Arial" w:cs="Arial"/>
          <w:sz w:val="22"/>
          <w:szCs w:val="22"/>
        </w:rPr>
        <w:t>For site-based projects, a physical inspection of the facility</w:t>
      </w:r>
    </w:p>
    <w:p w14:paraId="18E7BD89" w14:textId="404D5D74" w:rsidR="00973CA3" w:rsidRDefault="00973CA3" w:rsidP="004A10EE">
      <w:pPr>
        <w:numPr>
          <w:ilvl w:val="0"/>
          <w:numId w:val="30"/>
        </w:numPr>
        <w:rPr>
          <w:rFonts w:ascii="Arial" w:hAnsi="Arial" w:cs="Arial"/>
          <w:sz w:val="22"/>
          <w:szCs w:val="22"/>
        </w:rPr>
      </w:pPr>
      <w:r w:rsidRPr="00D47533">
        <w:rPr>
          <w:rFonts w:ascii="Arial" w:hAnsi="Arial" w:cs="Arial"/>
          <w:sz w:val="22"/>
          <w:szCs w:val="22"/>
        </w:rPr>
        <w:t>Staff Interviews</w:t>
      </w:r>
    </w:p>
    <w:p w14:paraId="73070DE5" w14:textId="017252F4" w:rsidR="00E56996" w:rsidRPr="00E56996" w:rsidRDefault="00E56996" w:rsidP="004A10EE">
      <w:pPr>
        <w:numPr>
          <w:ilvl w:val="0"/>
          <w:numId w:val="30"/>
        </w:numPr>
        <w:rPr>
          <w:rFonts w:ascii="Arial" w:hAnsi="Arial" w:cs="Arial"/>
          <w:sz w:val="22"/>
          <w:szCs w:val="22"/>
        </w:rPr>
      </w:pPr>
      <w:r w:rsidRPr="00E56996">
        <w:rPr>
          <w:rFonts w:ascii="Arial" w:hAnsi="Arial" w:cs="Arial"/>
          <w:sz w:val="22"/>
          <w:szCs w:val="22"/>
        </w:rPr>
        <w:t xml:space="preserve">Cost supporting documentation </w:t>
      </w:r>
    </w:p>
    <w:p w14:paraId="19E5008F" w14:textId="36C53214" w:rsidR="00E56996" w:rsidRPr="00D47533" w:rsidRDefault="00E56996" w:rsidP="004A10EE">
      <w:pPr>
        <w:numPr>
          <w:ilvl w:val="0"/>
          <w:numId w:val="30"/>
        </w:numPr>
        <w:rPr>
          <w:rFonts w:ascii="Arial" w:hAnsi="Arial" w:cs="Arial"/>
          <w:sz w:val="22"/>
          <w:szCs w:val="22"/>
        </w:rPr>
      </w:pPr>
      <w:r w:rsidRPr="00E56996">
        <w:rPr>
          <w:rFonts w:ascii="Arial" w:hAnsi="Arial" w:cs="Arial"/>
          <w:sz w:val="22"/>
          <w:szCs w:val="22"/>
        </w:rPr>
        <w:t xml:space="preserve">Accounting </w:t>
      </w:r>
      <w:r w:rsidRPr="00D47533">
        <w:rPr>
          <w:rFonts w:ascii="Arial" w:hAnsi="Arial" w:cs="Arial"/>
          <w:sz w:val="22"/>
          <w:szCs w:val="22"/>
        </w:rPr>
        <w:t>of Policies and Procedures</w:t>
      </w:r>
    </w:p>
    <w:p w14:paraId="0D5EF329" w14:textId="2A75DCB4" w:rsidR="00973CA3" w:rsidRPr="00D47533" w:rsidRDefault="00973CA3" w:rsidP="00973CA3">
      <w:pPr>
        <w:rPr>
          <w:rFonts w:ascii="Arial" w:hAnsi="Arial" w:cs="Arial"/>
          <w:sz w:val="22"/>
          <w:szCs w:val="22"/>
        </w:rPr>
      </w:pPr>
      <w:r w:rsidRPr="00D47533">
        <w:rPr>
          <w:rFonts w:ascii="Arial" w:hAnsi="Arial" w:cs="Arial"/>
          <w:sz w:val="22"/>
          <w:szCs w:val="22"/>
        </w:rPr>
        <w:t>This monitoring policy may evolve overtime as appropriate and as funding and capacity needs change.</w:t>
      </w:r>
    </w:p>
    <w:p w14:paraId="7B3E3B31" w14:textId="1ED1B4EF" w:rsidR="00BE3717" w:rsidRPr="00D47533" w:rsidRDefault="004A10EE" w:rsidP="00BE3717">
      <w:pPr>
        <w:pStyle w:val="Heading2"/>
        <w:rPr>
          <w:rFonts w:ascii="Arial" w:hAnsi="Arial" w:cs="Arial"/>
        </w:rPr>
      </w:pPr>
      <w:bookmarkStart w:id="54" w:name="_Toc109630130"/>
      <w:bookmarkStart w:id="55" w:name="_Toc110000658"/>
      <w:r w:rsidRPr="00D47533">
        <w:rPr>
          <w:rFonts w:ascii="Arial" w:hAnsi="Arial" w:cs="Arial"/>
          <w:caps w:val="0"/>
        </w:rPr>
        <w:t>DEFINITION OF TERMS</w:t>
      </w:r>
      <w:bookmarkEnd w:id="54"/>
      <w:bookmarkEnd w:id="55"/>
    </w:p>
    <w:p w14:paraId="1D71C67B" w14:textId="49758F57" w:rsidR="00BE3717" w:rsidRPr="00D47533" w:rsidRDefault="00BE3717" w:rsidP="00BE3717">
      <w:pPr>
        <w:rPr>
          <w:rFonts w:ascii="Arial" w:hAnsi="Arial" w:cs="Arial"/>
          <w:sz w:val="22"/>
          <w:szCs w:val="22"/>
        </w:rPr>
      </w:pPr>
      <w:r w:rsidRPr="00D47533">
        <w:rPr>
          <w:rFonts w:ascii="Arial" w:hAnsi="Arial" w:cs="Arial"/>
          <w:b/>
          <w:sz w:val="22"/>
          <w:szCs w:val="22"/>
        </w:rPr>
        <w:t>Grantee:</w:t>
      </w:r>
      <w:r w:rsidRPr="00D47533">
        <w:rPr>
          <w:rFonts w:ascii="Arial" w:hAnsi="Arial" w:cs="Arial"/>
          <w:sz w:val="22"/>
          <w:szCs w:val="22"/>
        </w:rPr>
        <w:t xml:space="preserve"> </w:t>
      </w:r>
      <w:r w:rsidR="00923CA6">
        <w:rPr>
          <w:rFonts w:ascii="Arial" w:hAnsi="Arial" w:cs="Arial"/>
          <w:sz w:val="22"/>
          <w:szCs w:val="22"/>
        </w:rPr>
        <w:t>EOHLC</w:t>
      </w:r>
      <w:r w:rsidRPr="00D47533">
        <w:rPr>
          <w:rFonts w:ascii="Arial" w:hAnsi="Arial" w:cs="Arial"/>
          <w:sz w:val="22"/>
          <w:szCs w:val="22"/>
        </w:rPr>
        <w:t xml:space="preserve"> for ESG(CV).</w:t>
      </w:r>
    </w:p>
    <w:p w14:paraId="30D823F1"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Subrecipient: </w:t>
      </w:r>
      <w:r w:rsidRPr="00D47533">
        <w:rPr>
          <w:rFonts w:ascii="Arial" w:hAnsi="Arial" w:cs="Arial"/>
          <w:sz w:val="22"/>
          <w:szCs w:val="22"/>
        </w:rPr>
        <w:t xml:space="preserve">Subrecipients are entities that are provided ESG and CDBG funds by a grantee for their use in carrying out agreed-upon, eligible activities. </w:t>
      </w:r>
    </w:p>
    <w:p w14:paraId="6EE7A46C" w14:textId="732BEFB0" w:rsidR="00BE3717" w:rsidRPr="00D47533" w:rsidRDefault="00BE3717" w:rsidP="00BE3717">
      <w:pPr>
        <w:rPr>
          <w:rFonts w:ascii="Arial" w:hAnsi="Arial" w:cs="Arial"/>
          <w:bCs/>
          <w:sz w:val="22"/>
          <w:szCs w:val="22"/>
        </w:rPr>
      </w:pPr>
      <w:r w:rsidRPr="00D47533">
        <w:rPr>
          <w:rFonts w:ascii="Arial" w:hAnsi="Arial" w:cs="Arial"/>
          <w:b/>
          <w:sz w:val="22"/>
          <w:szCs w:val="22"/>
        </w:rPr>
        <w:t xml:space="preserve">Program Monitoring: </w:t>
      </w:r>
      <w:r w:rsidRPr="00D47533">
        <w:rPr>
          <w:rFonts w:ascii="Arial" w:hAnsi="Arial" w:cs="Arial"/>
          <w:bCs/>
          <w:sz w:val="22"/>
          <w:szCs w:val="22"/>
        </w:rPr>
        <w:t xml:space="preserve">is the primary tool </w:t>
      </w:r>
      <w:r w:rsidR="00923CA6">
        <w:rPr>
          <w:rFonts w:ascii="Arial" w:hAnsi="Arial" w:cs="Arial"/>
          <w:bCs/>
          <w:sz w:val="22"/>
          <w:szCs w:val="22"/>
        </w:rPr>
        <w:t>EOHLC</w:t>
      </w:r>
      <w:r w:rsidRPr="00D47533">
        <w:rPr>
          <w:rFonts w:ascii="Arial" w:hAnsi="Arial" w:cs="Arial"/>
          <w:bCs/>
          <w:sz w:val="22"/>
          <w:szCs w:val="22"/>
        </w:rPr>
        <w:t xml:space="preserve"> uses to ensure subrecipient programs are being operated in accordance with Federal, State, and City laws/ordinances, and contractual obligations. </w:t>
      </w:r>
    </w:p>
    <w:p w14:paraId="479BB533"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Risk Assessment: </w:t>
      </w:r>
      <w:r w:rsidRPr="00D47533">
        <w:rPr>
          <w:rFonts w:ascii="Arial" w:hAnsi="Arial" w:cs="Arial"/>
          <w:sz w:val="22"/>
          <w:szCs w:val="22"/>
        </w:rPr>
        <w:t>An annual assessment of risk for each subrecipient to determine the level of monitoring to be conducted.</w:t>
      </w:r>
    </w:p>
    <w:p w14:paraId="3B834A02"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Desk Monitoring: </w:t>
      </w:r>
      <w:r w:rsidRPr="00D47533">
        <w:rPr>
          <w:rFonts w:ascii="Arial" w:hAnsi="Arial" w:cs="Arial"/>
          <w:sz w:val="22"/>
          <w:szCs w:val="22"/>
        </w:rPr>
        <w:t>a monitoring review conducted without a visit to the subrecipient location.</w:t>
      </w:r>
    </w:p>
    <w:p w14:paraId="36BAF875"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Monitoring Letter: </w:t>
      </w:r>
      <w:r w:rsidRPr="00D47533">
        <w:rPr>
          <w:rFonts w:ascii="Arial" w:hAnsi="Arial" w:cs="Arial"/>
          <w:sz w:val="22"/>
          <w:szCs w:val="22"/>
        </w:rPr>
        <w:t>written correspondence sent to the subrecipient within 60 days after the completion of a monitoring visit outlining the results of the monitoring visit.</w:t>
      </w:r>
    </w:p>
    <w:p w14:paraId="3DDA7027" w14:textId="77777777" w:rsidR="00BE3717" w:rsidRPr="00D47533" w:rsidRDefault="00BE3717" w:rsidP="00BE3717">
      <w:pPr>
        <w:rPr>
          <w:rFonts w:ascii="Arial" w:hAnsi="Arial" w:cs="Arial"/>
          <w:sz w:val="22"/>
          <w:szCs w:val="22"/>
        </w:rPr>
      </w:pPr>
      <w:r w:rsidRPr="00D47533">
        <w:rPr>
          <w:rFonts w:ascii="Arial" w:hAnsi="Arial" w:cs="Arial"/>
          <w:b/>
          <w:sz w:val="22"/>
          <w:szCs w:val="22"/>
        </w:rPr>
        <w:t>Monitoring Finding</w:t>
      </w:r>
      <w:r w:rsidRPr="00D47533">
        <w:rPr>
          <w:rFonts w:ascii="Arial" w:hAnsi="Arial" w:cs="Arial"/>
          <w:sz w:val="22"/>
          <w:szCs w:val="22"/>
        </w:rPr>
        <w:t>: is a deficiency in program performance based on material noncompliance with a statutory, regulatory, or program requirement for which sanctions or other corrective actions are authorized.</w:t>
      </w:r>
    </w:p>
    <w:p w14:paraId="000D653C"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Monitoring Concern: </w:t>
      </w:r>
      <w:r w:rsidRPr="00D47533">
        <w:rPr>
          <w:rFonts w:ascii="Arial" w:hAnsi="Arial" w:cs="Arial"/>
          <w:sz w:val="22"/>
          <w:szCs w:val="22"/>
        </w:rPr>
        <w:t>is a deficiency in program performance not based on a statutory, regulatory, or other program requirement.  Monitoring Concerns that are not addressed can become a Monitoring Finding.</w:t>
      </w:r>
    </w:p>
    <w:p w14:paraId="1CF152D7"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Programmatic Monitoring: </w:t>
      </w:r>
      <w:r w:rsidRPr="00D47533">
        <w:rPr>
          <w:rFonts w:ascii="Arial" w:hAnsi="Arial" w:cs="Arial"/>
          <w:sz w:val="22"/>
          <w:szCs w:val="22"/>
        </w:rPr>
        <w:t xml:space="preserve">is a process that helps improve subrecipient program performance and achieve results.  Its goal is to improve current and future program outcomes, and impact. </w:t>
      </w:r>
    </w:p>
    <w:p w14:paraId="7103C3BE" w14:textId="77777777" w:rsidR="00BE3717" w:rsidRPr="00D47533" w:rsidRDefault="00BE3717" w:rsidP="00BE3717">
      <w:pPr>
        <w:rPr>
          <w:rFonts w:ascii="Arial" w:hAnsi="Arial" w:cs="Arial"/>
          <w:sz w:val="22"/>
          <w:szCs w:val="22"/>
        </w:rPr>
      </w:pPr>
      <w:r w:rsidRPr="00D47533">
        <w:rPr>
          <w:rFonts w:ascii="Arial" w:hAnsi="Arial" w:cs="Arial"/>
          <w:b/>
          <w:sz w:val="22"/>
          <w:szCs w:val="22"/>
        </w:rPr>
        <w:t>Financial Monitoring:</w:t>
      </w:r>
      <w:r w:rsidRPr="00D47533">
        <w:rPr>
          <w:rFonts w:ascii="Arial" w:hAnsi="Arial" w:cs="Arial"/>
          <w:sz w:val="22"/>
          <w:szCs w:val="22"/>
        </w:rPr>
        <w:t xml:space="preserve"> is a process that helps improve subrecipient financial performance and achieve results.  Its goal is </w:t>
      </w:r>
      <w:proofErr w:type="gramStart"/>
      <w:r w:rsidRPr="00D47533">
        <w:rPr>
          <w:rFonts w:ascii="Arial" w:hAnsi="Arial" w:cs="Arial"/>
          <w:sz w:val="22"/>
          <w:szCs w:val="22"/>
        </w:rPr>
        <w:t>ensure</w:t>
      </w:r>
      <w:proofErr w:type="gramEnd"/>
      <w:r w:rsidRPr="00D47533">
        <w:rPr>
          <w:rFonts w:ascii="Arial" w:hAnsi="Arial" w:cs="Arial"/>
          <w:sz w:val="22"/>
          <w:szCs w:val="22"/>
        </w:rPr>
        <w:t xml:space="preserve"> financial compliance. </w:t>
      </w:r>
    </w:p>
    <w:p w14:paraId="38793BFF" w14:textId="77777777" w:rsidR="00BE3717" w:rsidRPr="00D47533" w:rsidRDefault="00BE3717" w:rsidP="00BE3717">
      <w:pPr>
        <w:rPr>
          <w:rFonts w:ascii="Arial" w:hAnsi="Arial" w:cs="Arial"/>
          <w:sz w:val="22"/>
          <w:szCs w:val="22"/>
        </w:rPr>
      </w:pPr>
      <w:r w:rsidRPr="00D47533">
        <w:rPr>
          <w:rFonts w:ascii="Arial" w:hAnsi="Arial" w:cs="Arial"/>
          <w:b/>
          <w:sz w:val="22"/>
          <w:szCs w:val="22"/>
        </w:rPr>
        <w:lastRenderedPageBreak/>
        <w:t xml:space="preserve">Site Visit: </w:t>
      </w:r>
      <w:r w:rsidRPr="00D47533">
        <w:rPr>
          <w:rFonts w:ascii="Arial" w:hAnsi="Arial" w:cs="Arial"/>
          <w:sz w:val="22"/>
          <w:szCs w:val="22"/>
        </w:rPr>
        <w:t>a visit to the subrecipient program site to observe facilities, interact with staff and program participants, ensure program is in operation during contractual terms, inspect for health, safety, and sanitary conditions.</w:t>
      </w:r>
    </w:p>
    <w:p w14:paraId="1DFF75BD" w14:textId="6E16FB7B" w:rsidR="00BE3717" w:rsidRDefault="00BE3717" w:rsidP="00BE3717">
      <w:pPr>
        <w:rPr>
          <w:rFonts w:ascii="Arial" w:hAnsi="Arial" w:cs="Arial"/>
          <w:sz w:val="22"/>
          <w:szCs w:val="22"/>
        </w:rPr>
      </w:pPr>
      <w:r w:rsidRPr="00D47533">
        <w:rPr>
          <w:rFonts w:ascii="Arial" w:hAnsi="Arial" w:cs="Arial"/>
          <w:b/>
          <w:sz w:val="22"/>
          <w:szCs w:val="22"/>
        </w:rPr>
        <w:t>Homeless Management Information System (HMIS):</w:t>
      </w:r>
      <w:r w:rsidRPr="00D47533">
        <w:rPr>
          <w:rFonts w:ascii="Arial" w:hAnsi="Arial" w:cs="Arial"/>
          <w:sz w:val="22"/>
          <w:szCs w:val="22"/>
        </w:rPr>
        <w:t xml:space="preserve"> a local information technology system used to collect client-level data and data on the provision of housing and services to homeless individuals and families and persons at risk of homelessness.</w:t>
      </w:r>
    </w:p>
    <w:p w14:paraId="02BA828B" w14:textId="77777777" w:rsidR="004A10EE" w:rsidRPr="00D47533" w:rsidRDefault="004A10EE" w:rsidP="00BE3717">
      <w:pPr>
        <w:rPr>
          <w:rFonts w:ascii="Arial" w:hAnsi="Arial" w:cs="Arial"/>
          <w:sz w:val="22"/>
          <w:szCs w:val="22"/>
        </w:rPr>
      </w:pPr>
    </w:p>
    <w:p w14:paraId="6C548DCD" w14:textId="5A302780" w:rsidR="00BE3717" w:rsidRPr="00D47533" w:rsidRDefault="004A10EE" w:rsidP="00BE3717">
      <w:pPr>
        <w:pStyle w:val="Heading2"/>
        <w:rPr>
          <w:rFonts w:ascii="Arial" w:hAnsi="Arial" w:cs="Arial"/>
        </w:rPr>
      </w:pPr>
      <w:bookmarkStart w:id="56" w:name="_Toc109630131"/>
      <w:bookmarkStart w:id="57" w:name="_Toc110000659"/>
      <w:r w:rsidRPr="00D47533">
        <w:rPr>
          <w:rFonts w:ascii="Arial" w:hAnsi="Arial" w:cs="Arial"/>
          <w:caps w:val="0"/>
        </w:rPr>
        <w:t>PROCEDURES</w:t>
      </w:r>
      <w:bookmarkEnd w:id="56"/>
      <w:bookmarkEnd w:id="57"/>
    </w:p>
    <w:p w14:paraId="02D0EFE1" w14:textId="77777777" w:rsidR="00BE3717" w:rsidRPr="00D47533" w:rsidRDefault="00BE3717" w:rsidP="00BE3717">
      <w:pPr>
        <w:rPr>
          <w:rFonts w:ascii="Arial" w:hAnsi="Arial" w:cs="Arial"/>
          <w:sz w:val="22"/>
          <w:szCs w:val="22"/>
        </w:rPr>
      </w:pPr>
      <w:r w:rsidRPr="00D47533">
        <w:rPr>
          <w:rFonts w:ascii="Arial" w:hAnsi="Arial" w:cs="Arial"/>
          <w:b/>
          <w:sz w:val="22"/>
          <w:szCs w:val="22"/>
        </w:rPr>
        <w:t xml:space="preserve">Risk Assessment: </w:t>
      </w:r>
      <w:r w:rsidRPr="00D47533">
        <w:rPr>
          <w:rFonts w:ascii="Arial" w:hAnsi="Arial" w:cs="Arial"/>
          <w:sz w:val="22"/>
          <w:szCs w:val="22"/>
        </w:rPr>
        <w:t xml:space="preserve">Assigned contract managers will complete the risk assessment tool on the ESG Monitoring Toolkit file for each subrecipient to determine the level of oversight necessary to ensure successful operation of the program. </w:t>
      </w:r>
    </w:p>
    <w:p w14:paraId="248F4EB3" w14:textId="77777777" w:rsidR="00BE3717" w:rsidRPr="00D47533" w:rsidRDefault="00BE3717" w:rsidP="00BE3717">
      <w:pPr>
        <w:rPr>
          <w:rFonts w:ascii="Arial" w:hAnsi="Arial" w:cs="Arial"/>
          <w:sz w:val="22"/>
          <w:szCs w:val="22"/>
        </w:rPr>
      </w:pPr>
      <w:r w:rsidRPr="00D47533">
        <w:rPr>
          <w:rFonts w:ascii="Arial" w:hAnsi="Arial" w:cs="Arial"/>
          <w:sz w:val="22"/>
          <w:szCs w:val="22"/>
        </w:rPr>
        <w:t xml:space="preserve">The Risk Assessment is to determine the monitoring level (High/Medium/Low) for each sub-recipient. Subrecipients will be assigned for monitoring based on their overall ranking and the division’s resources. </w:t>
      </w:r>
    </w:p>
    <w:p w14:paraId="28CAF934" w14:textId="77777777" w:rsidR="00BE3717" w:rsidRPr="00D47533" w:rsidRDefault="00BE3717" w:rsidP="00BE3717">
      <w:pPr>
        <w:rPr>
          <w:rFonts w:ascii="Arial" w:hAnsi="Arial" w:cs="Arial"/>
          <w:sz w:val="22"/>
          <w:szCs w:val="22"/>
        </w:rPr>
      </w:pPr>
      <w:r w:rsidRPr="00D47533">
        <w:rPr>
          <w:rFonts w:ascii="Arial" w:hAnsi="Arial" w:cs="Arial"/>
          <w:sz w:val="22"/>
          <w:szCs w:val="22"/>
        </w:rPr>
        <w:t>Selection for programmatic monitoring is not based solely on scores and ranking outlined in the Risk Assessment.  Staff may select an agency with a lower risk for monitoring because of unique circumstances or a specific risk factor that may reveal a need for a program or project monitoring. The following chart, based on risk assessment, will be utilized in determining frequency and type of monitoring a subrecipient will receive throughout their contract:</w:t>
      </w:r>
    </w:p>
    <w:p w14:paraId="0DC71802" w14:textId="77777777" w:rsidR="00BE3717" w:rsidRPr="00D47533" w:rsidRDefault="00BE3717" w:rsidP="00BE3717">
      <w:pPr>
        <w:rPr>
          <w:rFonts w:ascii="Arial" w:hAnsi="Arial" w:cs="Arial"/>
          <w:sz w:val="22"/>
          <w:szCs w:val="22"/>
        </w:rPr>
      </w:pPr>
    </w:p>
    <w:tbl>
      <w:tblPr>
        <w:tblStyle w:val="GridTable4-Accent1"/>
        <w:tblW w:w="0" w:type="auto"/>
        <w:jc w:val="center"/>
        <w:tblLook w:val="04A0" w:firstRow="1" w:lastRow="0" w:firstColumn="1" w:lastColumn="0" w:noHBand="0" w:noVBand="1"/>
      </w:tblPr>
      <w:tblGrid>
        <w:gridCol w:w="3936"/>
        <w:gridCol w:w="3974"/>
      </w:tblGrid>
      <w:tr w:rsidR="00BE3717" w:rsidRPr="00D47533" w14:paraId="54709F97" w14:textId="77777777" w:rsidTr="00707D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14:paraId="29F0CF95" w14:textId="77777777" w:rsidR="00BE3717" w:rsidRPr="00D47533" w:rsidRDefault="00BE3717" w:rsidP="00707D43">
            <w:pPr>
              <w:spacing w:after="200" w:line="276" w:lineRule="auto"/>
              <w:rPr>
                <w:rFonts w:ascii="Arial" w:hAnsi="Arial" w:cs="Arial"/>
                <w:sz w:val="22"/>
                <w:szCs w:val="22"/>
              </w:rPr>
            </w:pPr>
            <w:r w:rsidRPr="00D47533">
              <w:rPr>
                <w:rFonts w:ascii="Arial" w:hAnsi="Arial" w:cs="Arial"/>
                <w:sz w:val="22"/>
                <w:szCs w:val="22"/>
              </w:rPr>
              <w:t>Subrecipient Risk Level</w:t>
            </w:r>
          </w:p>
        </w:tc>
        <w:tc>
          <w:tcPr>
            <w:tcW w:w="3974" w:type="dxa"/>
          </w:tcPr>
          <w:p w14:paraId="16584C37" w14:textId="77777777" w:rsidR="00BE3717" w:rsidRPr="00D47533" w:rsidRDefault="00BE3717" w:rsidP="00707D43">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47533">
              <w:rPr>
                <w:rFonts w:ascii="Arial" w:hAnsi="Arial" w:cs="Arial"/>
                <w:sz w:val="22"/>
                <w:szCs w:val="22"/>
              </w:rPr>
              <w:t>Minimum Required Monitoring</w:t>
            </w:r>
          </w:p>
        </w:tc>
      </w:tr>
      <w:tr w:rsidR="00BE3717" w:rsidRPr="00D47533" w14:paraId="1C763808" w14:textId="77777777" w:rsidTr="00707D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14:paraId="7FA733E0" w14:textId="77777777" w:rsidR="00BE3717" w:rsidRPr="00D47533" w:rsidRDefault="00BE3717" w:rsidP="00707D43">
            <w:pPr>
              <w:spacing w:after="200" w:line="276" w:lineRule="auto"/>
              <w:rPr>
                <w:rFonts w:ascii="Arial" w:hAnsi="Arial" w:cs="Arial"/>
                <w:sz w:val="22"/>
                <w:szCs w:val="22"/>
              </w:rPr>
            </w:pPr>
            <w:r w:rsidRPr="00D47533">
              <w:rPr>
                <w:rFonts w:ascii="Arial" w:hAnsi="Arial" w:cs="Arial"/>
                <w:sz w:val="22"/>
                <w:szCs w:val="22"/>
              </w:rPr>
              <w:t xml:space="preserve">High Risk </w:t>
            </w:r>
          </w:p>
        </w:tc>
        <w:tc>
          <w:tcPr>
            <w:tcW w:w="3974" w:type="dxa"/>
          </w:tcPr>
          <w:p w14:paraId="4C7E1847" w14:textId="77777777" w:rsidR="00BE3717" w:rsidRPr="00D47533" w:rsidRDefault="00BE3717" w:rsidP="00707D4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7533">
              <w:rPr>
                <w:rFonts w:ascii="Arial" w:hAnsi="Arial" w:cs="Arial"/>
                <w:sz w:val="22"/>
                <w:szCs w:val="22"/>
              </w:rPr>
              <w:t>On site visits every 24 months, and file reviews annually</w:t>
            </w:r>
          </w:p>
        </w:tc>
      </w:tr>
      <w:tr w:rsidR="00BE3717" w:rsidRPr="00D47533" w14:paraId="7472DE53" w14:textId="77777777" w:rsidTr="00707D43">
        <w:trPr>
          <w:jc w:val="center"/>
        </w:trPr>
        <w:tc>
          <w:tcPr>
            <w:cnfStyle w:val="001000000000" w:firstRow="0" w:lastRow="0" w:firstColumn="1" w:lastColumn="0" w:oddVBand="0" w:evenVBand="0" w:oddHBand="0" w:evenHBand="0" w:firstRowFirstColumn="0" w:firstRowLastColumn="0" w:lastRowFirstColumn="0" w:lastRowLastColumn="0"/>
            <w:tcW w:w="3936" w:type="dxa"/>
          </w:tcPr>
          <w:p w14:paraId="7E505562" w14:textId="77777777" w:rsidR="00BE3717" w:rsidRPr="00D47533" w:rsidRDefault="00BE3717" w:rsidP="00707D43">
            <w:pPr>
              <w:spacing w:after="200" w:line="276" w:lineRule="auto"/>
              <w:rPr>
                <w:rFonts w:ascii="Arial" w:hAnsi="Arial" w:cs="Arial"/>
                <w:sz w:val="22"/>
                <w:szCs w:val="22"/>
              </w:rPr>
            </w:pPr>
            <w:r w:rsidRPr="00D47533">
              <w:rPr>
                <w:rFonts w:ascii="Arial" w:hAnsi="Arial" w:cs="Arial"/>
                <w:sz w:val="22"/>
                <w:szCs w:val="22"/>
              </w:rPr>
              <w:t xml:space="preserve">Medium Risk </w:t>
            </w:r>
          </w:p>
        </w:tc>
        <w:tc>
          <w:tcPr>
            <w:tcW w:w="3974" w:type="dxa"/>
          </w:tcPr>
          <w:p w14:paraId="6AE87F91" w14:textId="77777777" w:rsidR="00BE3717" w:rsidRPr="00D47533" w:rsidRDefault="00BE3717" w:rsidP="00707D43">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47533">
              <w:rPr>
                <w:rFonts w:ascii="Arial" w:hAnsi="Arial" w:cs="Arial"/>
                <w:sz w:val="22"/>
                <w:szCs w:val="22"/>
              </w:rPr>
              <w:t>On site visit or desk review every 24 months</w:t>
            </w:r>
          </w:p>
        </w:tc>
      </w:tr>
      <w:tr w:rsidR="00BE3717" w:rsidRPr="00D47533" w14:paraId="4849840C" w14:textId="77777777" w:rsidTr="00707D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14:paraId="75C811B5" w14:textId="77777777" w:rsidR="00BE3717" w:rsidRPr="00D47533" w:rsidRDefault="00BE3717" w:rsidP="00707D43">
            <w:pPr>
              <w:spacing w:after="200" w:line="276" w:lineRule="auto"/>
              <w:rPr>
                <w:rFonts w:ascii="Arial" w:hAnsi="Arial" w:cs="Arial"/>
                <w:sz w:val="22"/>
                <w:szCs w:val="22"/>
              </w:rPr>
            </w:pPr>
            <w:r w:rsidRPr="00D47533">
              <w:rPr>
                <w:rFonts w:ascii="Arial" w:hAnsi="Arial" w:cs="Arial"/>
                <w:sz w:val="22"/>
                <w:szCs w:val="22"/>
              </w:rPr>
              <w:t xml:space="preserve">Low Risk </w:t>
            </w:r>
          </w:p>
        </w:tc>
        <w:tc>
          <w:tcPr>
            <w:tcW w:w="3974" w:type="dxa"/>
          </w:tcPr>
          <w:p w14:paraId="175C3AD4" w14:textId="77777777" w:rsidR="00BE3717" w:rsidRPr="00D47533" w:rsidRDefault="00BE3717" w:rsidP="00707D43">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47533">
              <w:rPr>
                <w:rFonts w:ascii="Arial" w:hAnsi="Arial" w:cs="Arial"/>
                <w:sz w:val="22"/>
                <w:szCs w:val="22"/>
              </w:rPr>
              <w:t>As needed</w:t>
            </w:r>
          </w:p>
        </w:tc>
      </w:tr>
    </w:tbl>
    <w:p w14:paraId="475BA091" w14:textId="77777777" w:rsidR="00BE3717" w:rsidRPr="00D47533" w:rsidRDefault="00BE3717" w:rsidP="00BE3717">
      <w:pPr>
        <w:rPr>
          <w:rFonts w:ascii="Arial" w:hAnsi="Arial" w:cs="Arial"/>
          <w:sz w:val="22"/>
          <w:szCs w:val="22"/>
        </w:rPr>
      </w:pPr>
    </w:p>
    <w:p w14:paraId="212BBD35" w14:textId="7D66CB45" w:rsidR="00BE3717" w:rsidRPr="00D47533" w:rsidRDefault="00BE3717" w:rsidP="00BE3717">
      <w:pPr>
        <w:rPr>
          <w:rFonts w:ascii="Arial" w:hAnsi="Arial" w:cs="Arial"/>
          <w:sz w:val="22"/>
          <w:szCs w:val="22"/>
        </w:rPr>
      </w:pPr>
      <w:r w:rsidRPr="00D47533">
        <w:rPr>
          <w:rFonts w:ascii="Arial" w:hAnsi="Arial" w:cs="Arial"/>
          <w:b/>
          <w:sz w:val="22"/>
          <w:szCs w:val="22"/>
        </w:rPr>
        <w:t xml:space="preserve">Program Monitoring: </w:t>
      </w:r>
      <w:r w:rsidRPr="00D47533">
        <w:rPr>
          <w:rFonts w:ascii="Arial" w:hAnsi="Arial" w:cs="Arial"/>
          <w:sz w:val="22"/>
          <w:szCs w:val="22"/>
        </w:rPr>
        <w:t xml:space="preserve">Once a subrecipient has been identified for an on-site program monitoring, a monitoring date is established with the subrecipient. Email correspondence is sent to the organization confirming the meeting date, purpose, as well as advising of specific documents, </w:t>
      </w:r>
      <w:proofErr w:type="gramStart"/>
      <w:r w:rsidRPr="00D47533">
        <w:rPr>
          <w:rFonts w:ascii="Arial" w:hAnsi="Arial" w:cs="Arial"/>
          <w:sz w:val="22"/>
          <w:szCs w:val="22"/>
        </w:rPr>
        <w:t>processes</w:t>
      </w:r>
      <w:proofErr w:type="gramEnd"/>
      <w:r w:rsidRPr="00D47533">
        <w:rPr>
          <w:rFonts w:ascii="Arial" w:hAnsi="Arial" w:cs="Arial"/>
          <w:sz w:val="22"/>
          <w:szCs w:val="22"/>
        </w:rPr>
        <w:t xml:space="preserve"> and areas subject to review. The </w:t>
      </w:r>
      <w:r w:rsidR="00923CA6">
        <w:rPr>
          <w:rFonts w:ascii="Arial" w:hAnsi="Arial" w:cs="Arial"/>
          <w:sz w:val="22"/>
          <w:szCs w:val="22"/>
        </w:rPr>
        <w:t>EOHLC</w:t>
      </w:r>
      <w:r w:rsidRPr="00D47533">
        <w:rPr>
          <w:rFonts w:ascii="Arial" w:hAnsi="Arial" w:cs="Arial"/>
          <w:sz w:val="22"/>
          <w:szCs w:val="22"/>
        </w:rPr>
        <w:t xml:space="preserve"> staff conducting the program monitoring shall inform the subrecipient of any program Findings or Concerns within sixty (60) days after the conclusion of the monitoring visit.</w:t>
      </w:r>
    </w:p>
    <w:p w14:paraId="4F5F9FC5" w14:textId="04683DC2" w:rsidR="00BE3717" w:rsidRDefault="00BE3717" w:rsidP="00BE3717">
      <w:pPr>
        <w:rPr>
          <w:rFonts w:ascii="Arial" w:hAnsi="Arial" w:cs="Arial"/>
          <w:sz w:val="22"/>
          <w:szCs w:val="22"/>
        </w:rPr>
      </w:pPr>
      <w:r w:rsidRPr="00D47533">
        <w:rPr>
          <w:rFonts w:ascii="Arial" w:hAnsi="Arial" w:cs="Arial"/>
          <w:b/>
          <w:sz w:val="22"/>
          <w:szCs w:val="22"/>
        </w:rPr>
        <w:lastRenderedPageBreak/>
        <w:t>Desk Monitoring:</w:t>
      </w:r>
      <w:r w:rsidRPr="00D47533">
        <w:rPr>
          <w:rFonts w:ascii="Arial" w:hAnsi="Arial" w:cs="Arial"/>
          <w:sz w:val="22"/>
          <w:szCs w:val="22"/>
        </w:rPr>
        <w:t xml:space="preserve"> Desk Monitoring is performed on each contract award to ensure the standards and requirements are met according to the subrecipient agreement, department policy, and regulatory requirements. Desk monitoring may </w:t>
      </w:r>
      <w:proofErr w:type="gramStart"/>
      <w:r w:rsidRPr="00D47533">
        <w:rPr>
          <w:rFonts w:ascii="Arial" w:hAnsi="Arial" w:cs="Arial"/>
          <w:sz w:val="22"/>
          <w:szCs w:val="22"/>
        </w:rPr>
        <w:t>include:</w:t>
      </w:r>
      <w:proofErr w:type="gramEnd"/>
      <w:r w:rsidRPr="00D47533">
        <w:rPr>
          <w:rFonts w:ascii="Arial" w:hAnsi="Arial" w:cs="Arial"/>
          <w:sz w:val="22"/>
          <w:szCs w:val="22"/>
        </w:rPr>
        <w:t xml:space="preserve"> reviewing the accuracy of reimbursement submissions, outcome and output reports, running Homeless Management Information System (HMIS) reports to review program performance, HMIS chart reviews, issuing deficiency letters, email notifications, and other documentation relative to the subrecipient operations.</w:t>
      </w:r>
    </w:p>
    <w:p w14:paraId="2E15F04D" w14:textId="77777777" w:rsidR="004A10EE" w:rsidRPr="00D47533" w:rsidRDefault="004A10EE" w:rsidP="00BE3717">
      <w:pPr>
        <w:rPr>
          <w:rFonts w:ascii="Arial" w:hAnsi="Arial" w:cs="Arial"/>
          <w:sz w:val="22"/>
          <w:szCs w:val="22"/>
        </w:rPr>
      </w:pPr>
    </w:p>
    <w:p w14:paraId="228120C2" w14:textId="29DAA5EE" w:rsidR="00BE3717" w:rsidRPr="00D47533" w:rsidRDefault="004A10EE" w:rsidP="00BE3717">
      <w:pPr>
        <w:pStyle w:val="Heading2"/>
        <w:rPr>
          <w:rFonts w:ascii="Arial" w:hAnsi="Arial" w:cs="Arial"/>
        </w:rPr>
      </w:pPr>
      <w:bookmarkStart w:id="58" w:name="_Toc110000660"/>
      <w:r w:rsidRPr="00D47533">
        <w:rPr>
          <w:rFonts w:ascii="Arial" w:hAnsi="Arial" w:cs="Arial"/>
          <w:caps w:val="0"/>
        </w:rPr>
        <w:t>ACCESS TO RECORDS</w:t>
      </w:r>
      <w:bookmarkEnd w:id="58"/>
      <w:r w:rsidRPr="00D47533">
        <w:rPr>
          <w:rFonts w:ascii="Arial" w:hAnsi="Arial" w:cs="Arial"/>
          <w:caps w:val="0"/>
        </w:rPr>
        <w:t xml:space="preserve"> </w:t>
      </w:r>
    </w:p>
    <w:p w14:paraId="4ED2844C" w14:textId="3A0A100D" w:rsidR="00BE3717" w:rsidRPr="00D47533" w:rsidRDefault="00BE3717" w:rsidP="00BE3717">
      <w:pPr>
        <w:rPr>
          <w:rFonts w:ascii="Arial" w:hAnsi="Arial" w:cs="Arial"/>
          <w:sz w:val="22"/>
          <w:szCs w:val="22"/>
        </w:rPr>
      </w:pPr>
      <w:r w:rsidRPr="00D47533">
        <w:rPr>
          <w:rFonts w:ascii="Arial" w:hAnsi="Arial" w:cs="Arial"/>
          <w:sz w:val="22"/>
          <w:szCs w:val="22"/>
        </w:rPr>
        <w:t xml:space="preserve">Subrecipients must comply with the requirements for access to records which establish that HUD, the HUD Office of the Inspector General, and the Comptroller General of the United 139 States, or any of their authorized representatives, and </w:t>
      </w:r>
      <w:r w:rsidR="00923CA6">
        <w:rPr>
          <w:rFonts w:ascii="Arial" w:hAnsi="Arial" w:cs="Arial"/>
          <w:sz w:val="22"/>
          <w:szCs w:val="22"/>
        </w:rPr>
        <w:t>EOHLC</w:t>
      </w:r>
      <w:r w:rsidRPr="00D47533">
        <w:rPr>
          <w:rFonts w:ascii="Arial" w:hAnsi="Arial" w:cs="Arial"/>
          <w:sz w:val="22"/>
          <w:szCs w:val="22"/>
        </w:rPr>
        <w:t xml:space="preserve">, must have the right of access to all documents, papers, or other records kept by the subrecipient relevant to the ESG award. This also includes access to subrecipients’ staff for the purpose of interview and discussion of documents. These rights last </w:t>
      </w:r>
      <w:proofErr w:type="gramStart"/>
      <w:r w:rsidRPr="00D47533">
        <w:rPr>
          <w:rFonts w:ascii="Arial" w:hAnsi="Arial" w:cs="Arial"/>
          <w:sz w:val="22"/>
          <w:szCs w:val="22"/>
        </w:rPr>
        <w:t>as long as</w:t>
      </w:r>
      <w:proofErr w:type="gramEnd"/>
      <w:r w:rsidRPr="00D47533">
        <w:rPr>
          <w:rFonts w:ascii="Arial" w:hAnsi="Arial" w:cs="Arial"/>
          <w:sz w:val="22"/>
          <w:szCs w:val="22"/>
        </w:rPr>
        <w:t xml:space="preserve"> the records are retained.</w:t>
      </w:r>
    </w:p>
    <w:p w14:paraId="7D2A3EEF" w14:textId="441C6471" w:rsidR="004A10EE" w:rsidRDefault="004A10EE">
      <w:r>
        <w:br w:type="page"/>
      </w:r>
    </w:p>
    <w:p w14:paraId="7B35935C" w14:textId="11D401D6" w:rsidR="006A6AA8" w:rsidRPr="00584180" w:rsidRDefault="004A10EE" w:rsidP="006A6AA8">
      <w:pPr>
        <w:pStyle w:val="Heading1"/>
        <w:rPr>
          <w:rFonts w:asciiTheme="minorBidi" w:eastAsia="Calibri" w:hAnsiTheme="minorBidi"/>
        </w:rPr>
      </w:pPr>
      <w:bookmarkStart w:id="59" w:name="_Toc110000661"/>
      <w:r>
        <w:rPr>
          <w:rFonts w:asciiTheme="minorBidi" w:eastAsia="Calibri" w:hAnsiTheme="minorBidi"/>
          <w:caps w:val="0"/>
        </w:rPr>
        <w:lastRenderedPageBreak/>
        <w:t xml:space="preserve">APPENDIX A </w:t>
      </w:r>
      <w:r w:rsidRPr="00584180">
        <w:rPr>
          <w:rFonts w:asciiTheme="minorBidi" w:eastAsia="Calibri" w:hAnsiTheme="minorBidi"/>
          <w:caps w:val="0"/>
        </w:rPr>
        <w:t>ORGANIZATIONAL POLIC</w:t>
      </w:r>
      <w:r>
        <w:rPr>
          <w:rFonts w:asciiTheme="minorBidi" w:eastAsia="Calibri" w:hAnsiTheme="minorBidi"/>
          <w:caps w:val="0"/>
        </w:rPr>
        <w:t>Y REQUIRMENT SUMMARY AND CHECKLIST</w:t>
      </w:r>
      <w:bookmarkEnd w:id="59"/>
      <w:r>
        <w:rPr>
          <w:rFonts w:asciiTheme="minorBidi" w:eastAsia="Calibri" w:hAnsiTheme="minorBidi"/>
          <w:caps w:val="0"/>
        </w:rPr>
        <w:t xml:space="preserve"> </w:t>
      </w:r>
    </w:p>
    <w:p w14:paraId="1C08270A" w14:textId="3CC0D501" w:rsidR="006A6AA8" w:rsidRDefault="00744264" w:rsidP="006A6AA8">
      <w:pPr>
        <w:spacing w:after="0" w:line="300" w:lineRule="auto"/>
        <w:rPr>
          <w:rFonts w:asciiTheme="minorBidi" w:hAnsiTheme="minorBidi"/>
          <w:sz w:val="22"/>
          <w:szCs w:val="22"/>
        </w:rPr>
      </w:pPr>
      <w:r>
        <w:rPr>
          <w:rFonts w:asciiTheme="minorBidi" w:hAnsiTheme="minorBidi"/>
          <w:sz w:val="22"/>
          <w:szCs w:val="22"/>
        </w:rPr>
        <w:t>Providers</w:t>
      </w:r>
      <w:r w:rsidR="006A6AA8" w:rsidRPr="00416B89">
        <w:rPr>
          <w:rFonts w:asciiTheme="minorBidi" w:hAnsiTheme="minorBidi"/>
          <w:sz w:val="22"/>
          <w:szCs w:val="22"/>
        </w:rPr>
        <w:t xml:space="preserve"> are required to keep records of the following:</w:t>
      </w:r>
    </w:p>
    <w:p w14:paraId="199584B4" w14:textId="4494F2F6" w:rsidR="00B43CEA" w:rsidRPr="00B43CEA" w:rsidRDefault="00B43CEA" w:rsidP="006A6AA8">
      <w:pPr>
        <w:spacing w:after="0" w:line="300" w:lineRule="auto"/>
        <w:rPr>
          <w:rFonts w:asciiTheme="minorBidi" w:hAnsiTheme="minorBidi"/>
          <w:b/>
          <w:bCs/>
          <w:sz w:val="22"/>
          <w:szCs w:val="22"/>
        </w:rPr>
      </w:pPr>
      <w:r w:rsidRPr="00B43CEA">
        <w:rPr>
          <w:rFonts w:asciiTheme="minorBidi" w:hAnsiTheme="minorBidi"/>
          <w:b/>
          <w:bCs/>
          <w:sz w:val="22"/>
          <w:szCs w:val="22"/>
        </w:rPr>
        <w:t xml:space="preserve">Client Level Documentation: </w:t>
      </w:r>
    </w:p>
    <w:p w14:paraId="78D45DE9" w14:textId="77777777" w:rsidR="004A4C62" w:rsidRPr="006A6AA8"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Program participant records that include the following:</w:t>
      </w:r>
    </w:p>
    <w:p w14:paraId="0623B69F" w14:textId="77777777" w:rsidR="004A4C62" w:rsidRPr="006A6AA8" w:rsidRDefault="004A4C62" w:rsidP="004A10EE">
      <w:pPr>
        <w:pStyle w:val="ListParagraph"/>
        <w:numPr>
          <w:ilvl w:val="1"/>
          <w:numId w:val="19"/>
        </w:numPr>
        <w:spacing w:after="0" w:line="240" w:lineRule="auto"/>
        <w:rPr>
          <w:rFonts w:asciiTheme="minorBidi" w:hAnsiTheme="minorBidi"/>
          <w:sz w:val="22"/>
          <w:szCs w:val="22"/>
        </w:rPr>
      </w:pPr>
      <w:r w:rsidRPr="006A6AA8">
        <w:rPr>
          <w:rFonts w:asciiTheme="minorBidi" w:hAnsiTheme="minorBidi"/>
          <w:sz w:val="22"/>
          <w:szCs w:val="22"/>
        </w:rPr>
        <w:t>Documentation of homelessness or at risk of homelessness status</w:t>
      </w:r>
    </w:p>
    <w:p w14:paraId="2321B8B9" w14:textId="77777777" w:rsidR="004A4C62" w:rsidRPr="006A6AA8" w:rsidRDefault="004A4C62" w:rsidP="004A10EE">
      <w:pPr>
        <w:pStyle w:val="ListParagraph"/>
        <w:numPr>
          <w:ilvl w:val="1"/>
          <w:numId w:val="19"/>
        </w:numPr>
        <w:spacing w:after="0" w:line="240" w:lineRule="auto"/>
        <w:rPr>
          <w:rFonts w:asciiTheme="minorBidi" w:hAnsiTheme="minorBidi"/>
          <w:sz w:val="22"/>
          <w:szCs w:val="22"/>
        </w:rPr>
      </w:pPr>
      <w:r w:rsidRPr="006A6AA8">
        <w:rPr>
          <w:rFonts w:asciiTheme="minorBidi" w:hAnsiTheme="minorBidi"/>
          <w:sz w:val="22"/>
          <w:szCs w:val="22"/>
        </w:rPr>
        <w:t>Compliance with regulations related to providing program services in accordance</w:t>
      </w:r>
      <w:r>
        <w:rPr>
          <w:rFonts w:asciiTheme="minorBidi" w:hAnsiTheme="minorBidi"/>
          <w:sz w:val="22"/>
          <w:szCs w:val="22"/>
        </w:rPr>
        <w:t xml:space="preserve"> </w:t>
      </w:r>
      <w:r w:rsidRPr="006A6AA8">
        <w:rPr>
          <w:rFonts w:asciiTheme="minorBidi" w:hAnsiTheme="minorBidi"/>
          <w:sz w:val="22"/>
          <w:szCs w:val="22"/>
        </w:rPr>
        <w:t>with program components and eligible activities, determining eligibility and</w:t>
      </w:r>
    </w:p>
    <w:p w14:paraId="5FB84535" w14:textId="4EF9A549" w:rsidR="004A4C62" w:rsidRDefault="004A4C62" w:rsidP="004A4C62">
      <w:pPr>
        <w:pStyle w:val="ListParagraph"/>
        <w:spacing w:after="0" w:line="240" w:lineRule="auto"/>
        <w:ind w:left="1440"/>
        <w:rPr>
          <w:rFonts w:asciiTheme="minorBidi" w:hAnsiTheme="minorBidi"/>
          <w:sz w:val="22"/>
          <w:szCs w:val="22"/>
        </w:rPr>
      </w:pPr>
      <w:r w:rsidRPr="006A6AA8">
        <w:rPr>
          <w:rFonts w:asciiTheme="minorBidi" w:hAnsiTheme="minorBidi"/>
          <w:sz w:val="22"/>
          <w:szCs w:val="22"/>
        </w:rPr>
        <w:t xml:space="preserve">amount and type of </w:t>
      </w:r>
      <w:proofErr w:type="gramStart"/>
      <w:r w:rsidR="00E07D5F" w:rsidRPr="006A6AA8">
        <w:rPr>
          <w:rFonts w:asciiTheme="minorBidi" w:hAnsiTheme="minorBidi"/>
          <w:sz w:val="22"/>
          <w:szCs w:val="22"/>
        </w:rPr>
        <w:t>assistance, and</w:t>
      </w:r>
      <w:proofErr w:type="gramEnd"/>
      <w:r w:rsidRPr="006A6AA8">
        <w:rPr>
          <w:rFonts w:asciiTheme="minorBidi" w:hAnsiTheme="minorBidi"/>
          <w:sz w:val="22"/>
          <w:szCs w:val="22"/>
        </w:rPr>
        <w:t xml:space="preserve"> using appropriate assistance and service</w:t>
      </w:r>
      <w:r>
        <w:rPr>
          <w:rFonts w:asciiTheme="minorBidi" w:hAnsiTheme="minorBidi"/>
          <w:sz w:val="22"/>
          <w:szCs w:val="22"/>
        </w:rPr>
        <w:t xml:space="preserve"> </w:t>
      </w:r>
      <w:r w:rsidRPr="006A6AA8">
        <w:rPr>
          <w:rFonts w:asciiTheme="minorBidi" w:hAnsiTheme="minorBidi"/>
          <w:sz w:val="22"/>
          <w:szCs w:val="22"/>
        </w:rPr>
        <w:t>(see</w:t>
      </w:r>
      <w:r>
        <w:rPr>
          <w:rFonts w:asciiTheme="minorBidi" w:hAnsiTheme="minorBidi"/>
          <w:sz w:val="22"/>
          <w:szCs w:val="22"/>
        </w:rPr>
        <w:t xml:space="preserve"> </w:t>
      </w:r>
      <w:r w:rsidRPr="004A4C62">
        <w:rPr>
          <w:rFonts w:asciiTheme="minorBidi" w:hAnsiTheme="minorBidi"/>
          <w:sz w:val="22"/>
          <w:szCs w:val="22"/>
        </w:rPr>
        <w:t>24 CFR 576.101, 24 CFR 576.106, 24 CFR 576.401(a) and (b), and 24 CFR 576.401</w:t>
      </w:r>
      <w:r>
        <w:rPr>
          <w:rFonts w:asciiTheme="minorBidi" w:hAnsiTheme="minorBidi"/>
          <w:sz w:val="22"/>
          <w:szCs w:val="22"/>
        </w:rPr>
        <w:t xml:space="preserve"> </w:t>
      </w:r>
      <w:r w:rsidRPr="004A4C62">
        <w:rPr>
          <w:rFonts w:asciiTheme="minorBidi" w:hAnsiTheme="minorBidi"/>
          <w:sz w:val="22"/>
          <w:szCs w:val="22"/>
        </w:rPr>
        <w:t>(d) and (e)).</w:t>
      </w:r>
    </w:p>
    <w:p w14:paraId="7D306B17" w14:textId="77777777" w:rsidR="004A4C62" w:rsidRPr="004A4C62" w:rsidRDefault="004A4C62" w:rsidP="004A4C62">
      <w:pPr>
        <w:pStyle w:val="ListParagraph"/>
        <w:spacing w:after="0" w:line="240" w:lineRule="auto"/>
        <w:ind w:left="1440"/>
        <w:rPr>
          <w:rFonts w:asciiTheme="minorBidi" w:hAnsiTheme="minorBidi"/>
          <w:sz w:val="22"/>
          <w:szCs w:val="22"/>
        </w:rPr>
      </w:pPr>
    </w:p>
    <w:p w14:paraId="3B43DE57" w14:textId="458950F5" w:rsidR="004A4C62"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Initial consultation form and case notes</w:t>
      </w:r>
    </w:p>
    <w:p w14:paraId="3FF3ADBB" w14:textId="77777777" w:rsidR="004A4C62" w:rsidRPr="006A6AA8" w:rsidRDefault="004A4C62" w:rsidP="004A4C62">
      <w:pPr>
        <w:pStyle w:val="ListParagraph"/>
        <w:spacing w:after="0" w:line="240" w:lineRule="auto"/>
        <w:rPr>
          <w:rFonts w:asciiTheme="minorBidi" w:hAnsiTheme="minorBidi"/>
          <w:sz w:val="22"/>
          <w:szCs w:val="22"/>
        </w:rPr>
      </w:pPr>
    </w:p>
    <w:p w14:paraId="3A5473AA" w14:textId="5BA47A25" w:rsidR="004A4C62"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Intake and certification form</w:t>
      </w:r>
    </w:p>
    <w:p w14:paraId="14E5CC3A" w14:textId="77777777" w:rsidR="004A4C62" w:rsidRPr="004A4C62" w:rsidRDefault="004A4C62" w:rsidP="004A4C62">
      <w:pPr>
        <w:pStyle w:val="ListParagraph"/>
        <w:rPr>
          <w:rFonts w:asciiTheme="minorBidi" w:hAnsiTheme="minorBidi"/>
          <w:sz w:val="22"/>
          <w:szCs w:val="22"/>
        </w:rPr>
      </w:pPr>
    </w:p>
    <w:p w14:paraId="11C27C71" w14:textId="4A19D202" w:rsidR="004A4C62"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Follow-up case manager/client meetings and at least monthly case notes</w:t>
      </w:r>
    </w:p>
    <w:p w14:paraId="5B9A6447" w14:textId="77777777" w:rsidR="004A4C62" w:rsidRPr="004A4C62" w:rsidRDefault="004A4C62" w:rsidP="004A4C62">
      <w:pPr>
        <w:spacing w:after="0" w:line="240" w:lineRule="auto"/>
        <w:rPr>
          <w:rFonts w:asciiTheme="minorBidi" w:hAnsiTheme="minorBidi"/>
          <w:sz w:val="22"/>
          <w:szCs w:val="22"/>
        </w:rPr>
      </w:pPr>
    </w:p>
    <w:p w14:paraId="6D2CAE26" w14:textId="77777777" w:rsidR="004A4C62" w:rsidRPr="006A6AA8"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Documented individualized housing and service plan, including a path to</w:t>
      </w:r>
    </w:p>
    <w:p w14:paraId="6621E35C" w14:textId="16202E8B" w:rsidR="004A4C62" w:rsidRDefault="004A4C62" w:rsidP="004A4C62">
      <w:pPr>
        <w:pStyle w:val="ListParagraph"/>
        <w:spacing w:after="0" w:line="240" w:lineRule="auto"/>
        <w:rPr>
          <w:rFonts w:asciiTheme="minorBidi" w:hAnsiTheme="minorBidi"/>
          <w:sz w:val="22"/>
          <w:szCs w:val="22"/>
        </w:rPr>
      </w:pPr>
      <w:r w:rsidRPr="006A6AA8">
        <w:rPr>
          <w:rFonts w:asciiTheme="minorBidi" w:hAnsiTheme="minorBidi"/>
          <w:sz w:val="22"/>
          <w:szCs w:val="22"/>
        </w:rPr>
        <w:t>permanent housing stability</w:t>
      </w:r>
    </w:p>
    <w:p w14:paraId="6BA65007" w14:textId="77777777" w:rsidR="004A4C62" w:rsidRPr="006A6AA8" w:rsidRDefault="004A4C62" w:rsidP="004A4C62">
      <w:pPr>
        <w:pStyle w:val="ListParagraph"/>
        <w:spacing w:after="0" w:line="240" w:lineRule="auto"/>
        <w:rPr>
          <w:rFonts w:asciiTheme="minorBidi" w:hAnsiTheme="minorBidi"/>
          <w:sz w:val="22"/>
          <w:szCs w:val="22"/>
        </w:rPr>
      </w:pPr>
    </w:p>
    <w:p w14:paraId="3FE432C9" w14:textId="77777777" w:rsidR="004A4C62" w:rsidRPr="006A6AA8"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Documentation of services and assistance provided to the program participant,</w:t>
      </w:r>
    </w:p>
    <w:p w14:paraId="1B66887C" w14:textId="3B82D947" w:rsidR="006A6AA8" w:rsidRPr="004A4C62" w:rsidRDefault="004A4C62" w:rsidP="004A4C62">
      <w:pPr>
        <w:pStyle w:val="ListParagraph"/>
        <w:spacing w:after="0" w:line="240" w:lineRule="auto"/>
        <w:rPr>
          <w:rFonts w:asciiTheme="minorBidi" w:hAnsiTheme="minorBidi"/>
          <w:sz w:val="22"/>
          <w:szCs w:val="22"/>
        </w:rPr>
      </w:pPr>
      <w:r w:rsidRPr="006A6AA8">
        <w:rPr>
          <w:rFonts w:asciiTheme="minorBidi" w:hAnsiTheme="minorBidi"/>
          <w:sz w:val="22"/>
          <w:szCs w:val="22"/>
        </w:rPr>
        <w:t>including, as applicable</w:t>
      </w:r>
      <w:r>
        <w:rPr>
          <w:rFonts w:asciiTheme="minorBidi" w:hAnsiTheme="minorBidi"/>
          <w:sz w:val="22"/>
          <w:szCs w:val="22"/>
        </w:rPr>
        <w:t xml:space="preserve">, leases and rental assistance agreement, </w:t>
      </w:r>
      <w:r w:rsidRPr="006A6AA8">
        <w:rPr>
          <w:rFonts w:asciiTheme="minorBidi" w:hAnsiTheme="minorBidi"/>
          <w:sz w:val="22"/>
          <w:szCs w:val="22"/>
        </w:rPr>
        <w:t>the security deposit, rental assistance, and utility</w:t>
      </w:r>
      <w:r>
        <w:rPr>
          <w:rFonts w:asciiTheme="minorBidi" w:hAnsiTheme="minorBidi"/>
          <w:sz w:val="22"/>
          <w:szCs w:val="22"/>
        </w:rPr>
        <w:t xml:space="preserve"> </w:t>
      </w:r>
      <w:r w:rsidRPr="004A4C62">
        <w:rPr>
          <w:rFonts w:asciiTheme="minorBidi" w:hAnsiTheme="minorBidi"/>
          <w:sz w:val="22"/>
          <w:szCs w:val="22"/>
        </w:rPr>
        <w:t>payments made on behalf of the program participant</w:t>
      </w:r>
      <w:r>
        <w:rPr>
          <w:rFonts w:asciiTheme="minorBidi" w:hAnsiTheme="minorBidi"/>
          <w:sz w:val="22"/>
          <w:szCs w:val="22"/>
        </w:rPr>
        <w:t xml:space="preserve">. Documentation should include </w:t>
      </w:r>
      <w:r w:rsidRPr="004A4C62">
        <w:rPr>
          <w:rFonts w:asciiTheme="minorBidi" w:hAnsiTheme="minorBidi"/>
          <w:sz w:val="22"/>
          <w:szCs w:val="22"/>
        </w:rPr>
        <w:t>dates of occupancy by progra</w:t>
      </w:r>
      <w:r>
        <w:rPr>
          <w:rFonts w:asciiTheme="minorBidi" w:hAnsiTheme="minorBidi"/>
          <w:sz w:val="22"/>
          <w:szCs w:val="22"/>
        </w:rPr>
        <w:t xml:space="preserve">m, </w:t>
      </w:r>
      <w:r w:rsidRPr="004A4C62">
        <w:rPr>
          <w:rFonts w:asciiTheme="minorBidi" w:hAnsiTheme="minorBidi"/>
          <w:sz w:val="22"/>
          <w:szCs w:val="22"/>
        </w:rPr>
        <w:t>type of assistance, payee name, client name, check number, and amount paid using ESG funds</w:t>
      </w:r>
    </w:p>
    <w:p w14:paraId="478EAAFA" w14:textId="77777777" w:rsidR="006A6AA8" w:rsidRPr="00416B89" w:rsidRDefault="006A6AA8" w:rsidP="006A6AA8">
      <w:pPr>
        <w:spacing w:after="0" w:line="240" w:lineRule="auto"/>
        <w:rPr>
          <w:rFonts w:asciiTheme="minorBidi" w:hAnsiTheme="minorBidi"/>
          <w:sz w:val="22"/>
          <w:szCs w:val="22"/>
        </w:rPr>
      </w:pPr>
    </w:p>
    <w:p w14:paraId="47421FEC" w14:textId="27CBF580"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The monthly allowance for utilities (excluding telephone) used to determine</w:t>
      </w:r>
    </w:p>
    <w:p w14:paraId="4ECF782D"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compliance with the rent restriction</w:t>
      </w:r>
    </w:p>
    <w:p w14:paraId="08422F37" w14:textId="77777777" w:rsidR="006A6AA8" w:rsidRPr="00416B89" w:rsidRDefault="006A6AA8" w:rsidP="006A6AA8">
      <w:pPr>
        <w:spacing w:after="0" w:line="240" w:lineRule="auto"/>
        <w:rPr>
          <w:rFonts w:asciiTheme="minorBidi" w:hAnsiTheme="minorBidi"/>
          <w:sz w:val="22"/>
          <w:szCs w:val="22"/>
        </w:rPr>
      </w:pPr>
    </w:p>
    <w:p w14:paraId="6E1A14CA" w14:textId="7B137BA0"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w:t>
      </w:r>
      <w:r w:rsidR="00B43CEA">
        <w:rPr>
          <w:rFonts w:asciiTheme="minorBidi" w:hAnsiTheme="minorBidi"/>
          <w:sz w:val="22"/>
          <w:szCs w:val="22"/>
        </w:rPr>
        <w:t xml:space="preserve"> </w:t>
      </w:r>
      <w:r w:rsidRPr="006A6AA8">
        <w:rPr>
          <w:rFonts w:asciiTheme="minorBidi" w:hAnsiTheme="minorBidi"/>
          <w:sz w:val="22"/>
          <w:szCs w:val="22"/>
        </w:rPr>
        <w:t>housing standards in 24 CFR 576.403, including</w:t>
      </w:r>
    </w:p>
    <w:p w14:paraId="799C71FB"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inspection reports</w:t>
      </w:r>
    </w:p>
    <w:p w14:paraId="01CD99E8" w14:textId="77777777" w:rsidR="006A6AA8" w:rsidRPr="00416B89" w:rsidRDefault="006A6AA8" w:rsidP="006A6AA8">
      <w:pPr>
        <w:spacing w:after="0" w:line="240" w:lineRule="auto"/>
        <w:rPr>
          <w:rFonts w:asciiTheme="minorBidi" w:hAnsiTheme="minorBidi"/>
          <w:sz w:val="22"/>
          <w:szCs w:val="22"/>
        </w:rPr>
      </w:pPr>
    </w:p>
    <w:p w14:paraId="4796062A" w14:textId="428D9F0B"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Types of services provided under ESG, including rental assistance, housing</w:t>
      </w:r>
    </w:p>
    <w:p w14:paraId="38997BD2" w14:textId="357A9F23" w:rsidR="006A6AA8" w:rsidRPr="006A6AA8" w:rsidRDefault="006A6AA8"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 xml:space="preserve">stabilization, and relocation services, </w:t>
      </w:r>
    </w:p>
    <w:p w14:paraId="0152B85A" w14:textId="5D770207" w:rsidR="004A4C62" w:rsidRPr="00B43CEA" w:rsidRDefault="004A4C62" w:rsidP="00B43CEA">
      <w:pPr>
        <w:spacing w:after="0" w:line="240" w:lineRule="auto"/>
        <w:rPr>
          <w:rFonts w:asciiTheme="minorBidi" w:hAnsiTheme="minorBidi"/>
          <w:sz w:val="22"/>
          <w:szCs w:val="22"/>
        </w:rPr>
      </w:pPr>
    </w:p>
    <w:p w14:paraId="6DE73E75" w14:textId="6A93A56C" w:rsidR="004A4C62"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Determinations of ineligibility or termination of assistance (if applicable)</w:t>
      </w:r>
    </w:p>
    <w:p w14:paraId="3D3E028A" w14:textId="77777777" w:rsidR="004A4C62" w:rsidRPr="006A6AA8" w:rsidRDefault="004A4C62" w:rsidP="004A4C62">
      <w:pPr>
        <w:pStyle w:val="ListParagraph"/>
        <w:spacing w:after="0" w:line="240" w:lineRule="auto"/>
        <w:rPr>
          <w:rFonts w:asciiTheme="minorBidi" w:hAnsiTheme="minorBidi"/>
          <w:sz w:val="22"/>
          <w:szCs w:val="22"/>
        </w:rPr>
      </w:pPr>
    </w:p>
    <w:p w14:paraId="5B53F6E1" w14:textId="77777777" w:rsidR="004A4C62" w:rsidRPr="006A6AA8"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For each individual and family determined ineligible to receive ESG assistance,</w:t>
      </w:r>
    </w:p>
    <w:p w14:paraId="3AF8B68C" w14:textId="75659DEE" w:rsidR="004A4C62" w:rsidRPr="00B43CEA" w:rsidRDefault="004A4C62"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the client file must include documentation of the reason for that</w:t>
      </w:r>
      <w:r w:rsidR="00B43CEA">
        <w:rPr>
          <w:rFonts w:asciiTheme="minorBidi" w:hAnsiTheme="minorBidi"/>
          <w:sz w:val="22"/>
          <w:szCs w:val="22"/>
        </w:rPr>
        <w:t xml:space="preserve"> </w:t>
      </w:r>
      <w:r w:rsidRPr="00B43CEA">
        <w:rPr>
          <w:rFonts w:asciiTheme="minorBidi" w:hAnsiTheme="minorBidi"/>
          <w:sz w:val="22"/>
          <w:szCs w:val="22"/>
        </w:rPr>
        <w:t>determination</w:t>
      </w:r>
      <w:r w:rsidR="00B43CEA">
        <w:rPr>
          <w:rFonts w:asciiTheme="minorBidi" w:hAnsiTheme="minorBidi"/>
          <w:sz w:val="22"/>
          <w:szCs w:val="22"/>
        </w:rPr>
        <w:t xml:space="preserve"> (n</w:t>
      </w:r>
      <w:r w:rsidR="00B43CEA" w:rsidRPr="00B43CEA">
        <w:rPr>
          <w:rFonts w:asciiTheme="minorBidi" w:hAnsiTheme="minorBidi"/>
          <w:sz w:val="22"/>
          <w:szCs w:val="22"/>
        </w:rPr>
        <w:t>ote that d</w:t>
      </w:r>
      <w:r w:rsidRPr="00B43CEA">
        <w:rPr>
          <w:rFonts w:asciiTheme="minorBidi" w:hAnsiTheme="minorBidi"/>
          <w:sz w:val="22"/>
          <w:szCs w:val="22"/>
        </w:rPr>
        <w:t>ocumentation of termination of assistance must comply with the requirements</w:t>
      </w:r>
    </w:p>
    <w:p w14:paraId="727FEC54" w14:textId="02E5F06D" w:rsidR="004A4C62" w:rsidRDefault="004A4C62"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in 24 CFR 576.402.</w:t>
      </w:r>
      <w:r w:rsidR="00B43CEA">
        <w:rPr>
          <w:rFonts w:asciiTheme="minorBidi" w:hAnsiTheme="minorBidi"/>
          <w:sz w:val="22"/>
          <w:szCs w:val="22"/>
        </w:rPr>
        <w:t>)</w:t>
      </w:r>
    </w:p>
    <w:p w14:paraId="4A45443D" w14:textId="77777777" w:rsidR="00B43CEA" w:rsidRPr="006A6AA8" w:rsidRDefault="00B43CEA" w:rsidP="00B43CEA">
      <w:pPr>
        <w:pStyle w:val="ListParagraph"/>
        <w:spacing w:after="0" w:line="240" w:lineRule="auto"/>
        <w:rPr>
          <w:rFonts w:asciiTheme="minorBidi" w:hAnsiTheme="minorBidi"/>
          <w:sz w:val="22"/>
          <w:szCs w:val="22"/>
        </w:rPr>
      </w:pPr>
    </w:p>
    <w:p w14:paraId="39959C43" w14:textId="34D209C9" w:rsidR="004A4C62" w:rsidRPr="00B43CEA" w:rsidRDefault="004A4C62"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lastRenderedPageBreak/>
        <w:t>Documentation of the HMIS client ID number or a documented reason why the</w:t>
      </w:r>
      <w:r w:rsidR="00B43CEA">
        <w:rPr>
          <w:rFonts w:asciiTheme="minorBidi" w:hAnsiTheme="minorBidi"/>
          <w:sz w:val="22"/>
          <w:szCs w:val="22"/>
        </w:rPr>
        <w:t xml:space="preserve"> </w:t>
      </w:r>
      <w:r w:rsidRPr="00B43CEA">
        <w:rPr>
          <w:rFonts w:asciiTheme="minorBidi" w:hAnsiTheme="minorBidi"/>
          <w:sz w:val="22"/>
          <w:szCs w:val="22"/>
        </w:rPr>
        <w:t>number is not available</w:t>
      </w:r>
    </w:p>
    <w:p w14:paraId="315D8730" w14:textId="77777777" w:rsidR="00AC3AF3" w:rsidRDefault="00AC3AF3" w:rsidP="006A6AA8">
      <w:pPr>
        <w:spacing w:after="0" w:line="240" w:lineRule="auto"/>
        <w:rPr>
          <w:rFonts w:asciiTheme="minorBidi" w:hAnsiTheme="minorBidi"/>
          <w:sz w:val="22"/>
          <w:szCs w:val="22"/>
        </w:rPr>
      </w:pPr>
    </w:p>
    <w:p w14:paraId="3C2A8C1F" w14:textId="663731AB" w:rsidR="006A6AA8" w:rsidRPr="00181C61" w:rsidRDefault="00AC3AF3" w:rsidP="006A6AA8">
      <w:pPr>
        <w:spacing w:after="0" w:line="240" w:lineRule="auto"/>
        <w:rPr>
          <w:rFonts w:asciiTheme="minorBidi" w:hAnsiTheme="minorBidi"/>
          <w:b/>
          <w:bCs/>
          <w:sz w:val="22"/>
          <w:szCs w:val="22"/>
        </w:rPr>
      </w:pPr>
      <w:r w:rsidRPr="00181C61">
        <w:rPr>
          <w:rFonts w:asciiTheme="minorBidi" w:hAnsiTheme="minorBidi"/>
          <w:b/>
          <w:bCs/>
          <w:sz w:val="22"/>
          <w:szCs w:val="22"/>
        </w:rPr>
        <w:t xml:space="preserve">Providers are Required to Establish </w:t>
      </w:r>
      <w:r w:rsidR="00B43CEA" w:rsidRPr="00181C61">
        <w:rPr>
          <w:rFonts w:asciiTheme="minorBidi" w:hAnsiTheme="minorBidi"/>
          <w:b/>
          <w:bCs/>
          <w:sz w:val="22"/>
          <w:szCs w:val="22"/>
        </w:rPr>
        <w:t>Organization-Level Policies and Documentation</w:t>
      </w:r>
      <w:r w:rsidR="00181C61">
        <w:rPr>
          <w:rFonts w:asciiTheme="minorBidi" w:hAnsiTheme="minorBidi"/>
          <w:b/>
          <w:bCs/>
          <w:sz w:val="22"/>
          <w:szCs w:val="22"/>
        </w:rPr>
        <w:t xml:space="preserve"> for the Following</w:t>
      </w:r>
      <w:r w:rsidR="00B43CEA" w:rsidRPr="00181C61">
        <w:rPr>
          <w:rFonts w:asciiTheme="minorBidi" w:hAnsiTheme="minorBidi"/>
          <w:b/>
          <w:bCs/>
          <w:sz w:val="22"/>
          <w:szCs w:val="22"/>
        </w:rPr>
        <w:t xml:space="preserve">: </w:t>
      </w:r>
    </w:p>
    <w:p w14:paraId="5001E00F" w14:textId="77777777" w:rsidR="00B43CEA" w:rsidRPr="006A6AA8" w:rsidRDefault="00B43CEA"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requirements of 24 CFR 576.400 for consulting with the</w:t>
      </w:r>
    </w:p>
    <w:p w14:paraId="72FD7A69" w14:textId="77777777" w:rsidR="00B43CEA" w:rsidRPr="006A6AA8" w:rsidRDefault="00B43CEA"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Continuum of Care and coordinating and integrating ESG assistance with programs</w:t>
      </w:r>
    </w:p>
    <w:p w14:paraId="014DFB9E" w14:textId="77777777" w:rsidR="00B43CEA" w:rsidRPr="006A6AA8" w:rsidRDefault="00B43CEA"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targeted toward persons experiencing homelessness and mainstream service and</w:t>
      </w:r>
    </w:p>
    <w:p w14:paraId="0D292233" w14:textId="0D042E0B" w:rsidR="00B43CEA" w:rsidRDefault="00B43CEA" w:rsidP="00B43CEA">
      <w:pPr>
        <w:pStyle w:val="ListParagraph"/>
        <w:spacing w:after="0" w:line="240" w:lineRule="auto"/>
        <w:rPr>
          <w:rFonts w:asciiTheme="minorBidi" w:hAnsiTheme="minorBidi"/>
          <w:sz w:val="22"/>
          <w:szCs w:val="22"/>
        </w:rPr>
      </w:pPr>
      <w:r w:rsidRPr="006A6AA8">
        <w:rPr>
          <w:rFonts w:asciiTheme="minorBidi" w:hAnsiTheme="minorBidi"/>
          <w:sz w:val="22"/>
          <w:szCs w:val="22"/>
        </w:rPr>
        <w:t>assistance programs</w:t>
      </w:r>
    </w:p>
    <w:p w14:paraId="74670E7F" w14:textId="77777777" w:rsidR="00B43CEA" w:rsidRPr="00416B89" w:rsidRDefault="00B43CEA" w:rsidP="00B43CEA">
      <w:pPr>
        <w:pStyle w:val="ListParagraph"/>
        <w:spacing w:after="0" w:line="240" w:lineRule="auto"/>
        <w:rPr>
          <w:rFonts w:asciiTheme="minorBidi" w:hAnsiTheme="minorBidi"/>
          <w:sz w:val="22"/>
          <w:szCs w:val="22"/>
        </w:rPr>
      </w:pPr>
    </w:p>
    <w:p w14:paraId="474E6391" w14:textId="61AEA563"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Participation in HMIS or a comparable database</w:t>
      </w:r>
    </w:p>
    <w:p w14:paraId="254E9781" w14:textId="77777777" w:rsidR="006A6AA8" w:rsidRPr="00416B89" w:rsidRDefault="006A6AA8" w:rsidP="006A6AA8">
      <w:pPr>
        <w:spacing w:after="0" w:line="240" w:lineRule="auto"/>
        <w:rPr>
          <w:rFonts w:asciiTheme="minorBidi" w:hAnsiTheme="minorBidi"/>
          <w:sz w:val="22"/>
          <w:szCs w:val="22"/>
        </w:rPr>
      </w:pPr>
    </w:p>
    <w:p w14:paraId="531703EF" w14:textId="4FAE7348"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organizational conflicts-of-interest requirements in 24 CFR</w:t>
      </w:r>
    </w:p>
    <w:p w14:paraId="34FEBA06"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576.404(a), a copy of the personal conflicts of interest policy or codes of conduct</w:t>
      </w:r>
    </w:p>
    <w:p w14:paraId="2B33359F"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developed and implemented to comply with the requirements in 24 CFR 576.404(b),</w:t>
      </w:r>
    </w:p>
    <w:p w14:paraId="669CEC80"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and records supporting exceptions to the personal conflicts of interest</w:t>
      </w:r>
    </w:p>
    <w:p w14:paraId="2D29DF3D" w14:textId="77777777" w:rsidR="006A6AA8" w:rsidRPr="00416B89" w:rsidRDefault="006A6AA8" w:rsidP="006A6AA8">
      <w:pPr>
        <w:spacing w:after="0" w:line="240" w:lineRule="auto"/>
        <w:rPr>
          <w:rFonts w:asciiTheme="minorBidi" w:hAnsiTheme="minorBidi"/>
          <w:sz w:val="22"/>
          <w:szCs w:val="22"/>
        </w:rPr>
      </w:pPr>
    </w:p>
    <w:p w14:paraId="3A6600DA" w14:textId="1B311D74"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homeless participation requirements under 24 CFR 576.405</w:t>
      </w:r>
    </w:p>
    <w:p w14:paraId="763B6EED" w14:textId="77777777" w:rsidR="006A6AA8" w:rsidRPr="00416B89" w:rsidRDefault="006A6AA8" w:rsidP="006A6AA8">
      <w:pPr>
        <w:spacing w:after="0" w:line="240" w:lineRule="auto"/>
        <w:rPr>
          <w:rFonts w:asciiTheme="minorBidi" w:hAnsiTheme="minorBidi"/>
          <w:sz w:val="22"/>
          <w:szCs w:val="22"/>
        </w:rPr>
      </w:pPr>
    </w:p>
    <w:p w14:paraId="611B8217" w14:textId="2A87EC50"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faith-based activities requirements under 25 CFR 576.407</w:t>
      </w:r>
    </w:p>
    <w:p w14:paraId="775AA044" w14:textId="77777777" w:rsidR="006A6AA8" w:rsidRPr="00416B89" w:rsidRDefault="006A6AA8" w:rsidP="006A6AA8">
      <w:pPr>
        <w:spacing w:after="0" w:line="240" w:lineRule="auto"/>
        <w:rPr>
          <w:rFonts w:asciiTheme="minorBidi" w:hAnsiTheme="minorBidi"/>
          <w:sz w:val="22"/>
          <w:szCs w:val="22"/>
        </w:rPr>
      </w:pPr>
    </w:p>
    <w:p w14:paraId="6AC350D4" w14:textId="0BF9042A"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nondiscrimination and equal opportunity requirements under 24</w:t>
      </w:r>
    </w:p>
    <w:p w14:paraId="6200C63B"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CFR 576.407(a)</w:t>
      </w:r>
    </w:p>
    <w:p w14:paraId="52C1B0E1" w14:textId="77777777" w:rsidR="006A6AA8" w:rsidRPr="00416B89" w:rsidRDefault="006A6AA8" w:rsidP="006A6AA8">
      <w:pPr>
        <w:spacing w:after="0" w:line="240" w:lineRule="auto"/>
        <w:rPr>
          <w:rFonts w:asciiTheme="minorBidi" w:hAnsiTheme="minorBidi"/>
          <w:sz w:val="22"/>
          <w:szCs w:val="22"/>
        </w:rPr>
      </w:pPr>
    </w:p>
    <w:p w14:paraId="6BAB93B5" w14:textId="24B0E478"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uniform administrative requirements in 24 CFR part 84</w:t>
      </w:r>
    </w:p>
    <w:p w14:paraId="304E7D24" w14:textId="77777777" w:rsidR="006A6AA8" w:rsidRPr="00416B89" w:rsidRDefault="006A6AA8" w:rsidP="006A6AA8">
      <w:pPr>
        <w:spacing w:after="0" w:line="240" w:lineRule="auto"/>
        <w:rPr>
          <w:rFonts w:asciiTheme="minorBidi" w:hAnsiTheme="minorBidi"/>
          <w:sz w:val="22"/>
          <w:szCs w:val="22"/>
        </w:rPr>
      </w:pPr>
    </w:p>
    <w:p w14:paraId="4E23A79E" w14:textId="08DE7EC3"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environmental review requirements, including flood insurance</w:t>
      </w:r>
    </w:p>
    <w:p w14:paraId="48E2348F" w14:textId="701DC78F" w:rsidR="006A6AA8" w:rsidRPr="006A6AA8" w:rsidRDefault="006A6AA8" w:rsidP="006A6AA8">
      <w:pPr>
        <w:pStyle w:val="ListParagraph"/>
        <w:spacing w:after="0" w:line="240" w:lineRule="auto"/>
        <w:rPr>
          <w:rFonts w:asciiTheme="minorBidi" w:hAnsiTheme="minorBidi"/>
          <w:sz w:val="22"/>
          <w:szCs w:val="22"/>
        </w:rPr>
      </w:pPr>
      <w:r>
        <w:rPr>
          <w:rFonts w:asciiTheme="minorBidi" w:hAnsiTheme="minorBidi"/>
          <w:sz w:val="22"/>
          <w:szCs w:val="22"/>
        </w:rPr>
        <w:t>r</w:t>
      </w:r>
      <w:r w:rsidRPr="006A6AA8">
        <w:rPr>
          <w:rFonts w:asciiTheme="minorBidi" w:hAnsiTheme="minorBidi"/>
          <w:sz w:val="22"/>
          <w:szCs w:val="22"/>
        </w:rPr>
        <w:t>equirements</w:t>
      </w:r>
    </w:p>
    <w:p w14:paraId="29073BD3" w14:textId="77777777" w:rsidR="006A6AA8" w:rsidRPr="00416B89" w:rsidRDefault="006A6AA8" w:rsidP="006A6AA8">
      <w:pPr>
        <w:spacing w:after="0" w:line="240" w:lineRule="auto"/>
        <w:rPr>
          <w:rFonts w:asciiTheme="minorBidi" w:hAnsiTheme="minorBidi"/>
          <w:sz w:val="22"/>
          <w:szCs w:val="22"/>
        </w:rPr>
      </w:pPr>
    </w:p>
    <w:p w14:paraId="158EDA62" w14:textId="74F33954"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Certifications and disclosure forms required under the lobbying and disclosure</w:t>
      </w:r>
    </w:p>
    <w:p w14:paraId="245C9514"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requirements in 24 CFR part 87</w:t>
      </w:r>
    </w:p>
    <w:p w14:paraId="0ECFF1F1"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127</w:t>
      </w:r>
    </w:p>
    <w:p w14:paraId="5A815D93" w14:textId="77777777" w:rsidR="006A6AA8" w:rsidRPr="00416B89" w:rsidRDefault="006A6AA8" w:rsidP="006A6AA8">
      <w:pPr>
        <w:spacing w:after="0" w:line="240" w:lineRule="auto"/>
        <w:rPr>
          <w:rFonts w:asciiTheme="minorBidi" w:hAnsiTheme="minorBidi"/>
          <w:sz w:val="22"/>
          <w:szCs w:val="22"/>
        </w:rPr>
      </w:pPr>
    </w:p>
    <w:p w14:paraId="2FEFC4FE" w14:textId="29773298"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Compliance with the displacement, relocation, and acquisition requirements in 24 CFR</w:t>
      </w:r>
    </w:p>
    <w:p w14:paraId="1C651007"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576.408</w:t>
      </w:r>
    </w:p>
    <w:p w14:paraId="6C24A885" w14:textId="77777777" w:rsidR="006A6AA8" w:rsidRPr="00416B89" w:rsidRDefault="006A6AA8" w:rsidP="006A6AA8">
      <w:pPr>
        <w:spacing w:after="0" w:line="240" w:lineRule="auto"/>
        <w:rPr>
          <w:rFonts w:asciiTheme="minorBidi" w:hAnsiTheme="minorBidi"/>
          <w:sz w:val="22"/>
          <w:szCs w:val="22"/>
        </w:rPr>
      </w:pPr>
    </w:p>
    <w:p w14:paraId="5561D733" w14:textId="5A959093"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Documentation of how ESG funds were spent on allowable costs in accordance with</w:t>
      </w:r>
    </w:p>
    <w:p w14:paraId="25899420"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the requirements for eligible activities</w:t>
      </w:r>
    </w:p>
    <w:p w14:paraId="2A0445E0" w14:textId="77777777" w:rsidR="006A6AA8" w:rsidRPr="00416B89" w:rsidRDefault="006A6AA8" w:rsidP="006A6AA8">
      <w:pPr>
        <w:spacing w:after="0" w:line="240" w:lineRule="auto"/>
        <w:rPr>
          <w:rFonts w:asciiTheme="minorBidi" w:hAnsiTheme="minorBidi"/>
          <w:sz w:val="22"/>
          <w:szCs w:val="22"/>
        </w:rPr>
      </w:pPr>
    </w:p>
    <w:p w14:paraId="00F96956" w14:textId="1EA3CC2C"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Receipt and use of program income</w:t>
      </w:r>
    </w:p>
    <w:p w14:paraId="7B4ABC3D" w14:textId="77777777" w:rsidR="006A6AA8" w:rsidRPr="00416B89" w:rsidRDefault="006A6AA8" w:rsidP="006A6AA8">
      <w:pPr>
        <w:spacing w:after="0" w:line="240" w:lineRule="auto"/>
        <w:rPr>
          <w:rFonts w:asciiTheme="minorBidi" w:hAnsiTheme="minorBidi"/>
          <w:sz w:val="22"/>
          <w:szCs w:val="22"/>
        </w:rPr>
      </w:pPr>
    </w:p>
    <w:p w14:paraId="7D24729C" w14:textId="011D6D27"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Procurement contracts and documentation of compliance with the procurement</w:t>
      </w:r>
    </w:p>
    <w:p w14:paraId="7A4DB930" w14:textId="77777777" w:rsidR="006A6AA8" w:rsidRPr="006A6AA8" w:rsidRDefault="006A6AA8" w:rsidP="006A6AA8">
      <w:pPr>
        <w:pStyle w:val="ListParagraph"/>
        <w:spacing w:after="0" w:line="240" w:lineRule="auto"/>
        <w:rPr>
          <w:rFonts w:asciiTheme="minorBidi" w:hAnsiTheme="minorBidi"/>
          <w:sz w:val="22"/>
          <w:szCs w:val="22"/>
        </w:rPr>
      </w:pPr>
      <w:r w:rsidRPr="006A6AA8">
        <w:rPr>
          <w:rFonts w:asciiTheme="minorBidi" w:hAnsiTheme="minorBidi"/>
          <w:sz w:val="22"/>
          <w:szCs w:val="22"/>
        </w:rPr>
        <w:t>Requirements</w:t>
      </w:r>
    </w:p>
    <w:p w14:paraId="12C663A5" w14:textId="77777777" w:rsidR="006A6AA8" w:rsidRPr="00416B89" w:rsidRDefault="006A6AA8" w:rsidP="006A6AA8">
      <w:pPr>
        <w:spacing w:after="0" w:line="240" w:lineRule="auto"/>
        <w:rPr>
          <w:rFonts w:asciiTheme="minorBidi" w:hAnsiTheme="minorBidi"/>
          <w:sz w:val="22"/>
          <w:szCs w:val="22"/>
        </w:rPr>
      </w:pPr>
    </w:p>
    <w:p w14:paraId="5FE9787F" w14:textId="1C9F108F" w:rsidR="006A6AA8" w:rsidRPr="006A6AA8" w:rsidRDefault="006A6AA8" w:rsidP="004A10EE">
      <w:pPr>
        <w:pStyle w:val="ListParagraph"/>
        <w:numPr>
          <w:ilvl w:val="0"/>
          <w:numId w:val="19"/>
        </w:numPr>
        <w:spacing w:after="0" w:line="240" w:lineRule="auto"/>
        <w:rPr>
          <w:rFonts w:asciiTheme="minorBidi" w:hAnsiTheme="minorBidi"/>
          <w:sz w:val="22"/>
          <w:szCs w:val="22"/>
        </w:rPr>
      </w:pPr>
      <w:r w:rsidRPr="006A6AA8">
        <w:rPr>
          <w:rFonts w:asciiTheme="minorBidi" w:hAnsiTheme="minorBidi"/>
          <w:sz w:val="22"/>
          <w:szCs w:val="22"/>
        </w:rPr>
        <w:t>Written confidentiality procedures to ensure:</w:t>
      </w:r>
    </w:p>
    <w:p w14:paraId="67C33E95" w14:textId="0E4E0946" w:rsidR="006A6AA8" w:rsidRPr="006A6AA8" w:rsidRDefault="006A6AA8" w:rsidP="004A10EE">
      <w:pPr>
        <w:pStyle w:val="ListParagraph"/>
        <w:numPr>
          <w:ilvl w:val="1"/>
          <w:numId w:val="20"/>
        </w:numPr>
        <w:spacing w:after="0" w:line="240" w:lineRule="auto"/>
        <w:rPr>
          <w:rFonts w:asciiTheme="minorBidi" w:hAnsiTheme="minorBidi"/>
          <w:sz w:val="22"/>
          <w:szCs w:val="22"/>
        </w:rPr>
      </w:pPr>
      <w:r w:rsidRPr="006A6AA8">
        <w:rPr>
          <w:rFonts w:asciiTheme="minorBidi" w:hAnsiTheme="minorBidi"/>
          <w:sz w:val="22"/>
          <w:szCs w:val="22"/>
        </w:rPr>
        <w:t>All personally identifying information of any individual or family who applies for</w:t>
      </w:r>
      <w:r>
        <w:rPr>
          <w:rFonts w:asciiTheme="minorBidi" w:hAnsiTheme="minorBidi"/>
          <w:sz w:val="22"/>
          <w:szCs w:val="22"/>
        </w:rPr>
        <w:t xml:space="preserve"> </w:t>
      </w:r>
      <w:r w:rsidRPr="006A6AA8">
        <w:rPr>
          <w:rFonts w:asciiTheme="minorBidi" w:hAnsiTheme="minorBidi"/>
          <w:sz w:val="22"/>
          <w:szCs w:val="22"/>
        </w:rPr>
        <w:t>and/or receives ESG assistance will be kept secure and confidential.</w:t>
      </w:r>
    </w:p>
    <w:p w14:paraId="44F48AFD" w14:textId="6F6920D1" w:rsidR="006A6AA8" w:rsidRPr="006A6AA8" w:rsidRDefault="006A6AA8" w:rsidP="004A10EE">
      <w:pPr>
        <w:pStyle w:val="ListParagraph"/>
        <w:numPr>
          <w:ilvl w:val="1"/>
          <w:numId w:val="20"/>
        </w:numPr>
        <w:spacing w:after="0" w:line="240" w:lineRule="auto"/>
        <w:rPr>
          <w:rFonts w:asciiTheme="minorBidi" w:hAnsiTheme="minorBidi"/>
          <w:sz w:val="22"/>
          <w:szCs w:val="22"/>
        </w:rPr>
      </w:pPr>
      <w:r w:rsidRPr="006A6AA8">
        <w:rPr>
          <w:rFonts w:asciiTheme="minorBidi" w:hAnsiTheme="minorBidi"/>
          <w:sz w:val="22"/>
          <w:szCs w:val="22"/>
        </w:rPr>
        <w:t>The address or location of any domestic violence, dating violence, sexual assault, or stalking shelter project assisted under ESG will not be made public, except with</w:t>
      </w:r>
      <w:r>
        <w:rPr>
          <w:rFonts w:asciiTheme="minorBidi" w:hAnsiTheme="minorBidi"/>
          <w:sz w:val="22"/>
          <w:szCs w:val="22"/>
        </w:rPr>
        <w:t xml:space="preserve"> </w:t>
      </w:r>
      <w:r w:rsidRPr="006A6AA8">
        <w:rPr>
          <w:rFonts w:asciiTheme="minorBidi" w:hAnsiTheme="minorBidi"/>
          <w:sz w:val="22"/>
          <w:szCs w:val="22"/>
        </w:rPr>
        <w:t>written authorization of the person responsible for the operation of the shelter.</w:t>
      </w:r>
    </w:p>
    <w:p w14:paraId="14A6F456" w14:textId="5A012CE3" w:rsidR="006A6AA8" w:rsidRPr="006A6AA8" w:rsidRDefault="006A6AA8" w:rsidP="004A10EE">
      <w:pPr>
        <w:pStyle w:val="ListParagraph"/>
        <w:numPr>
          <w:ilvl w:val="1"/>
          <w:numId w:val="20"/>
        </w:numPr>
        <w:spacing w:after="0" w:line="240" w:lineRule="auto"/>
        <w:rPr>
          <w:rFonts w:asciiTheme="minorBidi" w:hAnsiTheme="minorBidi"/>
          <w:sz w:val="22"/>
          <w:szCs w:val="22"/>
        </w:rPr>
      </w:pPr>
      <w:r w:rsidRPr="006A6AA8">
        <w:rPr>
          <w:rFonts w:asciiTheme="minorBidi" w:hAnsiTheme="minorBidi"/>
          <w:sz w:val="22"/>
          <w:szCs w:val="22"/>
        </w:rPr>
        <w:t>The address or location of any housing of a program participant will not be made</w:t>
      </w:r>
      <w:r>
        <w:rPr>
          <w:rFonts w:asciiTheme="minorBidi" w:hAnsiTheme="minorBidi"/>
          <w:sz w:val="22"/>
          <w:szCs w:val="22"/>
        </w:rPr>
        <w:t xml:space="preserve"> </w:t>
      </w:r>
      <w:r w:rsidRPr="006A6AA8">
        <w:rPr>
          <w:rFonts w:asciiTheme="minorBidi" w:hAnsiTheme="minorBidi"/>
          <w:sz w:val="22"/>
          <w:szCs w:val="22"/>
        </w:rPr>
        <w:t>public, except as provided under a pre-existing privacy policy of the provider</w:t>
      </w:r>
      <w:r>
        <w:rPr>
          <w:rFonts w:asciiTheme="minorBidi" w:hAnsiTheme="minorBidi"/>
          <w:sz w:val="22"/>
          <w:szCs w:val="22"/>
        </w:rPr>
        <w:t xml:space="preserve"> </w:t>
      </w:r>
      <w:r w:rsidRPr="006A6AA8">
        <w:rPr>
          <w:rFonts w:asciiTheme="minorBidi" w:hAnsiTheme="minorBidi"/>
          <w:sz w:val="22"/>
          <w:szCs w:val="22"/>
        </w:rPr>
        <w:t>and consistent with state and local laws regarding privacy and obligations of</w:t>
      </w:r>
      <w:r>
        <w:rPr>
          <w:rFonts w:asciiTheme="minorBidi" w:hAnsiTheme="minorBidi"/>
          <w:sz w:val="22"/>
          <w:szCs w:val="22"/>
        </w:rPr>
        <w:t xml:space="preserve"> </w:t>
      </w:r>
      <w:r w:rsidRPr="006A6AA8">
        <w:rPr>
          <w:rFonts w:asciiTheme="minorBidi" w:hAnsiTheme="minorBidi"/>
          <w:sz w:val="22"/>
          <w:szCs w:val="22"/>
        </w:rPr>
        <w:t>confidentiality.</w:t>
      </w:r>
    </w:p>
    <w:p w14:paraId="63F8395E" w14:textId="76CB1D08" w:rsidR="006A6AA8" w:rsidRDefault="006A6AA8" w:rsidP="006A6AA8">
      <w:pPr>
        <w:spacing w:after="0" w:line="240" w:lineRule="auto"/>
        <w:rPr>
          <w:rFonts w:asciiTheme="minorBidi" w:hAnsiTheme="minorBidi"/>
          <w:sz w:val="22"/>
          <w:szCs w:val="22"/>
        </w:rPr>
      </w:pPr>
    </w:p>
    <w:p w14:paraId="6855086A" w14:textId="77777777" w:rsidR="00B43CEA" w:rsidRPr="00B43CEA" w:rsidRDefault="00B43CEA" w:rsidP="004A10EE">
      <w:pPr>
        <w:pStyle w:val="ListParagraph"/>
        <w:numPr>
          <w:ilvl w:val="0"/>
          <w:numId w:val="21"/>
        </w:numPr>
        <w:spacing w:after="0" w:line="259" w:lineRule="auto"/>
        <w:rPr>
          <w:rFonts w:asciiTheme="minorBidi" w:hAnsiTheme="minorBidi"/>
          <w:sz w:val="22"/>
          <w:szCs w:val="22"/>
        </w:rPr>
      </w:pPr>
      <w:r w:rsidRPr="00B43CEA">
        <w:rPr>
          <w:rFonts w:asciiTheme="minorBidi" w:hAnsiTheme="minorBidi"/>
          <w:sz w:val="22"/>
          <w:szCs w:val="22"/>
        </w:rPr>
        <w:t>Period of Record Retention 24 CFR 576.500(y) and 24 CFR 578.103(c)</w:t>
      </w:r>
    </w:p>
    <w:p w14:paraId="67845DCC" w14:textId="77777777" w:rsidR="00B43CEA" w:rsidRPr="00B43CEA" w:rsidRDefault="00B43CEA" w:rsidP="00B43CEA">
      <w:pPr>
        <w:spacing w:after="0" w:line="300" w:lineRule="auto"/>
        <w:rPr>
          <w:rFonts w:asciiTheme="minorBidi" w:hAnsiTheme="minorBidi"/>
          <w:sz w:val="22"/>
          <w:szCs w:val="22"/>
        </w:rPr>
      </w:pPr>
    </w:p>
    <w:p w14:paraId="5C0F4129" w14:textId="21399F1C"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Provider Monitoring</w:t>
      </w:r>
    </w:p>
    <w:p w14:paraId="3A99C38C" w14:textId="77777777" w:rsidR="00B43CEA" w:rsidRPr="00B43CEA" w:rsidRDefault="00B43CEA" w:rsidP="00B43CEA">
      <w:pPr>
        <w:spacing w:after="0" w:line="300" w:lineRule="auto"/>
        <w:rPr>
          <w:rFonts w:asciiTheme="minorBidi" w:hAnsiTheme="minorBidi"/>
          <w:sz w:val="22"/>
          <w:szCs w:val="22"/>
        </w:rPr>
      </w:pPr>
    </w:p>
    <w:p w14:paraId="7F556F3A" w14:textId="0650607E"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 xml:space="preserve">Lead-Based Paint Requirements [24 CFR 35.700-730 (PBRA); 24 CFR 35.1000-1020 (Supportive Services);24 CFR 35.1200-1225 (TBRA); 24 CFR 576.403(a). </w:t>
      </w:r>
    </w:p>
    <w:p w14:paraId="0F0E07EE" w14:textId="77777777" w:rsidR="00B43CEA" w:rsidRPr="00B43CEA" w:rsidRDefault="00B43CEA" w:rsidP="00B43CEA">
      <w:pPr>
        <w:pStyle w:val="ListParagraph"/>
        <w:rPr>
          <w:rFonts w:asciiTheme="minorBidi" w:hAnsiTheme="minorBidi"/>
          <w:sz w:val="22"/>
          <w:szCs w:val="22"/>
        </w:rPr>
      </w:pPr>
    </w:p>
    <w:p w14:paraId="549263DD" w14:textId="77777777" w:rsidR="00B43CEA" w:rsidRPr="00B43CEA" w:rsidRDefault="00B43CEA" w:rsidP="00B43CEA">
      <w:pPr>
        <w:pStyle w:val="ListParagraph"/>
        <w:spacing w:after="0" w:line="300" w:lineRule="auto"/>
        <w:rPr>
          <w:rFonts w:asciiTheme="minorBidi" w:hAnsiTheme="minorBidi"/>
          <w:sz w:val="22"/>
          <w:szCs w:val="22"/>
        </w:rPr>
      </w:pPr>
    </w:p>
    <w:p w14:paraId="0B9907B9" w14:textId="55EDD57F"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 xml:space="preserve">All HUD-funded programs with housing units occupied by participants are required to incorporate lead-based paint remediation and disclosure requirements. Generally, these provisions require the provider to screen for, disclose the existence of, and take reasonable precautions regarding the presence of lead-based paint in leased or assisted units constructed prior to 1978. </w:t>
      </w:r>
    </w:p>
    <w:p w14:paraId="20244095" w14:textId="77777777" w:rsidR="00B43CEA" w:rsidRPr="00B43CEA" w:rsidRDefault="00B43CEA" w:rsidP="00B43CEA">
      <w:pPr>
        <w:pStyle w:val="ListParagraph"/>
        <w:spacing w:after="0" w:line="300" w:lineRule="auto"/>
        <w:rPr>
          <w:rFonts w:asciiTheme="minorBidi" w:hAnsiTheme="minorBidi"/>
          <w:sz w:val="22"/>
          <w:szCs w:val="22"/>
        </w:rPr>
      </w:pPr>
    </w:p>
    <w:p w14:paraId="48047CAD" w14:textId="52A4F41D"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 xml:space="preserve">CoC-funded units are required to incorporate HUD regulations in 24 CFR part 35, subparts A, B, K, and R. ESG-funded projects are required to incorporate the Lead-Based Paint Poisoning Prevention Act (42 USC 4821-4846), the Residential Lead-Based Paint Hazard Reduction Act of 1992 (42 USC 4851-4846), and 24 CFR part 35, subparts A, B, H, J, K, M, and R in the unit. </w:t>
      </w:r>
    </w:p>
    <w:p w14:paraId="38F489F0" w14:textId="77777777" w:rsidR="00B43CEA" w:rsidRPr="00B43CEA" w:rsidRDefault="00B43CEA" w:rsidP="00B43CEA">
      <w:pPr>
        <w:pStyle w:val="ListParagraph"/>
        <w:rPr>
          <w:rFonts w:asciiTheme="minorBidi" w:hAnsiTheme="minorBidi"/>
          <w:sz w:val="22"/>
          <w:szCs w:val="22"/>
        </w:rPr>
      </w:pPr>
    </w:p>
    <w:p w14:paraId="1D35EDE7" w14:textId="77777777" w:rsidR="00B43CEA" w:rsidRPr="00B43CEA" w:rsidRDefault="00B43CEA" w:rsidP="00B43CEA">
      <w:pPr>
        <w:pStyle w:val="ListParagraph"/>
        <w:spacing w:after="0" w:line="300" w:lineRule="auto"/>
        <w:rPr>
          <w:rFonts w:asciiTheme="minorBidi" w:hAnsiTheme="minorBidi"/>
          <w:sz w:val="22"/>
          <w:szCs w:val="22"/>
        </w:rPr>
      </w:pPr>
    </w:p>
    <w:p w14:paraId="6F2FD42F" w14:textId="7DBC7D22"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 xml:space="preserve">Habitability Standards (ESG Rapid Re-Housing Only) [24 CFR 576.403(c); 24 CFR 576.500(j) </w:t>
      </w:r>
    </w:p>
    <w:p w14:paraId="43197351" w14:textId="77777777" w:rsidR="00B43CEA" w:rsidRPr="00B43CEA" w:rsidRDefault="00B43CEA" w:rsidP="00B43CEA">
      <w:pPr>
        <w:pStyle w:val="ListParagraph"/>
        <w:spacing w:after="0" w:line="300" w:lineRule="auto"/>
        <w:rPr>
          <w:rFonts w:asciiTheme="minorBidi" w:hAnsiTheme="minorBidi"/>
          <w:sz w:val="22"/>
          <w:szCs w:val="22"/>
        </w:rPr>
      </w:pPr>
    </w:p>
    <w:p w14:paraId="07C1DCD7" w14:textId="1C13C5E8" w:rsidR="00B43CEA" w:rsidRPr="00B43CEA" w:rsidRDefault="00B43CEA" w:rsidP="004A10EE">
      <w:pPr>
        <w:pStyle w:val="ListParagraph"/>
        <w:numPr>
          <w:ilvl w:val="0"/>
          <w:numId w:val="21"/>
        </w:numPr>
        <w:spacing w:after="0" w:line="300" w:lineRule="auto"/>
        <w:rPr>
          <w:rFonts w:asciiTheme="minorBidi" w:hAnsiTheme="minorBidi"/>
          <w:sz w:val="22"/>
          <w:szCs w:val="22"/>
        </w:rPr>
      </w:pPr>
      <w:r w:rsidRPr="00B43CEA">
        <w:rPr>
          <w:rFonts w:asciiTheme="minorBidi" w:hAnsiTheme="minorBidi"/>
          <w:sz w:val="22"/>
          <w:szCs w:val="22"/>
        </w:rPr>
        <w:t xml:space="preserve">Federal Fair Housing Act and Affirmative Outreach Disabilities </w:t>
      </w:r>
      <w:r>
        <w:rPr>
          <w:rFonts w:asciiTheme="minorBidi" w:hAnsiTheme="minorBidi"/>
          <w:sz w:val="22"/>
          <w:szCs w:val="22"/>
        </w:rPr>
        <w:t xml:space="preserve">Policies </w:t>
      </w:r>
    </w:p>
    <w:p w14:paraId="18595875" w14:textId="0B7C05DB" w:rsidR="00E744ED" w:rsidRPr="00E07D5F" w:rsidRDefault="004A10EE" w:rsidP="00E07D5F">
      <w:pPr>
        <w:pStyle w:val="Heading1"/>
        <w:rPr>
          <w:rFonts w:asciiTheme="minorBidi" w:hAnsiTheme="minorBidi"/>
        </w:rPr>
      </w:pPr>
      <w:bookmarkStart w:id="60" w:name="_Toc110000662"/>
      <w:r w:rsidRPr="00E07D5F">
        <w:rPr>
          <w:rFonts w:asciiTheme="minorBidi" w:hAnsiTheme="minorBidi"/>
          <w:caps w:val="0"/>
        </w:rPr>
        <w:lastRenderedPageBreak/>
        <w:t>APPENDIX B FILLABLE FORMS LIST</w:t>
      </w:r>
      <w:bookmarkEnd w:id="60"/>
    </w:p>
    <w:p w14:paraId="36A3321B" w14:textId="13080066" w:rsidR="00790453" w:rsidRDefault="00790453" w:rsidP="00E744ED">
      <w:pPr>
        <w:spacing w:beforeAutospacing="1" w:after="100" w:afterAutospacing="1" w:line="240" w:lineRule="auto"/>
        <w:textAlignment w:val="top"/>
        <w:rPr>
          <w:rFonts w:asciiTheme="minorBidi" w:eastAsia="Times New Roman" w:hAnsiTheme="minorBidi"/>
          <w:sz w:val="22"/>
          <w:szCs w:val="22"/>
        </w:rPr>
      </w:pPr>
      <w:r>
        <w:rPr>
          <w:rFonts w:asciiTheme="minorBidi" w:eastAsia="Times New Roman" w:hAnsiTheme="minorBidi"/>
          <w:sz w:val="22"/>
          <w:szCs w:val="22"/>
        </w:rPr>
        <w:t xml:space="preserve">The following </w:t>
      </w:r>
      <w:r w:rsidR="00A8585D">
        <w:rPr>
          <w:rFonts w:asciiTheme="minorBidi" w:eastAsia="Times New Roman" w:hAnsiTheme="minorBidi"/>
          <w:sz w:val="22"/>
          <w:szCs w:val="22"/>
        </w:rPr>
        <w:t xml:space="preserve">example </w:t>
      </w:r>
      <w:r>
        <w:rPr>
          <w:rFonts w:asciiTheme="minorBidi" w:eastAsia="Times New Roman" w:hAnsiTheme="minorBidi"/>
          <w:sz w:val="22"/>
          <w:szCs w:val="22"/>
        </w:rPr>
        <w:t xml:space="preserve">forms have been provided by </w:t>
      </w:r>
      <w:r w:rsidR="00923CA6">
        <w:rPr>
          <w:rFonts w:asciiTheme="minorBidi" w:eastAsia="Times New Roman" w:hAnsiTheme="minorBidi"/>
          <w:sz w:val="22"/>
          <w:szCs w:val="22"/>
        </w:rPr>
        <w:t>EOHLC</w:t>
      </w:r>
      <w:r>
        <w:rPr>
          <w:rFonts w:asciiTheme="minorBidi" w:eastAsia="Times New Roman" w:hAnsiTheme="minorBidi"/>
          <w:sz w:val="22"/>
          <w:szCs w:val="22"/>
        </w:rPr>
        <w:t xml:space="preserve"> for the purpose of </w:t>
      </w:r>
      <w:r w:rsidR="00A8585D">
        <w:rPr>
          <w:rFonts w:asciiTheme="minorBidi" w:eastAsia="Times New Roman" w:hAnsiTheme="minorBidi"/>
          <w:sz w:val="22"/>
          <w:szCs w:val="22"/>
        </w:rPr>
        <w:t>assisting with documentation and compliance.</w:t>
      </w:r>
    </w:p>
    <w:p w14:paraId="2DC61917"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1: Homeless Certification </w:t>
      </w:r>
    </w:p>
    <w:p w14:paraId="23BD54AF"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2: Zero Income </w:t>
      </w:r>
    </w:p>
    <w:p w14:paraId="3166826F"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3: Verification of Earnings </w:t>
      </w:r>
    </w:p>
    <w:p w14:paraId="44A6B364"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4: Income Asset Expense Declaration </w:t>
      </w:r>
    </w:p>
    <w:p w14:paraId="4A3CDFB7"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5: Request for Lease Approval </w:t>
      </w:r>
    </w:p>
    <w:p w14:paraId="1C5F47E6"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6: HQS Inspection </w:t>
      </w:r>
    </w:p>
    <w:p w14:paraId="0E5602EC"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7: Inspection Deficiencies Notice </w:t>
      </w:r>
    </w:p>
    <w:p w14:paraId="14BACC56"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8: Delayed Exterior Repair </w:t>
      </w:r>
    </w:p>
    <w:p w14:paraId="5D3DC659"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9: Owner Certification Lead Paint </w:t>
      </w:r>
    </w:p>
    <w:p w14:paraId="25EF2CA2"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10: Disclosure of Information on Lead-Based Paint </w:t>
      </w:r>
    </w:p>
    <w:p w14:paraId="639016B2"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11: Calculation Worksheet </w:t>
      </w:r>
    </w:p>
    <w:p w14:paraId="29C38E52" w14:textId="77777777" w:rsidR="00E744ED" w:rsidRP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12: Re-certification Form </w:t>
      </w:r>
    </w:p>
    <w:p w14:paraId="4E37A998" w14:textId="77777777" w:rsidR="00E744ED" w:rsidRDefault="00E744ED" w:rsidP="00E744ED">
      <w:pPr>
        <w:spacing w:beforeAutospacing="1" w:after="100" w:afterAutospacing="1" w:line="240" w:lineRule="auto"/>
        <w:textAlignment w:val="top"/>
        <w:rPr>
          <w:rFonts w:asciiTheme="minorBidi" w:eastAsia="Times New Roman" w:hAnsiTheme="minorBidi"/>
          <w:sz w:val="22"/>
          <w:szCs w:val="22"/>
        </w:rPr>
      </w:pPr>
      <w:r w:rsidRPr="00E744ED">
        <w:rPr>
          <w:rFonts w:asciiTheme="minorBidi" w:eastAsia="Times New Roman" w:hAnsiTheme="minorBidi"/>
          <w:sz w:val="22"/>
          <w:szCs w:val="22"/>
        </w:rPr>
        <w:t xml:space="preserve">Form 13: Missing Documentation </w:t>
      </w:r>
    </w:p>
    <w:p w14:paraId="487202D6" w14:textId="77777777" w:rsidR="0066735F" w:rsidRPr="00E744ED" w:rsidRDefault="0066735F" w:rsidP="00E744ED">
      <w:pPr>
        <w:spacing w:beforeAutospacing="1" w:after="100" w:afterAutospacing="1" w:line="240" w:lineRule="auto"/>
        <w:textAlignment w:val="top"/>
        <w:rPr>
          <w:rFonts w:asciiTheme="minorBidi" w:eastAsia="Times New Roman" w:hAnsiTheme="minorBidi"/>
          <w:sz w:val="22"/>
          <w:szCs w:val="22"/>
        </w:rPr>
      </w:pPr>
      <w:r>
        <w:rPr>
          <w:rFonts w:asciiTheme="minorBidi" w:eastAsia="Times New Roman" w:hAnsiTheme="minorBidi"/>
          <w:sz w:val="22"/>
          <w:szCs w:val="22"/>
        </w:rPr>
        <w:t>Form 14: HUD Habitability Inspection</w:t>
      </w:r>
    </w:p>
    <w:p w14:paraId="3031985B" w14:textId="77777777" w:rsidR="00E744ED" w:rsidRPr="00E744ED" w:rsidRDefault="00E744ED" w:rsidP="00E744ED">
      <w:pPr>
        <w:rPr>
          <w:rFonts w:asciiTheme="minorBidi" w:hAnsiTheme="minorBidi"/>
          <w:sz w:val="18"/>
          <w:szCs w:val="18"/>
        </w:rPr>
      </w:pPr>
    </w:p>
    <w:p w14:paraId="79AE992C" w14:textId="77777777" w:rsidR="00E744ED" w:rsidRPr="00E744ED" w:rsidRDefault="00E744ED" w:rsidP="00E744ED">
      <w:pPr>
        <w:rPr>
          <w:rFonts w:asciiTheme="minorBidi" w:hAnsiTheme="minorBidi"/>
          <w:sz w:val="18"/>
          <w:szCs w:val="18"/>
        </w:rPr>
      </w:pPr>
    </w:p>
    <w:sectPr w:rsidR="00E744ED" w:rsidRPr="00E744ED" w:rsidSect="00AF50B5">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0098" w14:textId="77777777" w:rsidR="00C36417" w:rsidRDefault="00C36417" w:rsidP="00934072">
      <w:pPr>
        <w:spacing w:before="0" w:after="0" w:line="240" w:lineRule="auto"/>
      </w:pPr>
      <w:r>
        <w:separator/>
      </w:r>
    </w:p>
  </w:endnote>
  <w:endnote w:type="continuationSeparator" w:id="0">
    <w:p w14:paraId="606F0BB9" w14:textId="77777777" w:rsidR="00C36417" w:rsidRDefault="00C36417" w:rsidP="00934072">
      <w:pPr>
        <w:spacing w:before="0" w:after="0" w:line="240" w:lineRule="auto"/>
      </w:pPr>
      <w:r>
        <w:continuationSeparator/>
      </w:r>
    </w:p>
  </w:endnote>
  <w:endnote w:type="continuationNotice" w:id="1">
    <w:p w14:paraId="65AA8B01" w14:textId="77777777" w:rsidR="00C36417" w:rsidRDefault="00C364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720D" w14:textId="77777777" w:rsidR="00707D43" w:rsidRDefault="0070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7006"/>
      <w:docPartObj>
        <w:docPartGallery w:val="Page Numbers (Bottom of Page)"/>
        <w:docPartUnique/>
      </w:docPartObj>
    </w:sdtPr>
    <w:sdtEndPr>
      <w:rPr>
        <w:noProof/>
      </w:rPr>
    </w:sdtEndPr>
    <w:sdtContent>
      <w:p w14:paraId="61954197" w14:textId="75A41071" w:rsidR="00707D43" w:rsidRDefault="00707D43">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360218BF" w14:textId="77777777" w:rsidR="00707D43" w:rsidRDefault="00707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5C09" w14:textId="77777777" w:rsidR="00707D43" w:rsidRDefault="00707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46F0" w14:textId="77777777" w:rsidR="00C36417" w:rsidRDefault="00C36417" w:rsidP="00934072">
      <w:pPr>
        <w:spacing w:before="0" w:after="0" w:line="240" w:lineRule="auto"/>
      </w:pPr>
      <w:r>
        <w:separator/>
      </w:r>
    </w:p>
  </w:footnote>
  <w:footnote w:type="continuationSeparator" w:id="0">
    <w:p w14:paraId="24F2892E" w14:textId="77777777" w:rsidR="00C36417" w:rsidRDefault="00C36417" w:rsidP="00934072">
      <w:pPr>
        <w:spacing w:before="0" w:after="0" w:line="240" w:lineRule="auto"/>
      </w:pPr>
      <w:r>
        <w:continuationSeparator/>
      </w:r>
    </w:p>
  </w:footnote>
  <w:footnote w:type="continuationNotice" w:id="1">
    <w:p w14:paraId="2362FFF4" w14:textId="77777777" w:rsidR="00C36417" w:rsidRDefault="00C364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DAB6" w14:textId="77777777" w:rsidR="00707D43" w:rsidRDefault="00707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416" w14:textId="1AC0E2DD" w:rsidR="00707D43" w:rsidRDefault="00707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0322" w14:textId="77777777" w:rsidR="00707D43" w:rsidRDefault="00707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80E"/>
    <w:multiLevelType w:val="multilevel"/>
    <w:tmpl w:val="AED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506A"/>
    <w:multiLevelType w:val="hybridMultilevel"/>
    <w:tmpl w:val="8A1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4008"/>
    <w:multiLevelType w:val="hybridMultilevel"/>
    <w:tmpl w:val="58F29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831B03"/>
    <w:multiLevelType w:val="hybridMultilevel"/>
    <w:tmpl w:val="AC4EB2E2"/>
    <w:lvl w:ilvl="0" w:tplc="D826D9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5C1A"/>
    <w:multiLevelType w:val="hybridMultilevel"/>
    <w:tmpl w:val="0BF8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0563"/>
    <w:multiLevelType w:val="hybridMultilevel"/>
    <w:tmpl w:val="58F29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DF6452"/>
    <w:multiLevelType w:val="hybridMultilevel"/>
    <w:tmpl w:val="C0A8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F7CF9"/>
    <w:multiLevelType w:val="hybridMultilevel"/>
    <w:tmpl w:val="7E8C5FF8"/>
    <w:lvl w:ilvl="0" w:tplc="5434E942">
      <w:start w:val="1"/>
      <w:numFmt w:val="bullet"/>
      <w:lvlText w:val=""/>
      <w:lvlJc w:val="left"/>
      <w:pPr>
        <w:ind w:left="720" w:hanging="360"/>
      </w:pPr>
      <w:rPr>
        <w:rFonts w:ascii="Symbol" w:hAnsi="Symbol" w:cs="Symbol" w:hint="default"/>
        <w:sz w:val="22"/>
      </w:rPr>
    </w:lvl>
    <w:lvl w:ilvl="1" w:tplc="5434E942">
      <w:start w:val="1"/>
      <w:numFmt w:val="bullet"/>
      <w:lvlText w:val=""/>
      <w:lvlJc w:val="left"/>
      <w:pPr>
        <w:ind w:left="1440" w:hanging="360"/>
      </w:pPr>
      <w:rPr>
        <w:rFonts w:ascii="Symbol" w:hAnsi="Symbol" w:cs="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F59E4"/>
    <w:multiLevelType w:val="hybridMultilevel"/>
    <w:tmpl w:val="841489E2"/>
    <w:lvl w:ilvl="0" w:tplc="D826D9D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DE5122"/>
    <w:multiLevelType w:val="hybridMultilevel"/>
    <w:tmpl w:val="A908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1939"/>
    <w:multiLevelType w:val="hybridMultilevel"/>
    <w:tmpl w:val="E36A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B5D56"/>
    <w:multiLevelType w:val="hybridMultilevel"/>
    <w:tmpl w:val="17660D2E"/>
    <w:lvl w:ilvl="0" w:tplc="5434E942">
      <w:start w:val="1"/>
      <w:numFmt w:val="bullet"/>
      <w:lvlText w:val=""/>
      <w:lvlJc w:val="left"/>
      <w:pPr>
        <w:ind w:left="720" w:hanging="360"/>
      </w:pPr>
      <w:rPr>
        <w:rFonts w:ascii="Symbol" w:hAnsi="Symbol" w:cs="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7623"/>
    <w:multiLevelType w:val="hybridMultilevel"/>
    <w:tmpl w:val="5232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879A1"/>
    <w:multiLevelType w:val="hybridMultilevel"/>
    <w:tmpl w:val="AE4C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17B41"/>
    <w:multiLevelType w:val="hybridMultilevel"/>
    <w:tmpl w:val="9196B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E1A44"/>
    <w:multiLevelType w:val="hybridMultilevel"/>
    <w:tmpl w:val="9E1A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673"/>
    <w:multiLevelType w:val="hybridMultilevel"/>
    <w:tmpl w:val="9944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D0343"/>
    <w:multiLevelType w:val="hybridMultilevel"/>
    <w:tmpl w:val="DD1E55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A0514A7"/>
    <w:multiLevelType w:val="hybridMultilevel"/>
    <w:tmpl w:val="EA94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D21D6"/>
    <w:multiLevelType w:val="hybridMultilevel"/>
    <w:tmpl w:val="F0C8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D6551"/>
    <w:multiLevelType w:val="hybridMultilevel"/>
    <w:tmpl w:val="DD8E5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5086A"/>
    <w:multiLevelType w:val="hybridMultilevel"/>
    <w:tmpl w:val="EC0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B4BA6"/>
    <w:multiLevelType w:val="hybridMultilevel"/>
    <w:tmpl w:val="A6DA9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76756"/>
    <w:multiLevelType w:val="hybridMultilevel"/>
    <w:tmpl w:val="1728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C4766"/>
    <w:multiLevelType w:val="hybridMultilevel"/>
    <w:tmpl w:val="B7CA433C"/>
    <w:lvl w:ilvl="0" w:tplc="D826D9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E1559"/>
    <w:multiLevelType w:val="hybridMultilevel"/>
    <w:tmpl w:val="435C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B2EDA"/>
    <w:multiLevelType w:val="hybridMultilevel"/>
    <w:tmpl w:val="4DFACC94"/>
    <w:lvl w:ilvl="0" w:tplc="D826D9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2691B"/>
    <w:multiLevelType w:val="hybridMultilevel"/>
    <w:tmpl w:val="E4DE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855AC"/>
    <w:multiLevelType w:val="hybridMultilevel"/>
    <w:tmpl w:val="D2FCAD9A"/>
    <w:lvl w:ilvl="0" w:tplc="D826D9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F71AE"/>
    <w:multiLevelType w:val="hybridMultilevel"/>
    <w:tmpl w:val="03D0B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360B6"/>
    <w:multiLevelType w:val="hybridMultilevel"/>
    <w:tmpl w:val="F99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51C96"/>
    <w:multiLevelType w:val="hybridMultilevel"/>
    <w:tmpl w:val="9456434C"/>
    <w:lvl w:ilvl="0" w:tplc="5434E942">
      <w:start w:val="1"/>
      <w:numFmt w:val="bullet"/>
      <w:lvlText w:val=""/>
      <w:lvlJc w:val="left"/>
      <w:pPr>
        <w:ind w:left="72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71F2E"/>
    <w:multiLevelType w:val="hybridMultilevel"/>
    <w:tmpl w:val="BEF0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078B1"/>
    <w:multiLevelType w:val="hybridMultilevel"/>
    <w:tmpl w:val="8842D0BC"/>
    <w:lvl w:ilvl="0" w:tplc="38CE99AC">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6206D"/>
    <w:multiLevelType w:val="hybridMultilevel"/>
    <w:tmpl w:val="79EA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23133"/>
    <w:multiLevelType w:val="hybridMultilevel"/>
    <w:tmpl w:val="395A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824AF"/>
    <w:multiLevelType w:val="hybridMultilevel"/>
    <w:tmpl w:val="2542B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7F86DF8"/>
    <w:multiLevelType w:val="hybridMultilevel"/>
    <w:tmpl w:val="387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7F5A"/>
    <w:multiLevelType w:val="hybridMultilevel"/>
    <w:tmpl w:val="FAD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42EF5"/>
    <w:multiLevelType w:val="hybridMultilevel"/>
    <w:tmpl w:val="57F6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32BC"/>
    <w:multiLevelType w:val="hybridMultilevel"/>
    <w:tmpl w:val="450E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A11"/>
    <w:multiLevelType w:val="hybridMultilevel"/>
    <w:tmpl w:val="D156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827252"/>
    <w:multiLevelType w:val="hybridMultilevel"/>
    <w:tmpl w:val="11704C60"/>
    <w:lvl w:ilvl="0" w:tplc="D826D9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958">
    <w:abstractNumId w:val="0"/>
  </w:num>
  <w:num w:numId="2" w16cid:durableId="2128309378">
    <w:abstractNumId w:val="23"/>
  </w:num>
  <w:num w:numId="3" w16cid:durableId="1135372300">
    <w:abstractNumId w:val="9"/>
  </w:num>
  <w:num w:numId="4" w16cid:durableId="361368180">
    <w:abstractNumId w:val="13"/>
  </w:num>
  <w:num w:numId="5" w16cid:durableId="1983541934">
    <w:abstractNumId w:val="16"/>
  </w:num>
  <w:num w:numId="6" w16cid:durableId="1231695914">
    <w:abstractNumId w:val="35"/>
  </w:num>
  <w:num w:numId="7" w16cid:durableId="40599234">
    <w:abstractNumId w:val="6"/>
  </w:num>
  <w:num w:numId="8" w16cid:durableId="815414056">
    <w:abstractNumId w:val="18"/>
  </w:num>
  <w:num w:numId="9" w16cid:durableId="789322329">
    <w:abstractNumId w:val="40"/>
  </w:num>
  <w:num w:numId="10" w16cid:durableId="1321689341">
    <w:abstractNumId w:val="10"/>
  </w:num>
  <w:num w:numId="11" w16cid:durableId="487400486">
    <w:abstractNumId w:val="41"/>
  </w:num>
  <w:num w:numId="12" w16cid:durableId="87194374">
    <w:abstractNumId w:val="4"/>
  </w:num>
  <w:num w:numId="13" w16cid:durableId="12659703">
    <w:abstractNumId w:val="32"/>
  </w:num>
  <w:num w:numId="14" w16cid:durableId="265583451">
    <w:abstractNumId w:val="19"/>
  </w:num>
  <w:num w:numId="15" w16cid:durableId="1754888170">
    <w:abstractNumId w:val="25"/>
  </w:num>
  <w:num w:numId="16" w16cid:durableId="1495224845">
    <w:abstractNumId w:val="36"/>
  </w:num>
  <w:num w:numId="17" w16cid:durableId="1182625732">
    <w:abstractNumId w:val="27"/>
  </w:num>
  <w:num w:numId="18" w16cid:durableId="377583818">
    <w:abstractNumId w:val="22"/>
  </w:num>
  <w:num w:numId="19" w16cid:durableId="1419715920">
    <w:abstractNumId w:val="11"/>
  </w:num>
  <w:num w:numId="20" w16cid:durableId="1095396714">
    <w:abstractNumId w:val="7"/>
  </w:num>
  <w:num w:numId="21" w16cid:durableId="1829832410">
    <w:abstractNumId w:val="31"/>
  </w:num>
  <w:num w:numId="22" w16cid:durableId="1812094750">
    <w:abstractNumId w:val="21"/>
  </w:num>
  <w:num w:numId="23" w16cid:durableId="1828284851">
    <w:abstractNumId w:val="26"/>
  </w:num>
  <w:num w:numId="24" w16cid:durableId="2141683644">
    <w:abstractNumId w:val="42"/>
  </w:num>
  <w:num w:numId="25" w16cid:durableId="1124928048">
    <w:abstractNumId w:val="2"/>
  </w:num>
  <w:num w:numId="26" w16cid:durableId="837116496">
    <w:abstractNumId w:val="14"/>
  </w:num>
  <w:num w:numId="27" w16cid:durableId="960653478">
    <w:abstractNumId w:val="12"/>
  </w:num>
  <w:num w:numId="28" w16cid:durableId="968243795">
    <w:abstractNumId w:val="20"/>
  </w:num>
  <w:num w:numId="29" w16cid:durableId="93016399">
    <w:abstractNumId w:val="5"/>
  </w:num>
  <w:num w:numId="30" w16cid:durableId="1985312804">
    <w:abstractNumId w:val="17"/>
  </w:num>
  <w:num w:numId="31" w16cid:durableId="1501431457">
    <w:abstractNumId w:val="38"/>
  </w:num>
  <w:num w:numId="32" w16cid:durableId="911232960">
    <w:abstractNumId w:val="15"/>
  </w:num>
  <w:num w:numId="33" w16cid:durableId="1093286334">
    <w:abstractNumId w:val="34"/>
  </w:num>
  <w:num w:numId="34" w16cid:durableId="1570116087">
    <w:abstractNumId w:val="39"/>
  </w:num>
  <w:num w:numId="35" w16cid:durableId="458500448">
    <w:abstractNumId w:val="37"/>
  </w:num>
  <w:num w:numId="36" w16cid:durableId="1038508476">
    <w:abstractNumId w:val="30"/>
  </w:num>
  <w:num w:numId="37" w16cid:durableId="347610738">
    <w:abstractNumId w:val="29"/>
  </w:num>
  <w:num w:numId="38" w16cid:durableId="1536625610">
    <w:abstractNumId w:val="1"/>
  </w:num>
  <w:num w:numId="39" w16cid:durableId="1127820355">
    <w:abstractNumId w:val="24"/>
  </w:num>
  <w:num w:numId="40" w16cid:durableId="1139877302">
    <w:abstractNumId w:val="8"/>
  </w:num>
  <w:num w:numId="41" w16cid:durableId="779226499">
    <w:abstractNumId w:val="28"/>
  </w:num>
  <w:num w:numId="42" w16cid:durableId="232931499">
    <w:abstractNumId w:val="3"/>
  </w:num>
  <w:num w:numId="43" w16cid:durableId="164127480">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87"/>
    <w:rsid w:val="0000132E"/>
    <w:rsid w:val="000041B6"/>
    <w:rsid w:val="00011DA7"/>
    <w:rsid w:val="00021D46"/>
    <w:rsid w:val="0003416D"/>
    <w:rsid w:val="00035626"/>
    <w:rsid w:val="00040B53"/>
    <w:rsid w:val="00043C3C"/>
    <w:rsid w:val="000453F0"/>
    <w:rsid w:val="0005688E"/>
    <w:rsid w:val="000605AF"/>
    <w:rsid w:val="000657FE"/>
    <w:rsid w:val="000701F2"/>
    <w:rsid w:val="0007738A"/>
    <w:rsid w:val="00087714"/>
    <w:rsid w:val="000879CC"/>
    <w:rsid w:val="000B53D9"/>
    <w:rsid w:val="000B6BE3"/>
    <w:rsid w:val="000F2155"/>
    <w:rsid w:val="00100F06"/>
    <w:rsid w:val="00101C7A"/>
    <w:rsid w:val="001100A0"/>
    <w:rsid w:val="00110B85"/>
    <w:rsid w:val="001115D6"/>
    <w:rsid w:val="00111FB3"/>
    <w:rsid w:val="00113616"/>
    <w:rsid w:val="00116029"/>
    <w:rsid w:val="001202FD"/>
    <w:rsid w:val="00143209"/>
    <w:rsid w:val="001443E6"/>
    <w:rsid w:val="00150F31"/>
    <w:rsid w:val="00171CE4"/>
    <w:rsid w:val="0017742A"/>
    <w:rsid w:val="0018086E"/>
    <w:rsid w:val="00181C61"/>
    <w:rsid w:val="00197473"/>
    <w:rsid w:val="001A04CE"/>
    <w:rsid w:val="001B7B77"/>
    <w:rsid w:val="001C17A6"/>
    <w:rsid w:val="001C3523"/>
    <w:rsid w:val="001D4EA8"/>
    <w:rsid w:val="001D5B1D"/>
    <w:rsid w:val="001E0169"/>
    <w:rsid w:val="001F3939"/>
    <w:rsid w:val="001F6607"/>
    <w:rsid w:val="00200519"/>
    <w:rsid w:val="0020223E"/>
    <w:rsid w:val="00207B96"/>
    <w:rsid w:val="00216BE9"/>
    <w:rsid w:val="00226ED0"/>
    <w:rsid w:val="002274D4"/>
    <w:rsid w:val="002311C1"/>
    <w:rsid w:val="00243C5D"/>
    <w:rsid w:val="0024504B"/>
    <w:rsid w:val="00253031"/>
    <w:rsid w:val="00253E42"/>
    <w:rsid w:val="00257209"/>
    <w:rsid w:val="00262AC0"/>
    <w:rsid w:val="0027305D"/>
    <w:rsid w:val="00273353"/>
    <w:rsid w:val="00273E9A"/>
    <w:rsid w:val="00274B00"/>
    <w:rsid w:val="00280300"/>
    <w:rsid w:val="00285A5B"/>
    <w:rsid w:val="002905A9"/>
    <w:rsid w:val="00293621"/>
    <w:rsid w:val="002A1585"/>
    <w:rsid w:val="002B1D05"/>
    <w:rsid w:val="002C7EF2"/>
    <w:rsid w:val="002D08AF"/>
    <w:rsid w:val="002D365A"/>
    <w:rsid w:val="002D46B1"/>
    <w:rsid w:val="00311D0C"/>
    <w:rsid w:val="003136AB"/>
    <w:rsid w:val="003164A4"/>
    <w:rsid w:val="00316955"/>
    <w:rsid w:val="00316A02"/>
    <w:rsid w:val="0032238C"/>
    <w:rsid w:val="003331E6"/>
    <w:rsid w:val="003418D8"/>
    <w:rsid w:val="00341E87"/>
    <w:rsid w:val="00342595"/>
    <w:rsid w:val="003439E8"/>
    <w:rsid w:val="00343D89"/>
    <w:rsid w:val="00365A92"/>
    <w:rsid w:val="0037326A"/>
    <w:rsid w:val="003A62A6"/>
    <w:rsid w:val="003B4874"/>
    <w:rsid w:val="003C31CE"/>
    <w:rsid w:val="003E65F4"/>
    <w:rsid w:val="003E7871"/>
    <w:rsid w:val="003F65CD"/>
    <w:rsid w:val="00416B89"/>
    <w:rsid w:val="0042065D"/>
    <w:rsid w:val="004345ED"/>
    <w:rsid w:val="00442D16"/>
    <w:rsid w:val="004544F1"/>
    <w:rsid w:val="00464C0D"/>
    <w:rsid w:val="00466DF4"/>
    <w:rsid w:val="00485174"/>
    <w:rsid w:val="00497448"/>
    <w:rsid w:val="004A10EE"/>
    <w:rsid w:val="004A27D6"/>
    <w:rsid w:val="004A4C62"/>
    <w:rsid w:val="004A6F41"/>
    <w:rsid w:val="004C02B1"/>
    <w:rsid w:val="004C0507"/>
    <w:rsid w:val="004E37DA"/>
    <w:rsid w:val="004E3C05"/>
    <w:rsid w:val="004E5FB2"/>
    <w:rsid w:val="004E7349"/>
    <w:rsid w:val="004F2E70"/>
    <w:rsid w:val="004F571D"/>
    <w:rsid w:val="005114CD"/>
    <w:rsid w:val="00522AFD"/>
    <w:rsid w:val="00526010"/>
    <w:rsid w:val="00540C47"/>
    <w:rsid w:val="005422BF"/>
    <w:rsid w:val="005520D5"/>
    <w:rsid w:val="00554F42"/>
    <w:rsid w:val="00560094"/>
    <w:rsid w:val="00584180"/>
    <w:rsid w:val="00590689"/>
    <w:rsid w:val="0059445F"/>
    <w:rsid w:val="005A1919"/>
    <w:rsid w:val="005B26A9"/>
    <w:rsid w:val="005B4941"/>
    <w:rsid w:val="005E4961"/>
    <w:rsid w:val="005F4ABF"/>
    <w:rsid w:val="006051CC"/>
    <w:rsid w:val="0060605D"/>
    <w:rsid w:val="00606302"/>
    <w:rsid w:val="006116F9"/>
    <w:rsid w:val="00611725"/>
    <w:rsid w:val="00615323"/>
    <w:rsid w:val="00620A88"/>
    <w:rsid w:val="00626265"/>
    <w:rsid w:val="006373F1"/>
    <w:rsid w:val="00640D1C"/>
    <w:rsid w:val="006460D3"/>
    <w:rsid w:val="00650779"/>
    <w:rsid w:val="00656905"/>
    <w:rsid w:val="00662E3D"/>
    <w:rsid w:val="0066735F"/>
    <w:rsid w:val="006748D7"/>
    <w:rsid w:val="00682CE5"/>
    <w:rsid w:val="0068495D"/>
    <w:rsid w:val="006957B1"/>
    <w:rsid w:val="006A541C"/>
    <w:rsid w:val="006A6AA8"/>
    <w:rsid w:val="006C3266"/>
    <w:rsid w:val="006C6482"/>
    <w:rsid w:val="006D0060"/>
    <w:rsid w:val="006D3CE4"/>
    <w:rsid w:val="006E3D04"/>
    <w:rsid w:val="006E440C"/>
    <w:rsid w:val="006F2AB5"/>
    <w:rsid w:val="006F507E"/>
    <w:rsid w:val="007006FF"/>
    <w:rsid w:val="00700C9C"/>
    <w:rsid w:val="00703F5A"/>
    <w:rsid w:val="00705EE9"/>
    <w:rsid w:val="00707D43"/>
    <w:rsid w:val="00722394"/>
    <w:rsid w:val="00744264"/>
    <w:rsid w:val="00757B0F"/>
    <w:rsid w:val="007667A2"/>
    <w:rsid w:val="00771AB6"/>
    <w:rsid w:val="0078644E"/>
    <w:rsid w:val="007900F0"/>
    <w:rsid w:val="00790453"/>
    <w:rsid w:val="00796E65"/>
    <w:rsid w:val="007B1BCA"/>
    <w:rsid w:val="007C4636"/>
    <w:rsid w:val="007D50B7"/>
    <w:rsid w:val="007D77FD"/>
    <w:rsid w:val="007E053F"/>
    <w:rsid w:val="007E63B9"/>
    <w:rsid w:val="00803781"/>
    <w:rsid w:val="00805C13"/>
    <w:rsid w:val="00820FD1"/>
    <w:rsid w:val="008231C0"/>
    <w:rsid w:val="008362FA"/>
    <w:rsid w:val="008443F6"/>
    <w:rsid w:val="008469C1"/>
    <w:rsid w:val="00854BBF"/>
    <w:rsid w:val="0086127E"/>
    <w:rsid w:val="008619F8"/>
    <w:rsid w:val="008665F3"/>
    <w:rsid w:val="008936BE"/>
    <w:rsid w:val="00893717"/>
    <w:rsid w:val="008977BA"/>
    <w:rsid w:val="008A15F2"/>
    <w:rsid w:val="008A46FB"/>
    <w:rsid w:val="008A50BE"/>
    <w:rsid w:val="008A69FA"/>
    <w:rsid w:val="008B264B"/>
    <w:rsid w:val="008B6BDE"/>
    <w:rsid w:val="008C23F8"/>
    <w:rsid w:val="008D0CBF"/>
    <w:rsid w:val="008D2FDC"/>
    <w:rsid w:val="008E1FE2"/>
    <w:rsid w:val="00900686"/>
    <w:rsid w:val="009034BE"/>
    <w:rsid w:val="0090620E"/>
    <w:rsid w:val="00923CA6"/>
    <w:rsid w:val="00934072"/>
    <w:rsid w:val="00936F93"/>
    <w:rsid w:val="0094022D"/>
    <w:rsid w:val="00953322"/>
    <w:rsid w:val="009533A7"/>
    <w:rsid w:val="0095526D"/>
    <w:rsid w:val="00957A5F"/>
    <w:rsid w:val="0096029F"/>
    <w:rsid w:val="00960722"/>
    <w:rsid w:val="00963B45"/>
    <w:rsid w:val="0096784F"/>
    <w:rsid w:val="00973927"/>
    <w:rsid w:val="00973CA3"/>
    <w:rsid w:val="0097481A"/>
    <w:rsid w:val="00984763"/>
    <w:rsid w:val="009849E2"/>
    <w:rsid w:val="0098705B"/>
    <w:rsid w:val="009935A3"/>
    <w:rsid w:val="009949B0"/>
    <w:rsid w:val="009B04D0"/>
    <w:rsid w:val="009D1D3E"/>
    <w:rsid w:val="009D62FA"/>
    <w:rsid w:val="009E2517"/>
    <w:rsid w:val="009E4CD7"/>
    <w:rsid w:val="009F64B8"/>
    <w:rsid w:val="00A00E0E"/>
    <w:rsid w:val="00A375EA"/>
    <w:rsid w:val="00A5411F"/>
    <w:rsid w:val="00A5414D"/>
    <w:rsid w:val="00A557A7"/>
    <w:rsid w:val="00A564B9"/>
    <w:rsid w:val="00A67FEA"/>
    <w:rsid w:val="00A71A3C"/>
    <w:rsid w:val="00A743C3"/>
    <w:rsid w:val="00A75621"/>
    <w:rsid w:val="00A7780E"/>
    <w:rsid w:val="00A8585D"/>
    <w:rsid w:val="00A858E2"/>
    <w:rsid w:val="00A86AA6"/>
    <w:rsid w:val="00A876F6"/>
    <w:rsid w:val="00A907BF"/>
    <w:rsid w:val="00AA2828"/>
    <w:rsid w:val="00AA2DDD"/>
    <w:rsid w:val="00AA3A3D"/>
    <w:rsid w:val="00AB2647"/>
    <w:rsid w:val="00AB5E29"/>
    <w:rsid w:val="00AB64A6"/>
    <w:rsid w:val="00AB7BF2"/>
    <w:rsid w:val="00AB7D1A"/>
    <w:rsid w:val="00AC075B"/>
    <w:rsid w:val="00AC37A6"/>
    <w:rsid w:val="00AC3AF3"/>
    <w:rsid w:val="00AD6496"/>
    <w:rsid w:val="00AE7CA1"/>
    <w:rsid w:val="00AF50B5"/>
    <w:rsid w:val="00AF637F"/>
    <w:rsid w:val="00AF6432"/>
    <w:rsid w:val="00AF75DB"/>
    <w:rsid w:val="00B02A6E"/>
    <w:rsid w:val="00B050A2"/>
    <w:rsid w:val="00B13BA0"/>
    <w:rsid w:val="00B315DD"/>
    <w:rsid w:val="00B3750B"/>
    <w:rsid w:val="00B41F69"/>
    <w:rsid w:val="00B43CEA"/>
    <w:rsid w:val="00B47BCC"/>
    <w:rsid w:val="00B50D91"/>
    <w:rsid w:val="00B50F93"/>
    <w:rsid w:val="00B606DE"/>
    <w:rsid w:val="00B61B0F"/>
    <w:rsid w:val="00B6253C"/>
    <w:rsid w:val="00B65B8E"/>
    <w:rsid w:val="00B6672B"/>
    <w:rsid w:val="00B74FB1"/>
    <w:rsid w:val="00B77DA2"/>
    <w:rsid w:val="00B84207"/>
    <w:rsid w:val="00B85F93"/>
    <w:rsid w:val="00B91254"/>
    <w:rsid w:val="00BA0ED2"/>
    <w:rsid w:val="00BA40DF"/>
    <w:rsid w:val="00BB71D6"/>
    <w:rsid w:val="00BC7D81"/>
    <w:rsid w:val="00BD33E8"/>
    <w:rsid w:val="00BD53A1"/>
    <w:rsid w:val="00BE3717"/>
    <w:rsid w:val="00BE6753"/>
    <w:rsid w:val="00BF04E9"/>
    <w:rsid w:val="00BF0A78"/>
    <w:rsid w:val="00BF5DBC"/>
    <w:rsid w:val="00C0024F"/>
    <w:rsid w:val="00C00B35"/>
    <w:rsid w:val="00C1115A"/>
    <w:rsid w:val="00C16AAC"/>
    <w:rsid w:val="00C20C4D"/>
    <w:rsid w:val="00C338FA"/>
    <w:rsid w:val="00C36417"/>
    <w:rsid w:val="00C43F53"/>
    <w:rsid w:val="00C55CE4"/>
    <w:rsid w:val="00C618EA"/>
    <w:rsid w:val="00C70C27"/>
    <w:rsid w:val="00CA5402"/>
    <w:rsid w:val="00CC202C"/>
    <w:rsid w:val="00D32803"/>
    <w:rsid w:val="00D40B59"/>
    <w:rsid w:val="00D47533"/>
    <w:rsid w:val="00D551B7"/>
    <w:rsid w:val="00D55869"/>
    <w:rsid w:val="00D712D9"/>
    <w:rsid w:val="00D7309F"/>
    <w:rsid w:val="00D77D24"/>
    <w:rsid w:val="00D83294"/>
    <w:rsid w:val="00D8519D"/>
    <w:rsid w:val="00DA1FAF"/>
    <w:rsid w:val="00DC205D"/>
    <w:rsid w:val="00DC4390"/>
    <w:rsid w:val="00DC7B46"/>
    <w:rsid w:val="00DD0AA1"/>
    <w:rsid w:val="00DD7225"/>
    <w:rsid w:val="00DE6F03"/>
    <w:rsid w:val="00DF16C1"/>
    <w:rsid w:val="00DF4F44"/>
    <w:rsid w:val="00DF5503"/>
    <w:rsid w:val="00E01973"/>
    <w:rsid w:val="00E05980"/>
    <w:rsid w:val="00E07D5F"/>
    <w:rsid w:val="00E116BF"/>
    <w:rsid w:val="00E27718"/>
    <w:rsid w:val="00E35FF6"/>
    <w:rsid w:val="00E510FD"/>
    <w:rsid w:val="00E5508A"/>
    <w:rsid w:val="00E56996"/>
    <w:rsid w:val="00E60A6A"/>
    <w:rsid w:val="00E744ED"/>
    <w:rsid w:val="00E74721"/>
    <w:rsid w:val="00E8109B"/>
    <w:rsid w:val="00E83944"/>
    <w:rsid w:val="00E8550E"/>
    <w:rsid w:val="00E9701A"/>
    <w:rsid w:val="00E97D63"/>
    <w:rsid w:val="00EA5928"/>
    <w:rsid w:val="00EB09BD"/>
    <w:rsid w:val="00EC09EF"/>
    <w:rsid w:val="00EC370E"/>
    <w:rsid w:val="00EC60AD"/>
    <w:rsid w:val="00EC65DD"/>
    <w:rsid w:val="00EC6D9A"/>
    <w:rsid w:val="00EE3F7A"/>
    <w:rsid w:val="00EF189F"/>
    <w:rsid w:val="00EF54EF"/>
    <w:rsid w:val="00F00F75"/>
    <w:rsid w:val="00F03606"/>
    <w:rsid w:val="00F11170"/>
    <w:rsid w:val="00F11742"/>
    <w:rsid w:val="00F1209F"/>
    <w:rsid w:val="00F13502"/>
    <w:rsid w:val="00F1699D"/>
    <w:rsid w:val="00F22D77"/>
    <w:rsid w:val="00F317B4"/>
    <w:rsid w:val="00F41DAA"/>
    <w:rsid w:val="00F520F8"/>
    <w:rsid w:val="00F550EF"/>
    <w:rsid w:val="00F578B3"/>
    <w:rsid w:val="00F641A8"/>
    <w:rsid w:val="00F71D92"/>
    <w:rsid w:val="00F73265"/>
    <w:rsid w:val="00F747C8"/>
    <w:rsid w:val="00F806D7"/>
    <w:rsid w:val="00F81313"/>
    <w:rsid w:val="00F84969"/>
    <w:rsid w:val="00F94274"/>
    <w:rsid w:val="00FA5719"/>
    <w:rsid w:val="00FB3EB5"/>
    <w:rsid w:val="00FB4592"/>
    <w:rsid w:val="00FC44DD"/>
    <w:rsid w:val="00FD026D"/>
    <w:rsid w:val="00FD5DC5"/>
    <w:rsid w:val="00FE7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36F7"/>
  <w15:chartTrackingRefBased/>
  <w15:docId w15:val="{45F3AE80-3346-4524-AFCF-01A91F96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8A"/>
  </w:style>
  <w:style w:type="paragraph" w:styleId="Heading1">
    <w:name w:val="heading 1"/>
    <w:basedOn w:val="Normal"/>
    <w:next w:val="Normal"/>
    <w:link w:val="Heading1Char"/>
    <w:uiPriority w:val="9"/>
    <w:qFormat/>
    <w:rsid w:val="00934072"/>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34072"/>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34072"/>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934072"/>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934072"/>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934072"/>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934072"/>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9340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407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1E87"/>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8A46FB"/>
    <w:rPr>
      <w:sz w:val="16"/>
      <w:szCs w:val="16"/>
    </w:rPr>
  </w:style>
  <w:style w:type="paragraph" w:styleId="CommentText">
    <w:name w:val="annotation text"/>
    <w:basedOn w:val="Normal"/>
    <w:link w:val="CommentTextChar"/>
    <w:uiPriority w:val="99"/>
    <w:unhideWhenUsed/>
    <w:rsid w:val="008A46FB"/>
    <w:pPr>
      <w:spacing w:line="240" w:lineRule="auto"/>
    </w:pPr>
  </w:style>
  <w:style w:type="character" w:customStyle="1" w:styleId="CommentTextChar">
    <w:name w:val="Comment Text Char"/>
    <w:basedOn w:val="DefaultParagraphFont"/>
    <w:link w:val="CommentText"/>
    <w:uiPriority w:val="99"/>
    <w:rsid w:val="008A46FB"/>
    <w:rPr>
      <w:sz w:val="20"/>
      <w:szCs w:val="20"/>
    </w:rPr>
  </w:style>
  <w:style w:type="paragraph" w:styleId="CommentSubject">
    <w:name w:val="annotation subject"/>
    <w:basedOn w:val="CommentText"/>
    <w:next w:val="CommentText"/>
    <w:link w:val="CommentSubjectChar"/>
    <w:uiPriority w:val="99"/>
    <w:semiHidden/>
    <w:unhideWhenUsed/>
    <w:rsid w:val="008A46FB"/>
    <w:rPr>
      <w:b/>
      <w:bCs/>
    </w:rPr>
  </w:style>
  <w:style w:type="character" w:customStyle="1" w:styleId="CommentSubjectChar">
    <w:name w:val="Comment Subject Char"/>
    <w:basedOn w:val="CommentTextChar"/>
    <w:link w:val="CommentSubject"/>
    <w:uiPriority w:val="99"/>
    <w:semiHidden/>
    <w:rsid w:val="008A46FB"/>
    <w:rPr>
      <w:b/>
      <w:bCs/>
      <w:sz w:val="20"/>
      <w:szCs w:val="20"/>
    </w:rPr>
  </w:style>
  <w:style w:type="character" w:customStyle="1" w:styleId="Heading1Char">
    <w:name w:val="Heading 1 Char"/>
    <w:basedOn w:val="DefaultParagraphFont"/>
    <w:link w:val="Heading1"/>
    <w:uiPriority w:val="9"/>
    <w:rsid w:val="00934072"/>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934072"/>
    <w:rPr>
      <w:caps/>
      <w:spacing w:val="15"/>
      <w:shd w:val="clear" w:color="auto" w:fill="D4EAF3" w:themeFill="accent1" w:themeFillTint="33"/>
    </w:rPr>
  </w:style>
  <w:style w:type="character" w:customStyle="1" w:styleId="Heading3Char">
    <w:name w:val="Heading 3 Char"/>
    <w:basedOn w:val="DefaultParagraphFont"/>
    <w:link w:val="Heading3"/>
    <w:uiPriority w:val="9"/>
    <w:rsid w:val="00934072"/>
    <w:rPr>
      <w:caps/>
      <w:color w:val="1A495C" w:themeColor="accent1" w:themeShade="7F"/>
      <w:spacing w:val="15"/>
    </w:rPr>
  </w:style>
  <w:style w:type="character" w:customStyle="1" w:styleId="Heading4Char">
    <w:name w:val="Heading 4 Char"/>
    <w:basedOn w:val="DefaultParagraphFont"/>
    <w:link w:val="Heading4"/>
    <w:uiPriority w:val="9"/>
    <w:semiHidden/>
    <w:rsid w:val="00934072"/>
    <w:rPr>
      <w:caps/>
      <w:color w:val="276E8B" w:themeColor="accent1" w:themeShade="BF"/>
      <w:spacing w:val="10"/>
    </w:rPr>
  </w:style>
  <w:style w:type="character" w:customStyle="1" w:styleId="Heading5Char">
    <w:name w:val="Heading 5 Char"/>
    <w:basedOn w:val="DefaultParagraphFont"/>
    <w:link w:val="Heading5"/>
    <w:uiPriority w:val="9"/>
    <w:semiHidden/>
    <w:rsid w:val="00934072"/>
    <w:rPr>
      <w:caps/>
      <w:color w:val="276E8B" w:themeColor="accent1" w:themeShade="BF"/>
      <w:spacing w:val="10"/>
    </w:rPr>
  </w:style>
  <w:style w:type="character" w:customStyle="1" w:styleId="Heading6Char">
    <w:name w:val="Heading 6 Char"/>
    <w:basedOn w:val="DefaultParagraphFont"/>
    <w:link w:val="Heading6"/>
    <w:uiPriority w:val="9"/>
    <w:semiHidden/>
    <w:rsid w:val="00934072"/>
    <w:rPr>
      <w:caps/>
      <w:color w:val="276E8B" w:themeColor="accent1" w:themeShade="BF"/>
      <w:spacing w:val="10"/>
    </w:rPr>
  </w:style>
  <w:style w:type="character" w:customStyle="1" w:styleId="Heading7Char">
    <w:name w:val="Heading 7 Char"/>
    <w:basedOn w:val="DefaultParagraphFont"/>
    <w:link w:val="Heading7"/>
    <w:uiPriority w:val="9"/>
    <w:semiHidden/>
    <w:rsid w:val="00934072"/>
    <w:rPr>
      <w:caps/>
      <w:color w:val="276E8B" w:themeColor="accent1" w:themeShade="BF"/>
      <w:spacing w:val="10"/>
    </w:rPr>
  </w:style>
  <w:style w:type="character" w:customStyle="1" w:styleId="Heading8Char">
    <w:name w:val="Heading 8 Char"/>
    <w:basedOn w:val="DefaultParagraphFont"/>
    <w:link w:val="Heading8"/>
    <w:uiPriority w:val="9"/>
    <w:semiHidden/>
    <w:rsid w:val="00934072"/>
    <w:rPr>
      <w:caps/>
      <w:spacing w:val="10"/>
      <w:sz w:val="18"/>
      <w:szCs w:val="18"/>
    </w:rPr>
  </w:style>
  <w:style w:type="character" w:customStyle="1" w:styleId="Heading9Char">
    <w:name w:val="Heading 9 Char"/>
    <w:basedOn w:val="DefaultParagraphFont"/>
    <w:link w:val="Heading9"/>
    <w:uiPriority w:val="9"/>
    <w:semiHidden/>
    <w:rsid w:val="00934072"/>
    <w:rPr>
      <w:i/>
      <w:iCs/>
      <w:caps/>
      <w:spacing w:val="10"/>
      <w:sz w:val="18"/>
      <w:szCs w:val="18"/>
    </w:rPr>
  </w:style>
  <w:style w:type="paragraph" w:styleId="Caption">
    <w:name w:val="caption"/>
    <w:basedOn w:val="Normal"/>
    <w:next w:val="Normal"/>
    <w:uiPriority w:val="35"/>
    <w:semiHidden/>
    <w:unhideWhenUsed/>
    <w:qFormat/>
    <w:rsid w:val="00934072"/>
    <w:rPr>
      <w:b/>
      <w:bCs/>
      <w:color w:val="276E8B" w:themeColor="accent1" w:themeShade="BF"/>
      <w:sz w:val="16"/>
      <w:szCs w:val="16"/>
    </w:rPr>
  </w:style>
  <w:style w:type="paragraph" w:styleId="Title">
    <w:name w:val="Title"/>
    <w:basedOn w:val="Normal"/>
    <w:next w:val="Normal"/>
    <w:link w:val="TitleChar"/>
    <w:uiPriority w:val="10"/>
    <w:qFormat/>
    <w:rsid w:val="00934072"/>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934072"/>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93407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4072"/>
    <w:rPr>
      <w:caps/>
      <w:color w:val="595959" w:themeColor="text1" w:themeTint="A6"/>
      <w:spacing w:val="10"/>
      <w:sz w:val="21"/>
      <w:szCs w:val="21"/>
    </w:rPr>
  </w:style>
  <w:style w:type="character" w:styleId="Strong">
    <w:name w:val="Strong"/>
    <w:uiPriority w:val="22"/>
    <w:qFormat/>
    <w:rsid w:val="00934072"/>
    <w:rPr>
      <w:b/>
      <w:bCs/>
    </w:rPr>
  </w:style>
  <w:style w:type="character" w:styleId="Emphasis">
    <w:name w:val="Emphasis"/>
    <w:uiPriority w:val="20"/>
    <w:qFormat/>
    <w:rsid w:val="00934072"/>
    <w:rPr>
      <w:caps/>
      <w:color w:val="1A495C" w:themeColor="accent1" w:themeShade="7F"/>
      <w:spacing w:val="5"/>
    </w:rPr>
  </w:style>
  <w:style w:type="paragraph" w:styleId="NoSpacing">
    <w:name w:val="No Spacing"/>
    <w:link w:val="NoSpacingChar"/>
    <w:uiPriority w:val="1"/>
    <w:qFormat/>
    <w:rsid w:val="00934072"/>
    <w:pPr>
      <w:spacing w:after="0" w:line="240" w:lineRule="auto"/>
    </w:pPr>
  </w:style>
  <w:style w:type="paragraph" w:styleId="Quote">
    <w:name w:val="Quote"/>
    <w:basedOn w:val="Normal"/>
    <w:next w:val="Normal"/>
    <w:link w:val="QuoteChar"/>
    <w:uiPriority w:val="29"/>
    <w:qFormat/>
    <w:rsid w:val="00934072"/>
    <w:rPr>
      <w:i/>
      <w:iCs/>
      <w:sz w:val="24"/>
      <w:szCs w:val="24"/>
    </w:rPr>
  </w:style>
  <w:style w:type="character" w:customStyle="1" w:styleId="QuoteChar">
    <w:name w:val="Quote Char"/>
    <w:basedOn w:val="DefaultParagraphFont"/>
    <w:link w:val="Quote"/>
    <w:uiPriority w:val="29"/>
    <w:rsid w:val="00934072"/>
    <w:rPr>
      <w:i/>
      <w:iCs/>
      <w:sz w:val="24"/>
      <w:szCs w:val="24"/>
    </w:rPr>
  </w:style>
  <w:style w:type="paragraph" w:styleId="IntenseQuote">
    <w:name w:val="Intense Quote"/>
    <w:basedOn w:val="Normal"/>
    <w:next w:val="Normal"/>
    <w:link w:val="IntenseQuoteChar"/>
    <w:uiPriority w:val="30"/>
    <w:qFormat/>
    <w:rsid w:val="00934072"/>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934072"/>
    <w:rPr>
      <w:color w:val="3494BA" w:themeColor="accent1"/>
      <w:sz w:val="24"/>
      <w:szCs w:val="24"/>
    </w:rPr>
  </w:style>
  <w:style w:type="character" w:styleId="SubtleEmphasis">
    <w:name w:val="Subtle Emphasis"/>
    <w:uiPriority w:val="19"/>
    <w:qFormat/>
    <w:rsid w:val="00934072"/>
    <w:rPr>
      <w:i/>
      <w:iCs/>
      <w:color w:val="1A495C" w:themeColor="accent1" w:themeShade="7F"/>
    </w:rPr>
  </w:style>
  <w:style w:type="character" w:styleId="IntenseEmphasis">
    <w:name w:val="Intense Emphasis"/>
    <w:uiPriority w:val="21"/>
    <w:qFormat/>
    <w:rsid w:val="00934072"/>
    <w:rPr>
      <w:b/>
      <w:bCs/>
      <w:caps/>
      <w:color w:val="1A495C" w:themeColor="accent1" w:themeShade="7F"/>
      <w:spacing w:val="10"/>
    </w:rPr>
  </w:style>
  <w:style w:type="character" w:styleId="SubtleReference">
    <w:name w:val="Subtle Reference"/>
    <w:uiPriority w:val="31"/>
    <w:qFormat/>
    <w:rsid w:val="00934072"/>
    <w:rPr>
      <w:b/>
      <w:bCs/>
      <w:color w:val="3494BA" w:themeColor="accent1"/>
    </w:rPr>
  </w:style>
  <w:style w:type="character" w:styleId="IntenseReference">
    <w:name w:val="Intense Reference"/>
    <w:uiPriority w:val="32"/>
    <w:qFormat/>
    <w:rsid w:val="00934072"/>
    <w:rPr>
      <w:b/>
      <w:bCs/>
      <w:i/>
      <w:iCs/>
      <w:caps/>
      <w:color w:val="3494BA" w:themeColor="accent1"/>
    </w:rPr>
  </w:style>
  <w:style w:type="character" w:styleId="BookTitle">
    <w:name w:val="Book Title"/>
    <w:uiPriority w:val="33"/>
    <w:qFormat/>
    <w:rsid w:val="00934072"/>
    <w:rPr>
      <w:b/>
      <w:bCs/>
      <w:i/>
      <w:iCs/>
      <w:spacing w:val="0"/>
    </w:rPr>
  </w:style>
  <w:style w:type="paragraph" w:styleId="TOCHeading">
    <w:name w:val="TOC Heading"/>
    <w:basedOn w:val="Heading1"/>
    <w:next w:val="Normal"/>
    <w:uiPriority w:val="39"/>
    <w:unhideWhenUsed/>
    <w:qFormat/>
    <w:rsid w:val="00934072"/>
    <w:pPr>
      <w:outlineLvl w:val="9"/>
    </w:pPr>
  </w:style>
  <w:style w:type="paragraph" w:customStyle="1" w:styleId="Style1">
    <w:name w:val="Style1"/>
    <w:basedOn w:val="Heading1"/>
    <w:link w:val="Style1Char"/>
    <w:rsid w:val="00934072"/>
  </w:style>
  <w:style w:type="character" w:customStyle="1" w:styleId="Style1Char">
    <w:name w:val="Style1 Char"/>
    <w:basedOn w:val="Heading1Char"/>
    <w:link w:val="Style1"/>
    <w:rsid w:val="00934072"/>
    <w:rPr>
      <w:caps/>
      <w:color w:val="FFFFFF" w:themeColor="background1"/>
      <w:spacing w:val="15"/>
      <w:sz w:val="22"/>
      <w:szCs w:val="22"/>
      <w:shd w:val="clear" w:color="auto" w:fill="3494BA" w:themeFill="accent1"/>
    </w:rPr>
  </w:style>
  <w:style w:type="character" w:styleId="Hyperlink">
    <w:name w:val="Hyperlink"/>
    <w:basedOn w:val="DefaultParagraphFont"/>
    <w:uiPriority w:val="99"/>
    <w:unhideWhenUsed/>
    <w:rsid w:val="008362FA"/>
    <w:rPr>
      <w:color w:val="6B9F25" w:themeColor="hyperlink"/>
      <w:u w:val="single"/>
    </w:rPr>
  </w:style>
  <w:style w:type="character" w:customStyle="1" w:styleId="UnresolvedMention1">
    <w:name w:val="Unresolved Mention1"/>
    <w:basedOn w:val="DefaultParagraphFont"/>
    <w:uiPriority w:val="99"/>
    <w:semiHidden/>
    <w:unhideWhenUsed/>
    <w:rsid w:val="008362FA"/>
    <w:rPr>
      <w:color w:val="605E5C"/>
      <w:shd w:val="clear" w:color="auto" w:fill="E1DFDD"/>
    </w:rPr>
  </w:style>
  <w:style w:type="paragraph" w:styleId="ListParagraph">
    <w:name w:val="List Paragraph"/>
    <w:basedOn w:val="Normal"/>
    <w:uiPriority w:val="34"/>
    <w:qFormat/>
    <w:rsid w:val="00464C0D"/>
    <w:pPr>
      <w:ind w:left="720"/>
      <w:contextualSpacing/>
    </w:pPr>
  </w:style>
  <w:style w:type="table" w:styleId="TableGrid">
    <w:name w:val="Table Grid"/>
    <w:basedOn w:val="TableNormal"/>
    <w:uiPriority w:val="39"/>
    <w:rsid w:val="00253E4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F75"/>
    <w:pPr>
      <w:spacing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B50F93"/>
  </w:style>
  <w:style w:type="paragraph" w:styleId="TOC1">
    <w:name w:val="toc 1"/>
    <w:basedOn w:val="Normal"/>
    <w:next w:val="Normal"/>
    <w:autoRedefine/>
    <w:uiPriority w:val="39"/>
    <w:unhideWhenUsed/>
    <w:rsid w:val="00B50F93"/>
    <w:pPr>
      <w:spacing w:after="100"/>
    </w:pPr>
  </w:style>
  <w:style w:type="paragraph" w:styleId="Header">
    <w:name w:val="header"/>
    <w:basedOn w:val="Normal"/>
    <w:link w:val="HeaderChar"/>
    <w:uiPriority w:val="99"/>
    <w:unhideWhenUsed/>
    <w:rsid w:val="006849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8495D"/>
  </w:style>
  <w:style w:type="paragraph" w:styleId="Footer">
    <w:name w:val="footer"/>
    <w:basedOn w:val="Normal"/>
    <w:link w:val="FooterChar"/>
    <w:uiPriority w:val="99"/>
    <w:unhideWhenUsed/>
    <w:rsid w:val="006849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495D"/>
  </w:style>
  <w:style w:type="paragraph" w:styleId="Revision">
    <w:name w:val="Revision"/>
    <w:hidden/>
    <w:uiPriority w:val="99"/>
    <w:semiHidden/>
    <w:rsid w:val="00101C7A"/>
    <w:pPr>
      <w:spacing w:before="0" w:after="0" w:line="240" w:lineRule="auto"/>
    </w:pPr>
  </w:style>
  <w:style w:type="paragraph" w:styleId="BalloonText">
    <w:name w:val="Balloon Text"/>
    <w:basedOn w:val="Normal"/>
    <w:link w:val="BalloonTextChar"/>
    <w:uiPriority w:val="99"/>
    <w:semiHidden/>
    <w:unhideWhenUsed/>
    <w:rsid w:val="00AF643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432"/>
    <w:rPr>
      <w:rFonts w:ascii="Segoe UI" w:hAnsi="Segoe UI" w:cs="Segoe UI"/>
      <w:sz w:val="18"/>
      <w:szCs w:val="18"/>
    </w:rPr>
  </w:style>
  <w:style w:type="character" w:styleId="FollowedHyperlink">
    <w:name w:val="FollowedHyperlink"/>
    <w:basedOn w:val="DefaultParagraphFont"/>
    <w:uiPriority w:val="99"/>
    <w:semiHidden/>
    <w:unhideWhenUsed/>
    <w:rsid w:val="00D83294"/>
    <w:rPr>
      <w:color w:val="9F6715" w:themeColor="followedHyperlink"/>
      <w:u w:val="single"/>
    </w:rPr>
  </w:style>
  <w:style w:type="paragraph" w:styleId="BodyTextIndent2">
    <w:name w:val="Body Text Indent 2"/>
    <w:basedOn w:val="Normal"/>
    <w:link w:val="BodyTextIndent2Char"/>
    <w:rsid w:val="001D4EA8"/>
    <w:pPr>
      <w:spacing w:before="0"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D4EA8"/>
    <w:rPr>
      <w:rFonts w:ascii="Times New Roman" w:eastAsia="Times New Roman" w:hAnsi="Times New Roman" w:cs="Times New Roman"/>
      <w:sz w:val="24"/>
      <w:szCs w:val="24"/>
    </w:rPr>
  </w:style>
  <w:style w:type="paragraph" w:styleId="FootnoteText">
    <w:name w:val="footnote text"/>
    <w:basedOn w:val="Normal"/>
    <w:link w:val="FootnoteTextChar"/>
    <w:rsid w:val="001D4EA8"/>
    <w:pPr>
      <w:spacing w:before="0"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1D4EA8"/>
    <w:rPr>
      <w:rFonts w:ascii="Times New Roman" w:eastAsia="Times New Roman" w:hAnsi="Times New Roman" w:cs="Times New Roman"/>
    </w:rPr>
  </w:style>
  <w:style w:type="character" w:styleId="FootnoteReference">
    <w:name w:val="footnote reference"/>
    <w:rsid w:val="001D4EA8"/>
    <w:rPr>
      <w:vertAlign w:val="superscript"/>
    </w:rPr>
  </w:style>
  <w:style w:type="character" w:customStyle="1" w:styleId="UnresolvedMention2">
    <w:name w:val="Unresolved Mention2"/>
    <w:basedOn w:val="DefaultParagraphFont"/>
    <w:uiPriority w:val="99"/>
    <w:semiHidden/>
    <w:unhideWhenUsed/>
    <w:rsid w:val="006A541C"/>
    <w:rPr>
      <w:color w:val="605E5C"/>
      <w:shd w:val="clear" w:color="auto" w:fill="E1DFDD"/>
    </w:rPr>
  </w:style>
  <w:style w:type="character" w:customStyle="1" w:styleId="UnresolvedMention3">
    <w:name w:val="Unresolved Mention3"/>
    <w:basedOn w:val="DefaultParagraphFont"/>
    <w:uiPriority w:val="99"/>
    <w:semiHidden/>
    <w:unhideWhenUsed/>
    <w:rsid w:val="00365A92"/>
    <w:rPr>
      <w:color w:val="605E5C"/>
      <w:shd w:val="clear" w:color="auto" w:fill="E1DFDD"/>
    </w:rPr>
  </w:style>
  <w:style w:type="table" w:styleId="GridTable4-Accent1">
    <w:name w:val="Grid Table 4 Accent 1"/>
    <w:basedOn w:val="TableNormal"/>
    <w:uiPriority w:val="49"/>
    <w:rsid w:val="00E97D63"/>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character" w:styleId="UnresolvedMention">
    <w:name w:val="Unresolved Mention"/>
    <w:basedOn w:val="DefaultParagraphFont"/>
    <w:uiPriority w:val="99"/>
    <w:semiHidden/>
    <w:unhideWhenUsed/>
    <w:rsid w:val="0027305D"/>
    <w:rPr>
      <w:color w:val="605E5C"/>
      <w:shd w:val="clear" w:color="auto" w:fill="E1DFDD"/>
    </w:rPr>
  </w:style>
  <w:style w:type="paragraph" w:styleId="BodyText">
    <w:name w:val="Body Text"/>
    <w:basedOn w:val="Normal"/>
    <w:link w:val="BodyTextChar"/>
    <w:uiPriority w:val="99"/>
    <w:semiHidden/>
    <w:unhideWhenUsed/>
    <w:rsid w:val="00F578B3"/>
    <w:pPr>
      <w:spacing w:after="120"/>
    </w:pPr>
  </w:style>
  <w:style w:type="character" w:customStyle="1" w:styleId="BodyTextChar">
    <w:name w:val="Body Text Char"/>
    <w:basedOn w:val="DefaultParagraphFont"/>
    <w:link w:val="BodyText"/>
    <w:uiPriority w:val="99"/>
    <w:semiHidden/>
    <w:rsid w:val="00F578B3"/>
  </w:style>
  <w:style w:type="paragraph" w:styleId="TOC3">
    <w:name w:val="toc 3"/>
    <w:basedOn w:val="Normal"/>
    <w:next w:val="Normal"/>
    <w:autoRedefine/>
    <w:uiPriority w:val="39"/>
    <w:unhideWhenUsed/>
    <w:rsid w:val="007B1BCA"/>
    <w:pPr>
      <w:spacing w:after="100"/>
      <w:ind w:left="400"/>
    </w:pPr>
  </w:style>
  <w:style w:type="paragraph" w:styleId="TOC2">
    <w:name w:val="toc 2"/>
    <w:basedOn w:val="Normal"/>
    <w:next w:val="Normal"/>
    <w:autoRedefine/>
    <w:uiPriority w:val="39"/>
    <w:unhideWhenUsed/>
    <w:rsid w:val="007B1BCA"/>
    <w:pPr>
      <w:spacing w:after="100"/>
      <w:ind w:left="200"/>
    </w:pPr>
  </w:style>
  <w:style w:type="character" w:customStyle="1" w:styleId="21sno">
    <w:name w:val="_21sno"/>
    <w:basedOn w:val="DefaultParagraphFont"/>
    <w:rsid w:val="0070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86102">
      <w:bodyDiv w:val="1"/>
      <w:marLeft w:val="0"/>
      <w:marRight w:val="0"/>
      <w:marTop w:val="0"/>
      <w:marBottom w:val="0"/>
      <w:divBdr>
        <w:top w:val="none" w:sz="0" w:space="0" w:color="auto"/>
        <w:left w:val="none" w:sz="0" w:space="0" w:color="auto"/>
        <w:bottom w:val="none" w:sz="0" w:space="0" w:color="auto"/>
        <w:right w:val="none" w:sz="0" w:space="0" w:color="auto"/>
      </w:divBdr>
    </w:div>
    <w:div w:id="711807257">
      <w:bodyDiv w:val="1"/>
      <w:marLeft w:val="0"/>
      <w:marRight w:val="0"/>
      <w:marTop w:val="0"/>
      <w:marBottom w:val="0"/>
      <w:divBdr>
        <w:top w:val="none" w:sz="0" w:space="0" w:color="auto"/>
        <w:left w:val="none" w:sz="0" w:space="0" w:color="auto"/>
        <w:bottom w:val="none" w:sz="0" w:space="0" w:color="auto"/>
        <w:right w:val="none" w:sz="0" w:space="0" w:color="auto"/>
      </w:divBdr>
    </w:div>
    <w:div w:id="850949727">
      <w:bodyDiv w:val="1"/>
      <w:marLeft w:val="0"/>
      <w:marRight w:val="0"/>
      <w:marTop w:val="0"/>
      <w:marBottom w:val="0"/>
      <w:divBdr>
        <w:top w:val="none" w:sz="0" w:space="0" w:color="auto"/>
        <w:left w:val="none" w:sz="0" w:space="0" w:color="auto"/>
        <w:bottom w:val="none" w:sz="0" w:space="0" w:color="auto"/>
        <w:right w:val="none" w:sz="0" w:space="0" w:color="auto"/>
      </w:divBdr>
    </w:div>
    <w:div w:id="914824553">
      <w:bodyDiv w:val="1"/>
      <w:marLeft w:val="0"/>
      <w:marRight w:val="0"/>
      <w:marTop w:val="0"/>
      <w:marBottom w:val="0"/>
      <w:divBdr>
        <w:top w:val="none" w:sz="0" w:space="0" w:color="auto"/>
        <w:left w:val="none" w:sz="0" w:space="0" w:color="auto"/>
        <w:bottom w:val="none" w:sz="0" w:space="0" w:color="auto"/>
        <w:right w:val="none" w:sz="0" w:space="0" w:color="auto"/>
      </w:divBdr>
    </w:div>
    <w:div w:id="1228766174">
      <w:bodyDiv w:val="1"/>
      <w:marLeft w:val="0"/>
      <w:marRight w:val="0"/>
      <w:marTop w:val="0"/>
      <w:marBottom w:val="0"/>
      <w:divBdr>
        <w:top w:val="none" w:sz="0" w:space="0" w:color="auto"/>
        <w:left w:val="none" w:sz="0" w:space="0" w:color="auto"/>
        <w:bottom w:val="none" w:sz="0" w:space="0" w:color="auto"/>
        <w:right w:val="none" w:sz="0" w:space="0" w:color="auto"/>
      </w:divBdr>
      <w:divsChild>
        <w:div w:id="1753892861">
          <w:marLeft w:val="1714"/>
          <w:marRight w:val="0"/>
          <w:marTop w:val="120"/>
          <w:marBottom w:val="120"/>
          <w:divBdr>
            <w:top w:val="none" w:sz="0" w:space="0" w:color="auto"/>
            <w:left w:val="none" w:sz="0" w:space="0" w:color="auto"/>
            <w:bottom w:val="none" w:sz="0" w:space="0" w:color="auto"/>
            <w:right w:val="none" w:sz="0" w:space="0" w:color="auto"/>
          </w:divBdr>
        </w:div>
      </w:divsChild>
    </w:div>
    <w:div w:id="1282691088">
      <w:bodyDiv w:val="1"/>
      <w:marLeft w:val="0"/>
      <w:marRight w:val="0"/>
      <w:marTop w:val="0"/>
      <w:marBottom w:val="0"/>
      <w:divBdr>
        <w:top w:val="none" w:sz="0" w:space="0" w:color="auto"/>
        <w:left w:val="none" w:sz="0" w:space="0" w:color="auto"/>
        <w:bottom w:val="none" w:sz="0" w:space="0" w:color="auto"/>
        <w:right w:val="none" w:sz="0" w:space="0" w:color="auto"/>
      </w:divBdr>
    </w:div>
    <w:div w:id="1354576552">
      <w:bodyDiv w:val="1"/>
      <w:marLeft w:val="0"/>
      <w:marRight w:val="0"/>
      <w:marTop w:val="0"/>
      <w:marBottom w:val="0"/>
      <w:divBdr>
        <w:top w:val="none" w:sz="0" w:space="0" w:color="auto"/>
        <w:left w:val="none" w:sz="0" w:space="0" w:color="auto"/>
        <w:bottom w:val="none" w:sz="0" w:space="0" w:color="auto"/>
        <w:right w:val="none" w:sz="0" w:space="0" w:color="auto"/>
      </w:divBdr>
    </w:div>
    <w:div w:id="1424257129">
      <w:bodyDiv w:val="1"/>
      <w:marLeft w:val="0"/>
      <w:marRight w:val="0"/>
      <w:marTop w:val="0"/>
      <w:marBottom w:val="0"/>
      <w:divBdr>
        <w:top w:val="none" w:sz="0" w:space="0" w:color="auto"/>
        <w:left w:val="none" w:sz="0" w:space="0" w:color="auto"/>
        <w:bottom w:val="none" w:sz="0" w:space="0" w:color="auto"/>
        <w:right w:val="none" w:sz="0" w:space="0" w:color="auto"/>
      </w:divBdr>
    </w:div>
    <w:div w:id="1500997893">
      <w:bodyDiv w:val="1"/>
      <w:marLeft w:val="0"/>
      <w:marRight w:val="0"/>
      <w:marTop w:val="0"/>
      <w:marBottom w:val="0"/>
      <w:divBdr>
        <w:top w:val="none" w:sz="0" w:space="0" w:color="auto"/>
        <w:left w:val="none" w:sz="0" w:space="0" w:color="auto"/>
        <w:bottom w:val="none" w:sz="0" w:space="0" w:color="auto"/>
        <w:right w:val="none" w:sz="0" w:space="0" w:color="auto"/>
      </w:divBdr>
    </w:div>
    <w:div w:id="1636334116">
      <w:bodyDiv w:val="1"/>
      <w:marLeft w:val="0"/>
      <w:marRight w:val="0"/>
      <w:marTop w:val="0"/>
      <w:marBottom w:val="0"/>
      <w:divBdr>
        <w:top w:val="none" w:sz="0" w:space="0" w:color="auto"/>
        <w:left w:val="none" w:sz="0" w:space="0" w:color="auto"/>
        <w:bottom w:val="none" w:sz="0" w:space="0" w:color="auto"/>
        <w:right w:val="none" w:sz="0" w:space="0" w:color="auto"/>
      </w:divBdr>
    </w:div>
    <w:div w:id="1686251168">
      <w:bodyDiv w:val="1"/>
      <w:marLeft w:val="0"/>
      <w:marRight w:val="0"/>
      <w:marTop w:val="0"/>
      <w:marBottom w:val="0"/>
      <w:divBdr>
        <w:top w:val="none" w:sz="0" w:space="0" w:color="auto"/>
        <w:left w:val="none" w:sz="0" w:space="0" w:color="auto"/>
        <w:bottom w:val="none" w:sz="0" w:space="0" w:color="auto"/>
        <w:right w:val="none" w:sz="0" w:space="0" w:color="auto"/>
      </w:divBdr>
    </w:div>
    <w:div w:id="1919049743">
      <w:bodyDiv w:val="1"/>
      <w:marLeft w:val="0"/>
      <w:marRight w:val="0"/>
      <w:marTop w:val="0"/>
      <w:marBottom w:val="0"/>
      <w:divBdr>
        <w:top w:val="none" w:sz="0" w:space="0" w:color="auto"/>
        <w:left w:val="none" w:sz="0" w:space="0" w:color="auto"/>
        <w:bottom w:val="none" w:sz="0" w:space="0" w:color="auto"/>
        <w:right w:val="none" w:sz="0" w:space="0" w:color="auto"/>
      </w:divBdr>
    </w:div>
    <w:div w:id="1936936564">
      <w:bodyDiv w:val="1"/>
      <w:marLeft w:val="0"/>
      <w:marRight w:val="0"/>
      <w:marTop w:val="0"/>
      <w:marBottom w:val="0"/>
      <w:divBdr>
        <w:top w:val="none" w:sz="0" w:space="0" w:color="auto"/>
        <w:left w:val="none" w:sz="0" w:space="0" w:color="auto"/>
        <w:bottom w:val="none" w:sz="0" w:space="0" w:color="auto"/>
        <w:right w:val="none" w:sz="0" w:space="0" w:color="auto"/>
      </w:divBdr>
    </w:div>
    <w:div w:id="21321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hudexchange.info/resources/documents/HomelessDefinition_RecordkeepingRequirementsandCriteria.pdf" TargetMode="External"/><Relationship Id="rId18" Type="http://schemas.openxmlformats.org/officeDocument/2006/relationships/hyperlink" Target="https://www.hudexchange.info/programs/hmis/hmis-data-and-technical-standards/%20" TargetMode="External"/><Relationship Id="rId26" Type="http://schemas.openxmlformats.org/officeDocument/2006/relationships/hyperlink" Target="https://www.law.cornell.edu/cfr/text/24/5.2005" TargetMode="External"/><Relationship Id="rId39" Type="http://schemas.openxmlformats.org/officeDocument/2006/relationships/hyperlink" Target="https://www.hudexchange.info/trainings/courses/at-risk-status-and-income-recordkeeping-requirements-webinar-for-esg-grantees1/" TargetMode="External"/><Relationship Id="rId3" Type="http://schemas.openxmlformats.org/officeDocument/2006/relationships/numbering" Target="numbering.xml"/><Relationship Id="rId21" Type="http://schemas.openxmlformats.org/officeDocument/2006/relationships/hyperlink" Target="https://www.nhlp.org/files/Limited%20English%20Proficiency%20Outline%20%20(2--6.17.09).pdf" TargetMode="External"/><Relationship Id="rId34" Type="http://schemas.openxmlformats.org/officeDocument/2006/relationships/hyperlink" Target="https://www.hudexchange.info/incomecalculator/"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files.hudexchange.info/resources/documents/HomelessDefinition_RecordkeepingRequirementsandCriteria.pdf" TargetMode="External"/><Relationship Id="rId17" Type="http://schemas.openxmlformats.org/officeDocument/2006/relationships/hyperlink" Target="https://www.hud.gov/sites/documents/16-11CPDN.PDF" TargetMode="External"/><Relationship Id="rId25" Type="http://schemas.openxmlformats.org/officeDocument/2006/relationships/hyperlink" Target="https://www.law.cornell.edu/cfr/text/24/5.2005" TargetMode="External"/><Relationship Id="rId33" Type="http://schemas.openxmlformats.org/officeDocument/2006/relationships/hyperlink" Target="https://files.hudexchange.info/resources/documents/Rapid_Re-Housing_ESG_vs_CoC.pdf" TargetMode="External"/><Relationship Id="rId38" Type="http://schemas.openxmlformats.org/officeDocument/2006/relationships/hyperlink" Target="https://www.hud.gov/sites/documents/DOC_35699.PDF"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ud.gov/sites/documents/17-01CPDN.PDF" TargetMode="External"/><Relationship Id="rId20" Type="http://schemas.openxmlformats.org/officeDocument/2006/relationships/hyperlink" Target="https://www.hud.gov/fairhousing" TargetMode="External"/><Relationship Id="rId29" Type="http://schemas.openxmlformats.org/officeDocument/2006/relationships/hyperlink" Target="https://masshousing.com/programs-outreach/community-services/knowledge-capacity-building/vawa" TargetMode="External"/><Relationship Id="rId41" Type="http://schemas.openxmlformats.org/officeDocument/2006/relationships/hyperlink" Target="http://www.huduser.org/portal/datasets/fm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exchange.info/resource/4424/coc-rent-reasonableness-and-fair-market-rent/" TargetMode="External"/><Relationship Id="rId24" Type="http://schemas.openxmlformats.org/officeDocument/2006/relationships/hyperlink" Target="https://www.hudexchange.info/homelessness-assistance/coc-esg-virtual-binders/coc-esg-environmental-review/coc-and-esg-environmental-review-overview/" TargetMode="External"/><Relationship Id="rId32" Type="http://schemas.openxmlformats.org/officeDocument/2006/relationships/hyperlink" Target="https://www.hud.gov/sites/dfiles/OCHCO/documents/20-08cpdn.pdf" TargetMode="External"/><Relationship Id="rId37" Type="http://schemas.openxmlformats.org/officeDocument/2006/relationships/hyperlink" Target="https://www.hudexchange.info/incomecalculator/" TargetMode="External"/><Relationship Id="rId40" Type="http://schemas.openxmlformats.org/officeDocument/2006/relationships/hyperlink" Target="https://apps.hud.gov/offices/lead/training/visualassessment/h00101.htm"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hudexchange.info/programs/home/home-income-limits/" TargetMode="External"/><Relationship Id="rId23" Type="http://schemas.openxmlformats.org/officeDocument/2006/relationships/hyperlink" Target="https://files.hudexchange.info/resources/documents/Levels-of-Environmental-Review-for-ESG-Components-Matrix.pdf" TargetMode="External"/><Relationship Id="rId28" Type="http://schemas.openxmlformats.org/officeDocument/2006/relationships/hyperlink" Target="https://view.officeapps.live.com/op/view.aspx?src=https%3A%2F%2Fwww.hud.gov%2Fsites%2Fdocuments%2F5380.DOCX&amp;wdOrigin=BROWSELINK" TargetMode="External"/><Relationship Id="rId36" Type="http://schemas.openxmlformats.org/officeDocument/2006/relationships/hyperlink" Target="https://www.hudexchange.info/programs/home/home-income-limits/%20" TargetMode="External"/><Relationship Id="rId49" Type="http://schemas.openxmlformats.org/officeDocument/2006/relationships/theme" Target="theme/theme1.xml"/><Relationship Id="rId10" Type="http://schemas.openxmlformats.org/officeDocument/2006/relationships/hyperlink" Target="https://files.hudexchange.info/resources/documents/COVID-19-Homeless-System-Response-ESG-CV-Notices-CPD-22-06-and-CPD-21-08-Summary.pdf" TargetMode="External"/><Relationship Id="rId19" Type="http://schemas.openxmlformats.org/officeDocument/2006/relationships/hyperlink" Target="https://view.officeapps.live.com/op/view.aspx?src=https%3A%2F%2Ffiles.hudexchange.info%2Fresources%2Fdocuments%2FESG-Emergency-Shelter-and-Permanent-Housing-Standards-Checklists.docx&amp;wdOrigin=BROWSELINK" TargetMode="External"/><Relationship Id="rId31" Type="http://schemas.openxmlformats.org/officeDocument/2006/relationships/hyperlink" Target="https://www.hud.gov/sites/dfiles/OCHCO/documents/20-08cpdn.pdf"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iles.hudexchange.info/resources/documents/COVID-19-Homeless-System-Response-ESG-CV-Notice-CPD-22-06-Quick-Reference-Guide.pdf" TargetMode="External"/><Relationship Id="rId14" Type="http://schemas.openxmlformats.org/officeDocument/2006/relationships/hyperlink" Target="https://files.hudexchange.info/resources/documents/HomelessDefinition_RecordkeepingRequirementsandCriteria.pdf" TargetMode="External"/><Relationship Id="rId22" Type="http://schemas.openxmlformats.org/officeDocument/2006/relationships/hyperlink" Target="https://www.hudexchange.info/resource/3141/part-58-environmental-review-exempt-or-censt-format/.%20" TargetMode="External"/><Relationship Id="rId27" Type="http://schemas.openxmlformats.org/officeDocument/2006/relationships/hyperlink" Target="https://view.officeapps.live.com/op/view.aspx?src=https%3A%2F%2Fwww.hud.gov%2Fsites%2Fdocuments%2F5383.DOCX&amp;wdOrigin=BROWSELINK" TargetMode="External"/><Relationship Id="rId30" Type="http://schemas.openxmlformats.org/officeDocument/2006/relationships/hyperlink" Target="https://masshousing.com/-/media/Files/Community-Services/VAWA/MH_VAWA-Handbook.ashx" TargetMode="External"/><Relationship Id="rId35" Type="http://schemas.openxmlformats.org/officeDocument/2006/relationships/hyperlink" Target="http://www.huduser.org/portal/datasets/fmr.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Commonwealth of Massachusetts                             Executive Office of Housing and Livable Communities, Division of Housing Stabilization (*Updated June ‘23)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39956-3764-4209-B6A3-E9AAC908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19668</Words>
  <Characters>112112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Written Standards and Policies and Procedures for ESG and CoC Funded Programs       August 2022</vt:lpstr>
    </vt:vector>
  </TitlesOfParts>
  <Company/>
  <LinksUpToDate>false</LinksUpToDate>
  <CharactersWithSpaces>131517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Standards and Policies and Procedures for ESG and CoC Funded Programs    August 2022*</dc:title>
  <dc:subject/>
  <dc:creator>Meghan Takashima</dc:creator>
  <cp:keywords/>
  <dc:description/>
  <cp:lastModifiedBy>Niemy, Carrie (EOHLC)</cp:lastModifiedBy>
  <cp:revision>2</cp:revision>
  <cp:lastPrinted>2021-05-13T16:17:00Z</cp:lastPrinted>
  <dcterms:created xsi:type="dcterms:W3CDTF">2023-06-02T14:26:00Z</dcterms:created>
  <dcterms:modified xsi:type="dcterms:W3CDTF">2023-06-02T14:26:00Z</dcterms:modified>
</cp:coreProperties>
</file>